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58120" w14:textId="55D8BE0A" w:rsidR="002B0469" w:rsidRPr="002B0469" w:rsidRDefault="00DD648F" w:rsidP="002B046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ANNEX I</w:t>
      </w:r>
      <w:bookmarkStart w:id="0" w:name="_GoBack"/>
      <w:bookmarkEnd w:id="0"/>
    </w:p>
    <w:p w14:paraId="30B37A40" w14:textId="77777777" w:rsidR="002312B4" w:rsidRDefault="003561E9">
      <w:pPr>
        <w:jc w:val="center"/>
      </w:pPr>
      <w:r>
        <w:rPr>
          <w:noProof/>
        </w:rPr>
        <w:drawing>
          <wp:inline distT="0" distB="0" distL="0" distR="0" wp14:anchorId="0F8C868A" wp14:editId="1D120FFC">
            <wp:extent cx="946785" cy="723900"/>
            <wp:effectExtent l="0" t="0" r="5715" b="0"/>
            <wp:docPr id="2" name="Picture 2" descr="Mauritius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uritius Fla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7039" cy="73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5B454" w14:textId="77777777" w:rsidR="002312B4" w:rsidRDefault="003561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Republic of Mauritius</w:t>
      </w:r>
    </w:p>
    <w:p w14:paraId="08C3EB83" w14:textId="77777777" w:rsidR="002312B4" w:rsidRPr="008B1991" w:rsidRDefault="002312B4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5F2EB0C4" w14:textId="167FBA0E" w:rsidR="002312B4" w:rsidRPr="008B1991" w:rsidRDefault="004B2A0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1991">
        <w:rPr>
          <w:rFonts w:ascii="Times New Roman" w:hAnsi="Times New Roman"/>
          <w:b/>
          <w:color w:val="000000" w:themeColor="text1"/>
          <w:sz w:val="28"/>
          <w:szCs w:val="28"/>
        </w:rPr>
        <w:t>INTERNATIONAL</w:t>
      </w:r>
      <w:r w:rsidR="003561E9" w:rsidRPr="008B19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HUMANITARIAN LAW COMMITTEE</w:t>
      </w:r>
      <w:r w:rsidRPr="008B19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OF MAURITIUS</w:t>
      </w:r>
    </w:p>
    <w:p w14:paraId="1D40478A" w14:textId="77777777" w:rsidR="008F1D3B" w:rsidRDefault="008F1D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54808" w14:textId="77777777" w:rsidR="002312B4" w:rsidRDefault="00356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TERMS OF REFERENCE</w:t>
      </w:r>
    </w:p>
    <w:p w14:paraId="53A93F02" w14:textId="77777777" w:rsidR="002312B4" w:rsidRDefault="002312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E32358" w14:textId="77777777" w:rsidR="002312B4" w:rsidRDefault="003561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ab/>
        <w:t>Rationale</w:t>
      </w:r>
    </w:p>
    <w:p w14:paraId="0ACFA4DD" w14:textId="77777777" w:rsidR="002312B4" w:rsidRDefault="002312B4">
      <w:pPr>
        <w:rPr>
          <w:rFonts w:ascii="Times New Roman" w:hAnsi="Times New Roman"/>
          <w:color w:val="000000"/>
          <w:sz w:val="24"/>
          <w:szCs w:val="24"/>
        </w:rPr>
      </w:pPr>
    </w:p>
    <w:p w14:paraId="5AF4671C" w14:textId="77777777" w:rsidR="0091494D" w:rsidRPr="0091494D" w:rsidRDefault="0091494D" w:rsidP="0091494D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Inter</w:t>
      </w:r>
      <w:r>
        <w:rPr>
          <w:rFonts w:ascii="Times New Roman" w:hAnsi="Times New Roman"/>
          <w:color w:val="000000"/>
          <w:sz w:val="24"/>
          <w:szCs w:val="24"/>
        </w:rPr>
        <w:t>national Humanitarian L</w:t>
      </w:r>
      <w:r w:rsidRPr="0091494D">
        <w:rPr>
          <w:rFonts w:ascii="Times New Roman" w:hAnsi="Times New Roman"/>
          <w:color w:val="000000"/>
          <w:sz w:val="24"/>
          <w:szCs w:val="24"/>
        </w:rPr>
        <w:t>aw (IHL) has developed steadily as a body of international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494D">
        <w:rPr>
          <w:rFonts w:ascii="Times New Roman" w:hAnsi="Times New Roman"/>
          <w:color w:val="000000"/>
          <w:sz w:val="24"/>
          <w:szCs w:val="24"/>
        </w:rPr>
        <w:t xml:space="preserve">law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91494D">
        <w:rPr>
          <w:rFonts w:ascii="Times New Roman" w:hAnsi="Times New Roman"/>
          <w:color w:val="000000"/>
          <w:sz w:val="24"/>
          <w:szCs w:val="24"/>
        </w:rPr>
        <w:t>ince the</w:t>
      </w:r>
      <w:r>
        <w:rPr>
          <w:rFonts w:ascii="Times New Roman" w:hAnsi="Times New Roman"/>
          <w:color w:val="000000"/>
          <w:sz w:val="24"/>
          <w:szCs w:val="24"/>
        </w:rPr>
        <w:t xml:space="preserve"> adoption of the</w:t>
      </w:r>
      <w:r w:rsidRPr="0091494D">
        <w:rPr>
          <w:rFonts w:ascii="Times New Roman" w:hAnsi="Times New Roman"/>
          <w:color w:val="000000"/>
          <w:sz w:val="24"/>
          <w:szCs w:val="24"/>
        </w:rPr>
        <w:t xml:space="preserve"> First Geneva Convention in 1864. Its conventions, protocols and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494D">
        <w:rPr>
          <w:rFonts w:ascii="Times New Roman" w:hAnsi="Times New Roman"/>
          <w:color w:val="000000"/>
          <w:sz w:val="24"/>
          <w:szCs w:val="24"/>
        </w:rPr>
        <w:t xml:space="preserve">customary rules </w:t>
      </w:r>
      <w:r>
        <w:rPr>
          <w:rFonts w:ascii="Times New Roman" w:hAnsi="Times New Roman"/>
          <w:color w:val="000000"/>
          <w:sz w:val="24"/>
          <w:szCs w:val="24"/>
        </w:rPr>
        <w:t xml:space="preserve">now </w:t>
      </w:r>
      <w:r w:rsidRPr="0091494D">
        <w:rPr>
          <w:rFonts w:ascii="Times New Roman" w:hAnsi="Times New Roman"/>
          <w:color w:val="000000"/>
          <w:sz w:val="24"/>
          <w:szCs w:val="24"/>
        </w:rPr>
        <w:t>encompass a wide range of subjects, from the protection of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494D">
        <w:rPr>
          <w:rFonts w:ascii="Times New Roman" w:hAnsi="Times New Roman"/>
          <w:color w:val="000000"/>
          <w:sz w:val="24"/>
          <w:szCs w:val="24"/>
        </w:rPr>
        <w:t>the sick and wounded, those who deliver health-care services, people deprived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494D">
        <w:rPr>
          <w:rFonts w:ascii="Times New Roman" w:hAnsi="Times New Roman"/>
          <w:color w:val="000000"/>
          <w:sz w:val="24"/>
          <w:szCs w:val="24"/>
        </w:rPr>
        <w:t>of their liberty and all civilians and civilian objects, including cultural property,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494D">
        <w:rPr>
          <w:rFonts w:ascii="Times New Roman" w:hAnsi="Times New Roman"/>
          <w:color w:val="000000"/>
          <w:sz w:val="24"/>
          <w:szCs w:val="24"/>
        </w:rPr>
        <w:t>to the restriction or prohibition of specific types of weapons and methods of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494D">
        <w:rPr>
          <w:rFonts w:ascii="Times New Roman" w:hAnsi="Times New Roman"/>
          <w:color w:val="000000"/>
          <w:sz w:val="24"/>
          <w:szCs w:val="24"/>
        </w:rPr>
        <w:t>warfare.</w:t>
      </w:r>
    </w:p>
    <w:p w14:paraId="6D24792E" w14:textId="77777777" w:rsidR="0091494D" w:rsidRDefault="0091494D" w:rsidP="0091494D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49DC03" w14:textId="61018DA0" w:rsidR="0091494D" w:rsidRPr="008B1991" w:rsidRDefault="0091494D" w:rsidP="008F1D3B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3561E9" w:rsidRPr="0091494D">
        <w:rPr>
          <w:rFonts w:ascii="Times New Roman" w:hAnsi="Times New Roman"/>
          <w:color w:val="000000"/>
          <w:sz w:val="24"/>
          <w:szCs w:val="24"/>
          <w:lang w:val="en-US"/>
        </w:rPr>
        <w:t xml:space="preserve">he State of </w:t>
      </w:r>
      <w:r w:rsidR="003561E9" w:rsidRPr="0091494D">
        <w:rPr>
          <w:rFonts w:ascii="Times New Roman" w:hAnsi="Times New Roman"/>
          <w:color w:val="000000"/>
          <w:sz w:val="24"/>
          <w:szCs w:val="24"/>
        </w:rPr>
        <w:t>Mauritius is party to a</w:t>
      </w:r>
      <w:r>
        <w:rPr>
          <w:rFonts w:ascii="Times New Roman" w:hAnsi="Times New Roman"/>
          <w:color w:val="000000"/>
          <w:sz w:val="24"/>
          <w:szCs w:val="24"/>
        </w:rPr>
        <w:t xml:space="preserve"> large extent to</w:t>
      </w:r>
      <w:r w:rsidR="003561E9" w:rsidRPr="0091494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the IHL instruments </w:t>
      </w:r>
      <w:r w:rsidRPr="0091494D">
        <w:rPr>
          <w:rFonts w:ascii="Times New Roman" w:hAnsi="Times New Roman"/>
          <w:color w:val="000000"/>
          <w:sz w:val="24"/>
          <w:szCs w:val="24"/>
        </w:rPr>
        <w:t xml:space="preserve">and has </w:t>
      </w:r>
      <w:r w:rsidR="009D2D8B" w:rsidRPr="00FB1425">
        <w:rPr>
          <w:rFonts w:ascii="Times New Roman" w:hAnsi="Times New Roman"/>
          <w:i/>
          <w:color w:val="000000"/>
          <w:sz w:val="24"/>
          <w:szCs w:val="24"/>
        </w:rPr>
        <w:t>inter alia</w:t>
      </w:r>
      <w:r w:rsidR="009D2D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494D">
        <w:rPr>
          <w:rFonts w:ascii="Times New Roman" w:hAnsi="Times New Roman"/>
          <w:color w:val="000000"/>
          <w:sz w:val="24"/>
          <w:szCs w:val="24"/>
        </w:rPr>
        <w:t xml:space="preserve">an </w:t>
      </w:r>
      <w:r>
        <w:rPr>
          <w:rFonts w:ascii="Times New Roman" w:hAnsi="Times New Roman"/>
          <w:color w:val="000000"/>
          <w:sz w:val="24"/>
          <w:szCs w:val="24"/>
        </w:rPr>
        <w:t xml:space="preserve">obligation </w:t>
      </w:r>
      <w:r w:rsidRPr="0091494D">
        <w:rPr>
          <w:rFonts w:ascii="Times New Roman" w:hAnsi="Times New Roman"/>
          <w:color w:val="000000"/>
          <w:sz w:val="24"/>
          <w:szCs w:val="24"/>
        </w:rPr>
        <w:t xml:space="preserve">to take action </w:t>
      </w:r>
      <w:r w:rsidRPr="008B1991">
        <w:rPr>
          <w:rFonts w:ascii="Times New Roman" w:hAnsi="Times New Roman"/>
          <w:color w:val="000000" w:themeColor="text1"/>
          <w:sz w:val="24"/>
          <w:szCs w:val="24"/>
        </w:rPr>
        <w:t>domestically to incorporate those IHL instruments into laws, regulations and policy directives. It h</w:t>
      </w:r>
      <w:r w:rsidR="000F2C97">
        <w:rPr>
          <w:rFonts w:ascii="Times New Roman" w:hAnsi="Times New Roman"/>
          <w:color w:val="000000" w:themeColor="text1"/>
          <w:sz w:val="24"/>
          <w:szCs w:val="24"/>
        </w:rPr>
        <w:t>as also to ensure that the para military</w:t>
      </w:r>
      <w:r w:rsidRPr="008B1991">
        <w:rPr>
          <w:rFonts w:ascii="Times New Roman" w:hAnsi="Times New Roman"/>
          <w:color w:val="000000" w:themeColor="text1"/>
          <w:sz w:val="24"/>
          <w:szCs w:val="24"/>
        </w:rPr>
        <w:t xml:space="preserve"> forces and other national stakeholders understand and respect those rules, and establish mechanisms that will ensure respect for the law and appropriate handling of violations, when they occur.</w:t>
      </w:r>
      <w:r w:rsidR="008F1D3B" w:rsidRPr="008B1991">
        <w:rPr>
          <w:rFonts w:ascii="Times New Roman" w:hAnsi="Times New Roman"/>
          <w:color w:val="000000" w:themeColor="text1"/>
          <w:sz w:val="24"/>
          <w:szCs w:val="24"/>
        </w:rPr>
        <w:t xml:space="preserve"> A list of all the IHL instruments acceded by the State of Mauritius is at </w:t>
      </w:r>
      <w:r w:rsidR="008F1D3B" w:rsidRPr="008B1991">
        <w:rPr>
          <w:rFonts w:ascii="Times New Roman" w:hAnsi="Times New Roman"/>
          <w:b/>
          <w:i/>
          <w:color w:val="000000" w:themeColor="text1"/>
          <w:sz w:val="24"/>
          <w:szCs w:val="24"/>
        </w:rPr>
        <w:t>Annex I.</w:t>
      </w:r>
    </w:p>
    <w:p w14:paraId="4B8A3422" w14:textId="77777777" w:rsidR="0091494D" w:rsidRPr="008B1991" w:rsidRDefault="0091494D" w:rsidP="0091494D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0FFEDC6A" w14:textId="3AE83357" w:rsidR="00FB1425" w:rsidRPr="008B1991" w:rsidRDefault="009D2D8B" w:rsidP="00FB1425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1991">
        <w:rPr>
          <w:rFonts w:ascii="Times New Roman" w:hAnsi="Times New Roman"/>
          <w:color w:val="000000" w:themeColor="text1"/>
          <w:sz w:val="24"/>
          <w:szCs w:val="24"/>
        </w:rPr>
        <w:t xml:space="preserve">Given the broad range of issues associated with </w:t>
      </w:r>
      <w:r w:rsidR="00B27B15" w:rsidRPr="008B1991">
        <w:rPr>
          <w:rFonts w:ascii="Times New Roman" w:hAnsi="Times New Roman"/>
          <w:color w:val="000000" w:themeColor="text1"/>
          <w:sz w:val="24"/>
          <w:szCs w:val="24"/>
        </w:rPr>
        <w:t>the State obligations</w:t>
      </w:r>
      <w:r w:rsidRPr="008B199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B1425" w:rsidRPr="008B1991">
        <w:rPr>
          <w:rFonts w:ascii="Times New Roman" w:hAnsi="Times New Roman"/>
          <w:color w:val="000000" w:themeColor="text1"/>
          <w:sz w:val="24"/>
          <w:szCs w:val="24"/>
        </w:rPr>
        <w:t>there is a need to have</w:t>
      </w:r>
      <w:r w:rsidR="00FB1425" w:rsidRPr="008B1991">
        <w:rPr>
          <w:color w:val="000000" w:themeColor="text1"/>
        </w:rPr>
        <w:t xml:space="preserve"> </w:t>
      </w:r>
      <w:r w:rsidR="00FB1425" w:rsidRPr="008B1991">
        <w:rPr>
          <w:rFonts w:ascii="Times New Roman" w:hAnsi="Times New Roman"/>
          <w:color w:val="000000" w:themeColor="text1"/>
          <w:sz w:val="24"/>
          <w:szCs w:val="24"/>
        </w:rPr>
        <w:t xml:space="preserve">a dedicated working </w:t>
      </w:r>
      <w:r w:rsidR="00B80432" w:rsidRPr="008B1991">
        <w:rPr>
          <w:rFonts w:ascii="Times New Roman" w:hAnsi="Times New Roman"/>
          <w:color w:val="000000" w:themeColor="text1"/>
          <w:sz w:val="24"/>
          <w:szCs w:val="24"/>
        </w:rPr>
        <w:t xml:space="preserve">group </w:t>
      </w:r>
      <w:r w:rsidR="00FB1425" w:rsidRPr="008B1991">
        <w:rPr>
          <w:rFonts w:ascii="Times New Roman" w:hAnsi="Times New Roman"/>
          <w:color w:val="000000" w:themeColor="text1"/>
          <w:sz w:val="24"/>
          <w:szCs w:val="24"/>
        </w:rPr>
        <w:t xml:space="preserve">referred to as </w:t>
      </w:r>
      <w:r w:rsidR="00DF1D89">
        <w:rPr>
          <w:rFonts w:ascii="Times New Roman" w:hAnsi="Times New Roman"/>
          <w:color w:val="000000" w:themeColor="text1"/>
          <w:sz w:val="24"/>
          <w:szCs w:val="24"/>
        </w:rPr>
        <w:t>a national IHL Committee</w:t>
      </w:r>
      <w:r w:rsidR="00FB1425" w:rsidRPr="008B1991">
        <w:rPr>
          <w:rFonts w:ascii="Times New Roman" w:hAnsi="Times New Roman"/>
          <w:color w:val="000000" w:themeColor="text1"/>
          <w:sz w:val="24"/>
          <w:szCs w:val="24"/>
        </w:rPr>
        <w:t xml:space="preserve"> to</w:t>
      </w:r>
      <w:r w:rsidRPr="008B1991">
        <w:rPr>
          <w:rFonts w:ascii="Times New Roman" w:hAnsi="Times New Roman"/>
          <w:color w:val="000000" w:themeColor="text1"/>
          <w:sz w:val="24"/>
          <w:szCs w:val="24"/>
        </w:rPr>
        <w:t xml:space="preserve"> facilitate this process</w:t>
      </w:r>
      <w:r w:rsidR="00B27B15" w:rsidRPr="008B1991">
        <w:rPr>
          <w:rFonts w:ascii="Times New Roman" w:hAnsi="Times New Roman"/>
          <w:color w:val="000000" w:themeColor="text1"/>
          <w:sz w:val="24"/>
          <w:szCs w:val="24"/>
        </w:rPr>
        <w:t xml:space="preserve"> of coordination among different government</w:t>
      </w:r>
      <w:r w:rsidR="009E3799">
        <w:rPr>
          <w:rFonts w:ascii="Times New Roman" w:hAnsi="Times New Roman"/>
          <w:color w:val="000000" w:themeColor="text1"/>
          <w:sz w:val="24"/>
          <w:szCs w:val="24"/>
        </w:rPr>
        <w:t xml:space="preserve"> agencies and sectors, the para military</w:t>
      </w:r>
      <w:r w:rsidR="00B27B15" w:rsidRPr="008B1991">
        <w:rPr>
          <w:rFonts w:ascii="Times New Roman" w:hAnsi="Times New Roman"/>
          <w:color w:val="000000" w:themeColor="text1"/>
          <w:sz w:val="24"/>
          <w:szCs w:val="24"/>
        </w:rPr>
        <w:t xml:space="preserve"> forces and civil society.</w:t>
      </w:r>
    </w:p>
    <w:p w14:paraId="3F5A7CBD" w14:textId="77777777" w:rsidR="00145DE7" w:rsidRPr="008B1991" w:rsidRDefault="00145DE7" w:rsidP="00145DE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0D703B46" w14:textId="77777777" w:rsidR="00145DE7" w:rsidRPr="008B1991" w:rsidRDefault="00145DE7" w:rsidP="00145DE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59EB364" w14:textId="7E33175E" w:rsidR="00E70979" w:rsidRDefault="000C30F7" w:rsidP="00E70979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B1991">
        <w:rPr>
          <w:rFonts w:ascii="Times New Roman" w:hAnsi="Times New Roman"/>
          <w:color w:val="000000" w:themeColor="text1"/>
          <w:sz w:val="24"/>
          <w:szCs w:val="24"/>
        </w:rPr>
        <w:t>The 26</w:t>
      </w:r>
      <w:r w:rsidRPr="008B1991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="009D2D8B" w:rsidRPr="008B1991">
        <w:rPr>
          <w:rFonts w:ascii="Times New Roman" w:hAnsi="Times New Roman"/>
          <w:color w:val="000000" w:themeColor="text1"/>
          <w:sz w:val="24"/>
          <w:szCs w:val="24"/>
        </w:rPr>
        <w:t xml:space="preserve"> International Conference of the Red Cross and Red Crescent and subsequent International Conferences encouraged</w:t>
      </w:r>
      <w:r w:rsidR="00FB1425" w:rsidRPr="008B1991">
        <w:rPr>
          <w:rFonts w:ascii="Times New Roman" w:hAnsi="Times New Roman"/>
          <w:color w:val="000000" w:themeColor="text1"/>
          <w:sz w:val="24"/>
          <w:szCs w:val="24"/>
        </w:rPr>
        <w:t xml:space="preserve"> State parties to</w:t>
      </w:r>
      <w:r w:rsidR="009D2D8B" w:rsidRPr="008B1991">
        <w:rPr>
          <w:rFonts w:ascii="Times New Roman" w:hAnsi="Times New Roman"/>
          <w:color w:val="000000" w:themeColor="text1"/>
          <w:sz w:val="24"/>
          <w:szCs w:val="24"/>
        </w:rPr>
        <w:t xml:space="preserve"> establish </w:t>
      </w:r>
      <w:r w:rsidR="00FB1425">
        <w:rPr>
          <w:rFonts w:ascii="Times New Roman" w:hAnsi="Times New Roman"/>
          <w:color w:val="000000"/>
          <w:sz w:val="24"/>
          <w:szCs w:val="24"/>
        </w:rPr>
        <w:t>their respective</w:t>
      </w:r>
      <w:r w:rsidR="009D2D8B" w:rsidRPr="009D2D8B">
        <w:rPr>
          <w:rFonts w:ascii="Times New Roman" w:hAnsi="Times New Roman"/>
          <w:color w:val="000000"/>
          <w:sz w:val="24"/>
          <w:szCs w:val="24"/>
        </w:rPr>
        <w:t xml:space="preserve"> national IHL co</w:t>
      </w:r>
      <w:r w:rsidR="00E70979">
        <w:rPr>
          <w:rFonts w:ascii="Times New Roman" w:hAnsi="Times New Roman"/>
          <w:color w:val="000000"/>
          <w:sz w:val="24"/>
          <w:szCs w:val="24"/>
        </w:rPr>
        <w:t xml:space="preserve">mmittees. </w:t>
      </w:r>
      <w:r w:rsidR="00E70979" w:rsidRPr="00E70979">
        <w:rPr>
          <w:rFonts w:ascii="Times New Roman" w:hAnsi="Times New Roman"/>
          <w:color w:val="000000"/>
          <w:sz w:val="24"/>
          <w:szCs w:val="24"/>
        </w:rPr>
        <w:t>The work of</w:t>
      </w:r>
      <w:r w:rsidR="000F2C97">
        <w:rPr>
          <w:rFonts w:ascii="Times New Roman" w:hAnsi="Times New Roman"/>
          <w:color w:val="000000"/>
          <w:sz w:val="24"/>
          <w:szCs w:val="24"/>
        </w:rPr>
        <w:t xml:space="preserve"> a national IHL committee is</w:t>
      </w:r>
      <w:r w:rsidR="00E70979" w:rsidRPr="00E70979">
        <w:rPr>
          <w:rFonts w:ascii="Times New Roman" w:hAnsi="Times New Roman"/>
          <w:color w:val="000000"/>
          <w:sz w:val="24"/>
          <w:szCs w:val="24"/>
        </w:rPr>
        <w:t xml:space="preserve"> relevant whether a country is at </w:t>
      </w:r>
      <w:r w:rsidR="00E70979" w:rsidRPr="00E70979">
        <w:rPr>
          <w:rFonts w:ascii="Times New Roman" w:hAnsi="Times New Roman"/>
          <w:color w:val="000000"/>
          <w:sz w:val="24"/>
          <w:szCs w:val="24"/>
        </w:rPr>
        <w:lastRenderedPageBreak/>
        <w:t>peace or involved in armed conflict, emerging from conflict or still affected by historical conflict</w:t>
      </w:r>
      <w:r w:rsidR="00E70979">
        <w:rPr>
          <w:rFonts w:ascii="Times New Roman" w:hAnsi="Times New Roman"/>
          <w:color w:val="000000"/>
          <w:sz w:val="24"/>
          <w:szCs w:val="24"/>
        </w:rPr>
        <w:t>.</w:t>
      </w:r>
    </w:p>
    <w:p w14:paraId="5454B754" w14:textId="77777777" w:rsidR="00E70979" w:rsidRDefault="00E70979" w:rsidP="00E70979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09ED9A" w14:textId="7F89CBE6" w:rsidR="009D2D8B" w:rsidRPr="008B1991" w:rsidRDefault="00E70979" w:rsidP="00E70979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</w:t>
      </w:r>
      <w:r w:rsidR="00B27B15" w:rsidRPr="00E70979">
        <w:rPr>
          <w:rFonts w:ascii="Times New Roman" w:hAnsi="Times New Roman"/>
          <w:color w:val="000000"/>
          <w:sz w:val="24"/>
          <w:szCs w:val="24"/>
        </w:rPr>
        <w:t>he International Committee of the Red Cross</w:t>
      </w:r>
      <w:r w:rsidR="006B34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7B15" w:rsidRPr="00E70979">
        <w:rPr>
          <w:rFonts w:ascii="Times New Roman" w:hAnsi="Times New Roman"/>
          <w:color w:val="000000"/>
          <w:sz w:val="24"/>
          <w:szCs w:val="24"/>
        </w:rPr>
        <w:t>(ICRC) pro</w:t>
      </w:r>
      <w:r w:rsidR="009E3799">
        <w:rPr>
          <w:rFonts w:ascii="Times New Roman" w:hAnsi="Times New Roman"/>
          <w:color w:val="000000"/>
          <w:sz w:val="24"/>
          <w:szCs w:val="24"/>
        </w:rPr>
        <w:t xml:space="preserve">motes and supports the setting up of national IHL Committees </w:t>
      </w:r>
      <w:r w:rsidR="00B27B15" w:rsidRPr="00E70979">
        <w:rPr>
          <w:rFonts w:ascii="Times New Roman" w:hAnsi="Times New Roman"/>
          <w:color w:val="000000"/>
          <w:sz w:val="24"/>
          <w:szCs w:val="24"/>
        </w:rPr>
        <w:t>through its Geneva-based Advisory Service on IHL.</w:t>
      </w:r>
      <w:r w:rsidRPr="00E70979">
        <w:rPr>
          <w:rFonts w:ascii="Times New Roman" w:hAnsi="Times New Roman"/>
          <w:color w:val="000000"/>
          <w:sz w:val="24"/>
          <w:szCs w:val="24"/>
        </w:rPr>
        <w:t xml:space="preserve"> The </w:t>
      </w:r>
      <w:r w:rsidR="00B27B15" w:rsidRPr="00E70979">
        <w:rPr>
          <w:rFonts w:ascii="Times New Roman" w:hAnsi="Times New Roman"/>
          <w:color w:val="000000"/>
          <w:sz w:val="24"/>
          <w:szCs w:val="24"/>
        </w:rPr>
        <w:t xml:space="preserve">Service develops guidance and technical tools to support and facilitate the functioning and work of national IHL committees, supports information exchange on these entities’ activities and achievements, and facilitates </w:t>
      </w:r>
      <w:r w:rsidR="00B27B15" w:rsidRPr="008B1991">
        <w:rPr>
          <w:rFonts w:ascii="Times New Roman" w:hAnsi="Times New Roman"/>
          <w:color w:val="000000" w:themeColor="text1"/>
          <w:sz w:val="24"/>
          <w:szCs w:val="24"/>
        </w:rPr>
        <w:t>peer-to-peer exchanges and cooperation between committees from different countries and regions</w:t>
      </w:r>
      <w:r w:rsidRPr="008B199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4ED0FDB" w14:textId="77777777" w:rsidR="00E70979" w:rsidRPr="008B1991" w:rsidRDefault="00E70979" w:rsidP="00E70979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1585EF0C" w14:textId="6E8E54B9" w:rsidR="00991A82" w:rsidRDefault="00991A82" w:rsidP="00991A82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B1991">
        <w:rPr>
          <w:rFonts w:ascii="Times New Roman" w:hAnsi="Times New Roman"/>
          <w:color w:val="000000" w:themeColor="text1"/>
          <w:sz w:val="24"/>
          <w:szCs w:val="24"/>
        </w:rPr>
        <w:t>The State of Mauritius has set up its</w:t>
      </w:r>
      <w:r w:rsidRPr="008B1991">
        <w:rPr>
          <w:color w:val="000000" w:themeColor="text1"/>
        </w:rPr>
        <w:t xml:space="preserve"> </w:t>
      </w:r>
      <w:r w:rsidRPr="008B1991">
        <w:rPr>
          <w:rFonts w:ascii="Times New Roman" w:hAnsi="Times New Roman"/>
          <w:color w:val="000000" w:themeColor="text1"/>
          <w:sz w:val="24"/>
          <w:szCs w:val="24"/>
        </w:rPr>
        <w:t xml:space="preserve">national IHL committee, namely the </w:t>
      </w:r>
      <w:r w:rsidR="000C7972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6B344B" w:rsidRPr="000C7972">
        <w:rPr>
          <w:rFonts w:ascii="Times New Roman" w:hAnsi="Times New Roman"/>
          <w:i/>
          <w:color w:val="000000" w:themeColor="text1"/>
          <w:sz w:val="24"/>
          <w:szCs w:val="24"/>
        </w:rPr>
        <w:t>International Humanitarian Law Committee of Mauritius</w:t>
      </w:r>
      <w:r w:rsidR="000C7972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8B1991">
        <w:rPr>
          <w:rFonts w:ascii="Times New Roman" w:hAnsi="Times New Roman"/>
          <w:color w:val="000000" w:themeColor="text1"/>
          <w:sz w:val="24"/>
          <w:szCs w:val="24"/>
        </w:rPr>
        <w:t xml:space="preserve"> in October 2001 under the aegis of the Prime Minister’s and the Committee has been reconstituted </w:t>
      </w:r>
      <w:r w:rsidRPr="00991A82">
        <w:rPr>
          <w:rFonts w:ascii="Times New Roman" w:hAnsi="Times New Roman"/>
          <w:color w:val="000000"/>
          <w:sz w:val="24"/>
          <w:szCs w:val="24"/>
        </w:rPr>
        <w:t xml:space="preserve">in 2020 </w:t>
      </w:r>
      <w:r>
        <w:rPr>
          <w:rFonts w:ascii="Times New Roman" w:hAnsi="Times New Roman"/>
          <w:color w:val="000000"/>
          <w:sz w:val="24"/>
          <w:szCs w:val="24"/>
        </w:rPr>
        <w:t>under the aegis of the Ministry of Foreign Affairs, Regional Integration and International Trade (Human Rights Division).</w:t>
      </w:r>
    </w:p>
    <w:p w14:paraId="4E305276" w14:textId="77777777" w:rsidR="00991A82" w:rsidRPr="008B1991" w:rsidRDefault="00991A82" w:rsidP="00991A82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2ED84E10" w14:textId="55C95D3C" w:rsidR="00E70979" w:rsidRPr="00991A82" w:rsidRDefault="00991A82" w:rsidP="00991A82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B1991">
        <w:rPr>
          <w:rFonts w:ascii="Times New Roman" w:hAnsi="Times New Roman"/>
          <w:color w:val="000000" w:themeColor="text1"/>
          <w:sz w:val="24"/>
          <w:szCs w:val="24"/>
        </w:rPr>
        <w:t xml:space="preserve">This present document sets out the Terms of Reference of the </w:t>
      </w:r>
      <w:r w:rsidR="00CE550F" w:rsidRPr="008B1991">
        <w:rPr>
          <w:rFonts w:ascii="Times New Roman" w:hAnsi="Times New Roman"/>
          <w:color w:val="000000" w:themeColor="text1"/>
          <w:sz w:val="24"/>
          <w:szCs w:val="24"/>
        </w:rPr>
        <w:t>IHL Committee of Mauritius</w:t>
      </w:r>
      <w:r w:rsidRPr="008B1991">
        <w:rPr>
          <w:rFonts w:ascii="Times New Roman" w:hAnsi="Times New Roman"/>
          <w:color w:val="000000" w:themeColor="text1"/>
          <w:sz w:val="24"/>
          <w:szCs w:val="24"/>
        </w:rPr>
        <w:t xml:space="preserve"> including its mandate, composition, structure and work procedures. It takes into </w:t>
      </w:r>
      <w:r>
        <w:rPr>
          <w:rFonts w:ascii="Times New Roman" w:hAnsi="Times New Roman"/>
          <w:color w:val="000000"/>
          <w:sz w:val="24"/>
          <w:szCs w:val="24"/>
        </w:rPr>
        <w:t xml:space="preserve">consideration </w:t>
      </w:r>
      <w:r w:rsidR="00E70979" w:rsidRPr="00991A82">
        <w:rPr>
          <w:rFonts w:ascii="Times New Roman" w:hAnsi="Times New Roman"/>
          <w:color w:val="000000"/>
          <w:sz w:val="24"/>
          <w:szCs w:val="24"/>
        </w:rPr>
        <w:t>context-specific humanitarian needs, concerns</w:t>
      </w:r>
      <w:r w:rsidR="006A28E2">
        <w:rPr>
          <w:rFonts w:ascii="Times New Roman" w:hAnsi="Times New Roman"/>
          <w:color w:val="000000"/>
          <w:sz w:val="24"/>
          <w:szCs w:val="24"/>
        </w:rPr>
        <w:t>, challenges</w:t>
      </w:r>
      <w:r w:rsidR="00E70979" w:rsidRPr="00991A82">
        <w:rPr>
          <w:rFonts w:ascii="Times New Roman" w:hAnsi="Times New Roman"/>
          <w:color w:val="000000"/>
          <w:sz w:val="24"/>
          <w:szCs w:val="24"/>
        </w:rPr>
        <w:t xml:space="preserve"> and interests </w:t>
      </w:r>
      <w:r>
        <w:rPr>
          <w:rFonts w:ascii="Times New Roman" w:hAnsi="Times New Roman"/>
          <w:color w:val="000000"/>
          <w:sz w:val="24"/>
          <w:szCs w:val="24"/>
        </w:rPr>
        <w:t>of Mauritius as well as the</w:t>
      </w:r>
      <w:r w:rsidR="00E70979" w:rsidRPr="00991A82">
        <w:rPr>
          <w:rFonts w:ascii="Times New Roman" w:hAnsi="Times New Roman"/>
          <w:color w:val="000000"/>
          <w:sz w:val="24"/>
          <w:szCs w:val="24"/>
        </w:rPr>
        <w:t xml:space="preserve"> efforts and work</w:t>
      </w:r>
      <w:r>
        <w:rPr>
          <w:rFonts w:ascii="Times New Roman" w:hAnsi="Times New Roman"/>
          <w:color w:val="000000"/>
          <w:sz w:val="24"/>
          <w:szCs w:val="24"/>
        </w:rPr>
        <w:t xml:space="preserve"> achieved so far</w:t>
      </w:r>
      <w:r w:rsidR="00E70979" w:rsidRPr="00991A82">
        <w:rPr>
          <w:rFonts w:ascii="Times New Roman" w:hAnsi="Times New Roman"/>
          <w:color w:val="000000"/>
          <w:sz w:val="24"/>
          <w:szCs w:val="24"/>
        </w:rPr>
        <w:t>.</w:t>
      </w:r>
    </w:p>
    <w:p w14:paraId="3B378372" w14:textId="77777777" w:rsidR="002312B4" w:rsidRDefault="002312B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BA78C4" w14:textId="77777777" w:rsidR="002312B4" w:rsidRDefault="003561E9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2.</w:t>
      </w:r>
      <w:r>
        <w:rPr>
          <w:rFonts w:ascii="Arial Narrow" w:hAnsi="Arial Narrow"/>
          <w:b/>
          <w:bCs/>
          <w:sz w:val="24"/>
          <w:szCs w:val="24"/>
        </w:rPr>
        <w:tab/>
        <w:t>Functions</w:t>
      </w:r>
    </w:p>
    <w:p w14:paraId="1BB7D491" w14:textId="77777777" w:rsidR="002312B4" w:rsidRDefault="002312B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6627E96" w14:textId="3DBFEA4D" w:rsidR="002312B4" w:rsidRPr="00145DE7" w:rsidRDefault="001A6171" w:rsidP="00145DE7">
      <w:pPr>
        <w:pStyle w:val="ListParagraph"/>
        <w:numPr>
          <w:ilvl w:val="1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45DE7">
        <w:rPr>
          <w:rFonts w:ascii="Times New Roman" w:hAnsi="Times New Roman"/>
          <w:color w:val="000000"/>
          <w:sz w:val="24"/>
          <w:szCs w:val="24"/>
        </w:rPr>
        <w:t xml:space="preserve">The main </w:t>
      </w:r>
      <w:r w:rsidR="003561E9" w:rsidRPr="00145DE7">
        <w:rPr>
          <w:rFonts w:ascii="Times New Roman" w:hAnsi="Times New Roman"/>
          <w:color w:val="000000"/>
          <w:sz w:val="24"/>
          <w:szCs w:val="24"/>
        </w:rPr>
        <w:t>functio</w:t>
      </w:r>
      <w:r w:rsidR="00CE550F">
        <w:rPr>
          <w:rFonts w:ascii="Times New Roman" w:hAnsi="Times New Roman"/>
          <w:color w:val="000000"/>
          <w:sz w:val="24"/>
          <w:szCs w:val="24"/>
        </w:rPr>
        <w:t xml:space="preserve">ns of the </w:t>
      </w:r>
      <w:r w:rsidR="000C7972">
        <w:rPr>
          <w:rFonts w:ascii="Times New Roman" w:hAnsi="Times New Roman"/>
          <w:color w:val="000000"/>
          <w:sz w:val="24"/>
          <w:szCs w:val="24"/>
        </w:rPr>
        <w:t xml:space="preserve">IHL </w:t>
      </w:r>
      <w:r w:rsidR="003561E9" w:rsidRPr="00145DE7">
        <w:rPr>
          <w:rFonts w:ascii="Times New Roman" w:hAnsi="Times New Roman"/>
          <w:color w:val="000000"/>
          <w:sz w:val="24"/>
          <w:szCs w:val="24"/>
        </w:rPr>
        <w:t>Committee</w:t>
      </w:r>
      <w:r w:rsidR="000C7972">
        <w:rPr>
          <w:rFonts w:ascii="Times New Roman" w:hAnsi="Times New Roman"/>
          <w:color w:val="000000"/>
          <w:sz w:val="24"/>
          <w:szCs w:val="24"/>
        </w:rPr>
        <w:t xml:space="preserve"> of Mauritius</w:t>
      </w:r>
      <w:r w:rsidR="003561E9" w:rsidRPr="00145DE7">
        <w:rPr>
          <w:rFonts w:ascii="Times New Roman" w:hAnsi="Times New Roman"/>
          <w:color w:val="000000"/>
          <w:sz w:val="24"/>
          <w:szCs w:val="24"/>
        </w:rPr>
        <w:t xml:space="preserve"> are </w:t>
      </w:r>
      <w:r w:rsidR="00E363CD">
        <w:rPr>
          <w:rFonts w:ascii="Times New Roman" w:hAnsi="Times New Roman"/>
          <w:color w:val="000000"/>
          <w:sz w:val="24"/>
          <w:szCs w:val="24"/>
        </w:rPr>
        <w:t>as follows:</w:t>
      </w:r>
    </w:p>
    <w:p w14:paraId="3B9F3E5F" w14:textId="77777777" w:rsidR="00145DE7" w:rsidRPr="00145DE7" w:rsidRDefault="00145DE7" w:rsidP="00145DE7">
      <w:pPr>
        <w:pStyle w:val="ListParagraph"/>
        <w:ind w:left="48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28A258" w14:textId="77777777" w:rsidR="002312B4" w:rsidRDefault="0046496C" w:rsidP="00347BED">
      <w:pPr>
        <w:pStyle w:val="ListParagraph"/>
        <w:numPr>
          <w:ilvl w:val="2"/>
          <w:numId w:val="7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47BED">
        <w:rPr>
          <w:rFonts w:ascii="Times New Roman" w:hAnsi="Times New Roman"/>
          <w:b/>
          <w:color w:val="000000"/>
          <w:sz w:val="24"/>
          <w:szCs w:val="24"/>
        </w:rPr>
        <w:t>Core Functions</w:t>
      </w:r>
    </w:p>
    <w:p w14:paraId="1CE8F006" w14:textId="77777777" w:rsidR="00347BED" w:rsidRPr="00347BED" w:rsidRDefault="00347BED" w:rsidP="00347BED">
      <w:pPr>
        <w:pStyle w:val="ListParagraph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F4CD8CB" w14:textId="77777777" w:rsidR="00347BED" w:rsidRPr="00C0660D" w:rsidRDefault="00347BE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0660D">
        <w:rPr>
          <w:rFonts w:ascii="Times New Roman" w:hAnsi="Times New Roman"/>
          <w:b/>
          <w:i/>
          <w:color w:val="000000"/>
          <w:sz w:val="24"/>
          <w:szCs w:val="24"/>
        </w:rPr>
        <w:t>Promote and Facilitate</w:t>
      </w:r>
    </w:p>
    <w:p w14:paraId="3225A995" w14:textId="77777777" w:rsidR="00027210" w:rsidRDefault="00027210" w:rsidP="00027210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E777B1" w14:textId="3692CED7" w:rsidR="00027210" w:rsidRPr="008B1991" w:rsidRDefault="00E363CD" w:rsidP="00027210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</w:t>
      </w:r>
      <w:r w:rsidR="00027210" w:rsidRPr="00027210">
        <w:rPr>
          <w:rFonts w:ascii="Times New Roman" w:hAnsi="Times New Roman"/>
          <w:color w:val="000000"/>
          <w:sz w:val="24"/>
          <w:szCs w:val="24"/>
        </w:rPr>
        <w:t>o promote and</w:t>
      </w:r>
      <w:r w:rsidR="000272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7210" w:rsidRPr="00027210">
        <w:rPr>
          <w:rFonts w:ascii="Times New Roman" w:hAnsi="Times New Roman"/>
          <w:color w:val="000000"/>
          <w:sz w:val="24"/>
          <w:szCs w:val="24"/>
        </w:rPr>
        <w:t>facilitate the ratification of and/or accession to humanitarian treaties</w:t>
      </w:r>
      <w:r>
        <w:rPr>
          <w:rFonts w:ascii="Times New Roman" w:hAnsi="Times New Roman"/>
          <w:color w:val="000000"/>
          <w:sz w:val="24"/>
          <w:szCs w:val="24"/>
        </w:rPr>
        <w:t xml:space="preserve">, to </w:t>
      </w:r>
      <w:r w:rsidR="00027210" w:rsidRPr="00027210">
        <w:rPr>
          <w:rFonts w:ascii="Times New Roman" w:hAnsi="Times New Roman"/>
          <w:color w:val="000000"/>
          <w:sz w:val="24"/>
          <w:szCs w:val="24"/>
        </w:rPr>
        <w:t>support their implementation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7210" w:rsidRPr="00027210">
        <w:rPr>
          <w:rFonts w:ascii="Times New Roman" w:hAnsi="Times New Roman"/>
          <w:color w:val="000000"/>
          <w:sz w:val="24"/>
          <w:szCs w:val="24"/>
        </w:rPr>
        <w:t>and to work towards the</w:t>
      </w:r>
      <w:r w:rsidR="000272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7210" w:rsidRPr="00027210">
        <w:rPr>
          <w:rFonts w:ascii="Times New Roman" w:hAnsi="Times New Roman"/>
          <w:color w:val="000000"/>
          <w:sz w:val="24"/>
          <w:szCs w:val="24"/>
        </w:rPr>
        <w:t xml:space="preserve">harmonization of national legislation, regulations and </w:t>
      </w:r>
      <w:r w:rsidR="00027210" w:rsidRPr="008B1991">
        <w:rPr>
          <w:rFonts w:ascii="Times New Roman" w:hAnsi="Times New Roman"/>
          <w:color w:val="000000" w:themeColor="text1"/>
          <w:sz w:val="24"/>
          <w:szCs w:val="24"/>
        </w:rPr>
        <w:t xml:space="preserve">practice with the IHL </w:t>
      </w:r>
      <w:r w:rsidR="00180945" w:rsidRPr="008B1991">
        <w:rPr>
          <w:rFonts w:ascii="Times New Roman" w:hAnsi="Times New Roman"/>
          <w:color w:val="000000" w:themeColor="text1"/>
          <w:sz w:val="24"/>
          <w:szCs w:val="24"/>
        </w:rPr>
        <w:t>instruments to which the</w:t>
      </w:r>
      <w:r w:rsidR="000C7972">
        <w:rPr>
          <w:rFonts w:ascii="Times New Roman" w:hAnsi="Times New Roman"/>
          <w:color w:val="000000" w:themeColor="text1"/>
          <w:sz w:val="24"/>
          <w:szCs w:val="24"/>
        </w:rPr>
        <w:t xml:space="preserve"> State of </w:t>
      </w:r>
      <w:r w:rsidR="00180945" w:rsidRPr="008B1991">
        <w:rPr>
          <w:rFonts w:ascii="Times New Roman" w:hAnsi="Times New Roman"/>
          <w:color w:val="000000" w:themeColor="text1"/>
          <w:sz w:val="24"/>
          <w:szCs w:val="24"/>
        </w:rPr>
        <w:t>Mauritius</w:t>
      </w:r>
      <w:r w:rsidR="00027210" w:rsidRPr="008B1991">
        <w:rPr>
          <w:rFonts w:ascii="Times New Roman" w:hAnsi="Times New Roman"/>
          <w:color w:val="000000" w:themeColor="text1"/>
          <w:sz w:val="24"/>
          <w:szCs w:val="24"/>
        </w:rPr>
        <w:t xml:space="preserve"> is a party.</w:t>
      </w:r>
    </w:p>
    <w:p w14:paraId="6FE7B4D6" w14:textId="77777777" w:rsidR="00027210" w:rsidRPr="008B1991" w:rsidRDefault="00027210" w:rsidP="00027210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7117965" w14:textId="77777777" w:rsidR="00027210" w:rsidRPr="008B1991" w:rsidRDefault="00027210" w:rsidP="000272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8B1991">
        <w:rPr>
          <w:rFonts w:ascii="Times New Roman" w:hAnsi="Times New Roman"/>
          <w:b/>
          <w:i/>
          <w:color w:val="000000" w:themeColor="text1"/>
          <w:sz w:val="24"/>
          <w:szCs w:val="24"/>
        </w:rPr>
        <w:t>Study and Evaluate</w:t>
      </w:r>
    </w:p>
    <w:p w14:paraId="646AD0B6" w14:textId="77777777" w:rsidR="00027210" w:rsidRPr="008B1991" w:rsidRDefault="00027210" w:rsidP="00027210">
      <w:pPr>
        <w:pStyle w:val="ListParagraph"/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70D5B8B8" w14:textId="38960EDF" w:rsidR="00E363CD" w:rsidRPr="008B1991" w:rsidRDefault="00E363CD" w:rsidP="00027210">
      <w:pPr>
        <w:pStyle w:val="ListParagraph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1991">
        <w:rPr>
          <w:rFonts w:ascii="Times New Roman" w:hAnsi="Times New Roman"/>
          <w:color w:val="000000" w:themeColor="text1"/>
          <w:sz w:val="24"/>
          <w:szCs w:val="24"/>
        </w:rPr>
        <w:t>To</w:t>
      </w:r>
      <w:r w:rsidR="00145DE7" w:rsidRPr="008B19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7210" w:rsidRPr="008B1991">
        <w:rPr>
          <w:rFonts w:ascii="Times New Roman" w:hAnsi="Times New Roman"/>
          <w:color w:val="000000" w:themeColor="text1"/>
          <w:sz w:val="24"/>
          <w:szCs w:val="24"/>
        </w:rPr>
        <w:t>study and assess the national legal system (including domestic laws and reg</w:t>
      </w:r>
      <w:r w:rsidR="004068A1">
        <w:rPr>
          <w:rFonts w:ascii="Times New Roman" w:hAnsi="Times New Roman"/>
          <w:color w:val="000000" w:themeColor="text1"/>
          <w:sz w:val="24"/>
          <w:szCs w:val="24"/>
        </w:rPr>
        <w:t xml:space="preserve">ulations, any </w:t>
      </w:r>
      <w:r w:rsidR="00027210" w:rsidRPr="008B1991">
        <w:rPr>
          <w:rFonts w:ascii="Times New Roman" w:hAnsi="Times New Roman"/>
          <w:color w:val="000000" w:themeColor="text1"/>
          <w:sz w:val="24"/>
          <w:szCs w:val="24"/>
        </w:rPr>
        <w:t>admin</w:t>
      </w:r>
      <w:r w:rsidR="004068A1">
        <w:rPr>
          <w:rFonts w:ascii="Times New Roman" w:hAnsi="Times New Roman"/>
          <w:color w:val="000000" w:themeColor="text1"/>
          <w:sz w:val="24"/>
          <w:szCs w:val="24"/>
        </w:rPr>
        <w:t>istrative provisions and</w:t>
      </w:r>
      <w:r w:rsidR="00027210" w:rsidRPr="008B1991">
        <w:rPr>
          <w:rFonts w:ascii="Times New Roman" w:hAnsi="Times New Roman"/>
          <w:color w:val="000000" w:themeColor="text1"/>
          <w:sz w:val="24"/>
          <w:szCs w:val="24"/>
        </w:rPr>
        <w:t xml:space="preserve"> policy directives) in light of </w:t>
      </w:r>
      <w:r w:rsidR="004068A1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027210" w:rsidRPr="008B1991">
        <w:rPr>
          <w:rFonts w:ascii="Times New Roman" w:hAnsi="Times New Roman"/>
          <w:color w:val="000000" w:themeColor="text1"/>
          <w:sz w:val="24"/>
          <w:szCs w:val="24"/>
        </w:rPr>
        <w:t>existing IHL</w:t>
      </w:r>
      <w:r w:rsidR="004068A1">
        <w:rPr>
          <w:rFonts w:ascii="Times New Roman" w:hAnsi="Times New Roman"/>
          <w:color w:val="000000" w:themeColor="text1"/>
          <w:sz w:val="24"/>
          <w:szCs w:val="24"/>
        </w:rPr>
        <w:t xml:space="preserve"> framework</w:t>
      </w:r>
      <w:r w:rsidR="00027210" w:rsidRPr="008B1991">
        <w:rPr>
          <w:rFonts w:ascii="Times New Roman" w:hAnsi="Times New Roman"/>
          <w:color w:val="000000" w:themeColor="text1"/>
          <w:sz w:val="24"/>
          <w:szCs w:val="24"/>
        </w:rPr>
        <w:t xml:space="preserve"> and related instruments</w:t>
      </w:r>
      <w:r w:rsidR="00EF787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27210" w:rsidRPr="008B19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21C6C8B" w14:textId="77777777" w:rsidR="00E363CD" w:rsidRDefault="00E363CD" w:rsidP="00027210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7CFA85" w14:textId="4F57EF2E" w:rsidR="00027210" w:rsidRDefault="00E363CD" w:rsidP="00027210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To</w:t>
      </w:r>
      <w:r w:rsidR="00027210" w:rsidRPr="00027210">
        <w:rPr>
          <w:rFonts w:ascii="Times New Roman" w:hAnsi="Times New Roman"/>
          <w:color w:val="000000"/>
          <w:sz w:val="24"/>
          <w:szCs w:val="24"/>
        </w:rPr>
        <w:t xml:space="preserve"> study, assess a</w:t>
      </w:r>
      <w:r w:rsidR="00A17FA5">
        <w:rPr>
          <w:rFonts w:ascii="Times New Roman" w:hAnsi="Times New Roman"/>
          <w:color w:val="000000"/>
          <w:sz w:val="24"/>
          <w:szCs w:val="24"/>
        </w:rPr>
        <w:t>nd provide its opinion and advic</w:t>
      </w:r>
      <w:r w:rsidR="00027210" w:rsidRPr="00027210">
        <w:rPr>
          <w:rFonts w:ascii="Times New Roman" w:hAnsi="Times New Roman"/>
          <w:color w:val="000000"/>
          <w:sz w:val="24"/>
          <w:szCs w:val="24"/>
        </w:rPr>
        <w:t>e on any governmental</w:t>
      </w:r>
      <w:r w:rsidR="000272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7210" w:rsidRPr="00027210">
        <w:rPr>
          <w:rFonts w:ascii="Times New Roman" w:hAnsi="Times New Roman"/>
          <w:color w:val="000000"/>
          <w:sz w:val="24"/>
          <w:szCs w:val="24"/>
        </w:rPr>
        <w:t>initiative or proposed action, including legislative proposals and draft bills,</w:t>
      </w:r>
      <w:r w:rsidR="000272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7210" w:rsidRPr="00027210">
        <w:rPr>
          <w:rFonts w:ascii="Times New Roman" w:hAnsi="Times New Roman"/>
          <w:color w:val="000000"/>
          <w:sz w:val="24"/>
          <w:szCs w:val="24"/>
        </w:rPr>
        <w:t>that have a link to or potential impact on IHL.</w:t>
      </w:r>
    </w:p>
    <w:p w14:paraId="00A39AFC" w14:textId="77777777" w:rsidR="00145DE7" w:rsidRDefault="00145DE7" w:rsidP="00027210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7D60C8" w14:textId="77777777" w:rsidR="00145DE7" w:rsidRPr="00C0660D" w:rsidRDefault="00145DE7" w:rsidP="00145D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0660D">
        <w:rPr>
          <w:rFonts w:ascii="Times New Roman" w:hAnsi="Times New Roman"/>
          <w:b/>
          <w:i/>
          <w:color w:val="000000"/>
          <w:sz w:val="24"/>
          <w:szCs w:val="24"/>
        </w:rPr>
        <w:t>Spread knowledge/disseminate</w:t>
      </w:r>
    </w:p>
    <w:p w14:paraId="27F6AB15" w14:textId="77777777" w:rsidR="00145DE7" w:rsidRDefault="00145DE7" w:rsidP="00145DE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D436C8F" w14:textId="337B777B" w:rsidR="009A1EBC" w:rsidRDefault="00E363CD" w:rsidP="006B6CA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To</w:t>
      </w:r>
      <w:r w:rsidR="006B6C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6CA1" w:rsidRPr="006B6CA1">
        <w:rPr>
          <w:rFonts w:ascii="Times New Roman" w:hAnsi="Times New Roman"/>
          <w:color w:val="000000"/>
          <w:sz w:val="24"/>
          <w:szCs w:val="24"/>
        </w:rPr>
        <w:t>disseminat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6B6CA1" w:rsidRPr="006B6CA1">
        <w:rPr>
          <w:rFonts w:ascii="Times New Roman" w:hAnsi="Times New Roman"/>
          <w:color w:val="000000"/>
          <w:sz w:val="24"/>
          <w:szCs w:val="24"/>
        </w:rPr>
        <w:t xml:space="preserve"> information</w:t>
      </w:r>
      <w:r w:rsidR="009A1EBC">
        <w:rPr>
          <w:rFonts w:ascii="Times New Roman" w:hAnsi="Times New Roman"/>
          <w:color w:val="000000"/>
          <w:sz w:val="24"/>
          <w:szCs w:val="24"/>
        </w:rPr>
        <w:t xml:space="preserve"> / spread knowledge on IHL and promote related initiatives and training programmes.</w:t>
      </w:r>
    </w:p>
    <w:p w14:paraId="22A37B6F" w14:textId="77777777" w:rsidR="00A84D5F" w:rsidRDefault="00A84D5F" w:rsidP="006B6CA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D26522" w14:textId="579ABAC9" w:rsidR="009A1EBC" w:rsidRDefault="009A1EBC" w:rsidP="006B6CA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To carry out studies</w:t>
      </w:r>
      <w:r w:rsidR="00000DCE">
        <w:rPr>
          <w:rFonts w:ascii="Times New Roman" w:hAnsi="Times New Roman"/>
          <w:color w:val="000000"/>
          <w:sz w:val="24"/>
          <w:szCs w:val="24"/>
        </w:rPr>
        <w:t xml:space="preserve"> and </w:t>
      </w:r>
      <w:r>
        <w:rPr>
          <w:rFonts w:ascii="Times New Roman" w:hAnsi="Times New Roman"/>
          <w:color w:val="000000"/>
          <w:sz w:val="24"/>
          <w:szCs w:val="24"/>
        </w:rPr>
        <w:t>propose</w:t>
      </w:r>
      <w:r w:rsidR="00000DCE">
        <w:rPr>
          <w:rFonts w:ascii="Times New Roman" w:hAnsi="Times New Roman"/>
          <w:color w:val="000000"/>
          <w:sz w:val="24"/>
          <w:szCs w:val="24"/>
        </w:rPr>
        <w:t xml:space="preserve">/ organize </w:t>
      </w:r>
      <w:r>
        <w:rPr>
          <w:rFonts w:ascii="Times New Roman" w:hAnsi="Times New Roman"/>
          <w:color w:val="000000"/>
          <w:sz w:val="24"/>
          <w:szCs w:val="24"/>
        </w:rPr>
        <w:t>dissemination activities for specific group</w:t>
      </w:r>
      <w:r w:rsidR="00000DCE">
        <w:rPr>
          <w:rFonts w:ascii="Times New Roman" w:hAnsi="Times New Roman"/>
          <w:color w:val="000000"/>
          <w:sz w:val="24"/>
          <w:szCs w:val="24"/>
        </w:rPr>
        <w:t>s such as the security forces, the Parliament, the Judiciary or the media.</w:t>
      </w:r>
    </w:p>
    <w:p w14:paraId="6D2F60D3" w14:textId="4DA26BAC" w:rsidR="009A1EBC" w:rsidRDefault="009A1EBC" w:rsidP="006B6CA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098A69" w14:textId="7541A37D" w:rsidR="009A1EBC" w:rsidRDefault="009A1EBC" w:rsidP="006B6CA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To support the development of educational programmes for schools and other academic and vocational institutions including universities.</w:t>
      </w:r>
    </w:p>
    <w:p w14:paraId="1A9889A2" w14:textId="24342DEC" w:rsidR="009A1EBC" w:rsidRDefault="009A1EBC" w:rsidP="006B6CA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7269D3" w14:textId="77777777" w:rsidR="009A1EBC" w:rsidRDefault="009A1EBC" w:rsidP="006B6CA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8DBE8F" w14:textId="77777777" w:rsidR="006B6CA1" w:rsidRDefault="006B6CA1" w:rsidP="006B6CA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D46A30" w14:textId="77777777" w:rsidR="006B6CA1" w:rsidRPr="00C0660D" w:rsidRDefault="00223A1E" w:rsidP="006466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0660D">
        <w:rPr>
          <w:rFonts w:ascii="Times New Roman" w:hAnsi="Times New Roman"/>
          <w:b/>
          <w:i/>
          <w:color w:val="000000"/>
          <w:sz w:val="24"/>
          <w:szCs w:val="24"/>
        </w:rPr>
        <w:t>Coordinate, facilitate exchange</w:t>
      </w:r>
      <w:r w:rsidR="006466B4" w:rsidRPr="00C0660D">
        <w:rPr>
          <w:rFonts w:ascii="Times New Roman" w:hAnsi="Times New Roman"/>
          <w:b/>
          <w:i/>
          <w:color w:val="000000"/>
          <w:sz w:val="24"/>
          <w:szCs w:val="24"/>
        </w:rPr>
        <w:t xml:space="preserve"> and support</w:t>
      </w:r>
    </w:p>
    <w:p w14:paraId="23FA7F0B" w14:textId="77777777" w:rsidR="002312B4" w:rsidRDefault="002312B4" w:rsidP="006B6C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E88709" w14:textId="0EFEF2FA" w:rsidR="007A76E4" w:rsidRPr="008B1991" w:rsidRDefault="00E363CD" w:rsidP="0088558C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To</w:t>
      </w:r>
      <w:r w:rsidR="006466B4" w:rsidRPr="006466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66B4" w:rsidRPr="008B1991">
        <w:rPr>
          <w:rFonts w:ascii="Times New Roman" w:hAnsi="Times New Roman"/>
          <w:color w:val="000000" w:themeColor="text1"/>
          <w:sz w:val="24"/>
          <w:szCs w:val="24"/>
        </w:rPr>
        <w:t>provide a platform and privileged space for discussion and collaboration between different national</w:t>
      </w:r>
      <w:r w:rsidR="00F57F48" w:rsidRPr="008B1991">
        <w:rPr>
          <w:rFonts w:ascii="Times New Roman" w:hAnsi="Times New Roman"/>
          <w:color w:val="000000" w:themeColor="text1"/>
          <w:sz w:val="24"/>
          <w:szCs w:val="24"/>
        </w:rPr>
        <w:t>, regional and international</w:t>
      </w:r>
      <w:r w:rsidR="006466B4" w:rsidRPr="008B1991">
        <w:rPr>
          <w:rFonts w:ascii="Times New Roman" w:hAnsi="Times New Roman"/>
          <w:color w:val="000000" w:themeColor="text1"/>
          <w:sz w:val="24"/>
          <w:szCs w:val="24"/>
        </w:rPr>
        <w:t xml:space="preserve"> stakeholders on IHL related issues, and </w:t>
      </w:r>
      <w:r w:rsidRPr="008B1991">
        <w:rPr>
          <w:rFonts w:ascii="Times New Roman" w:hAnsi="Times New Roman"/>
          <w:color w:val="000000" w:themeColor="text1"/>
          <w:sz w:val="24"/>
          <w:szCs w:val="24"/>
        </w:rPr>
        <w:t>to</w:t>
      </w:r>
      <w:r w:rsidR="006466B4" w:rsidRPr="008B1991">
        <w:rPr>
          <w:rFonts w:ascii="Times New Roman" w:hAnsi="Times New Roman"/>
          <w:color w:val="000000" w:themeColor="text1"/>
          <w:sz w:val="24"/>
          <w:szCs w:val="24"/>
        </w:rPr>
        <w:t xml:space="preserve"> coordinat</w:t>
      </w:r>
      <w:r w:rsidRPr="008B1991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6466B4" w:rsidRPr="008B1991">
        <w:rPr>
          <w:rFonts w:ascii="Times New Roman" w:hAnsi="Times New Roman"/>
          <w:color w:val="000000" w:themeColor="text1"/>
          <w:sz w:val="24"/>
          <w:szCs w:val="24"/>
        </w:rPr>
        <w:t xml:space="preserve"> initiatives in this area.</w:t>
      </w:r>
      <w:r w:rsidR="009E17B1" w:rsidRPr="008B19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28EB773" w14:textId="77777777" w:rsidR="009A1EBC" w:rsidRPr="008B1991" w:rsidRDefault="009A1EBC" w:rsidP="009A1EBC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DF1123" w14:textId="47D519CC" w:rsidR="00000DCE" w:rsidRPr="008B1991" w:rsidRDefault="00000DCE" w:rsidP="009A1EBC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1991">
        <w:rPr>
          <w:rFonts w:ascii="Times New Roman" w:hAnsi="Times New Roman"/>
          <w:color w:val="000000" w:themeColor="text1"/>
          <w:sz w:val="24"/>
          <w:szCs w:val="24"/>
        </w:rPr>
        <w:t>To facilitate inter-ministerial and inter-institutional exchanges on the IHL related strategies and initiatives of various Government agencies, help monitor new developments in IHL and contribute</w:t>
      </w:r>
      <w:r w:rsidR="00C56821" w:rsidRPr="008B1991">
        <w:rPr>
          <w:rFonts w:ascii="Times New Roman" w:hAnsi="Times New Roman"/>
          <w:color w:val="000000" w:themeColor="text1"/>
          <w:sz w:val="24"/>
          <w:szCs w:val="24"/>
        </w:rPr>
        <w:t xml:space="preserve"> to the development of the Mauritius’</w:t>
      </w:r>
      <w:r w:rsidRPr="008B1991">
        <w:rPr>
          <w:rFonts w:ascii="Times New Roman" w:hAnsi="Times New Roman"/>
          <w:color w:val="000000" w:themeColor="text1"/>
          <w:sz w:val="24"/>
          <w:szCs w:val="24"/>
        </w:rPr>
        <w:t xml:space="preserve"> position on IHL issues.</w:t>
      </w:r>
    </w:p>
    <w:p w14:paraId="4C60DC7E" w14:textId="77777777" w:rsidR="00000DCE" w:rsidRPr="008B1991" w:rsidRDefault="00000DCE" w:rsidP="009A1EBC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5F65E3" w14:textId="1D6BE364" w:rsidR="009A1EBC" w:rsidRPr="008B1991" w:rsidRDefault="009A1EBC" w:rsidP="009A1EBC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1991">
        <w:rPr>
          <w:rFonts w:ascii="Times New Roman" w:hAnsi="Times New Roman"/>
          <w:color w:val="000000" w:themeColor="text1"/>
          <w:sz w:val="24"/>
          <w:szCs w:val="24"/>
        </w:rPr>
        <w:t xml:space="preserve">To </w:t>
      </w:r>
      <w:proofErr w:type="spellStart"/>
      <w:r w:rsidRPr="008B1991">
        <w:rPr>
          <w:rFonts w:ascii="Times New Roman" w:hAnsi="Times New Roman"/>
          <w:color w:val="000000" w:themeColor="text1"/>
          <w:sz w:val="24"/>
          <w:szCs w:val="24"/>
        </w:rPr>
        <w:t>organise</w:t>
      </w:r>
      <w:proofErr w:type="spellEnd"/>
      <w:r w:rsidRPr="008B1991">
        <w:rPr>
          <w:rFonts w:ascii="Times New Roman" w:hAnsi="Times New Roman"/>
          <w:color w:val="000000" w:themeColor="text1"/>
          <w:sz w:val="24"/>
          <w:szCs w:val="24"/>
        </w:rPr>
        <w:t xml:space="preserve"> and coordinate information gathering and data collection from Government entities and </w:t>
      </w:r>
      <w:r w:rsidR="00B94BA7" w:rsidRPr="008B1991">
        <w:rPr>
          <w:rFonts w:ascii="Times New Roman" w:hAnsi="Times New Roman"/>
          <w:color w:val="000000" w:themeColor="text1"/>
          <w:sz w:val="24"/>
          <w:szCs w:val="24"/>
        </w:rPr>
        <w:t>other national stakeholders</w:t>
      </w:r>
      <w:r w:rsidR="00BE0FE0" w:rsidRPr="008B199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6D4815F" w14:textId="77777777" w:rsidR="009A1EBC" w:rsidRPr="008B1991" w:rsidRDefault="009A1EBC" w:rsidP="009A1EBC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B95E8E" w14:textId="77777777" w:rsidR="009E17B1" w:rsidRPr="008B1991" w:rsidRDefault="009E17B1" w:rsidP="007A76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D6D5283" w14:textId="2F66F6D4" w:rsidR="009E17B1" w:rsidRPr="008B1991" w:rsidRDefault="008B1991" w:rsidP="009E17B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8B1991">
        <w:rPr>
          <w:rFonts w:ascii="Times New Roman" w:hAnsi="Times New Roman"/>
          <w:b/>
          <w:i/>
          <w:color w:val="000000" w:themeColor="text1"/>
          <w:sz w:val="24"/>
          <w:szCs w:val="24"/>
        </w:rPr>
        <w:t>Propose and recommend</w:t>
      </w:r>
    </w:p>
    <w:p w14:paraId="66035F21" w14:textId="77777777" w:rsidR="000804DA" w:rsidRPr="008B1991" w:rsidRDefault="000804DA" w:rsidP="000804DA">
      <w:pPr>
        <w:pStyle w:val="ListParagraph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A65526D" w14:textId="5631FDBE" w:rsidR="000804DA" w:rsidRDefault="00572CC3" w:rsidP="0095399D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B199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To formulate and submit to </w:t>
      </w:r>
      <w:r w:rsidR="009F69EB" w:rsidRPr="008B199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Government and </w:t>
      </w:r>
      <w:r w:rsidRPr="008B1991">
        <w:rPr>
          <w:rFonts w:ascii="Times New Roman" w:hAnsi="Times New Roman"/>
          <w:color w:val="000000" w:themeColor="text1"/>
          <w:sz w:val="24"/>
          <w:szCs w:val="24"/>
          <w:lang w:val="en-US"/>
        </w:rPr>
        <w:t>national authorities</w:t>
      </w:r>
      <w:r w:rsidR="009F69EB" w:rsidRPr="008B1991">
        <w:rPr>
          <w:rFonts w:ascii="Times New Roman" w:hAnsi="Times New Roman"/>
          <w:color w:val="000000" w:themeColor="text1"/>
          <w:sz w:val="24"/>
          <w:szCs w:val="24"/>
          <w:lang w:val="en-US"/>
        </w:rPr>
        <w:t>,</w:t>
      </w:r>
      <w:r w:rsidR="00F57F48" w:rsidRPr="008B199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recommendations</w:t>
      </w:r>
      <w:r w:rsidRPr="008B199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on questions and issues relating to </w:t>
      </w:r>
      <w:r w:rsidR="009F69EB" w:rsidRPr="008B1991">
        <w:rPr>
          <w:rFonts w:ascii="Times New Roman" w:hAnsi="Times New Roman"/>
          <w:color w:val="000000" w:themeColor="text1"/>
          <w:sz w:val="24"/>
          <w:szCs w:val="24"/>
          <w:lang w:val="en-US"/>
        </w:rPr>
        <w:t>IHL</w:t>
      </w:r>
      <w:r w:rsidRPr="008B199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particularly in relation to </w:t>
      </w:r>
      <w:r w:rsidR="009F69EB" w:rsidRPr="008B1991">
        <w:rPr>
          <w:rFonts w:ascii="Times New Roman" w:hAnsi="Times New Roman"/>
          <w:color w:val="000000" w:themeColor="text1"/>
          <w:sz w:val="24"/>
          <w:szCs w:val="24"/>
          <w:lang w:val="en-US"/>
        </w:rPr>
        <w:t>its</w:t>
      </w:r>
      <w:r w:rsidRPr="008B199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implementation </w:t>
      </w:r>
      <w:r w:rsidRPr="00572CC3">
        <w:rPr>
          <w:rFonts w:ascii="Times New Roman" w:hAnsi="Times New Roman"/>
          <w:color w:val="000000"/>
          <w:sz w:val="24"/>
          <w:szCs w:val="24"/>
          <w:lang w:val="en-US"/>
        </w:rPr>
        <w:t xml:space="preserve">and harmonization </w:t>
      </w:r>
      <w:r w:rsidR="009F69EB">
        <w:rPr>
          <w:rFonts w:ascii="Times New Roman" w:hAnsi="Times New Roman"/>
          <w:color w:val="000000"/>
          <w:sz w:val="24"/>
          <w:szCs w:val="24"/>
          <w:lang w:val="en-US"/>
        </w:rPr>
        <w:t xml:space="preserve">with </w:t>
      </w:r>
      <w:r w:rsidRPr="00572CC3">
        <w:rPr>
          <w:rFonts w:ascii="Times New Roman" w:hAnsi="Times New Roman"/>
          <w:color w:val="000000"/>
          <w:sz w:val="24"/>
          <w:szCs w:val="24"/>
          <w:lang w:val="en-US"/>
        </w:rPr>
        <w:t xml:space="preserve">national legislation. </w:t>
      </w:r>
    </w:p>
    <w:p w14:paraId="0C17E67C" w14:textId="77777777" w:rsidR="00673789" w:rsidRDefault="00673789" w:rsidP="0095399D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0BF1D015" w14:textId="6A81D628" w:rsidR="00673789" w:rsidRDefault="00673789" w:rsidP="0095399D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The advice may also relate to</w:t>
      </w:r>
      <w:r w:rsidRPr="003F3B0D">
        <w:rPr>
          <w:rFonts w:ascii="Times New Roman" w:hAnsi="Times New Roman"/>
          <w:color w:val="000000"/>
          <w:sz w:val="24"/>
          <w:szCs w:val="24"/>
        </w:rPr>
        <w:t xml:space="preserve"> violation</w:t>
      </w:r>
      <w:r>
        <w:rPr>
          <w:rFonts w:ascii="Times New Roman" w:hAnsi="Times New Roman"/>
          <w:color w:val="000000"/>
          <w:sz w:val="24"/>
          <w:szCs w:val="24"/>
        </w:rPr>
        <w:t xml:space="preserve">s of IHL and recommendations </w:t>
      </w:r>
      <w:r w:rsidR="0096676C">
        <w:rPr>
          <w:rFonts w:ascii="Times New Roman" w:hAnsi="Times New Roman"/>
          <w:color w:val="000000"/>
          <w:sz w:val="24"/>
          <w:szCs w:val="24"/>
        </w:rPr>
        <w:t xml:space="preserve">on the </w:t>
      </w:r>
      <w:r w:rsidRPr="003F3B0D">
        <w:rPr>
          <w:rFonts w:ascii="Times New Roman" w:hAnsi="Times New Roman"/>
          <w:color w:val="000000"/>
          <w:sz w:val="24"/>
          <w:szCs w:val="24"/>
        </w:rPr>
        <w:t>ways to address them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6C86F79" w14:textId="77777777" w:rsidR="007F1AB4" w:rsidRDefault="007F1AB4" w:rsidP="0095399D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6269577C" w14:textId="77777777" w:rsidR="00192202" w:rsidRDefault="007F1AB4" w:rsidP="001922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0660D">
        <w:rPr>
          <w:rFonts w:ascii="Times New Roman" w:hAnsi="Times New Roman"/>
          <w:b/>
          <w:i/>
          <w:color w:val="000000"/>
          <w:sz w:val="24"/>
          <w:szCs w:val="24"/>
        </w:rPr>
        <w:t>Follow, monitor and report</w:t>
      </w:r>
    </w:p>
    <w:p w14:paraId="7E4E2AC7" w14:textId="77777777" w:rsidR="00192202" w:rsidRDefault="00192202" w:rsidP="00192202">
      <w:pPr>
        <w:pStyle w:val="ListParagraph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7CC025E" w14:textId="46E4E5AE" w:rsidR="00244441" w:rsidRDefault="00192202" w:rsidP="00192202">
      <w:pPr>
        <w:pStyle w:val="ListParagraph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92202">
        <w:rPr>
          <w:rFonts w:ascii="Times New Roman" w:eastAsia="SimSun" w:hAnsi="Times New Roman" w:cs="Times New Roman"/>
          <w:sz w:val="24"/>
          <w:szCs w:val="24"/>
        </w:rPr>
        <w:t xml:space="preserve">To follow up on the implementation of the recommendations </w:t>
      </w:r>
      <w:r w:rsidR="0046655C">
        <w:rPr>
          <w:rFonts w:ascii="Times New Roman" w:eastAsia="SimSun" w:hAnsi="Times New Roman" w:cs="Times New Roman"/>
          <w:sz w:val="24"/>
          <w:szCs w:val="24"/>
        </w:rPr>
        <w:t>it issued and</w:t>
      </w:r>
      <w:r w:rsidRPr="00192202">
        <w:rPr>
          <w:rFonts w:ascii="Times New Roman" w:eastAsia="SimSun" w:hAnsi="Times New Roman" w:cs="Times New Roman"/>
          <w:sz w:val="24"/>
          <w:szCs w:val="24"/>
        </w:rPr>
        <w:t xml:space="preserve"> provided, and to monitor developments at national, regional and international levels linked to IHL or impacting on it </w:t>
      </w:r>
    </w:p>
    <w:p w14:paraId="08837D2F" w14:textId="77777777" w:rsidR="00244441" w:rsidRDefault="00244441" w:rsidP="00192202">
      <w:pPr>
        <w:pStyle w:val="ListParagraph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7662DEB" w14:textId="77777777" w:rsidR="00192202" w:rsidRPr="000D1D7B" w:rsidRDefault="00244441" w:rsidP="00192202">
      <w:pPr>
        <w:pStyle w:val="ListParagraph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To </w:t>
      </w:r>
      <w:r w:rsidR="00192202" w:rsidRPr="000D1D7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report on activities, achievements and challenges of its role and the work it has accomplished</w:t>
      </w:r>
      <w:r w:rsidRPr="000D1D7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r w:rsidR="00192202" w:rsidRPr="000D1D7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as an accountability mechanism.</w:t>
      </w:r>
    </w:p>
    <w:p w14:paraId="65FC72E6" w14:textId="77777777" w:rsidR="00192202" w:rsidRPr="000D1D7B" w:rsidRDefault="00192202" w:rsidP="00192202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20D0DC4A" w14:textId="6D35B3F2" w:rsidR="00192202" w:rsidRPr="000D1D7B" w:rsidRDefault="00645014" w:rsidP="001922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D1D7B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Supporting the</w:t>
      </w:r>
      <w:r w:rsidR="0052412D" w:rsidRPr="000D1D7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partici</w:t>
      </w:r>
      <w:r w:rsidR="00A67543" w:rsidRPr="000D1D7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pation </w:t>
      </w:r>
      <w:r w:rsidRPr="000D1D7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of Mauritius </w:t>
      </w:r>
      <w:r w:rsidR="00A67543" w:rsidRPr="000D1D7B">
        <w:rPr>
          <w:rFonts w:ascii="Times New Roman" w:hAnsi="Times New Roman"/>
          <w:b/>
          <w:i/>
          <w:color w:val="000000" w:themeColor="text1"/>
          <w:sz w:val="24"/>
          <w:szCs w:val="24"/>
        </w:rPr>
        <w:t>in regional and international</w:t>
      </w:r>
      <w:r w:rsidR="0052412D" w:rsidRPr="000D1D7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meetings and forums</w:t>
      </w:r>
    </w:p>
    <w:p w14:paraId="079FCA98" w14:textId="77777777" w:rsidR="00192202" w:rsidRPr="000D1D7B" w:rsidRDefault="00192202" w:rsidP="0019220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</w:p>
    <w:p w14:paraId="182BD62E" w14:textId="5B705767" w:rsidR="00192202" w:rsidRPr="00192202" w:rsidRDefault="00192202" w:rsidP="0019220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D1D7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To assist in governmental consultations to support </w:t>
      </w:r>
      <w:r w:rsidR="00BF4505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IHL </w:t>
      </w:r>
      <w:r w:rsidRPr="000D1D7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i</w:t>
      </w:r>
      <w:r w:rsidR="00A67543" w:rsidRPr="000D1D7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nitiatives at the regional and international</w:t>
      </w:r>
      <w:r w:rsidRPr="000D1D7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levels </w:t>
      </w:r>
      <w:r w:rsidR="00C56821" w:rsidRPr="000D1D7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including Mauritius</w:t>
      </w:r>
      <w:r w:rsidRPr="000D1D7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’ participation in multilateral meetings</w:t>
      </w:r>
      <w:r w:rsidR="00BF4505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to address</w:t>
      </w:r>
      <w:r w:rsidRPr="000D1D7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issues related to IHL and humanitarian action or topics linked to them </w:t>
      </w:r>
      <w:r w:rsidRPr="00192202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or issues that are of relevance for the protection of people and objects affected by violence. </w:t>
      </w:r>
    </w:p>
    <w:p w14:paraId="64C45596" w14:textId="77777777" w:rsidR="00192202" w:rsidRDefault="00192202" w:rsidP="00192202">
      <w:pPr>
        <w:spacing w:after="0" w:line="240" w:lineRule="auto"/>
        <w:ind w:left="72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5B144225" w14:textId="77777777" w:rsidR="00192202" w:rsidRPr="00192202" w:rsidRDefault="00192202" w:rsidP="00192202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333A5970" w14:textId="77777777" w:rsidR="00192202" w:rsidRDefault="00B45463" w:rsidP="001922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92202">
        <w:rPr>
          <w:rFonts w:ascii="Times New Roman" w:hAnsi="Times New Roman"/>
          <w:b/>
          <w:i/>
          <w:color w:val="000000"/>
          <w:sz w:val="24"/>
          <w:szCs w:val="24"/>
        </w:rPr>
        <w:t>Fulfilling reporting obligations under international law</w:t>
      </w:r>
    </w:p>
    <w:p w14:paraId="6085E8EA" w14:textId="77777777" w:rsidR="00192202" w:rsidRPr="008205DA" w:rsidRDefault="00192202" w:rsidP="008205DA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0C4540F0" w14:textId="77777777" w:rsidR="00192202" w:rsidRDefault="00EE7F21" w:rsidP="0019220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T</w:t>
      </w:r>
      <w:r w:rsidR="00192202" w:rsidRPr="00192202">
        <w:rPr>
          <w:rFonts w:ascii="Times New Roman" w:eastAsia="SimSun" w:hAnsi="Times New Roman" w:cs="Times New Roman"/>
          <w:sz w:val="24"/>
          <w:szCs w:val="24"/>
        </w:rPr>
        <w:t xml:space="preserve">o </w:t>
      </w:r>
      <w:r>
        <w:rPr>
          <w:rFonts w:ascii="Times New Roman" w:eastAsia="SimSun" w:hAnsi="Times New Roman" w:cs="Times New Roman"/>
          <w:sz w:val="24"/>
          <w:szCs w:val="24"/>
        </w:rPr>
        <w:t xml:space="preserve">contribute to any </w:t>
      </w:r>
      <w:r w:rsidR="00192202" w:rsidRPr="00192202">
        <w:rPr>
          <w:rFonts w:ascii="Times New Roman" w:eastAsia="SimSun" w:hAnsi="Times New Roman" w:cs="Times New Roman"/>
          <w:sz w:val="24"/>
          <w:szCs w:val="24"/>
        </w:rPr>
        <w:t>report</w:t>
      </w:r>
      <w:r>
        <w:rPr>
          <w:rFonts w:ascii="Times New Roman" w:eastAsia="SimSun" w:hAnsi="Times New Roman" w:cs="Times New Roman"/>
          <w:sz w:val="24"/>
          <w:szCs w:val="24"/>
        </w:rPr>
        <w:t xml:space="preserve">s </w:t>
      </w:r>
      <w:r w:rsidR="00192202" w:rsidRPr="00192202">
        <w:rPr>
          <w:rFonts w:ascii="Times New Roman" w:eastAsia="SimSun" w:hAnsi="Times New Roman" w:cs="Times New Roman"/>
          <w:sz w:val="24"/>
          <w:szCs w:val="24"/>
        </w:rPr>
        <w:t>require</w:t>
      </w:r>
      <w:r>
        <w:rPr>
          <w:rFonts w:ascii="Times New Roman" w:eastAsia="SimSun" w:hAnsi="Times New Roman" w:cs="Times New Roman"/>
          <w:sz w:val="24"/>
          <w:szCs w:val="24"/>
        </w:rPr>
        <w:t>d</w:t>
      </w:r>
      <w:r w:rsidR="00192202" w:rsidRPr="00192202">
        <w:rPr>
          <w:rFonts w:ascii="Times New Roman" w:eastAsia="SimSun" w:hAnsi="Times New Roman" w:cs="Times New Roman"/>
          <w:sz w:val="24"/>
          <w:szCs w:val="24"/>
        </w:rPr>
        <w:t xml:space="preserve"> under international or regional</w:t>
      </w:r>
      <w:r>
        <w:rPr>
          <w:rFonts w:ascii="Times New Roman" w:eastAsia="SimSun" w:hAnsi="Times New Roman" w:cs="Times New Roman"/>
          <w:sz w:val="24"/>
          <w:szCs w:val="24"/>
        </w:rPr>
        <w:t xml:space="preserve"> IHL</w:t>
      </w:r>
      <w:r w:rsidR="00192202" w:rsidRPr="00192202">
        <w:rPr>
          <w:rFonts w:ascii="Times New Roman" w:eastAsia="SimSun" w:hAnsi="Times New Roman" w:cs="Times New Roman"/>
          <w:sz w:val="24"/>
          <w:szCs w:val="24"/>
        </w:rPr>
        <w:t xml:space="preserve"> instruments </w:t>
      </w:r>
      <w:r>
        <w:rPr>
          <w:rFonts w:ascii="Times New Roman" w:eastAsia="SimSun" w:hAnsi="Times New Roman" w:cs="Times New Roman"/>
          <w:sz w:val="24"/>
          <w:szCs w:val="24"/>
        </w:rPr>
        <w:t>to which the</w:t>
      </w:r>
      <w:r w:rsidR="00192202" w:rsidRPr="00192202">
        <w:rPr>
          <w:rFonts w:ascii="Times New Roman" w:eastAsia="SimSun" w:hAnsi="Times New Roman" w:cs="Times New Roman"/>
          <w:sz w:val="24"/>
          <w:szCs w:val="24"/>
        </w:rPr>
        <w:t xml:space="preserve"> State </w:t>
      </w:r>
      <w:r>
        <w:rPr>
          <w:rFonts w:ascii="Times New Roman" w:eastAsia="SimSun" w:hAnsi="Times New Roman" w:cs="Times New Roman"/>
          <w:sz w:val="24"/>
          <w:szCs w:val="24"/>
        </w:rPr>
        <w:t xml:space="preserve">of Mauritius is party. </w:t>
      </w:r>
    </w:p>
    <w:p w14:paraId="57D8E831" w14:textId="77777777" w:rsidR="00EE7F21" w:rsidRPr="00192202" w:rsidRDefault="00EE7F21" w:rsidP="0019220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26FFFF26" w14:textId="77777777" w:rsidR="006A4F63" w:rsidRPr="00497D45" w:rsidRDefault="006A4F63" w:rsidP="00497D45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2426A7F6" w14:textId="77777777" w:rsidR="00192202" w:rsidRDefault="00BB5B99" w:rsidP="001922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92202">
        <w:rPr>
          <w:rFonts w:ascii="Times New Roman" w:hAnsi="Times New Roman"/>
          <w:b/>
          <w:i/>
          <w:color w:val="000000"/>
          <w:sz w:val="24"/>
          <w:szCs w:val="24"/>
        </w:rPr>
        <w:t xml:space="preserve">Addressing </w:t>
      </w:r>
      <w:r w:rsidR="00673789">
        <w:rPr>
          <w:rFonts w:ascii="Times New Roman" w:hAnsi="Times New Roman"/>
          <w:b/>
          <w:i/>
          <w:color w:val="000000"/>
          <w:sz w:val="24"/>
          <w:szCs w:val="24"/>
        </w:rPr>
        <w:t xml:space="preserve">context </w:t>
      </w:r>
      <w:r w:rsidRPr="00192202">
        <w:rPr>
          <w:rFonts w:ascii="Times New Roman" w:hAnsi="Times New Roman"/>
          <w:b/>
          <w:i/>
          <w:color w:val="000000"/>
          <w:sz w:val="24"/>
          <w:szCs w:val="24"/>
        </w:rPr>
        <w:t>specific</w:t>
      </w:r>
      <w:r w:rsidR="00673789">
        <w:rPr>
          <w:rFonts w:ascii="Times New Roman" w:hAnsi="Times New Roman"/>
          <w:b/>
          <w:i/>
          <w:color w:val="000000"/>
          <w:sz w:val="24"/>
          <w:szCs w:val="24"/>
        </w:rPr>
        <w:t xml:space="preserve"> humanitarian</w:t>
      </w:r>
      <w:r w:rsidRPr="00192202">
        <w:rPr>
          <w:rFonts w:ascii="Times New Roman" w:hAnsi="Times New Roman"/>
          <w:b/>
          <w:i/>
          <w:color w:val="000000"/>
          <w:sz w:val="24"/>
          <w:szCs w:val="24"/>
        </w:rPr>
        <w:t xml:space="preserve"> issues</w:t>
      </w:r>
    </w:p>
    <w:p w14:paraId="450B6068" w14:textId="6E9793AE" w:rsidR="00892108" w:rsidRPr="000D1D7B" w:rsidRDefault="00892108" w:rsidP="00892108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</w:p>
    <w:p w14:paraId="293A553B" w14:textId="07DD98B1" w:rsidR="00892108" w:rsidRPr="000D1D7B" w:rsidRDefault="00892108" w:rsidP="00892108">
      <w:pPr>
        <w:pStyle w:val="ListParagraph"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0D1D7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To guide national action when faced with specific humanitarian i</w:t>
      </w:r>
      <w:r w:rsidR="00106FB9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ssues of concern by, </w:t>
      </w:r>
      <w:r w:rsidR="00106FB9" w:rsidRPr="00D07867">
        <w:rPr>
          <w:rFonts w:ascii="Times New Roman" w:eastAsia="SimSun" w:hAnsi="Times New Roman" w:cs="Times New Roman"/>
          <w:i/>
          <w:color w:val="000000" w:themeColor="text1"/>
          <w:sz w:val="24"/>
          <w:szCs w:val="24"/>
        </w:rPr>
        <w:t>inter alia</w:t>
      </w:r>
      <w:r w:rsidRPr="000D1D7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, proposing Protocols, based on international best practices in the field of I</w:t>
      </w:r>
      <w:r w:rsidR="00625C2D" w:rsidRPr="000D1D7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HL, for adoption by Government. </w:t>
      </w:r>
    </w:p>
    <w:p w14:paraId="51DF6CA0" w14:textId="47D49634" w:rsidR="00192202" w:rsidRPr="000D1D7B" w:rsidRDefault="00192202" w:rsidP="00892108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03570D7F" w14:textId="2D9FE704" w:rsidR="00673789" w:rsidRPr="00673789" w:rsidRDefault="00673789" w:rsidP="00673789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D1D7B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1A46EE" w:rsidRPr="000D1D7B">
        <w:rPr>
          <w:rFonts w:ascii="Times New Roman" w:hAnsi="Times New Roman"/>
          <w:color w:val="000000" w:themeColor="text1"/>
          <w:sz w:val="24"/>
          <w:szCs w:val="24"/>
        </w:rPr>
        <w:t xml:space="preserve">ontext-specific </w:t>
      </w:r>
      <w:r w:rsidR="00922952" w:rsidRPr="000D1D7B">
        <w:rPr>
          <w:rFonts w:ascii="Times New Roman" w:hAnsi="Times New Roman"/>
          <w:color w:val="000000" w:themeColor="text1"/>
          <w:sz w:val="24"/>
          <w:szCs w:val="24"/>
        </w:rPr>
        <w:t>humanitarian issues</w:t>
      </w:r>
      <w:r w:rsidR="00D07867">
        <w:rPr>
          <w:rFonts w:ascii="Times New Roman" w:hAnsi="Times New Roman"/>
          <w:color w:val="000000" w:themeColor="text1"/>
          <w:sz w:val="24"/>
          <w:szCs w:val="24"/>
        </w:rPr>
        <w:t xml:space="preserve"> refer</w:t>
      </w:r>
      <w:r w:rsidRPr="000D1D7B">
        <w:rPr>
          <w:rFonts w:ascii="Times New Roman" w:hAnsi="Times New Roman"/>
          <w:color w:val="000000" w:themeColor="text1"/>
          <w:sz w:val="24"/>
          <w:szCs w:val="24"/>
        </w:rPr>
        <w:t xml:space="preserve"> to the respect and treatment afforded to persons depri</w:t>
      </w:r>
      <w:r w:rsidR="00D07867">
        <w:rPr>
          <w:rFonts w:ascii="Times New Roman" w:hAnsi="Times New Roman"/>
          <w:color w:val="000000" w:themeColor="text1"/>
          <w:sz w:val="24"/>
          <w:szCs w:val="24"/>
        </w:rPr>
        <w:t>ved of their freedom,</w:t>
      </w:r>
      <w:r w:rsidRPr="000D1D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3789">
        <w:rPr>
          <w:rFonts w:ascii="Times New Roman" w:hAnsi="Times New Roman"/>
          <w:color w:val="000000"/>
          <w:sz w:val="24"/>
          <w:szCs w:val="24"/>
        </w:rPr>
        <w:t>timely</w:t>
      </w:r>
      <w:r w:rsidR="00D07867">
        <w:rPr>
          <w:rFonts w:ascii="Times New Roman" w:hAnsi="Times New Roman"/>
          <w:color w:val="000000"/>
          <w:sz w:val="24"/>
          <w:szCs w:val="24"/>
        </w:rPr>
        <w:t xml:space="preserve"> support</w:t>
      </w:r>
      <w:r w:rsidRPr="00673789">
        <w:rPr>
          <w:rFonts w:ascii="Times New Roman" w:hAnsi="Times New Roman"/>
          <w:color w:val="000000"/>
          <w:sz w:val="24"/>
          <w:szCs w:val="24"/>
        </w:rPr>
        <w:t xml:space="preserve"> and unimpeded access to and delivery of life-saving health services, </w:t>
      </w:r>
      <w:r w:rsidR="008F2613">
        <w:rPr>
          <w:rFonts w:ascii="Times New Roman" w:hAnsi="Times New Roman"/>
          <w:color w:val="000000"/>
          <w:sz w:val="24"/>
          <w:szCs w:val="24"/>
        </w:rPr>
        <w:t xml:space="preserve">measures </w:t>
      </w:r>
      <w:r w:rsidR="00D07867">
        <w:rPr>
          <w:rFonts w:ascii="Times New Roman" w:hAnsi="Times New Roman"/>
          <w:color w:val="000000"/>
          <w:sz w:val="24"/>
          <w:szCs w:val="24"/>
        </w:rPr>
        <w:t>address</w:t>
      </w:r>
      <w:r w:rsidR="008F2613">
        <w:rPr>
          <w:rFonts w:ascii="Times New Roman" w:hAnsi="Times New Roman"/>
          <w:color w:val="000000"/>
          <w:sz w:val="24"/>
          <w:szCs w:val="24"/>
        </w:rPr>
        <w:t xml:space="preserve">ing </w:t>
      </w:r>
      <w:r w:rsidRPr="00673789">
        <w:rPr>
          <w:rFonts w:ascii="Times New Roman" w:hAnsi="Times New Roman"/>
          <w:color w:val="000000"/>
          <w:sz w:val="24"/>
          <w:szCs w:val="24"/>
        </w:rPr>
        <w:t>the consequence</w:t>
      </w:r>
      <w:r w:rsidR="00D07867">
        <w:rPr>
          <w:rFonts w:ascii="Times New Roman" w:hAnsi="Times New Roman"/>
          <w:color w:val="000000"/>
          <w:sz w:val="24"/>
          <w:szCs w:val="24"/>
        </w:rPr>
        <w:t>s of involuntary disappearances and</w:t>
      </w:r>
      <w:r w:rsidRPr="00673789">
        <w:rPr>
          <w:rFonts w:ascii="Times New Roman" w:hAnsi="Times New Roman"/>
          <w:color w:val="000000"/>
          <w:sz w:val="24"/>
          <w:szCs w:val="24"/>
        </w:rPr>
        <w:t xml:space="preserve"> supporting the han</w:t>
      </w:r>
      <w:r w:rsidR="008F2613">
        <w:rPr>
          <w:rFonts w:ascii="Times New Roman" w:hAnsi="Times New Roman"/>
          <w:color w:val="000000"/>
          <w:sz w:val="24"/>
          <w:szCs w:val="24"/>
        </w:rPr>
        <w:t xml:space="preserve">dling of </w:t>
      </w:r>
      <w:r w:rsidRPr="008F2613">
        <w:rPr>
          <w:rFonts w:ascii="Times New Roman" w:hAnsi="Times New Roman"/>
          <w:color w:val="0D0D0D" w:themeColor="text1" w:themeTint="F2"/>
          <w:sz w:val="24"/>
          <w:szCs w:val="24"/>
        </w:rPr>
        <w:t xml:space="preserve">human remains </w:t>
      </w:r>
      <w:r w:rsidRPr="00673789">
        <w:rPr>
          <w:rFonts w:ascii="Times New Roman" w:hAnsi="Times New Roman"/>
          <w:color w:val="000000"/>
          <w:sz w:val="24"/>
          <w:szCs w:val="24"/>
        </w:rPr>
        <w:t xml:space="preserve">in accordance with relevant international obligations, or </w:t>
      </w:r>
      <w:r w:rsidR="008F2613">
        <w:rPr>
          <w:rFonts w:ascii="Times New Roman" w:hAnsi="Times New Roman"/>
          <w:color w:val="000000"/>
          <w:sz w:val="24"/>
          <w:szCs w:val="24"/>
        </w:rPr>
        <w:t xml:space="preserve">actions </w:t>
      </w:r>
      <w:r w:rsidRPr="00673789">
        <w:rPr>
          <w:rFonts w:ascii="Times New Roman" w:hAnsi="Times New Roman"/>
          <w:color w:val="000000"/>
          <w:sz w:val="24"/>
          <w:szCs w:val="24"/>
        </w:rPr>
        <w:t>supporting the negotiation and adoption of a headquarters agreement or visiting agreement with the ICRC.</w:t>
      </w:r>
    </w:p>
    <w:p w14:paraId="3DAD6CAC" w14:textId="77777777" w:rsidR="002312B4" w:rsidRPr="00105ED3" w:rsidRDefault="002312B4">
      <w:pPr>
        <w:rPr>
          <w:i/>
          <w:sz w:val="24"/>
          <w:szCs w:val="24"/>
          <w:lang w:val="en-GB"/>
        </w:rPr>
      </w:pPr>
    </w:p>
    <w:p w14:paraId="412ECA6A" w14:textId="77777777" w:rsidR="002312B4" w:rsidRDefault="003561E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  <w:t>Structure and composition</w:t>
      </w:r>
    </w:p>
    <w:p w14:paraId="3B182CBC" w14:textId="77777777" w:rsidR="002312B4" w:rsidRDefault="00231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8F52D" w14:textId="6BD8A722" w:rsidR="002312B4" w:rsidRDefault="0035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</w:r>
      <w:r w:rsidR="0049457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National Humanitarian Committee </w:t>
      </w:r>
      <w:r w:rsidR="0049457F">
        <w:rPr>
          <w:rFonts w:ascii="Times New Roman" w:hAnsi="Times New Roman" w:cs="Times New Roman"/>
          <w:sz w:val="24"/>
          <w:szCs w:val="24"/>
        </w:rPr>
        <w:t xml:space="preserve">has </w:t>
      </w:r>
      <w:r w:rsidR="004F43DD">
        <w:rPr>
          <w:rFonts w:ascii="Times New Roman" w:hAnsi="Times New Roman" w:cs="Times New Roman"/>
          <w:sz w:val="24"/>
          <w:szCs w:val="24"/>
        </w:rPr>
        <w:t xml:space="preserve">an </w:t>
      </w:r>
      <w:r w:rsidR="004F43DD" w:rsidRPr="000D1D7B">
        <w:rPr>
          <w:rFonts w:ascii="Times New Roman" w:hAnsi="Times New Roman" w:cs="Times New Roman"/>
          <w:color w:val="000000" w:themeColor="text1"/>
          <w:sz w:val="24"/>
          <w:szCs w:val="24"/>
        </w:rPr>
        <w:t>inter-agency</w:t>
      </w:r>
      <w:r w:rsidRPr="000D1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structure </w:t>
      </w:r>
      <w:r w:rsidR="0049457F" w:rsidRPr="000D1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is set up administratively under the Ministry/ Department responsible for the subject matter </w:t>
      </w:r>
      <w:r w:rsidR="0049457F">
        <w:rPr>
          <w:rFonts w:ascii="Times New Roman" w:hAnsi="Times New Roman" w:cs="Times New Roman"/>
          <w:sz w:val="24"/>
          <w:szCs w:val="24"/>
        </w:rPr>
        <w:t>of IHL.</w:t>
      </w:r>
    </w:p>
    <w:p w14:paraId="206280C3" w14:textId="77777777" w:rsidR="002312B4" w:rsidRDefault="00231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28244" w14:textId="7911B901" w:rsidR="002312B4" w:rsidRDefault="0035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The Committee is chaired by </w:t>
      </w:r>
      <w:r w:rsidR="0049457F">
        <w:rPr>
          <w:rFonts w:ascii="Times New Roman" w:hAnsi="Times New Roman" w:cs="Times New Roman"/>
          <w:sz w:val="24"/>
          <w:szCs w:val="24"/>
        </w:rPr>
        <w:t>the Head of Ministry / Department responsible for the subject matter of Human Rights or his / her designated representative</w:t>
      </w:r>
      <w:r w:rsidR="00F10B57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comprises representatives of Ministries and Departments and the Mauritius Red Cross Society. </w:t>
      </w:r>
    </w:p>
    <w:p w14:paraId="5B7C6B34" w14:textId="77777777" w:rsidR="002312B4" w:rsidRDefault="002312B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299783" w14:textId="10935D0E" w:rsidR="002312B4" w:rsidRDefault="0035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Each member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B5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required to designate two focal points at the working level to represent the organization on the Committee, namely one firm and one alternate representative.</w:t>
      </w:r>
    </w:p>
    <w:p w14:paraId="09A64C78" w14:textId="77777777" w:rsidR="002312B4" w:rsidRDefault="00231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03CD5" w14:textId="41AEA2DD" w:rsidR="002312B4" w:rsidRPr="000D1D7B" w:rsidRDefault="003561E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</w:r>
      <w:r w:rsidRPr="000D1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revised composition of the members of the Committee is at </w:t>
      </w:r>
      <w:r w:rsidRPr="000D1D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Annex II. </w:t>
      </w:r>
    </w:p>
    <w:p w14:paraId="3B8C800F" w14:textId="713D19E7" w:rsidR="000C5855" w:rsidRPr="000D1D7B" w:rsidRDefault="000C585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50179885" w14:textId="499C71C6" w:rsidR="000C5855" w:rsidRPr="000D1D7B" w:rsidRDefault="000C58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D7B">
        <w:rPr>
          <w:rFonts w:ascii="Times New Roman" w:hAnsi="Times New Roman" w:cs="Times New Roman"/>
          <w:color w:val="000000" w:themeColor="text1"/>
          <w:sz w:val="24"/>
          <w:szCs w:val="24"/>
        </w:rPr>
        <w:t>3.5</w:t>
      </w:r>
      <w:r w:rsidRPr="000D1D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The Committee may rope in members of relevant agencies as and when required. </w:t>
      </w:r>
    </w:p>
    <w:p w14:paraId="0EBA9BC9" w14:textId="77777777" w:rsidR="002312B4" w:rsidRDefault="00231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730C8" w14:textId="77777777" w:rsidR="002312B4" w:rsidRDefault="002312B4">
      <w:pPr>
        <w:pStyle w:val="ListParagraph"/>
        <w:spacing w:after="0" w:line="240" w:lineRule="auto"/>
        <w:ind w:left="360"/>
        <w:jc w:val="both"/>
        <w:rPr>
          <w:rFonts w:ascii="Arial Narrow" w:hAnsi="Arial Narrow"/>
          <w:b/>
          <w:sz w:val="24"/>
          <w:szCs w:val="24"/>
        </w:rPr>
      </w:pPr>
    </w:p>
    <w:p w14:paraId="51173C6D" w14:textId="77777777" w:rsidR="002312B4" w:rsidRDefault="003561E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  <w:t xml:space="preserve">Meetings of the </w:t>
      </w:r>
      <w:r>
        <w:rPr>
          <w:rFonts w:ascii="Arial Narrow" w:hAnsi="Arial Narrow"/>
          <w:b/>
          <w:sz w:val="24"/>
          <w:szCs w:val="24"/>
          <w:lang w:val="en-US"/>
        </w:rPr>
        <w:t>Committee</w:t>
      </w:r>
    </w:p>
    <w:p w14:paraId="0375FE4A" w14:textId="77777777" w:rsidR="002312B4" w:rsidRDefault="002312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1C5FA8" w14:textId="3D8CA04F" w:rsidR="002312B4" w:rsidRDefault="003561E9" w:rsidP="00391920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920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Pr="00391920">
        <w:rPr>
          <w:rFonts w:ascii="Times New Roman" w:hAnsi="Times New Roman" w:cs="Times New Roman"/>
          <w:sz w:val="24"/>
          <w:szCs w:val="24"/>
          <w:lang w:val="en-US"/>
        </w:rPr>
        <w:t xml:space="preserve"> Committee</w:t>
      </w:r>
      <w:r w:rsidRPr="00391920">
        <w:rPr>
          <w:rFonts w:ascii="Times New Roman" w:hAnsi="Times New Roman" w:cs="Times New Roman"/>
          <w:sz w:val="24"/>
          <w:szCs w:val="24"/>
        </w:rPr>
        <w:t xml:space="preserve"> is expected to meet at least </w:t>
      </w:r>
      <w:r w:rsidR="00391920" w:rsidRPr="00391920">
        <w:rPr>
          <w:rFonts w:ascii="Times New Roman" w:hAnsi="Times New Roman" w:cs="Times New Roman"/>
          <w:sz w:val="24"/>
          <w:szCs w:val="24"/>
        </w:rPr>
        <w:t>every two months</w:t>
      </w:r>
      <w:r w:rsidRPr="003919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EBF61" w14:textId="77777777" w:rsidR="00391920" w:rsidRPr="00391920" w:rsidRDefault="00391920" w:rsidP="0039192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E8C7F" w14:textId="77777777" w:rsidR="002312B4" w:rsidRDefault="003561E9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Members can</w:t>
      </w:r>
      <w:r>
        <w:rPr>
          <w:rFonts w:ascii="Times New Roman" w:hAnsi="Times New Roman" w:cs="Times New Roman"/>
          <w:sz w:val="24"/>
          <w:szCs w:val="24"/>
        </w:rPr>
        <w:t xml:space="preserve"> additionally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meet </w:t>
      </w:r>
      <w:r>
        <w:rPr>
          <w:rFonts w:ascii="Times New Roman" w:hAnsi="Times New Roman" w:cs="Times New Roman"/>
          <w:sz w:val="24"/>
          <w:szCs w:val="24"/>
        </w:rPr>
        <w:t>as and when required for the drafting of reports, coordination activities and follow up and implementation efforts and recommendations or any specific tasks at hand.</w:t>
      </w:r>
    </w:p>
    <w:p w14:paraId="0DB09D29" w14:textId="77777777" w:rsidR="002312B4" w:rsidRDefault="002312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89EA23" w14:textId="1FC7FAF1" w:rsidR="002312B4" w:rsidRDefault="003561E9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Committee</w:t>
      </w:r>
      <w:r>
        <w:rPr>
          <w:rFonts w:ascii="Times New Roman" w:hAnsi="Times New Roman" w:cs="Times New Roman"/>
          <w:sz w:val="24"/>
          <w:szCs w:val="24"/>
        </w:rPr>
        <w:t xml:space="preserve"> may invite additional representatives of the Civil Society, Non-Governmental Organisations and the public and the private sector at selected meetings as and when </w:t>
      </w:r>
      <w:r w:rsidR="00497D45">
        <w:rPr>
          <w:rFonts w:ascii="Times New Roman" w:hAnsi="Times New Roman" w:cs="Times New Roman"/>
          <w:sz w:val="24"/>
          <w:szCs w:val="24"/>
        </w:rPr>
        <w:t xml:space="preserve">their expertise is </w:t>
      </w:r>
      <w:r>
        <w:rPr>
          <w:rFonts w:ascii="Times New Roman" w:hAnsi="Times New Roman" w:cs="Times New Roman"/>
          <w:sz w:val="24"/>
          <w:szCs w:val="24"/>
        </w:rPr>
        <w:t>required.</w:t>
      </w:r>
    </w:p>
    <w:p w14:paraId="5BDD4D40" w14:textId="77777777" w:rsidR="007464FB" w:rsidRPr="007464FB" w:rsidRDefault="007464FB" w:rsidP="007464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F2BA2E" w14:textId="70CCA2AE" w:rsidR="007464FB" w:rsidRDefault="007464FB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quorum for effecting a meeting shall be not less than one third of the members</w:t>
      </w:r>
      <w:r w:rsidR="00FF5D53">
        <w:rPr>
          <w:rFonts w:ascii="Times New Roman" w:hAnsi="Times New Roman" w:cs="Times New Roman"/>
          <w:sz w:val="24"/>
          <w:szCs w:val="24"/>
        </w:rPr>
        <w:t>.</w:t>
      </w:r>
    </w:p>
    <w:p w14:paraId="04E81C0E" w14:textId="77777777" w:rsidR="002312B4" w:rsidRDefault="002312B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8908AC" w14:textId="77777777" w:rsidR="002312B4" w:rsidRDefault="002312B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F1E822E" w14:textId="77777777" w:rsidR="002312B4" w:rsidRDefault="003561E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  <w:t xml:space="preserve">Secretariat </w:t>
      </w:r>
      <w:r>
        <w:rPr>
          <w:rFonts w:ascii="Arial Narrow" w:hAnsi="Arial Narrow"/>
          <w:b/>
          <w:sz w:val="24"/>
          <w:szCs w:val="24"/>
          <w:lang w:val="en-US"/>
        </w:rPr>
        <w:t>of the National Humanitarian Committee</w:t>
      </w:r>
    </w:p>
    <w:p w14:paraId="1074F46F" w14:textId="77777777" w:rsidR="002312B4" w:rsidRDefault="002312B4">
      <w:pPr>
        <w:pStyle w:val="Default"/>
        <w:jc w:val="both"/>
        <w:rPr>
          <w:rFonts w:ascii="Arial Narrow" w:hAnsi="Arial Narrow" w:cs="Arial"/>
          <w:b/>
        </w:rPr>
      </w:pPr>
    </w:p>
    <w:p w14:paraId="71D1F201" w14:textId="4A391FD8" w:rsidR="002312B4" w:rsidRDefault="003561E9">
      <w:pPr>
        <w:pStyle w:val="Default"/>
        <w:numPr>
          <w:ilvl w:val="1"/>
          <w:numId w:val="3"/>
        </w:numPr>
        <w:jc w:val="both"/>
      </w:pPr>
      <w:r>
        <w:t>Th</w:t>
      </w:r>
      <w:r w:rsidR="00391920">
        <w:t>e</w:t>
      </w:r>
      <w:r>
        <w:t xml:space="preserve"> Secretariat services of the </w:t>
      </w:r>
      <w:r>
        <w:rPr>
          <w:lang w:val="en-US"/>
        </w:rPr>
        <w:t>Committee</w:t>
      </w:r>
      <w:r>
        <w:t xml:space="preserve"> is provided mainly by the Ministry of </w:t>
      </w:r>
      <w:r>
        <w:rPr>
          <w:lang w:val="en-US"/>
        </w:rPr>
        <w:t xml:space="preserve">Foreign Affairs, Regional Integration and International Trade (Human Right Division) </w:t>
      </w:r>
      <w:r>
        <w:t>which may be assisted as and when required by officers of other Ministries and Departments</w:t>
      </w:r>
      <w:r>
        <w:rPr>
          <w:lang w:val="en-US"/>
        </w:rPr>
        <w:t xml:space="preserve"> and the Mauritius Red Cross Society.</w:t>
      </w:r>
    </w:p>
    <w:p w14:paraId="1E3E0C99" w14:textId="77777777" w:rsidR="002312B4" w:rsidRDefault="002312B4">
      <w:pPr>
        <w:pStyle w:val="Default"/>
        <w:ind w:left="720"/>
        <w:jc w:val="both"/>
      </w:pPr>
    </w:p>
    <w:p w14:paraId="4D76035A" w14:textId="1809DC79" w:rsidR="002312B4" w:rsidRDefault="003561E9">
      <w:pPr>
        <w:pStyle w:val="Default"/>
        <w:numPr>
          <w:ilvl w:val="1"/>
          <w:numId w:val="3"/>
        </w:numPr>
        <w:jc w:val="both"/>
      </w:pPr>
      <w:r>
        <w:t>The office of the</w:t>
      </w:r>
      <w:r w:rsidR="00391920">
        <w:t xml:space="preserve"> </w:t>
      </w:r>
      <w:r>
        <w:t>Secretariat is situated at the following address:</w:t>
      </w:r>
    </w:p>
    <w:p w14:paraId="436B6F42" w14:textId="77777777" w:rsidR="002312B4" w:rsidRDefault="002312B4">
      <w:pPr>
        <w:pStyle w:val="NoSpacing"/>
        <w:rPr>
          <w:rFonts w:ascii="Arial" w:hAnsi="Arial" w:cs="Arial"/>
          <w:b/>
          <w:i/>
        </w:rPr>
      </w:pPr>
    </w:p>
    <w:p w14:paraId="0B980F78" w14:textId="77777777" w:rsidR="002312B4" w:rsidRDefault="003561E9">
      <w:pPr>
        <w:shd w:val="clear" w:color="auto" w:fill="FFFFFF"/>
        <w:ind w:leftChars="500" w:left="1100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  <w:t>Ministry of Foreign Affairs, Regional Integration and International Trade</w:t>
      </w:r>
    </w:p>
    <w:p w14:paraId="639635EC" w14:textId="77777777" w:rsidR="002312B4" w:rsidRDefault="003561E9">
      <w:pPr>
        <w:shd w:val="clear" w:color="auto" w:fill="FFFFFF"/>
        <w:ind w:leftChars="500" w:left="1100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  <w:t>(Human Rights Division)</w:t>
      </w:r>
    </w:p>
    <w:p w14:paraId="149F9BF1" w14:textId="77777777" w:rsidR="002312B4" w:rsidRDefault="003561E9">
      <w:pPr>
        <w:shd w:val="clear" w:color="auto" w:fill="FFFFFF"/>
        <w:ind w:leftChars="500" w:left="1100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  <w:t>7</w:t>
      </w:r>
      <w:r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shd w:val="clear" w:color="auto" w:fill="FFFFFF"/>
          <w:vertAlign w:val="superscript"/>
          <w:lang w:eastAsia="zh-CN" w:bidi="ar"/>
        </w:rPr>
        <w:t>th 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  <w:t>Floor, St James Court, Saint Denis Street</w:t>
      </w:r>
    </w:p>
    <w:p w14:paraId="4A2E3408" w14:textId="77777777" w:rsidR="002312B4" w:rsidRDefault="003561E9">
      <w:pPr>
        <w:shd w:val="clear" w:color="auto" w:fill="FFFFFF"/>
        <w:ind w:leftChars="500" w:left="1100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  <w:t>Port Louis</w:t>
      </w:r>
    </w:p>
    <w:p w14:paraId="698EFBAF" w14:textId="77777777" w:rsidR="002312B4" w:rsidRDefault="003561E9">
      <w:pPr>
        <w:shd w:val="clear" w:color="auto" w:fill="FFFFFF"/>
        <w:ind w:leftChars="500" w:left="1100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  <w:t>Republic of Mauritius</w:t>
      </w:r>
    </w:p>
    <w:p w14:paraId="2D5A4E2E" w14:textId="77777777" w:rsidR="002312B4" w:rsidRDefault="002312B4">
      <w:pPr>
        <w:shd w:val="clear" w:color="auto" w:fill="FFFFFF"/>
        <w:ind w:leftChars="500" w:left="1100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</w:pPr>
    </w:p>
    <w:p w14:paraId="7C75F9DF" w14:textId="77777777" w:rsidR="002312B4" w:rsidRDefault="003561E9">
      <w:pPr>
        <w:shd w:val="clear" w:color="auto" w:fill="FFFFFF"/>
        <w:ind w:leftChars="500" w:left="1100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  <w:t>Tel: 2601912</w:t>
      </w:r>
    </w:p>
    <w:p w14:paraId="54FFE4EF" w14:textId="77777777" w:rsidR="002312B4" w:rsidRDefault="003561E9">
      <w:pPr>
        <w:shd w:val="clear" w:color="auto" w:fill="FFFFFF"/>
        <w:ind w:leftChars="500" w:left="1100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  <w:t>Fax: 2143616</w:t>
      </w:r>
    </w:p>
    <w:p w14:paraId="1F5D0C4C" w14:textId="15B0B1FA" w:rsidR="000D1D7B" w:rsidRPr="000D1D7B" w:rsidRDefault="00712FEF" w:rsidP="000D1D7B">
      <w:pPr>
        <w:shd w:val="clear" w:color="auto" w:fill="FFFFFF"/>
        <w:ind w:leftChars="500" w:left="1100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  <w:t>Email: hrd</w:t>
      </w:r>
      <w:r w:rsidR="003561E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  <w:t>@govmu.org</w:t>
      </w:r>
    </w:p>
    <w:p w14:paraId="74012561" w14:textId="77777777" w:rsidR="002312B4" w:rsidRDefault="002312B4">
      <w:pPr>
        <w:pStyle w:val="Default"/>
        <w:ind w:left="720"/>
        <w:jc w:val="both"/>
        <w:rPr>
          <w:rFonts w:ascii="Arial Narrow" w:hAnsi="Arial Narrow" w:cs="Arial"/>
        </w:rPr>
      </w:pPr>
    </w:p>
    <w:p w14:paraId="6B03DD11" w14:textId="77777777" w:rsidR="002312B4" w:rsidRDefault="003561E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  <w:t>Resources</w:t>
      </w:r>
    </w:p>
    <w:p w14:paraId="0E44C57F" w14:textId="77777777" w:rsidR="002312B4" w:rsidRDefault="002312B4">
      <w:pPr>
        <w:pStyle w:val="Default"/>
        <w:jc w:val="both"/>
        <w:rPr>
          <w:rFonts w:ascii="Arial Narrow" w:hAnsi="Arial Narrow" w:cs="Arial"/>
        </w:rPr>
      </w:pPr>
    </w:p>
    <w:p w14:paraId="7F595766" w14:textId="4CC73786" w:rsidR="002312B4" w:rsidRDefault="003561E9">
      <w:pPr>
        <w:pStyle w:val="Default"/>
        <w:jc w:val="both"/>
        <w:rPr>
          <w:color w:val="auto"/>
        </w:rPr>
      </w:pPr>
      <w:r>
        <w:rPr>
          <w:color w:val="auto"/>
        </w:rPr>
        <w:t>6.1</w:t>
      </w:r>
      <w:r>
        <w:rPr>
          <w:color w:val="auto"/>
        </w:rPr>
        <w:tab/>
      </w:r>
      <w:proofErr w:type="spellStart"/>
      <w:r>
        <w:rPr>
          <w:color w:val="auto"/>
        </w:rPr>
        <w:t>Th</w:t>
      </w:r>
      <w:proofErr w:type="spellEnd"/>
      <w:r>
        <w:rPr>
          <w:color w:val="auto"/>
          <w:lang w:val="en-US"/>
        </w:rPr>
        <w:t xml:space="preserve">is </w:t>
      </w:r>
      <w:r w:rsidR="00CE550F">
        <w:rPr>
          <w:color w:val="auto"/>
          <w:lang w:val="en-US"/>
        </w:rPr>
        <w:t>Ministry</w:t>
      </w:r>
      <w:r w:rsidR="00391920">
        <w:rPr>
          <w:color w:val="auto"/>
          <w:lang w:val="en-US"/>
        </w:rPr>
        <w:t>/ Department, in charge of IHL issues</w:t>
      </w:r>
      <w:r w:rsidR="00391920">
        <w:rPr>
          <w:color w:val="auto"/>
        </w:rPr>
        <w:t xml:space="preserve">, </w:t>
      </w:r>
      <w:r>
        <w:rPr>
          <w:color w:val="auto"/>
        </w:rPr>
        <w:t xml:space="preserve">is responsible to meet all expenses related to the meetings and activities of the </w:t>
      </w:r>
      <w:r>
        <w:rPr>
          <w:color w:val="auto"/>
          <w:lang w:val="en-US"/>
        </w:rPr>
        <w:t>Committee</w:t>
      </w:r>
      <w:r>
        <w:rPr>
          <w:color w:val="auto"/>
        </w:rPr>
        <w:t xml:space="preserve">. </w:t>
      </w:r>
    </w:p>
    <w:p w14:paraId="217AE216" w14:textId="77777777" w:rsidR="002312B4" w:rsidRDefault="002312B4">
      <w:pPr>
        <w:pStyle w:val="Default"/>
        <w:jc w:val="both"/>
        <w:rPr>
          <w:color w:val="auto"/>
        </w:rPr>
      </w:pPr>
    </w:p>
    <w:p w14:paraId="02402D8E" w14:textId="77777777" w:rsidR="002312B4" w:rsidRDefault="003561E9">
      <w:pPr>
        <w:pStyle w:val="Default"/>
        <w:jc w:val="both"/>
        <w:rPr>
          <w:color w:val="auto"/>
        </w:rPr>
      </w:pPr>
      <w:r>
        <w:rPr>
          <w:color w:val="auto"/>
        </w:rPr>
        <w:t>6.2</w:t>
      </w:r>
      <w:r>
        <w:rPr>
          <w:color w:val="auto"/>
        </w:rPr>
        <w:tab/>
        <w:t xml:space="preserve">Relevant Ministries/ Departments and other institutions are required to include in their budgetary provisions sufficient funds to meet the costs of any activity including travel and consultations at large, in respect of </w:t>
      </w:r>
      <w:r>
        <w:rPr>
          <w:color w:val="auto"/>
          <w:lang w:val="en-US"/>
        </w:rPr>
        <w:t>issues</w:t>
      </w:r>
      <w:r>
        <w:rPr>
          <w:color w:val="auto"/>
        </w:rPr>
        <w:t xml:space="preserve"> falling directly under them.</w:t>
      </w:r>
    </w:p>
    <w:p w14:paraId="73203F9A" w14:textId="77777777" w:rsidR="002312B4" w:rsidRDefault="002312B4">
      <w:pPr>
        <w:pStyle w:val="Default"/>
        <w:jc w:val="both"/>
        <w:rPr>
          <w:color w:val="auto"/>
        </w:rPr>
      </w:pPr>
    </w:p>
    <w:p w14:paraId="3734FECB" w14:textId="77777777" w:rsidR="002312B4" w:rsidRDefault="003561E9">
      <w:pPr>
        <w:pStyle w:val="Default"/>
        <w:jc w:val="both"/>
        <w:rPr>
          <w:color w:val="auto"/>
        </w:rPr>
      </w:pPr>
      <w:r>
        <w:rPr>
          <w:color w:val="auto"/>
        </w:rPr>
        <w:t>6.4</w:t>
      </w:r>
      <w:r>
        <w:rPr>
          <w:color w:val="auto"/>
        </w:rPr>
        <w:tab/>
        <w:t>Ministries/ Departments should ensure that their respective officers designated to serve as member on the</w:t>
      </w:r>
      <w:r>
        <w:rPr>
          <w:color w:val="auto"/>
          <w:lang w:val="en-US"/>
        </w:rPr>
        <w:t xml:space="preserve"> Committee </w:t>
      </w:r>
      <w:r>
        <w:rPr>
          <w:color w:val="auto"/>
        </w:rPr>
        <w:t>are empowered sufficiently to carry out their role and appropriate systems be put in place for consistency and institutional memory in their institutions.</w:t>
      </w:r>
    </w:p>
    <w:p w14:paraId="071F884B" w14:textId="77777777" w:rsidR="002312B4" w:rsidRDefault="002312B4">
      <w:pPr>
        <w:pStyle w:val="Default"/>
        <w:jc w:val="both"/>
        <w:rPr>
          <w:color w:val="auto"/>
        </w:rPr>
      </w:pPr>
    </w:p>
    <w:p w14:paraId="5FBC50DA" w14:textId="77777777" w:rsidR="002312B4" w:rsidRDefault="003561E9">
      <w:pPr>
        <w:pStyle w:val="Default"/>
        <w:numPr>
          <w:ilvl w:val="0"/>
          <w:numId w:val="3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Working methods and operational aspects</w:t>
      </w:r>
    </w:p>
    <w:p w14:paraId="5676B075" w14:textId="77777777" w:rsidR="002312B4" w:rsidRDefault="002312B4">
      <w:pPr>
        <w:pStyle w:val="Default"/>
        <w:jc w:val="both"/>
        <w:rPr>
          <w:i/>
        </w:rPr>
      </w:pPr>
    </w:p>
    <w:p w14:paraId="225C5C9C" w14:textId="77777777" w:rsidR="002312B4" w:rsidRDefault="003561E9">
      <w:pPr>
        <w:pStyle w:val="Default"/>
        <w:numPr>
          <w:ilvl w:val="1"/>
          <w:numId w:val="3"/>
        </w:numPr>
        <w:jc w:val="both"/>
      </w:pPr>
      <w:r>
        <w:t>The Secretariat is responsible to inform all members of a scheduled meeting of the</w:t>
      </w:r>
      <w:r>
        <w:rPr>
          <w:lang w:val="en-US"/>
        </w:rPr>
        <w:t xml:space="preserve"> Committee</w:t>
      </w:r>
      <w:r>
        <w:t xml:space="preserve"> at least 5 working days in advance to enable the members to collect required information or any policy decisions from their respective Ministries/ Departments /Institutions.</w:t>
      </w:r>
    </w:p>
    <w:p w14:paraId="4C5999EC" w14:textId="77777777" w:rsidR="002312B4" w:rsidRDefault="002312B4">
      <w:pPr>
        <w:pStyle w:val="Default"/>
        <w:jc w:val="both"/>
      </w:pPr>
    </w:p>
    <w:p w14:paraId="2472D6FE" w14:textId="77777777" w:rsidR="002312B4" w:rsidRDefault="003561E9">
      <w:pPr>
        <w:pStyle w:val="Default"/>
        <w:numPr>
          <w:ilvl w:val="1"/>
          <w:numId w:val="3"/>
        </w:numPr>
        <w:jc w:val="both"/>
      </w:pPr>
      <w:r>
        <w:t xml:space="preserve">The Secretariat shall set out the Agenda of the meeting in consultation with the Chairperson of the meeting and distribute all the relevant documents for the meeting </w:t>
      </w:r>
    </w:p>
    <w:p w14:paraId="64AE8319" w14:textId="77777777" w:rsidR="002312B4" w:rsidRDefault="002312B4">
      <w:pPr>
        <w:pStyle w:val="Default"/>
        <w:jc w:val="both"/>
      </w:pPr>
    </w:p>
    <w:p w14:paraId="07D69EA9" w14:textId="71EC02B0" w:rsidR="002312B4" w:rsidRPr="007464FB" w:rsidRDefault="003561E9" w:rsidP="001A370A">
      <w:pPr>
        <w:pStyle w:val="Default"/>
        <w:numPr>
          <w:ilvl w:val="1"/>
          <w:numId w:val="3"/>
        </w:numPr>
        <w:jc w:val="both"/>
      </w:pPr>
      <w:r>
        <w:t>There shall be an official list of all members with their contact details which shall be circulated with all members and updated by the Secretariat as and when required.</w:t>
      </w:r>
      <w:r w:rsidRPr="001A370A">
        <w:rPr>
          <w:lang w:val="en-US"/>
        </w:rPr>
        <w:t xml:space="preserve"> </w:t>
      </w:r>
    </w:p>
    <w:p w14:paraId="06300085" w14:textId="77777777" w:rsidR="007464FB" w:rsidRDefault="007464FB" w:rsidP="007464FB">
      <w:pPr>
        <w:pStyle w:val="Default"/>
        <w:jc w:val="both"/>
      </w:pPr>
    </w:p>
    <w:p w14:paraId="21920DB4" w14:textId="0B4A8ACB" w:rsidR="007464FB" w:rsidRDefault="003561E9">
      <w:pPr>
        <w:pStyle w:val="Default"/>
        <w:numPr>
          <w:ilvl w:val="1"/>
          <w:numId w:val="3"/>
        </w:numPr>
        <w:jc w:val="both"/>
      </w:pPr>
      <w:r>
        <w:t xml:space="preserve">The </w:t>
      </w:r>
      <w:r>
        <w:rPr>
          <w:lang w:val="en-US"/>
        </w:rPr>
        <w:t>Committee</w:t>
      </w:r>
      <w:r>
        <w:t xml:space="preserve"> </w:t>
      </w:r>
      <w:r w:rsidR="007464FB">
        <w:t>shall define appropriate working methods to ensure the consistency and continuity of its work.</w:t>
      </w:r>
    </w:p>
    <w:p w14:paraId="7B2463D7" w14:textId="77777777" w:rsidR="007464FB" w:rsidRDefault="007464FB" w:rsidP="007464FB">
      <w:pPr>
        <w:pStyle w:val="ListParagraph"/>
      </w:pPr>
    </w:p>
    <w:p w14:paraId="4F916800" w14:textId="5C750E97" w:rsidR="002312B4" w:rsidRDefault="007464FB" w:rsidP="007464FB">
      <w:pPr>
        <w:pStyle w:val="Default"/>
        <w:numPr>
          <w:ilvl w:val="1"/>
          <w:numId w:val="3"/>
        </w:numPr>
        <w:jc w:val="both"/>
      </w:pPr>
      <w:r>
        <w:t xml:space="preserve">The Committee shall </w:t>
      </w:r>
      <w:r w:rsidR="003561E9">
        <w:t xml:space="preserve">develop a work plan and calendar of activities at the start of each Financial Year and shall update on progress at each meeting. </w:t>
      </w:r>
    </w:p>
    <w:p w14:paraId="30E62884" w14:textId="77777777" w:rsidR="007464FB" w:rsidRDefault="007464FB" w:rsidP="007464FB">
      <w:pPr>
        <w:pStyle w:val="ListParagraph"/>
      </w:pPr>
    </w:p>
    <w:p w14:paraId="11BD9412" w14:textId="186680A3" w:rsidR="007464FB" w:rsidRDefault="007464FB" w:rsidP="007464FB">
      <w:pPr>
        <w:pStyle w:val="Default"/>
        <w:numPr>
          <w:ilvl w:val="1"/>
          <w:numId w:val="3"/>
        </w:numPr>
        <w:jc w:val="both"/>
      </w:pPr>
      <w:r>
        <w:t>The Committee may establish subcommittees or working groups as and when required to ensure effectiveness and efficiency of its work, programmes and projects.</w:t>
      </w:r>
    </w:p>
    <w:p w14:paraId="4EDD1DCB" w14:textId="77777777" w:rsidR="007464FB" w:rsidRDefault="007464FB" w:rsidP="007464FB">
      <w:pPr>
        <w:pStyle w:val="ListParagraph"/>
      </w:pPr>
    </w:p>
    <w:p w14:paraId="2F619D52" w14:textId="45BCA6AF" w:rsidR="007464FB" w:rsidRDefault="007464FB" w:rsidP="007464FB">
      <w:pPr>
        <w:pStyle w:val="Default"/>
        <w:numPr>
          <w:ilvl w:val="1"/>
          <w:numId w:val="3"/>
        </w:numPr>
        <w:jc w:val="both"/>
      </w:pPr>
      <w:r>
        <w:t>The Committee should regularly evaluate its achievem</w:t>
      </w:r>
      <w:r w:rsidR="00CE550F">
        <w:t>ents, identify the obstacles it</w:t>
      </w:r>
      <w:r>
        <w:t xml:space="preserve"> has encountered and take appropriate measures to overcome them.</w:t>
      </w:r>
    </w:p>
    <w:p w14:paraId="6BEE07DB" w14:textId="77777777" w:rsidR="00FF5D53" w:rsidRDefault="00FF5D53" w:rsidP="00FF5D53">
      <w:pPr>
        <w:pStyle w:val="ListParagraph"/>
      </w:pPr>
    </w:p>
    <w:p w14:paraId="713DD3AA" w14:textId="763A68B8" w:rsidR="00FF5D53" w:rsidRDefault="00FF5D53" w:rsidP="007464FB">
      <w:pPr>
        <w:pStyle w:val="Default"/>
        <w:numPr>
          <w:ilvl w:val="1"/>
          <w:numId w:val="3"/>
        </w:numPr>
        <w:jc w:val="both"/>
      </w:pPr>
      <w:r>
        <w:t>The Committee sh</w:t>
      </w:r>
      <w:r w:rsidR="005E0AC4">
        <w:t>ould</w:t>
      </w:r>
      <w:r>
        <w:t xml:space="preserve"> develop and maintain a network of contact local, regional and internationally including the e</w:t>
      </w:r>
      <w:r w:rsidR="005E0AC4">
        <w:t>ngagement with other national IHL Committees</w:t>
      </w:r>
      <w:r>
        <w:t xml:space="preserve"> </w:t>
      </w:r>
    </w:p>
    <w:p w14:paraId="41E3C812" w14:textId="4ECE42B6" w:rsidR="002312B4" w:rsidRDefault="002312B4">
      <w:pPr>
        <w:pStyle w:val="Default"/>
        <w:jc w:val="both"/>
        <w:rPr>
          <w:i/>
        </w:rPr>
      </w:pPr>
    </w:p>
    <w:p w14:paraId="5A7F36C6" w14:textId="77777777" w:rsidR="002312B4" w:rsidRDefault="002312B4">
      <w:pPr>
        <w:rPr>
          <w:sz w:val="24"/>
          <w:szCs w:val="24"/>
          <w:lang w:val="en-GB"/>
        </w:rPr>
      </w:pPr>
    </w:p>
    <w:p w14:paraId="5D653AC5" w14:textId="45811A53" w:rsidR="002312B4" w:rsidRDefault="000D1D7B" w:rsidP="000D1D7B">
      <w:pPr>
        <w:pStyle w:val="Default"/>
        <w:ind w:left="6480" w:firstLine="72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20 August</w:t>
      </w:r>
      <w:r w:rsidR="003561E9">
        <w:rPr>
          <w:b/>
          <w:bCs/>
        </w:rPr>
        <w:t xml:space="preserve"> 20</w:t>
      </w:r>
      <w:r w:rsidR="003561E9">
        <w:rPr>
          <w:b/>
          <w:bCs/>
          <w:lang w:val="en-US"/>
        </w:rPr>
        <w:t>20</w:t>
      </w:r>
    </w:p>
    <w:sectPr w:rsidR="002312B4" w:rsidSect="00F4082A">
      <w:footerReference w:type="default" r:id="rId10"/>
      <w:pgSz w:w="12240" w:h="15840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750EE" w14:textId="77777777" w:rsidR="00AA212C" w:rsidRDefault="00AA212C">
      <w:pPr>
        <w:spacing w:after="0" w:line="240" w:lineRule="auto"/>
      </w:pPr>
      <w:r>
        <w:separator/>
      </w:r>
    </w:p>
  </w:endnote>
  <w:endnote w:type="continuationSeparator" w:id="0">
    <w:p w14:paraId="4B08B6EC" w14:textId="77777777" w:rsidR="00AA212C" w:rsidRDefault="00AA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511557"/>
    </w:sdtPr>
    <w:sdtEndPr/>
    <w:sdtContent>
      <w:sdt>
        <w:sdtPr>
          <w:id w:val="1624736135"/>
        </w:sdtPr>
        <w:sdtEndPr/>
        <w:sdtContent>
          <w:p w14:paraId="0D5B8903" w14:textId="7E7E7D0A" w:rsidR="002312B4" w:rsidRDefault="003561E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648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648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A3FF0D" w14:textId="77777777" w:rsidR="002312B4" w:rsidRDefault="002312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A3114" w14:textId="77777777" w:rsidR="00AA212C" w:rsidRDefault="00AA212C">
      <w:pPr>
        <w:spacing w:after="0" w:line="240" w:lineRule="auto"/>
      </w:pPr>
      <w:r>
        <w:separator/>
      </w:r>
    </w:p>
  </w:footnote>
  <w:footnote w:type="continuationSeparator" w:id="0">
    <w:p w14:paraId="4C12D37B" w14:textId="77777777" w:rsidR="00AA212C" w:rsidRDefault="00AA2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2198"/>
    <w:multiLevelType w:val="multilevel"/>
    <w:tmpl w:val="05792198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4F23A05"/>
    <w:multiLevelType w:val="multilevel"/>
    <w:tmpl w:val="EFC88A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BA6D5A"/>
    <w:multiLevelType w:val="multilevel"/>
    <w:tmpl w:val="0409001F"/>
    <w:numStyleLink w:val="Style1"/>
  </w:abstractNum>
  <w:abstractNum w:abstractNumId="3" w15:restartNumberingAfterBreak="0">
    <w:nsid w:val="3F8D4F2C"/>
    <w:multiLevelType w:val="multilevel"/>
    <w:tmpl w:val="3F8D4F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B366E92"/>
    <w:multiLevelType w:val="multilevel"/>
    <w:tmpl w:val="3E64F27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C7611"/>
    <w:multiLevelType w:val="multilevel"/>
    <w:tmpl w:val="3E64F27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D3EEB"/>
    <w:multiLevelType w:val="multilevel"/>
    <w:tmpl w:val="105867AC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41AD3"/>
    <w:multiLevelType w:val="multilevel"/>
    <w:tmpl w:val="26C48FD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603893"/>
    <w:multiLevelType w:val="multilevel"/>
    <w:tmpl w:val="0409001F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36"/>
    <w:rsid w:val="00000DCE"/>
    <w:rsid w:val="00006296"/>
    <w:rsid w:val="00014042"/>
    <w:rsid w:val="00015AFC"/>
    <w:rsid w:val="00027210"/>
    <w:rsid w:val="00043B80"/>
    <w:rsid w:val="000456CC"/>
    <w:rsid w:val="00047BFE"/>
    <w:rsid w:val="000706D5"/>
    <w:rsid w:val="000804DA"/>
    <w:rsid w:val="00081198"/>
    <w:rsid w:val="00081B03"/>
    <w:rsid w:val="00082549"/>
    <w:rsid w:val="00083BF2"/>
    <w:rsid w:val="000A269D"/>
    <w:rsid w:val="000B1103"/>
    <w:rsid w:val="000B29AF"/>
    <w:rsid w:val="000B4311"/>
    <w:rsid w:val="000C30F7"/>
    <w:rsid w:val="000C5855"/>
    <w:rsid w:val="000C7972"/>
    <w:rsid w:val="000D1D7B"/>
    <w:rsid w:val="000F2C97"/>
    <w:rsid w:val="00104450"/>
    <w:rsid w:val="00104BEC"/>
    <w:rsid w:val="001051F3"/>
    <w:rsid w:val="00105ED3"/>
    <w:rsid w:val="00106FB9"/>
    <w:rsid w:val="00134C1C"/>
    <w:rsid w:val="001412B3"/>
    <w:rsid w:val="00145DE7"/>
    <w:rsid w:val="00154507"/>
    <w:rsid w:val="00180945"/>
    <w:rsid w:val="00187FDB"/>
    <w:rsid w:val="00192202"/>
    <w:rsid w:val="00197722"/>
    <w:rsid w:val="001A370A"/>
    <w:rsid w:val="001A46EE"/>
    <w:rsid w:val="001A57EF"/>
    <w:rsid w:val="001A6171"/>
    <w:rsid w:val="001C7771"/>
    <w:rsid w:val="001F15F5"/>
    <w:rsid w:val="001F2F3A"/>
    <w:rsid w:val="0021627F"/>
    <w:rsid w:val="00217079"/>
    <w:rsid w:val="00223A1E"/>
    <w:rsid w:val="00226031"/>
    <w:rsid w:val="002312B4"/>
    <w:rsid w:val="00242DDB"/>
    <w:rsid w:val="00244441"/>
    <w:rsid w:val="002A503D"/>
    <w:rsid w:val="002B0469"/>
    <w:rsid w:val="002B14B6"/>
    <w:rsid w:val="002D4175"/>
    <w:rsid w:val="002D6A36"/>
    <w:rsid w:val="002F6F89"/>
    <w:rsid w:val="00317620"/>
    <w:rsid w:val="00326A10"/>
    <w:rsid w:val="0033190D"/>
    <w:rsid w:val="00347BED"/>
    <w:rsid w:val="00350B21"/>
    <w:rsid w:val="003561E9"/>
    <w:rsid w:val="0036042D"/>
    <w:rsid w:val="00391920"/>
    <w:rsid w:val="003D14E4"/>
    <w:rsid w:val="003D505C"/>
    <w:rsid w:val="003E1B0E"/>
    <w:rsid w:val="003F3B0D"/>
    <w:rsid w:val="003F75F4"/>
    <w:rsid w:val="004068A1"/>
    <w:rsid w:val="00412C49"/>
    <w:rsid w:val="00422008"/>
    <w:rsid w:val="00434726"/>
    <w:rsid w:val="004463BD"/>
    <w:rsid w:val="0045169C"/>
    <w:rsid w:val="00455995"/>
    <w:rsid w:val="00461873"/>
    <w:rsid w:val="0046496C"/>
    <w:rsid w:val="0046655C"/>
    <w:rsid w:val="0049457F"/>
    <w:rsid w:val="00497D45"/>
    <w:rsid w:val="004A084D"/>
    <w:rsid w:val="004A160B"/>
    <w:rsid w:val="004A4025"/>
    <w:rsid w:val="004A76B6"/>
    <w:rsid w:val="004B0D58"/>
    <w:rsid w:val="004B27B3"/>
    <w:rsid w:val="004B2A09"/>
    <w:rsid w:val="004B6849"/>
    <w:rsid w:val="004C7549"/>
    <w:rsid w:val="004F43DD"/>
    <w:rsid w:val="00507692"/>
    <w:rsid w:val="0052412D"/>
    <w:rsid w:val="0055083B"/>
    <w:rsid w:val="005619AD"/>
    <w:rsid w:val="00572CC3"/>
    <w:rsid w:val="005B67F1"/>
    <w:rsid w:val="005C3C9E"/>
    <w:rsid w:val="005D479F"/>
    <w:rsid w:val="005E08AE"/>
    <w:rsid w:val="005E0AC4"/>
    <w:rsid w:val="005E1547"/>
    <w:rsid w:val="00612FF4"/>
    <w:rsid w:val="00625C2D"/>
    <w:rsid w:val="006335F8"/>
    <w:rsid w:val="00645014"/>
    <w:rsid w:val="006466B4"/>
    <w:rsid w:val="00655923"/>
    <w:rsid w:val="0066274C"/>
    <w:rsid w:val="00673789"/>
    <w:rsid w:val="006757E5"/>
    <w:rsid w:val="00683FF3"/>
    <w:rsid w:val="006A28E2"/>
    <w:rsid w:val="006A4F63"/>
    <w:rsid w:val="006B344B"/>
    <w:rsid w:val="006B6CA1"/>
    <w:rsid w:val="006F2A12"/>
    <w:rsid w:val="00712FEF"/>
    <w:rsid w:val="007138EC"/>
    <w:rsid w:val="007464FB"/>
    <w:rsid w:val="007628CD"/>
    <w:rsid w:val="00772052"/>
    <w:rsid w:val="007A76E4"/>
    <w:rsid w:val="007C0728"/>
    <w:rsid w:val="007C2F2A"/>
    <w:rsid w:val="007C3505"/>
    <w:rsid w:val="007E1A55"/>
    <w:rsid w:val="007F1AB4"/>
    <w:rsid w:val="00803C14"/>
    <w:rsid w:val="008205DA"/>
    <w:rsid w:val="00835E04"/>
    <w:rsid w:val="00856CF9"/>
    <w:rsid w:val="00874C4D"/>
    <w:rsid w:val="0088357A"/>
    <w:rsid w:val="0088558C"/>
    <w:rsid w:val="00892108"/>
    <w:rsid w:val="00895DD0"/>
    <w:rsid w:val="008968EB"/>
    <w:rsid w:val="008A2E31"/>
    <w:rsid w:val="008B1991"/>
    <w:rsid w:val="008D1350"/>
    <w:rsid w:val="008E7B68"/>
    <w:rsid w:val="008F1D3B"/>
    <w:rsid w:val="008F2613"/>
    <w:rsid w:val="009061E3"/>
    <w:rsid w:val="00906D07"/>
    <w:rsid w:val="0091494D"/>
    <w:rsid w:val="00922952"/>
    <w:rsid w:val="009260EB"/>
    <w:rsid w:val="00942D00"/>
    <w:rsid w:val="0095399D"/>
    <w:rsid w:val="0096676C"/>
    <w:rsid w:val="00986D86"/>
    <w:rsid w:val="00991A82"/>
    <w:rsid w:val="009A1EBC"/>
    <w:rsid w:val="009B3BFF"/>
    <w:rsid w:val="009D2A96"/>
    <w:rsid w:val="009D2D8B"/>
    <w:rsid w:val="009E17B1"/>
    <w:rsid w:val="009E3799"/>
    <w:rsid w:val="009E5B92"/>
    <w:rsid w:val="009F69EB"/>
    <w:rsid w:val="00A05089"/>
    <w:rsid w:val="00A1362C"/>
    <w:rsid w:val="00A17FA5"/>
    <w:rsid w:val="00A36CA7"/>
    <w:rsid w:val="00A425EA"/>
    <w:rsid w:val="00A544BD"/>
    <w:rsid w:val="00A57672"/>
    <w:rsid w:val="00A67543"/>
    <w:rsid w:val="00A67A28"/>
    <w:rsid w:val="00A74FAF"/>
    <w:rsid w:val="00A84D5F"/>
    <w:rsid w:val="00A93A24"/>
    <w:rsid w:val="00AA212C"/>
    <w:rsid w:val="00AE0812"/>
    <w:rsid w:val="00B01BA8"/>
    <w:rsid w:val="00B0260A"/>
    <w:rsid w:val="00B23BA9"/>
    <w:rsid w:val="00B27B15"/>
    <w:rsid w:val="00B45463"/>
    <w:rsid w:val="00B46F91"/>
    <w:rsid w:val="00B47615"/>
    <w:rsid w:val="00B6043A"/>
    <w:rsid w:val="00B60AC9"/>
    <w:rsid w:val="00B63B81"/>
    <w:rsid w:val="00B705FD"/>
    <w:rsid w:val="00B7698A"/>
    <w:rsid w:val="00B80432"/>
    <w:rsid w:val="00B81CAF"/>
    <w:rsid w:val="00B82893"/>
    <w:rsid w:val="00B85D24"/>
    <w:rsid w:val="00B94BA7"/>
    <w:rsid w:val="00BB2194"/>
    <w:rsid w:val="00BB5B99"/>
    <w:rsid w:val="00BE0FE0"/>
    <w:rsid w:val="00BF2791"/>
    <w:rsid w:val="00BF4505"/>
    <w:rsid w:val="00C0660D"/>
    <w:rsid w:val="00C235EB"/>
    <w:rsid w:val="00C34BDC"/>
    <w:rsid w:val="00C40E2F"/>
    <w:rsid w:val="00C56821"/>
    <w:rsid w:val="00C63153"/>
    <w:rsid w:val="00CA75AC"/>
    <w:rsid w:val="00CB419A"/>
    <w:rsid w:val="00CC4DCF"/>
    <w:rsid w:val="00CE550F"/>
    <w:rsid w:val="00D07867"/>
    <w:rsid w:val="00D12927"/>
    <w:rsid w:val="00D24807"/>
    <w:rsid w:val="00D43494"/>
    <w:rsid w:val="00D70026"/>
    <w:rsid w:val="00DC3818"/>
    <w:rsid w:val="00DD0978"/>
    <w:rsid w:val="00DD648F"/>
    <w:rsid w:val="00DE09DD"/>
    <w:rsid w:val="00DF1D89"/>
    <w:rsid w:val="00DF2093"/>
    <w:rsid w:val="00E363CD"/>
    <w:rsid w:val="00E408DE"/>
    <w:rsid w:val="00E558B8"/>
    <w:rsid w:val="00E70979"/>
    <w:rsid w:val="00E77CFB"/>
    <w:rsid w:val="00E82838"/>
    <w:rsid w:val="00EA0AC0"/>
    <w:rsid w:val="00EA5F03"/>
    <w:rsid w:val="00EB231E"/>
    <w:rsid w:val="00EB6623"/>
    <w:rsid w:val="00EE72C4"/>
    <w:rsid w:val="00EE7F21"/>
    <w:rsid w:val="00EF787A"/>
    <w:rsid w:val="00F10B57"/>
    <w:rsid w:val="00F20962"/>
    <w:rsid w:val="00F37B40"/>
    <w:rsid w:val="00F4082A"/>
    <w:rsid w:val="00F423FB"/>
    <w:rsid w:val="00F5768D"/>
    <w:rsid w:val="00F57F48"/>
    <w:rsid w:val="00F74548"/>
    <w:rsid w:val="00F86DB0"/>
    <w:rsid w:val="00FA4CE6"/>
    <w:rsid w:val="00FB1425"/>
    <w:rsid w:val="00FB5665"/>
    <w:rsid w:val="00FB7B4A"/>
    <w:rsid w:val="00FF5D53"/>
    <w:rsid w:val="07A629F5"/>
    <w:rsid w:val="08422F36"/>
    <w:rsid w:val="08D954E6"/>
    <w:rsid w:val="12FB4E66"/>
    <w:rsid w:val="19962231"/>
    <w:rsid w:val="1A994026"/>
    <w:rsid w:val="1B625919"/>
    <w:rsid w:val="1C496DD9"/>
    <w:rsid w:val="1F783A62"/>
    <w:rsid w:val="216F2B79"/>
    <w:rsid w:val="220E27AB"/>
    <w:rsid w:val="24FF24F2"/>
    <w:rsid w:val="2776604D"/>
    <w:rsid w:val="2A6E79FB"/>
    <w:rsid w:val="2FA7162B"/>
    <w:rsid w:val="301328EC"/>
    <w:rsid w:val="315949AA"/>
    <w:rsid w:val="3FC76C84"/>
    <w:rsid w:val="41AF184A"/>
    <w:rsid w:val="41E36A28"/>
    <w:rsid w:val="44D879CA"/>
    <w:rsid w:val="4C7D7101"/>
    <w:rsid w:val="4D7654C4"/>
    <w:rsid w:val="4FB55ED0"/>
    <w:rsid w:val="52207F33"/>
    <w:rsid w:val="53D835EA"/>
    <w:rsid w:val="56943AA4"/>
    <w:rsid w:val="59413023"/>
    <w:rsid w:val="64912607"/>
    <w:rsid w:val="66F84BEB"/>
    <w:rsid w:val="6ECE022D"/>
    <w:rsid w:val="726D6802"/>
    <w:rsid w:val="727B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9B305"/>
  <w15:docId w15:val="{00129965-0E19-4E02-9A27-AD117D62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bCs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eastAsiaTheme="minorEastAsia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qFormat/>
    <w:rPr>
      <w:rFonts w:ascii="Bookman Old Style" w:eastAsia="Times New Roman" w:hAnsi="Bookman Old Style" w:cs="Times New Roman"/>
      <w:b/>
      <w:bCs/>
      <w:sz w:val="24"/>
      <w:szCs w:val="24"/>
      <w:u w:val="single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NoSpacing">
    <w:name w:val="No Spacing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Style1">
    <w:name w:val="Style1"/>
    <w:uiPriority w:val="99"/>
    <w:rsid w:val="0046496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5a8f1c7c54ced117300a31ab80fdb6cf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e5bf3928b24d50e9851c65f16440570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Doctype xmlns="d42e65b2-cf21-49c1-b27d-d23f90380c0e">annex-1</Doctype>
    <Contributor xmlns="d42e65b2-cf21-49c1-b27d-d23f90380c0e">MAURITIUS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FE3BD7A6-6FC0-468B-B2E8-242D11ACE4E2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0B911CD7-73F1-4CAE-AEF9-121EE9791231}"/>
</file>

<file path=customXml/itemProps4.xml><?xml version="1.0" encoding="utf-8"?>
<ds:datastoreItem xmlns:ds="http://schemas.openxmlformats.org/officeDocument/2006/customXml" ds:itemID="{D7C35BEC-AA2E-4432-84CF-7D265C3AA2D4}"/>
</file>

<file path=customXml/itemProps5.xml><?xml version="1.0" encoding="utf-8"?>
<ds:datastoreItem xmlns:ds="http://schemas.openxmlformats.org/officeDocument/2006/customXml" ds:itemID="{2A6ADB84-7E85-4E37-A073-A9D53540DA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50</cp:revision>
  <cp:lastPrinted>2020-10-13T04:48:00Z</cp:lastPrinted>
  <dcterms:created xsi:type="dcterms:W3CDTF">2020-07-10T08:11:00Z</dcterms:created>
  <dcterms:modified xsi:type="dcterms:W3CDTF">2021-06-17T11:28:00Z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  <property fmtid="{D5CDD505-2E9C-101B-9397-08002B2CF9AE}" pid="3" name="ContentTypeId">
    <vt:lpwstr>0x0101009D953D6983EF5F4EB0B6A5354F975E96</vt:lpwstr>
  </property>
</Properties>
</file>