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C9552" w14:textId="77777777" w:rsidR="009B7D1E" w:rsidRPr="002A7288" w:rsidRDefault="009B7D1E" w:rsidP="009B7D1E">
      <w:pPr>
        <w:bidi/>
        <w:spacing w:after="200" w:line="276" w:lineRule="auto"/>
        <w:jc w:val="both"/>
        <w:rPr>
          <w:rFonts w:ascii="Arabic Typesetting" w:hAnsi="Arabic Typesetting" w:cs="Arabic Typesetting"/>
          <w:sz w:val="28"/>
          <w:szCs w:val="28"/>
        </w:rPr>
      </w:pPr>
    </w:p>
    <w:p w14:paraId="48C5FF8F" w14:textId="77777777" w:rsidR="004B31CF" w:rsidRPr="002A7288" w:rsidRDefault="004B31CF" w:rsidP="004B31CF">
      <w:pPr>
        <w:shd w:val="clear" w:color="auto" w:fill="FFFFFF" w:themeFill="background1"/>
        <w:bidi/>
        <w:jc w:val="center"/>
        <w:rPr>
          <w:rFonts w:ascii="Arabic Typesetting" w:hAnsi="Arabic Typesetting" w:cs="Arabic Typesetting"/>
          <w:b/>
          <w:bCs/>
          <w:color w:val="C00000"/>
          <w:sz w:val="28"/>
          <w:szCs w:val="28"/>
          <w:lang w:bidi="ar-MA"/>
        </w:rPr>
      </w:pPr>
    </w:p>
    <w:p w14:paraId="2087A60C" w14:textId="3F40B8D8" w:rsidR="004B31CF" w:rsidRPr="002A7288" w:rsidRDefault="004B31CF" w:rsidP="002A7288">
      <w:pPr>
        <w:pBdr>
          <w:top w:val="single" w:sz="4" w:space="1" w:color="auto"/>
          <w:left w:val="single" w:sz="4" w:space="4" w:color="auto"/>
          <w:bottom w:val="single" w:sz="4" w:space="1" w:color="auto"/>
          <w:right w:val="single" w:sz="4" w:space="4" w:color="auto"/>
        </w:pBdr>
        <w:shd w:val="clear" w:color="auto" w:fill="E7E6E6" w:themeFill="background2"/>
        <w:bidi/>
        <w:spacing w:before="300" w:after="150"/>
        <w:jc w:val="center"/>
        <w:outlineLvl w:val="2"/>
        <w:rPr>
          <w:rFonts w:ascii="Arabic Typesetting" w:hAnsi="Arabic Typesetting" w:cs="Arabic Typesetting"/>
          <w:b/>
          <w:bCs/>
          <w:sz w:val="28"/>
          <w:szCs w:val="28"/>
        </w:rPr>
      </w:pPr>
      <w:r w:rsidRPr="002A7288">
        <w:rPr>
          <w:rFonts w:ascii="Arabic Typesetting" w:hAnsi="Arabic Typesetting" w:cs="Arabic Typesetting"/>
          <w:b/>
          <w:bCs/>
          <w:sz w:val="28"/>
          <w:szCs w:val="28"/>
          <w:rtl/>
        </w:rPr>
        <w:t xml:space="preserve">تقرير حول حقوق </w:t>
      </w:r>
      <w:r w:rsidR="002A7288" w:rsidRPr="002A7288">
        <w:rPr>
          <w:rFonts w:ascii="Arabic Typesetting" w:hAnsi="Arabic Typesetting" w:cs="Arabic Typesetting"/>
          <w:b/>
          <w:bCs/>
          <w:sz w:val="28"/>
          <w:szCs w:val="28"/>
          <w:rtl/>
        </w:rPr>
        <w:t xml:space="preserve">الاشخاص المتعاطين للمخدرات و خاصة الخدرات القابلة للحقن وباقي الفئات المفتاحية من ممتهنات الجنس، الرجال الذين لهم علاقات مع الرجال وغيرهم </w:t>
      </w:r>
      <w:r w:rsidRPr="002A7288">
        <w:rPr>
          <w:rFonts w:ascii="Arabic Typesetting" w:hAnsi="Arabic Typesetting" w:cs="Arabic Typesetting"/>
          <w:b/>
          <w:bCs/>
          <w:sz w:val="28"/>
          <w:szCs w:val="28"/>
          <w:rtl/>
        </w:rPr>
        <w:t>والفئات</w:t>
      </w:r>
      <w:r w:rsidRPr="002A7288">
        <w:rPr>
          <w:rFonts w:ascii="Arabic Typesetting" w:hAnsi="Arabic Typesetting" w:cs="Arabic Typesetting"/>
          <w:b/>
          <w:bCs/>
          <w:sz w:val="28"/>
          <w:szCs w:val="28"/>
        </w:rPr>
        <w:t xml:space="preserve"> </w:t>
      </w:r>
      <w:r w:rsidRPr="002A7288">
        <w:rPr>
          <w:rFonts w:ascii="Arabic Typesetting" w:hAnsi="Arabic Typesetting" w:cs="Arabic Typesetting"/>
          <w:b/>
          <w:bCs/>
          <w:sz w:val="28"/>
          <w:szCs w:val="28"/>
          <w:rtl/>
        </w:rPr>
        <w:t>الأكثر عرضة للإصابة بالسيدا بشكل عام.</w:t>
      </w:r>
    </w:p>
    <w:p w14:paraId="0EF9D57B" w14:textId="77777777" w:rsidR="004B31CF" w:rsidRPr="002A7288" w:rsidRDefault="004B31CF" w:rsidP="004B31CF">
      <w:pPr>
        <w:shd w:val="clear" w:color="auto" w:fill="FFFFFF"/>
        <w:bidi/>
        <w:spacing w:before="300" w:after="150"/>
        <w:jc w:val="both"/>
        <w:outlineLvl w:val="2"/>
        <w:rPr>
          <w:rFonts w:ascii="Arabic Typesetting" w:hAnsi="Arabic Typesetting" w:cs="Arabic Typesetting"/>
          <w:b/>
          <w:bCs/>
          <w:color w:val="C00000"/>
          <w:sz w:val="28"/>
          <w:szCs w:val="28"/>
          <w:u w:val="single"/>
          <w:rtl/>
        </w:rPr>
      </w:pPr>
      <w:r w:rsidRPr="002A7288">
        <w:rPr>
          <w:rFonts w:ascii="Arabic Typesetting" w:hAnsi="Arabic Typesetting" w:cs="Arabic Typesetting"/>
          <w:b/>
          <w:bCs/>
          <w:color w:val="C00000"/>
          <w:sz w:val="28"/>
          <w:szCs w:val="28"/>
          <w:u w:val="single"/>
          <w:rtl/>
        </w:rPr>
        <w:t>السياق:</w:t>
      </w:r>
    </w:p>
    <w:p w14:paraId="217F8F3A" w14:textId="170B4A14" w:rsidR="004B31CF" w:rsidRPr="002A7288" w:rsidRDefault="004B31CF" w:rsidP="004B31CF">
      <w:pPr>
        <w:pStyle w:val="Standard"/>
        <w:bidi/>
        <w:spacing w:after="0"/>
        <w:jc w:val="both"/>
        <w:rPr>
          <w:rFonts w:ascii="Arabic Typesetting" w:eastAsia="Calibri" w:hAnsi="Arabic Typesetting" w:cs="Arabic Typesetting"/>
          <w:kern w:val="0"/>
          <w:sz w:val="28"/>
          <w:szCs w:val="28"/>
          <w:rtl/>
          <w:lang w:eastAsia="fr-FR"/>
        </w:rPr>
      </w:pPr>
      <w:r w:rsidRPr="002A7288">
        <w:rPr>
          <w:rFonts w:ascii="Arabic Typesetting" w:eastAsia="Calibri" w:hAnsi="Arabic Typesetting" w:cs="Arabic Typesetting"/>
          <w:kern w:val="0"/>
          <w:sz w:val="28"/>
          <w:szCs w:val="28"/>
          <w:rtl/>
          <w:lang w:eastAsia="fr-FR"/>
        </w:rPr>
        <w:t xml:space="preserve">بعيدا عن وضعية الهشاشة التي تعاني منها </w:t>
      </w:r>
      <w:r w:rsidR="00851D16" w:rsidRPr="002A7288">
        <w:rPr>
          <w:rFonts w:ascii="Arabic Typesetting" w:eastAsia="Calibri" w:hAnsi="Arabic Typesetting" w:cs="Arabic Typesetting"/>
          <w:kern w:val="0"/>
          <w:sz w:val="28"/>
          <w:szCs w:val="28"/>
          <w:rtl/>
          <w:lang w:eastAsia="fr-FR"/>
        </w:rPr>
        <w:t xml:space="preserve">الاشخاص </w:t>
      </w:r>
      <w:r w:rsidR="00851D16" w:rsidRPr="002A7288">
        <w:rPr>
          <w:rFonts w:ascii="Arabic Typesetting" w:hAnsi="Arabic Typesetting" w:cs="Arabic Typesetting"/>
          <w:sz w:val="28"/>
          <w:szCs w:val="28"/>
          <w:rtl/>
        </w:rPr>
        <w:t>ال</w:t>
      </w:r>
      <w:r w:rsidR="00851D16" w:rsidRPr="002A7288">
        <w:rPr>
          <w:rFonts w:ascii="Arabic Typesetting" w:eastAsia="Calibri" w:hAnsi="Arabic Typesetting" w:cs="Arabic Typesetting"/>
          <w:kern w:val="0"/>
          <w:sz w:val="28"/>
          <w:szCs w:val="28"/>
          <w:rtl/>
          <w:lang w:eastAsia="fr-FR"/>
        </w:rPr>
        <w:t>متعاطي</w:t>
      </w:r>
      <w:r w:rsidR="00851D16" w:rsidRPr="002A7288">
        <w:rPr>
          <w:rFonts w:ascii="Arabic Typesetting" w:hAnsi="Arabic Typesetting" w:cs="Arabic Typesetting"/>
          <w:sz w:val="28"/>
          <w:szCs w:val="28"/>
          <w:rtl/>
        </w:rPr>
        <w:t>ن</w:t>
      </w:r>
      <w:r w:rsidR="00851D16" w:rsidRPr="002A7288">
        <w:rPr>
          <w:rFonts w:ascii="Arabic Typesetting" w:eastAsia="Calibri" w:hAnsi="Arabic Typesetting" w:cs="Arabic Typesetting"/>
          <w:kern w:val="0"/>
          <w:sz w:val="28"/>
          <w:szCs w:val="28"/>
          <w:rtl/>
          <w:lang w:eastAsia="fr-FR"/>
        </w:rPr>
        <w:t xml:space="preserve"> </w:t>
      </w:r>
      <w:r w:rsidR="00851D16" w:rsidRPr="002A7288">
        <w:rPr>
          <w:rFonts w:ascii="Arabic Typesetting" w:hAnsi="Arabic Typesetting" w:cs="Arabic Typesetting"/>
          <w:sz w:val="28"/>
          <w:szCs w:val="28"/>
          <w:rtl/>
        </w:rPr>
        <w:t>ل</w:t>
      </w:r>
      <w:r w:rsidR="00851D16" w:rsidRPr="002A7288">
        <w:rPr>
          <w:rFonts w:ascii="Arabic Typesetting" w:eastAsia="Calibri" w:hAnsi="Arabic Typesetting" w:cs="Arabic Typesetting"/>
          <w:kern w:val="0"/>
          <w:sz w:val="28"/>
          <w:szCs w:val="28"/>
          <w:rtl/>
          <w:lang w:eastAsia="fr-FR"/>
        </w:rPr>
        <w:t>لمخدرات</w:t>
      </w:r>
      <w:r w:rsidR="00851D16" w:rsidRPr="002A7288">
        <w:rPr>
          <w:rFonts w:ascii="Arabic Typesetting" w:hAnsi="Arabic Typesetting" w:cs="Arabic Typesetting"/>
          <w:sz w:val="28"/>
          <w:szCs w:val="28"/>
          <w:rtl/>
        </w:rPr>
        <w:t xml:space="preserve"> و خاصة الخدرات </w:t>
      </w:r>
      <w:r w:rsidR="00851D16" w:rsidRPr="002A7288">
        <w:rPr>
          <w:rFonts w:ascii="Arabic Typesetting" w:eastAsia="Calibri" w:hAnsi="Arabic Typesetting" w:cs="Arabic Typesetting"/>
          <w:kern w:val="0"/>
          <w:sz w:val="28"/>
          <w:szCs w:val="28"/>
          <w:rtl/>
          <w:lang w:eastAsia="fr-FR"/>
        </w:rPr>
        <w:t xml:space="preserve">القابلة للحقن </w:t>
      </w:r>
      <w:r w:rsidR="00851D16" w:rsidRPr="002A7288">
        <w:rPr>
          <w:rFonts w:ascii="Arabic Typesetting" w:eastAsia="Calibri" w:hAnsi="Arabic Typesetting" w:cs="Arabic Typesetting"/>
          <w:kern w:val="0"/>
          <w:sz w:val="28"/>
          <w:szCs w:val="28"/>
          <w:rtl/>
          <w:lang w:eastAsia="fr-FR" w:bidi="ar-MA"/>
        </w:rPr>
        <w:t xml:space="preserve">وباقي </w:t>
      </w:r>
      <w:r w:rsidRPr="002A7288">
        <w:rPr>
          <w:rFonts w:ascii="Arabic Typesetting" w:eastAsia="Calibri" w:hAnsi="Arabic Typesetting" w:cs="Arabic Typesetting"/>
          <w:kern w:val="0"/>
          <w:sz w:val="28"/>
          <w:szCs w:val="28"/>
          <w:rtl/>
          <w:lang w:eastAsia="fr-FR"/>
        </w:rPr>
        <w:t>الفئات المفتاحية من ممتهنات الجنس، الرجال الذين لهم علاقات مع الرجال و</w:t>
      </w:r>
      <w:r w:rsidR="00851D16" w:rsidRPr="002A7288">
        <w:rPr>
          <w:rFonts w:ascii="Arabic Typesetting" w:eastAsia="Calibri" w:hAnsi="Arabic Typesetting" w:cs="Arabic Typesetting"/>
          <w:kern w:val="0"/>
          <w:sz w:val="28"/>
          <w:szCs w:val="28"/>
          <w:rtl/>
          <w:lang w:eastAsia="fr-FR"/>
        </w:rPr>
        <w:t xml:space="preserve">غيرهم </w:t>
      </w:r>
      <w:r w:rsidRPr="002A7288">
        <w:rPr>
          <w:rFonts w:ascii="Arabic Typesetting" w:eastAsia="Calibri" w:hAnsi="Arabic Typesetting" w:cs="Arabic Typesetting"/>
          <w:kern w:val="0"/>
          <w:sz w:val="28"/>
          <w:szCs w:val="28"/>
          <w:rtl/>
          <w:lang w:eastAsia="fr-FR"/>
        </w:rPr>
        <w:t>تجد هذه الفئات نفسها دائما في حالة مصادرة لحقوقها، مما يحول دون ولوجها لخدمات التوعية والحماية، والاستفادة من تحليل</w:t>
      </w:r>
      <w:r w:rsidRPr="002A7288">
        <w:rPr>
          <w:rFonts w:ascii="Arabic Typesetting" w:eastAsia="Calibri" w:hAnsi="Arabic Typesetting" w:cs="Arabic Typesetting"/>
          <w:kern w:val="0"/>
          <w:sz w:val="28"/>
          <w:szCs w:val="28"/>
          <w:lang w:eastAsia="fr-FR"/>
        </w:rPr>
        <w:t xml:space="preserve"> </w:t>
      </w:r>
      <w:r w:rsidR="00B8411A" w:rsidRPr="002A7288">
        <w:rPr>
          <w:rFonts w:ascii="Arabic Typesetting" w:eastAsia="Calibri" w:hAnsi="Arabic Typesetting" w:cs="Arabic Typesetting"/>
          <w:kern w:val="0"/>
          <w:sz w:val="28"/>
          <w:szCs w:val="28"/>
          <w:rtl/>
          <w:lang w:eastAsia="fr-FR"/>
        </w:rPr>
        <w:t>تشخيص</w:t>
      </w:r>
      <w:r w:rsidR="00B8411A" w:rsidRPr="002A7288">
        <w:rPr>
          <w:rFonts w:ascii="Arabic Typesetting" w:eastAsia="Calibri" w:hAnsi="Arabic Typesetting" w:cs="Arabic Typesetting"/>
          <w:kern w:val="0"/>
          <w:sz w:val="28"/>
          <w:szCs w:val="28"/>
          <w:lang w:eastAsia="fr-FR"/>
        </w:rPr>
        <w:t xml:space="preserve"> </w:t>
      </w:r>
      <w:r w:rsidR="00B8411A" w:rsidRPr="002A7288">
        <w:rPr>
          <w:rFonts w:ascii="Arabic Typesetting" w:eastAsia="Calibri" w:hAnsi="Arabic Typesetting" w:cs="Arabic Typesetting"/>
          <w:kern w:val="0"/>
          <w:sz w:val="28"/>
          <w:szCs w:val="28"/>
          <w:rtl/>
          <w:lang w:eastAsia="fr-FR"/>
        </w:rPr>
        <w:t>داء</w:t>
      </w:r>
      <w:r w:rsidRPr="002A7288">
        <w:rPr>
          <w:rFonts w:ascii="Arabic Typesetting" w:eastAsia="Calibri" w:hAnsi="Arabic Typesetting" w:cs="Arabic Typesetting"/>
          <w:kern w:val="0"/>
          <w:sz w:val="28"/>
          <w:szCs w:val="28"/>
          <w:rtl/>
          <w:lang w:eastAsia="fr-FR"/>
        </w:rPr>
        <w:t xml:space="preserve"> السيدا والالتهابات الكبدية "س" وخدمات العلاج المرتبطة بالإصابة بداء السيدا والالتهابات الكبدية "س" والعلاج بالمناهضات الأفيونية.</w:t>
      </w:r>
    </w:p>
    <w:p w14:paraId="35A658BF" w14:textId="6B3FD407" w:rsidR="004B31CF" w:rsidRPr="002A7288" w:rsidRDefault="004B31CF" w:rsidP="00BA6B61">
      <w:pPr>
        <w:shd w:val="clear" w:color="auto" w:fill="FFFFFF"/>
        <w:bidi/>
        <w:jc w:val="both"/>
        <w:rPr>
          <w:rFonts w:ascii="Arabic Typesetting" w:hAnsi="Arabic Typesetting" w:cs="Arabic Typesetting"/>
          <w:sz w:val="28"/>
          <w:szCs w:val="28"/>
          <w:rtl/>
        </w:rPr>
      </w:pPr>
      <w:r w:rsidRPr="002A7288">
        <w:rPr>
          <w:rFonts w:ascii="Arabic Typesetting" w:hAnsi="Arabic Typesetting" w:cs="Arabic Typesetting"/>
          <w:sz w:val="28"/>
          <w:szCs w:val="28"/>
          <w:rtl/>
        </w:rPr>
        <w:t xml:space="preserve">إن </w:t>
      </w:r>
      <w:r w:rsidR="00851D16" w:rsidRPr="002A7288">
        <w:rPr>
          <w:rFonts w:ascii="Arabic Typesetting" w:hAnsi="Arabic Typesetting" w:cs="Arabic Typesetting"/>
          <w:sz w:val="28"/>
          <w:szCs w:val="28"/>
          <w:rtl/>
        </w:rPr>
        <w:t xml:space="preserve">الاشخاص المتعاطين للمخدرات </w:t>
      </w:r>
      <w:r w:rsidR="00851D16" w:rsidRPr="002A7288">
        <w:rPr>
          <w:rFonts w:ascii="Arabic Typesetting" w:hAnsi="Arabic Typesetting" w:cs="Arabic Typesetting"/>
          <w:sz w:val="28"/>
          <w:szCs w:val="28"/>
          <w:rtl/>
          <w:lang w:bidi="ar-MA"/>
        </w:rPr>
        <w:t xml:space="preserve">وباقي </w:t>
      </w:r>
      <w:r w:rsidRPr="002A7288">
        <w:rPr>
          <w:rFonts w:ascii="Arabic Typesetting" w:hAnsi="Arabic Typesetting" w:cs="Arabic Typesetting"/>
          <w:sz w:val="28"/>
          <w:szCs w:val="28"/>
          <w:rtl/>
        </w:rPr>
        <w:t>الفئات المفتاحية ه</w:t>
      </w:r>
      <w:r w:rsidR="00851D16" w:rsidRPr="002A7288">
        <w:rPr>
          <w:rFonts w:ascii="Arabic Typesetting" w:hAnsi="Arabic Typesetting" w:cs="Arabic Typesetting"/>
          <w:sz w:val="28"/>
          <w:szCs w:val="28"/>
          <w:rtl/>
        </w:rPr>
        <w:t xml:space="preserve">م                                                      </w:t>
      </w:r>
      <w:r w:rsidRPr="002A7288">
        <w:rPr>
          <w:rFonts w:ascii="Arabic Typesetting" w:hAnsi="Arabic Typesetting" w:cs="Arabic Typesetting"/>
          <w:sz w:val="28"/>
          <w:szCs w:val="28"/>
          <w:rtl/>
        </w:rPr>
        <w:t xml:space="preserve">محور عمل مجال محاربة السيدا وقد أولاها المخطط الاستراتيجي الوطني لمحاربة السيدا لوزارة الصحة بالمغرب مكانة متميزة، من خلال إدراج أنشطة تقوم على الوقاية المركبة </w:t>
      </w:r>
    </w:p>
    <w:p w14:paraId="4D3B5763" w14:textId="77777777" w:rsidR="004B31CF" w:rsidRPr="002A7288" w:rsidRDefault="004B31CF" w:rsidP="004B31CF">
      <w:pPr>
        <w:shd w:val="clear" w:color="auto" w:fill="FFFFFF"/>
        <w:bidi/>
        <w:ind w:left="720"/>
        <w:jc w:val="both"/>
        <w:rPr>
          <w:rFonts w:ascii="Arabic Typesetting" w:hAnsi="Arabic Typesetting" w:cs="Arabic Typesetting"/>
          <w:sz w:val="28"/>
          <w:szCs w:val="28"/>
        </w:rPr>
      </w:pPr>
    </w:p>
    <w:p w14:paraId="78945EA8" w14:textId="0AB6025D" w:rsidR="004B31CF" w:rsidRPr="002A7288" w:rsidRDefault="004B31CF" w:rsidP="004B31CF">
      <w:pPr>
        <w:pStyle w:val="Standard"/>
        <w:bidi/>
        <w:rPr>
          <w:rFonts w:ascii="Arabic Typesetting" w:eastAsia="Times New Roman" w:hAnsi="Arabic Typesetting" w:cs="Arabic Typesetting"/>
          <w:kern w:val="0"/>
          <w:sz w:val="28"/>
          <w:szCs w:val="28"/>
          <w:lang w:eastAsia="fr-FR"/>
        </w:rPr>
      </w:pPr>
      <w:r w:rsidRPr="002A7288">
        <w:rPr>
          <w:rFonts w:ascii="Arabic Typesetting" w:eastAsia="Times New Roman" w:hAnsi="Arabic Typesetting" w:cs="Arabic Typesetting"/>
          <w:kern w:val="0"/>
          <w:sz w:val="28"/>
          <w:szCs w:val="28"/>
          <w:rtl/>
          <w:lang w:eastAsia="fr-FR"/>
        </w:rPr>
        <w:t>، وبالنظر لتعرض هذه الفئات للميز والتهميش وهدر لحقوقها وملاحقتها بعقوبات زجرية، يبقى ولوجها لتلك الخدمات محكوم بعدة عراقيل وصعوبات مما يضرب عرض الحائط وضع سياسات للتصدي فعالة مبنية على العمل عن القرب ووفق مقاربة جماعاتية. و علاقة بمتعاطي ومتعاطيات  المخدرات كفئة مفتاحية  تصنف الأكثر هشاشة ، أكدت المفوضية الاممية حول سياسات المخدرات في تقرير يونيو 2011،و كذلك دراستي المندوبية العليا لحقوق الانسان في سنة 2015 وسنة 2018،أن السياسات القائمة على الزجر تساهم في الحد من ولوج مستعملي المخدرات لخدمات الحد من المخاطر المرتبطة باستعمال المخدرات .بينما المقاربة المبنية على الحق في الصحة باعتبار الشخص المتعاطي هو شخص مريض و ليس مجرم اثبت فعاليتها و جدواها في تيسير الولوج للعلاج .فقد تأكد فشل المقاربات المبنية على الزجر و العقاب  ،مما يفرض التفكير في تحويل الخطاب الذي يضع الأشخاص متعاطي المخدرات في وضعية  التجريم و التمييز و الوصم .</w:t>
      </w:r>
    </w:p>
    <w:p w14:paraId="6F00503C" w14:textId="4D273C88" w:rsidR="004B31CF" w:rsidRPr="002A7288" w:rsidRDefault="00B8411A" w:rsidP="004B31CF">
      <w:pPr>
        <w:shd w:val="clear" w:color="auto" w:fill="FFFFFF"/>
        <w:bidi/>
        <w:spacing w:after="300"/>
        <w:jc w:val="both"/>
        <w:rPr>
          <w:rFonts w:ascii="Arabic Typesetting" w:hAnsi="Arabic Typesetting" w:cs="Arabic Typesetting"/>
          <w:sz w:val="28"/>
          <w:szCs w:val="28"/>
        </w:rPr>
      </w:pPr>
      <w:r w:rsidRPr="002A7288">
        <w:rPr>
          <w:rFonts w:ascii="Arabic Typesetting" w:hAnsi="Arabic Typesetting" w:cs="Arabic Typesetting"/>
          <w:sz w:val="28"/>
          <w:szCs w:val="28"/>
          <w:rtl/>
        </w:rPr>
        <w:t>ل</w:t>
      </w:r>
      <w:r w:rsidR="00CD2DEA" w:rsidRPr="002A7288">
        <w:rPr>
          <w:rFonts w:ascii="Arabic Typesetting" w:hAnsi="Arabic Typesetting" w:cs="Arabic Typesetting"/>
          <w:sz w:val="28"/>
          <w:szCs w:val="28"/>
          <w:rtl/>
        </w:rPr>
        <w:t xml:space="preserve">قذ اثبت </w:t>
      </w:r>
      <w:r w:rsidR="004B31CF" w:rsidRPr="002A7288">
        <w:rPr>
          <w:rFonts w:ascii="Arabic Typesetting" w:hAnsi="Arabic Typesetting" w:cs="Arabic Typesetting"/>
          <w:sz w:val="28"/>
          <w:szCs w:val="28"/>
          <w:rtl/>
        </w:rPr>
        <w:t xml:space="preserve">اليوم </w:t>
      </w:r>
      <w:r w:rsidR="00CD2DEA" w:rsidRPr="002A7288">
        <w:rPr>
          <w:rFonts w:ascii="Arabic Typesetting" w:hAnsi="Arabic Typesetting" w:cs="Arabic Typesetting"/>
          <w:sz w:val="28"/>
          <w:szCs w:val="28"/>
          <w:rtl/>
        </w:rPr>
        <w:t xml:space="preserve">من خلال تداعيات </w:t>
      </w:r>
      <w:r w:rsidR="004B31CF" w:rsidRPr="002A7288">
        <w:rPr>
          <w:rFonts w:ascii="Arabic Typesetting" w:hAnsi="Arabic Typesetting" w:cs="Arabic Typesetting"/>
          <w:sz w:val="28"/>
          <w:szCs w:val="28"/>
          <w:rtl/>
        </w:rPr>
        <w:t xml:space="preserve">جائحة كورونا التأكيد على ضرورة الانتصار لمقاربة مبنية على الحق في الصحة العامة و حقوق الانسان بقرب </w:t>
      </w:r>
      <w:r w:rsidRPr="002A7288">
        <w:rPr>
          <w:rFonts w:ascii="Arabic Typesetting" w:hAnsi="Arabic Typesetting" w:cs="Arabic Typesetting"/>
          <w:sz w:val="28"/>
          <w:szCs w:val="28"/>
          <w:rtl/>
        </w:rPr>
        <w:t xml:space="preserve">الاشخاص المتعاطين للمخدرات و خاصة الخدرات القابلة للحقن </w:t>
      </w:r>
      <w:r w:rsidRPr="002A7288">
        <w:rPr>
          <w:rFonts w:ascii="Arabic Typesetting" w:hAnsi="Arabic Typesetting" w:cs="Arabic Typesetting"/>
          <w:sz w:val="28"/>
          <w:szCs w:val="28"/>
          <w:rtl/>
          <w:lang w:bidi="ar-MA"/>
        </w:rPr>
        <w:t xml:space="preserve">وباقي </w:t>
      </w:r>
      <w:r w:rsidRPr="002A7288">
        <w:rPr>
          <w:rFonts w:ascii="Arabic Typesetting" w:hAnsi="Arabic Typesetting" w:cs="Arabic Typesetting"/>
          <w:sz w:val="28"/>
          <w:szCs w:val="28"/>
          <w:rtl/>
        </w:rPr>
        <w:t xml:space="preserve">الفئات المفتاحية من ممتهنات الجنس، الرجال الذين لهم علاقات مع الرجال وغيرهم </w:t>
      </w:r>
      <w:r w:rsidR="004B31CF" w:rsidRPr="002A7288">
        <w:rPr>
          <w:rFonts w:ascii="Arabic Typesetting" w:hAnsi="Arabic Typesetting" w:cs="Arabic Typesetting"/>
          <w:sz w:val="28"/>
          <w:szCs w:val="28"/>
          <w:rtl/>
        </w:rPr>
        <w:t xml:space="preserve">، لتعزيز وصول هذه الفئة الهشة و الأكثر عرضة للإصابة بداء السيدا و الالتهابات الكبدية "س"  بالإضافة إلى السل وخطر الوفاة بالجرعة الزائدة إلى الخدمات الصحية الأساسية و العلاج بالمناهضات الأفيونية  . فلا يمكن للقوانين والنصوص التطبيقية القائمة على التجريم إلا أن تكون حاجزا لولوج الوقاية والعلاج المرتبطين بداء السيدا وباقي الأوبئة. </w:t>
      </w:r>
      <w:r w:rsidR="004B31CF" w:rsidRPr="002A7288">
        <w:rPr>
          <w:rFonts w:ascii="Arabic Typesetting" w:hAnsi="Arabic Typesetting" w:cs="Arabic Typesetting"/>
          <w:color w:val="212121"/>
          <w:sz w:val="28"/>
          <w:szCs w:val="28"/>
          <w:rtl/>
          <w:lang w:bidi="ar"/>
        </w:rPr>
        <w:t>فقد تكون لقوانين الآثار الإيجابية أو السلبية على مكافحة السيدا . وهكذا ، القوانين التي تجرم السلوكات المثلية ، والدعارة أو استعمال المخدرات عبر الحقن لها تأثير إبعاد الفئات الأكثر هشاشة من الخدمات الاجتماعية والصحية التي يمكن أن تساعدهم . ان العلاجات الحالية لفيروس نقص المناعة البشرية قادرة على خفض العدوى من شخص إلى مستوى قريب من الصفر . لذلك هناك مزايا جلية للصحة العمومية لضمان أن يتم تشجيع الأشخاص الأكثر عرضة للفيروس للمشاركة طواعية في الفحص و تلقي العلاج المناسب .</w:t>
      </w:r>
    </w:p>
    <w:p w14:paraId="7A12FBB7" w14:textId="77777777" w:rsidR="004B31CF" w:rsidRPr="002A7288" w:rsidRDefault="004B31CF" w:rsidP="004B31CF">
      <w:pPr>
        <w:shd w:val="clear" w:color="auto" w:fill="FFFFFF"/>
        <w:bidi/>
        <w:spacing w:before="300" w:after="150"/>
        <w:jc w:val="both"/>
        <w:outlineLvl w:val="2"/>
        <w:rPr>
          <w:rFonts w:ascii="Arabic Typesetting" w:hAnsi="Arabic Typesetting" w:cs="Arabic Typesetting"/>
          <w:b/>
          <w:bCs/>
          <w:color w:val="C00000"/>
          <w:sz w:val="28"/>
          <w:szCs w:val="28"/>
          <w:u w:val="single"/>
          <w:rtl/>
        </w:rPr>
      </w:pPr>
      <w:r w:rsidRPr="002A7288">
        <w:rPr>
          <w:rFonts w:ascii="Arabic Typesetting" w:hAnsi="Arabic Typesetting" w:cs="Arabic Typesetting"/>
          <w:b/>
          <w:bCs/>
          <w:color w:val="C00000"/>
          <w:sz w:val="28"/>
          <w:szCs w:val="28"/>
          <w:u w:val="single"/>
          <w:rtl/>
        </w:rPr>
        <w:lastRenderedPageBreak/>
        <w:t>الفئات الأكثر عرضة وعلاقتها بالقانون</w:t>
      </w:r>
    </w:p>
    <w:p w14:paraId="54CA30C1" w14:textId="77777777" w:rsidR="004B31CF" w:rsidRPr="002A7288" w:rsidRDefault="004B31CF" w:rsidP="004B31CF">
      <w:pPr>
        <w:autoSpaceDE w:val="0"/>
        <w:autoSpaceDN w:val="0"/>
        <w:adjustRightInd w:val="0"/>
        <w:rPr>
          <w:rFonts w:ascii="Arabic Typesetting" w:hAnsi="Arabic Typesetting" w:cs="Arabic Typesetting"/>
          <w:b/>
          <w:bCs/>
          <w:kern w:val="24"/>
          <w:sz w:val="28"/>
          <w:szCs w:val="28"/>
          <w:u w:val="single"/>
          <w:rtl/>
        </w:rPr>
      </w:pPr>
    </w:p>
    <w:p w14:paraId="6BBD4D7A" w14:textId="77777777" w:rsidR="004B31CF" w:rsidRPr="002A7288" w:rsidRDefault="004B31CF" w:rsidP="004B31CF">
      <w:pPr>
        <w:pStyle w:val="HTMLPreformatted"/>
        <w:bidi/>
        <w:spacing w:line="0" w:lineRule="atLeast"/>
        <w:rPr>
          <w:rFonts w:ascii="Arabic Typesetting" w:hAnsi="Arabic Typesetting" w:cs="Arabic Typesetting"/>
          <w:b/>
          <w:bCs/>
          <w:color w:val="212121"/>
          <w:sz w:val="28"/>
          <w:szCs w:val="28"/>
          <w:rtl/>
          <w:lang w:bidi="ar-MA"/>
        </w:rPr>
      </w:pPr>
      <w:r w:rsidRPr="002A7288">
        <w:rPr>
          <w:rFonts w:ascii="Arabic Typesetting" w:hAnsi="Arabic Typesetting" w:cs="Arabic Typesetting"/>
          <w:b/>
          <w:bCs/>
          <w:color w:val="212121"/>
          <w:sz w:val="28"/>
          <w:szCs w:val="28"/>
          <w:rtl/>
          <w:lang w:bidi="ar-MA"/>
        </w:rPr>
        <w:t xml:space="preserve">السياق المغربي </w:t>
      </w:r>
    </w:p>
    <w:p w14:paraId="58523AB4" w14:textId="77777777" w:rsidR="004B31CF" w:rsidRPr="002A7288" w:rsidRDefault="004B31CF" w:rsidP="004B31CF">
      <w:pPr>
        <w:pStyle w:val="HTMLPreformatted"/>
        <w:bidi/>
        <w:spacing w:line="0" w:lineRule="atLeast"/>
        <w:rPr>
          <w:rFonts w:ascii="Arabic Typesetting" w:hAnsi="Arabic Typesetting" w:cs="Arabic Typesetting"/>
          <w:color w:val="212121"/>
          <w:sz w:val="28"/>
          <w:szCs w:val="28"/>
          <w:rtl/>
          <w:lang w:bidi="ar-MA"/>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4B31CF" w:rsidRPr="002A7288" w14:paraId="3356005A" w14:textId="77777777" w:rsidTr="00297152">
        <w:tc>
          <w:tcPr>
            <w:tcW w:w="9212" w:type="dxa"/>
          </w:tcPr>
          <w:p w14:paraId="65A2EF1E" w14:textId="77777777" w:rsidR="004B31CF" w:rsidRPr="002A7288" w:rsidRDefault="004B31CF" w:rsidP="00297152">
            <w:pPr>
              <w:pStyle w:val="HTMLPreformatted"/>
              <w:shd w:val="clear" w:color="auto" w:fill="FFFFFF"/>
              <w:bidi/>
              <w:rPr>
                <w:rFonts w:ascii="Arabic Typesetting" w:hAnsi="Arabic Typesetting" w:cs="Arabic Typesetting"/>
                <w:color w:val="212121"/>
                <w:sz w:val="28"/>
                <w:szCs w:val="28"/>
                <w:rtl/>
                <w:lang w:bidi="ar-MA"/>
              </w:rPr>
            </w:pPr>
          </w:p>
          <w:p w14:paraId="43D34340" w14:textId="77777777" w:rsidR="00AA1FE6" w:rsidRPr="002A7288" w:rsidRDefault="00AA1FE6" w:rsidP="00AA1FE6">
            <w:pPr>
              <w:jc w:val="right"/>
              <w:rPr>
                <w:rFonts w:ascii="Arabic Typesetting" w:hAnsi="Arabic Typesetting" w:cs="Arabic Typesetting"/>
                <w:b/>
                <w:bCs/>
                <w:color w:val="4472C4" w:themeColor="accent1"/>
                <w:sz w:val="28"/>
                <w:szCs w:val="28"/>
                <w:u w:val="single"/>
                <w:rtl/>
              </w:rPr>
            </w:pPr>
            <w:r w:rsidRPr="002A7288">
              <w:rPr>
                <w:rFonts w:ascii="Arabic Typesetting" w:hAnsi="Arabic Typesetting" w:cs="Arabic Typesetting"/>
                <w:b/>
                <w:bCs/>
                <w:color w:val="4472C4" w:themeColor="accent1"/>
                <w:sz w:val="28"/>
                <w:szCs w:val="28"/>
                <w:u w:val="single"/>
                <w:rtl/>
              </w:rPr>
              <w:t>مستهلكو المخدرات عبر الحقن</w:t>
            </w:r>
          </w:p>
          <w:p w14:paraId="1AC7D188" w14:textId="77777777" w:rsidR="00AA1FE6" w:rsidRPr="002A7288" w:rsidRDefault="00AA1FE6" w:rsidP="00AA1FE6">
            <w:pPr>
              <w:pStyle w:val="HTMLPreformatted"/>
              <w:shd w:val="clear" w:color="auto" w:fill="FFFFFF"/>
              <w:bidi/>
              <w:rPr>
                <w:rFonts w:ascii="Arabic Typesetting" w:hAnsi="Arabic Typesetting" w:cs="Arabic Typesetting"/>
                <w:color w:val="212121"/>
                <w:sz w:val="28"/>
                <w:szCs w:val="28"/>
                <w:rtl/>
                <w:lang w:bidi="ar"/>
              </w:rPr>
            </w:pPr>
          </w:p>
          <w:p w14:paraId="7EBE1BBB" w14:textId="77777777" w:rsidR="00AA1FE6" w:rsidRPr="002A7288" w:rsidRDefault="00AA1FE6" w:rsidP="00AA1FE6">
            <w:pPr>
              <w:pStyle w:val="HTMLPreformatted"/>
              <w:bidi/>
              <w:spacing w:line="0" w:lineRule="atLeast"/>
              <w:rPr>
                <w:rFonts w:ascii="Arabic Typesetting" w:hAnsi="Arabic Typesetting" w:cs="Arabic Typesetting"/>
                <w:color w:val="212121"/>
                <w:sz w:val="28"/>
                <w:szCs w:val="28"/>
                <w:lang w:bidi="ar"/>
              </w:rPr>
            </w:pPr>
            <w:r w:rsidRPr="002A7288">
              <w:rPr>
                <w:rFonts w:ascii="Arabic Typesetting" w:hAnsi="Arabic Typesetting" w:cs="Arabic Typesetting"/>
                <w:color w:val="212121"/>
                <w:sz w:val="28"/>
                <w:szCs w:val="28"/>
                <w:rtl/>
                <w:lang w:bidi="ar"/>
              </w:rPr>
              <w:t>رغم أن التقديرات تشير إلى أن متعاطي المخدرات عبر الحقن ، 0،2إلى -0،5 ٪ من سكان العالم ، إلا أنها تشكل حوالي 5 إلى 10 في المئة من العدد الإجمالي للأشخاص الذين يتعايشون مع فيروس نقص المناعة البشرية . ذكرت جميع المناطق ارتفاع معدل انتشار فيروس نقص المناعة البشرية في أوساط هذه الفئة من السكان . ويبقى وصول متعاطي المخدرات عبر الحقن إلى خدمات الوقاية من فيروس نقص المناعة البشرية محدود.</w:t>
            </w:r>
          </w:p>
          <w:p w14:paraId="704AB0C3" w14:textId="77777777" w:rsidR="004B31CF" w:rsidRPr="002A7288" w:rsidRDefault="004B31CF" w:rsidP="00297152">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032"/>
              </w:tabs>
              <w:bidi/>
              <w:rPr>
                <w:rFonts w:ascii="Arabic Typesetting" w:hAnsi="Arabic Typesetting" w:cs="Arabic Typesetting"/>
                <w:color w:val="212121"/>
                <w:sz w:val="28"/>
                <w:szCs w:val="28"/>
                <w:rtl/>
                <w:lang w:bidi="ar-MA"/>
              </w:rPr>
            </w:pPr>
            <w:r w:rsidRPr="002A7288">
              <w:rPr>
                <w:rFonts w:ascii="Arabic Typesetting" w:hAnsi="Arabic Typesetting" w:cs="Arabic Typesetting"/>
                <w:color w:val="212121"/>
                <w:sz w:val="28"/>
                <w:szCs w:val="28"/>
                <w:rtl/>
                <w:lang w:bidi="ar-MA"/>
              </w:rPr>
              <w:tab/>
            </w:r>
          </w:p>
          <w:p w14:paraId="7C6C2884" w14:textId="77777777" w:rsidR="004B31CF" w:rsidRPr="002A7288" w:rsidRDefault="004B31CF" w:rsidP="00297152">
            <w:pPr>
              <w:pStyle w:val="HTMLPreformatted"/>
              <w:bidi/>
              <w:spacing w:line="0" w:lineRule="atLeast"/>
              <w:rPr>
                <w:rFonts w:ascii="Arabic Typesetting" w:hAnsi="Arabic Typesetting" w:cs="Arabic Typesetting"/>
                <w:color w:val="212121"/>
                <w:sz w:val="28"/>
                <w:szCs w:val="28"/>
                <w:lang w:bidi="ar-MA"/>
              </w:rPr>
            </w:pPr>
            <w:r w:rsidRPr="002A7288">
              <w:rPr>
                <w:rFonts w:ascii="Arabic Typesetting" w:hAnsi="Arabic Typesetting" w:cs="Arabic Typesetting"/>
                <w:color w:val="212121"/>
                <w:sz w:val="28"/>
                <w:szCs w:val="28"/>
                <w:rtl/>
                <w:lang w:bidi="ar-MA"/>
              </w:rPr>
              <w:t>وبالإضافة إلى المخاطر الصحية ، تشكل المقاربة القمعية لسياسة المخدرات والتجريم و الجواب الجنائي ، والعديد من الانتهاكات الأخرى لحقوق الإنسان العناصر التي تقف عقبة أمام تنفيذ وفعالية سياسات الحد من المخاطر  والحصول على الرعاية و أدوات الوقاية والتدخلات الرامية إلى محاربة السيدا، وبالتالي شكل قيدا على الصحة العمومية .</w:t>
            </w:r>
          </w:p>
          <w:p w14:paraId="5C5B3D92" w14:textId="77777777" w:rsidR="004B31CF" w:rsidRPr="002A7288" w:rsidRDefault="004B31CF" w:rsidP="00297152">
            <w:pPr>
              <w:pStyle w:val="HTMLPreformatted"/>
              <w:bidi/>
              <w:spacing w:line="0" w:lineRule="atLeast"/>
              <w:rPr>
                <w:rFonts w:ascii="Arabic Typesetting" w:hAnsi="Arabic Typesetting" w:cs="Arabic Typesetting"/>
                <w:color w:val="212121"/>
                <w:sz w:val="28"/>
                <w:szCs w:val="28"/>
                <w:rtl/>
                <w:lang w:bidi="ar-MA"/>
              </w:rPr>
            </w:pPr>
          </w:p>
        </w:tc>
      </w:tr>
    </w:tbl>
    <w:p w14:paraId="05584F45" w14:textId="77777777" w:rsidR="004B31CF" w:rsidRPr="002A7288" w:rsidRDefault="004B31CF" w:rsidP="004B31CF">
      <w:pPr>
        <w:pStyle w:val="HTMLPreformatted"/>
        <w:bidi/>
        <w:spacing w:line="0" w:lineRule="atLeast"/>
        <w:rPr>
          <w:rFonts w:ascii="Arabic Typesetting" w:hAnsi="Arabic Typesetting" w:cs="Arabic Typesetting"/>
          <w:color w:val="212121"/>
          <w:sz w:val="28"/>
          <w:szCs w:val="28"/>
          <w:lang w:bidi="ar-MA"/>
        </w:rPr>
      </w:pPr>
    </w:p>
    <w:p w14:paraId="763072A6" w14:textId="77777777" w:rsidR="009F00FC" w:rsidRDefault="004622D6" w:rsidP="009F00FC">
      <w:pPr>
        <w:pStyle w:val="HTMLPreformatted"/>
        <w:shd w:val="clear" w:color="auto" w:fill="ED7D31" w:themeFill="accent2"/>
        <w:bidi/>
        <w:jc w:val="center"/>
        <w:rPr>
          <w:rFonts w:ascii="Arabic Typesetting" w:hAnsi="Arabic Typesetting" w:cs="Arabic Typesetting"/>
          <w:b/>
          <w:bCs/>
          <w:color w:val="4472C4" w:themeColor="accent1"/>
          <w:sz w:val="28"/>
          <w:szCs w:val="28"/>
          <w:u w:val="single"/>
          <w:rtl/>
        </w:rPr>
      </w:pPr>
      <w:r>
        <w:rPr>
          <w:rFonts w:ascii="Arabic Typesetting" w:hAnsi="Arabic Typesetting" w:cs="Arabic Typesetting" w:hint="cs"/>
          <w:b/>
          <w:bCs/>
          <w:color w:val="4472C4" w:themeColor="accent1"/>
          <w:sz w:val="28"/>
          <w:szCs w:val="28"/>
          <w:u w:val="single"/>
          <w:rtl/>
        </w:rPr>
        <w:t>ونفس الشيء يسري على</w:t>
      </w:r>
    </w:p>
    <w:p w14:paraId="35CC0999" w14:textId="5B1A1874" w:rsidR="009F00FC" w:rsidRDefault="004622D6" w:rsidP="009F00FC">
      <w:pPr>
        <w:pStyle w:val="HTMLPreformatted"/>
        <w:shd w:val="clear" w:color="auto" w:fill="ED7D31" w:themeFill="accent2"/>
        <w:bidi/>
        <w:jc w:val="center"/>
        <w:rPr>
          <w:rFonts w:ascii="Arabic Typesetting" w:hAnsi="Arabic Typesetting" w:cs="Arabic Typesetting"/>
          <w:b/>
          <w:bCs/>
          <w:color w:val="4472C4" w:themeColor="accent1"/>
          <w:sz w:val="28"/>
          <w:szCs w:val="28"/>
          <w:u w:val="single"/>
          <w:rtl/>
        </w:rPr>
      </w:pPr>
      <w:r w:rsidRPr="002A7288">
        <w:rPr>
          <w:rFonts w:ascii="Arabic Typesetting" w:hAnsi="Arabic Typesetting" w:cs="Arabic Typesetting"/>
          <w:b/>
          <w:bCs/>
          <w:color w:val="4472C4" w:themeColor="accent1"/>
          <w:sz w:val="28"/>
          <w:szCs w:val="28"/>
          <w:u w:val="single"/>
          <w:rtl/>
        </w:rPr>
        <w:t xml:space="preserve">ممتهنات </w:t>
      </w:r>
      <w:r>
        <w:rPr>
          <w:rFonts w:ascii="Arabic Typesetting" w:hAnsi="Arabic Typesetting" w:cs="Arabic Typesetting" w:hint="cs"/>
          <w:b/>
          <w:bCs/>
          <w:color w:val="4472C4" w:themeColor="accent1"/>
          <w:sz w:val="28"/>
          <w:szCs w:val="28"/>
          <w:u w:val="single"/>
          <w:rtl/>
        </w:rPr>
        <w:t>ا</w:t>
      </w:r>
      <w:r w:rsidR="004B31CF" w:rsidRPr="002A7288">
        <w:rPr>
          <w:rFonts w:ascii="Arabic Typesetting" w:hAnsi="Arabic Typesetting" w:cs="Arabic Typesetting"/>
          <w:b/>
          <w:bCs/>
          <w:color w:val="4472C4" w:themeColor="accent1"/>
          <w:sz w:val="28"/>
          <w:szCs w:val="28"/>
          <w:u w:val="single"/>
          <w:rtl/>
        </w:rPr>
        <w:t>لجنس</w:t>
      </w:r>
    </w:p>
    <w:p w14:paraId="7F654420" w14:textId="1328EF0A" w:rsidR="009F00FC" w:rsidRPr="002A7288" w:rsidRDefault="004622D6" w:rsidP="009F00FC">
      <w:pPr>
        <w:pStyle w:val="HTMLPreformatted"/>
        <w:shd w:val="clear" w:color="auto" w:fill="ED7D31" w:themeFill="accent2"/>
        <w:bidi/>
        <w:jc w:val="center"/>
        <w:rPr>
          <w:rFonts w:ascii="Arabic Typesetting" w:eastAsia="Calibri" w:hAnsi="Arabic Typesetting" w:cs="Arabic Typesetting"/>
          <w:b/>
          <w:bCs/>
          <w:color w:val="C0504D"/>
          <w:sz w:val="28"/>
          <w:szCs w:val="28"/>
          <w:u w:val="single"/>
          <w:rtl/>
          <w:lang w:eastAsia="en-US"/>
        </w:rPr>
      </w:pPr>
      <w:r>
        <w:rPr>
          <w:rFonts w:ascii="Arabic Typesetting" w:hAnsi="Arabic Typesetting" w:cs="Arabic Typesetting" w:hint="cs"/>
          <w:b/>
          <w:bCs/>
          <w:color w:val="4472C4" w:themeColor="accent1"/>
          <w:sz w:val="28"/>
          <w:szCs w:val="28"/>
          <w:u w:val="single"/>
          <w:rtl/>
        </w:rPr>
        <w:t>و</w:t>
      </w:r>
    </w:p>
    <w:p w14:paraId="27E5C3FD" w14:textId="6AF38C1D" w:rsidR="004B31CF" w:rsidRPr="002A7288" w:rsidRDefault="009F00FC" w:rsidP="009F00FC">
      <w:pPr>
        <w:shd w:val="clear" w:color="auto" w:fill="ED7D31" w:themeFill="accent2"/>
        <w:jc w:val="center"/>
        <w:rPr>
          <w:rFonts w:ascii="Arabic Typesetting" w:hAnsi="Arabic Typesetting" w:cs="Arabic Typesetting"/>
          <w:sz w:val="28"/>
          <w:szCs w:val="28"/>
          <w:rtl/>
        </w:rPr>
      </w:pPr>
      <w:r w:rsidRPr="002A7288">
        <w:rPr>
          <w:rFonts w:ascii="Arabic Typesetting" w:hAnsi="Arabic Typesetting" w:cs="Arabic Typesetting"/>
          <w:b/>
          <w:bCs/>
          <w:color w:val="4472C4" w:themeColor="accent1"/>
          <w:sz w:val="28"/>
          <w:szCs w:val="28"/>
          <w:u w:val="single"/>
          <w:rtl/>
        </w:rPr>
        <w:t>الرجال الذين لديهم علاقات جنسية مع الرجال</w:t>
      </w:r>
    </w:p>
    <w:p w14:paraId="7618BC75" w14:textId="36BE651A" w:rsidR="004B31CF" w:rsidRPr="009F00FC" w:rsidRDefault="004B31CF" w:rsidP="009F00FC">
      <w:pPr>
        <w:jc w:val="right"/>
        <w:rPr>
          <w:rFonts w:ascii="Arabic Typesetting" w:hAnsi="Arabic Typesetting" w:cs="Arabic Typesetting"/>
          <w:b/>
          <w:bCs/>
          <w:color w:val="C0504D"/>
          <w:sz w:val="28"/>
          <w:szCs w:val="28"/>
          <w:u w:val="single"/>
          <w:rtl/>
          <w:lang w:eastAsia="en-US"/>
        </w:rPr>
      </w:pPr>
      <w:r w:rsidRPr="002A7288">
        <w:rPr>
          <w:rFonts w:ascii="Arabic Typesetting" w:hAnsi="Arabic Typesetting" w:cs="Arabic Typesetting"/>
          <w:b/>
          <w:bCs/>
          <w:color w:val="C0504D"/>
          <w:sz w:val="28"/>
          <w:szCs w:val="28"/>
          <w:u w:val="single"/>
          <w:rtl/>
          <w:lang w:eastAsia="en-US"/>
        </w:rPr>
        <w:t xml:space="preserve"> </w:t>
      </w:r>
    </w:p>
    <w:p w14:paraId="2E02BBC2" w14:textId="77777777" w:rsidR="004B31CF" w:rsidRPr="002A7288" w:rsidRDefault="004B31CF" w:rsidP="004B31CF">
      <w:pPr>
        <w:shd w:val="clear" w:color="auto" w:fill="FFFFFF"/>
        <w:bidi/>
        <w:spacing w:before="300" w:after="150"/>
        <w:jc w:val="both"/>
        <w:outlineLvl w:val="2"/>
        <w:rPr>
          <w:rFonts w:ascii="Arabic Typesetting" w:hAnsi="Arabic Typesetting" w:cs="Arabic Typesetting"/>
          <w:sz w:val="28"/>
          <w:szCs w:val="28"/>
          <w:rtl/>
        </w:rPr>
      </w:pPr>
      <w:r w:rsidRPr="002A7288">
        <w:rPr>
          <w:rFonts w:ascii="Arabic Typesetting" w:hAnsi="Arabic Typesetting" w:cs="Arabic Typesetting"/>
          <w:b/>
          <w:bCs/>
          <w:color w:val="C00000"/>
          <w:sz w:val="28"/>
          <w:szCs w:val="28"/>
          <w:u w:val="single"/>
          <w:rtl/>
        </w:rPr>
        <w:t xml:space="preserve">تأثير القوانين على محاربة السيدا </w:t>
      </w:r>
    </w:p>
    <w:p w14:paraId="39E9C0A4" w14:textId="77777777" w:rsidR="004B31CF" w:rsidRPr="002A7288" w:rsidRDefault="004B31CF" w:rsidP="004B31CF">
      <w:pPr>
        <w:pStyle w:val="HTMLPreformatted"/>
        <w:bidi/>
        <w:spacing w:line="0" w:lineRule="atLeast"/>
        <w:rPr>
          <w:rFonts w:ascii="Arabic Typesetting" w:hAnsi="Arabic Typesetting" w:cs="Arabic Typesetting"/>
          <w:color w:val="212121"/>
          <w:sz w:val="28"/>
          <w:szCs w:val="28"/>
          <w:rtl/>
          <w:lang w:bidi="ar-MA"/>
        </w:rPr>
      </w:pPr>
      <w:r w:rsidRPr="002A7288">
        <w:rPr>
          <w:rFonts w:ascii="Arabic Typesetting" w:hAnsi="Arabic Typesetting" w:cs="Arabic Typesetting"/>
          <w:color w:val="212121"/>
          <w:sz w:val="28"/>
          <w:szCs w:val="28"/>
          <w:rtl/>
          <w:lang w:bidi="ar-MA"/>
        </w:rPr>
        <w:t>التشريع هو أداة لا تتناسب جيدا و غالبا غير فعالة في مكافحة السلوكات الشخصية للغاية أو جزءا لا يتجزأ من السياقات الاجتماعية و الاقتصادية المعقدة . عموما لتجريم العاملات في الجنس ، ومتعاطي المخدرات، و الرجال الذين يمارسون الجنس مع الرجال تأثير عكسي على مكافحة السيدا .</w:t>
      </w:r>
    </w:p>
    <w:p w14:paraId="57903223" w14:textId="77777777" w:rsidR="004B31CF" w:rsidRPr="002A7288" w:rsidRDefault="004B31CF" w:rsidP="004B31CF">
      <w:pPr>
        <w:pStyle w:val="HTMLPreformatted"/>
        <w:shd w:val="clear" w:color="auto" w:fill="FFFFFF"/>
        <w:bidi/>
        <w:rPr>
          <w:rFonts w:ascii="Arabic Typesetting" w:hAnsi="Arabic Typesetting" w:cs="Arabic Typesetting"/>
          <w:color w:val="212121"/>
          <w:sz w:val="28"/>
          <w:szCs w:val="28"/>
          <w:lang w:bidi="ar-MA"/>
        </w:rPr>
      </w:pPr>
      <w:r w:rsidRPr="002A7288">
        <w:rPr>
          <w:rFonts w:ascii="Arabic Typesetting" w:hAnsi="Arabic Typesetting" w:cs="Arabic Typesetting"/>
          <w:color w:val="212121"/>
          <w:sz w:val="28"/>
          <w:szCs w:val="28"/>
          <w:rtl/>
          <w:lang w:bidi="ar-MA"/>
        </w:rPr>
        <w:t xml:space="preserve">القوانين التي لا تفيد في مكافحة فيروس نقص المناعة البشرية هي القوانين التي تقيم التمييز أو تعاقب سلوك أو تصرف من الفئات الأكثر عرضة للإصابة بفيروس نقص المناعة البشرية </w:t>
      </w:r>
    </w:p>
    <w:p w14:paraId="51E04B65" w14:textId="77777777" w:rsidR="004B31CF" w:rsidRPr="002A7288" w:rsidRDefault="004B31CF" w:rsidP="004B31CF">
      <w:pPr>
        <w:shd w:val="clear" w:color="auto" w:fill="FFFFFF"/>
        <w:tabs>
          <w:tab w:val="left" w:pos="1832"/>
        </w:tabs>
        <w:bidi/>
        <w:jc w:val="both"/>
        <w:rPr>
          <w:rFonts w:ascii="Arabic Typesetting" w:hAnsi="Arabic Typesetting" w:cs="Arabic Typesetting"/>
          <w:color w:val="212121"/>
          <w:sz w:val="28"/>
          <w:szCs w:val="28"/>
          <w:rtl/>
          <w:lang w:bidi="ar-MA"/>
        </w:rPr>
      </w:pPr>
      <w:r w:rsidRPr="002A7288">
        <w:rPr>
          <w:rFonts w:ascii="Arabic Typesetting" w:hAnsi="Arabic Typesetting" w:cs="Arabic Typesetting"/>
          <w:color w:val="212121"/>
          <w:sz w:val="28"/>
          <w:szCs w:val="28"/>
          <w:rtl/>
          <w:lang w:bidi="ar-MA"/>
        </w:rPr>
        <w:t xml:space="preserve">مثال من القوانين : </w:t>
      </w:r>
    </w:p>
    <w:p w14:paraId="24B94400" w14:textId="77777777" w:rsidR="004B31CF" w:rsidRPr="002A7288" w:rsidRDefault="004B31CF" w:rsidP="004B31CF">
      <w:pPr>
        <w:shd w:val="clear" w:color="auto" w:fill="FFFFFF"/>
        <w:tabs>
          <w:tab w:val="left" w:pos="1832"/>
        </w:tabs>
        <w:bidi/>
        <w:ind w:left="720"/>
        <w:jc w:val="both"/>
        <w:rPr>
          <w:rFonts w:ascii="Arabic Typesetting" w:hAnsi="Arabic Typesetting" w:cs="Arabic Typesetting"/>
          <w:color w:val="212121"/>
          <w:sz w:val="28"/>
          <w:szCs w:val="28"/>
          <w:rtl/>
          <w:lang w:bidi="ar-MA"/>
        </w:rPr>
      </w:pPr>
    </w:p>
    <w:p w14:paraId="72727376" w14:textId="77777777" w:rsidR="004B31CF" w:rsidRPr="002A7288" w:rsidRDefault="004B31CF" w:rsidP="004B31CF">
      <w:pPr>
        <w:numPr>
          <w:ilvl w:val="0"/>
          <w:numId w:val="6"/>
        </w:numPr>
        <w:shd w:val="clear" w:color="auto" w:fill="FFFFFF"/>
        <w:tabs>
          <w:tab w:val="left" w:pos="850"/>
        </w:tabs>
        <w:bidi/>
        <w:ind w:left="850" w:hanging="425"/>
        <w:jc w:val="both"/>
        <w:rPr>
          <w:rFonts w:ascii="Arabic Typesetting" w:hAnsi="Arabic Typesetting" w:cs="Arabic Typesetting"/>
          <w:color w:val="212121"/>
          <w:sz w:val="28"/>
          <w:szCs w:val="28"/>
          <w:lang w:bidi="ar-MA"/>
        </w:rPr>
      </w:pPr>
      <w:r w:rsidRPr="002A7288">
        <w:rPr>
          <w:rFonts w:ascii="Arabic Typesetting" w:hAnsi="Arabic Typesetting" w:cs="Arabic Typesetting"/>
          <w:color w:val="212121"/>
          <w:sz w:val="28"/>
          <w:szCs w:val="28"/>
          <w:rtl/>
          <w:lang w:bidi="ar-MA"/>
        </w:rPr>
        <w:t>القوانين التي تمنع العلاقات الجنسية بالتراضي بين البالغين من نفس الجنس</w:t>
      </w:r>
    </w:p>
    <w:p w14:paraId="2BC4704D" w14:textId="77777777" w:rsidR="004B31CF" w:rsidRPr="002A7288" w:rsidRDefault="004B31CF" w:rsidP="004B31CF">
      <w:pPr>
        <w:numPr>
          <w:ilvl w:val="0"/>
          <w:numId w:val="6"/>
        </w:numPr>
        <w:shd w:val="clear" w:color="auto" w:fill="FFFFFF"/>
        <w:tabs>
          <w:tab w:val="left" w:pos="850"/>
        </w:tabs>
        <w:bidi/>
        <w:ind w:left="850" w:hanging="425"/>
        <w:jc w:val="both"/>
        <w:rPr>
          <w:rFonts w:ascii="Arabic Typesetting" w:hAnsi="Arabic Typesetting" w:cs="Arabic Typesetting"/>
          <w:color w:val="212121"/>
          <w:sz w:val="28"/>
          <w:szCs w:val="28"/>
          <w:lang w:bidi="ar-MA"/>
        </w:rPr>
      </w:pPr>
      <w:r w:rsidRPr="002A7288">
        <w:rPr>
          <w:rFonts w:ascii="Arabic Typesetting" w:hAnsi="Arabic Typesetting" w:cs="Arabic Typesetting"/>
          <w:color w:val="212121"/>
          <w:sz w:val="28"/>
          <w:szCs w:val="28"/>
          <w:rtl/>
          <w:lang w:bidi="ar-MA"/>
        </w:rPr>
        <w:t>القوانين التي تمنع مستهلكي المخدرات عبر الحقن من الحصول على حقن معقمة والعلاج البديل</w:t>
      </w:r>
    </w:p>
    <w:p w14:paraId="2A150C52" w14:textId="77777777" w:rsidR="004B31CF" w:rsidRPr="002A7288" w:rsidRDefault="004B31CF" w:rsidP="004B31CF">
      <w:pPr>
        <w:numPr>
          <w:ilvl w:val="0"/>
          <w:numId w:val="6"/>
        </w:numPr>
        <w:shd w:val="clear" w:color="auto" w:fill="FFFFFF"/>
        <w:tabs>
          <w:tab w:val="left" w:pos="850"/>
        </w:tabs>
        <w:bidi/>
        <w:ind w:left="850" w:hanging="425"/>
        <w:jc w:val="both"/>
        <w:rPr>
          <w:rFonts w:ascii="Arabic Typesetting" w:hAnsi="Arabic Typesetting" w:cs="Arabic Typesetting"/>
          <w:color w:val="212121"/>
          <w:sz w:val="28"/>
          <w:szCs w:val="28"/>
          <w:lang w:bidi="ar-MA"/>
        </w:rPr>
      </w:pPr>
      <w:r w:rsidRPr="002A7288">
        <w:rPr>
          <w:rFonts w:ascii="Arabic Typesetting" w:hAnsi="Arabic Typesetting" w:cs="Arabic Typesetting"/>
          <w:color w:val="212121"/>
          <w:sz w:val="28"/>
          <w:szCs w:val="28"/>
          <w:rtl/>
          <w:lang w:bidi="ar-MA"/>
        </w:rPr>
        <w:t>القوانين التي تعاقب تجارة الجنس</w:t>
      </w:r>
    </w:p>
    <w:p w14:paraId="0486712C" w14:textId="77777777" w:rsidR="004B31CF" w:rsidRPr="002A7288" w:rsidRDefault="004B31CF" w:rsidP="004B31CF">
      <w:pPr>
        <w:numPr>
          <w:ilvl w:val="0"/>
          <w:numId w:val="6"/>
        </w:numPr>
        <w:shd w:val="clear" w:color="auto" w:fill="FFFFFF"/>
        <w:tabs>
          <w:tab w:val="left" w:pos="850"/>
        </w:tabs>
        <w:bidi/>
        <w:ind w:left="850" w:hanging="425"/>
        <w:jc w:val="both"/>
        <w:rPr>
          <w:rFonts w:ascii="Arabic Typesetting" w:hAnsi="Arabic Typesetting" w:cs="Arabic Typesetting"/>
          <w:color w:val="212121"/>
          <w:sz w:val="28"/>
          <w:szCs w:val="28"/>
          <w:lang w:bidi="ar-MA"/>
        </w:rPr>
      </w:pPr>
      <w:r w:rsidRPr="002A7288">
        <w:rPr>
          <w:rFonts w:ascii="Arabic Typesetting" w:hAnsi="Arabic Typesetting" w:cs="Arabic Typesetting"/>
          <w:color w:val="212121"/>
          <w:sz w:val="28"/>
          <w:szCs w:val="28"/>
          <w:rtl/>
          <w:lang w:bidi="ar-MA"/>
        </w:rPr>
        <w:t>القوانين التي تجرم نقل فيروس نقص المناعة المكتسب أو حتى نية النقل</w:t>
      </w:r>
    </w:p>
    <w:p w14:paraId="34B04E1F" w14:textId="77777777" w:rsidR="004B31CF" w:rsidRPr="002A7288" w:rsidRDefault="004B31CF" w:rsidP="004B31CF">
      <w:pPr>
        <w:rPr>
          <w:rFonts w:ascii="Arabic Typesetting" w:hAnsi="Arabic Typesetting" w:cs="Arabic Typesetting"/>
          <w:color w:val="212121"/>
          <w:sz w:val="28"/>
          <w:szCs w:val="28"/>
          <w:rtl/>
          <w:lang w:bidi="ar-MA"/>
        </w:rPr>
      </w:pPr>
    </w:p>
    <w:p w14:paraId="6AB1CA62" w14:textId="77777777" w:rsidR="004B31CF" w:rsidRPr="002A7288" w:rsidRDefault="004B31CF" w:rsidP="004B31CF">
      <w:pPr>
        <w:bidi/>
        <w:rPr>
          <w:rFonts w:ascii="Arabic Typesetting" w:hAnsi="Arabic Typesetting" w:cs="Arabic Typesetting"/>
          <w:color w:val="212121"/>
          <w:sz w:val="28"/>
          <w:szCs w:val="28"/>
          <w:rtl/>
          <w:lang w:bidi="ar-MA"/>
        </w:rPr>
      </w:pPr>
      <w:r w:rsidRPr="002A7288">
        <w:rPr>
          <w:rFonts w:ascii="Arabic Typesetting" w:hAnsi="Arabic Typesetting" w:cs="Arabic Typesetting"/>
          <w:color w:val="212121"/>
          <w:sz w:val="28"/>
          <w:szCs w:val="28"/>
          <w:rtl/>
          <w:lang w:bidi="ar-MA"/>
        </w:rPr>
        <w:t>لماذا هذه القوانين؟ لأنها :</w:t>
      </w:r>
    </w:p>
    <w:p w14:paraId="41AE0A9C" w14:textId="77777777" w:rsidR="004B31CF" w:rsidRPr="002A7288" w:rsidRDefault="004B31CF" w:rsidP="004B31CF">
      <w:pPr>
        <w:pStyle w:val="HTMLPreformatted"/>
        <w:numPr>
          <w:ilvl w:val="0"/>
          <w:numId w:val="5"/>
        </w:numPr>
        <w:shd w:val="clear" w:color="auto" w:fill="FFFFFF"/>
        <w:bidi/>
        <w:rPr>
          <w:rFonts w:ascii="Arabic Typesetting" w:hAnsi="Arabic Typesetting" w:cs="Arabic Typesetting"/>
          <w:color w:val="212121"/>
          <w:sz w:val="28"/>
          <w:szCs w:val="28"/>
          <w:lang w:bidi="ar-MA"/>
        </w:rPr>
      </w:pPr>
      <w:r w:rsidRPr="002A7288">
        <w:rPr>
          <w:rFonts w:ascii="Arabic Typesetting" w:hAnsi="Arabic Typesetting" w:cs="Arabic Typesetting"/>
          <w:color w:val="212121"/>
          <w:sz w:val="28"/>
          <w:szCs w:val="28"/>
          <w:rtl/>
          <w:lang w:bidi="ar-MA"/>
        </w:rPr>
        <w:t>تثني الأشخاص المعنيين من رعاية صحتهم – الفئات الأكثر عرضة تتردد في الاقتراب من الخدمات الصحية خوفا من العقوبات الجنائية</w:t>
      </w:r>
    </w:p>
    <w:p w14:paraId="3E588495" w14:textId="77777777" w:rsidR="00AA1FE6" w:rsidRDefault="004B31CF" w:rsidP="004B31CF">
      <w:pPr>
        <w:pStyle w:val="HTMLPreformatted"/>
        <w:numPr>
          <w:ilvl w:val="0"/>
          <w:numId w:val="7"/>
        </w:numPr>
        <w:shd w:val="clear" w:color="auto" w:fill="FFFFFF"/>
        <w:bidi/>
        <w:spacing w:after="200"/>
        <w:contextualSpacing/>
        <w:rPr>
          <w:rFonts w:ascii="Arabic Typesetting" w:hAnsi="Arabic Typesetting" w:cs="Arabic Typesetting"/>
          <w:color w:val="212121"/>
          <w:sz w:val="28"/>
          <w:szCs w:val="28"/>
          <w:lang w:bidi="ar-MA"/>
        </w:rPr>
      </w:pPr>
      <w:r w:rsidRPr="00AA1FE6">
        <w:rPr>
          <w:rFonts w:ascii="Arabic Typesetting" w:hAnsi="Arabic Typesetting" w:cs="Arabic Typesetting"/>
          <w:color w:val="212121"/>
          <w:sz w:val="28"/>
          <w:szCs w:val="28"/>
          <w:rtl/>
          <w:lang w:bidi="ar-MA"/>
        </w:rPr>
        <w:t xml:space="preserve">تشجع التمييز على مستوى الخدمات -  المعاقبة تمنح بعض الشرعية على التمييز وبالتالي </w:t>
      </w:r>
    </w:p>
    <w:p w14:paraId="34A87129" w14:textId="77777777" w:rsidR="004B31CF" w:rsidRPr="002A7288" w:rsidRDefault="004B31CF" w:rsidP="004B31CF">
      <w:pPr>
        <w:numPr>
          <w:ilvl w:val="0"/>
          <w:numId w:val="7"/>
        </w:numPr>
        <w:shd w:val="clear" w:color="auto" w:fill="FFFFFF"/>
        <w:bidi/>
        <w:spacing w:after="200"/>
        <w:contextualSpacing/>
        <w:rPr>
          <w:rFonts w:ascii="Arabic Typesetting" w:hAnsi="Arabic Typesetting" w:cs="Arabic Typesetting"/>
          <w:color w:val="212121"/>
          <w:sz w:val="28"/>
          <w:szCs w:val="28"/>
          <w:lang w:bidi="ar-MA"/>
        </w:rPr>
      </w:pPr>
      <w:r w:rsidRPr="002A7288">
        <w:rPr>
          <w:rFonts w:ascii="Arabic Typesetting" w:hAnsi="Arabic Typesetting" w:cs="Arabic Typesetting"/>
          <w:color w:val="212121"/>
          <w:sz w:val="28"/>
          <w:szCs w:val="28"/>
          <w:rtl/>
          <w:lang w:bidi="ar-MA"/>
        </w:rPr>
        <w:lastRenderedPageBreak/>
        <w:t>زيادة خطر التعرض للعنف - الكثير من الأشخاص الذين يدين القانون سلوكهم لا يميلون إلى اللجوء إلى النظام القضائي . وبالتالي يصبحون أهدافا سهلة لسوء المعاملة و بالتالي فهي أكثر عرضة للإصابة بالفيروس .</w:t>
      </w:r>
    </w:p>
    <w:p w14:paraId="4240A1B3" w14:textId="77777777" w:rsidR="004B31CF" w:rsidRPr="002A7288" w:rsidRDefault="004B31CF" w:rsidP="004B31CF">
      <w:pPr>
        <w:numPr>
          <w:ilvl w:val="0"/>
          <w:numId w:val="7"/>
        </w:numPr>
        <w:bidi/>
        <w:spacing w:after="200"/>
        <w:contextualSpacing/>
        <w:rPr>
          <w:rFonts w:ascii="Arabic Typesetting" w:hAnsi="Arabic Typesetting" w:cs="Arabic Typesetting"/>
          <w:color w:val="212121"/>
          <w:sz w:val="28"/>
          <w:szCs w:val="28"/>
          <w:rtl/>
          <w:lang w:bidi="ar-MA"/>
        </w:rPr>
      </w:pPr>
      <w:r w:rsidRPr="002A7288">
        <w:rPr>
          <w:rFonts w:ascii="Arabic Typesetting" w:hAnsi="Arabic Typesetting" w:cs="Arabic Typesetting"/>
          <w:color w:val="212121"/>
          <w:sz w:val="28"/>
          <w:szCs w:val="28"/>
          <w:rtl/>
          <w:lang w:bidi="ar-MA"/>
        </w:rPr>
        <w:t>تنقص تقدير الذات – عامل متكرر للإدمان على الكحول والمخدرات، وهو ما يزيد من خطر الإصابة بفيروس نقصان المناعة المكتسب.</w:t>
      </w:r>
    </w:p>
    <w:p w14:paraId="47918AA4" w14:textId="77777777" w:rsidR="00A510D4" w:rsidRPr="002A7288" w:rsidRDefault="00A510D4" w:rsidP="00A510D4">
      <w:pPr>
        <w:shd w:val="clear" w:color="auto" w:fill="FFFFFF"/>
        <w:bidi/>
        <w:spacing w:before="300" w:after="150"/>
        <w:outlineLvl w:val="2"/>
        <w:rPr>
          <w:rFonts w:ascii="Arabic Typesetting" w:hAnsi="Arabic Typesetting" w:cs="Arabic Typesetting"/>
          <w:b/>
          <w:bCs/>
          <w:color w:val="4472C4"/>
          <w:sz w:val="28"/>
          <w:szCs w:val="28"/>
          <w:rtl/>
        </w:rPr>
      </w:pPr>
      <w:r w:rsidRPr="002A7288">
        <w:rPr>
          <w:rFonts w:ascii="Arabic Typesetting" w:hAnsi="Arabic Typesetting" w:cs="Arabic Typesetting"/>
          <w:b/>
          <w:bCs/>
          <w:color w:val="4472C4"/>
          <w:sz w:val="28"/>
          <w:szCs w:val="28"/>
          <w:rtl/>
        </w:rPr>
        <w:t>اثناء مرحلة الحجر الصحي الشامل:</w:t>
      </w:r>
    </w:p>
    <w:p w14:paraId="35808989" w14:textId="77777777" w:rsidR="00A510D4" w:rsidRPr="002A7288" w:rsidRDefault="00A510D4" w:rsidP="00A510D4">
      <w:pPr>
        <w:shd w:val="clear" w:color="auto" w:fill="FFFFFF"/>
        <w:bidi/>
        <w:spacing w:before="300" w:after="150"/>
        <w:outlineLvl w:val="2"/>
        <w:rPr>
          <w:rFonts w:ascii="Arabic Typesetting" w:hAnsi="Arabic Typesetting" w:cs="Arabic Typesetting"/>
          <w:sz w:val="28"/>
          <w:szCs w:val="28"/>
        </w:rPr>
      </w:pPr>
      <w:r w:rsidRPr="002A7288">
        <w:rPr>
          <w:rFonts w:ascii="Arabic Typesetting" w:hAnsi="Arabic Typesetting" w:cs="Arabic Typesetting"/>
          <w:sz w:val="28"/>
          <w:szCs w:val="28"/>
          <w:rtl/>
        </w:rPr>
        <w:t>أثرت جائحة كوفيد 19 بالتأكيد على خدمات برنامج تقليص المخاطر في أوساط متعاطي المخدرات القابلة للحقن وحياة المتعاطين، بشكل رئيسي خلال فترة الحجر الصحي و</w:t>
      </w:r>
      <w:r w:rsidRPr="002A7288">
        <w:rPr>
          <w:rFonts w:ascii="Arabic Typesetting" w:hAnsi="Arabic Typesetting" w:cs="Arabic Typesetting"/>
          <w:sz w:val="28"/>
          <w:szCs w:val="28"/>
        </w:rPr>
        <w:t xml:space="preserve"> </w:t>
      </w:r>
      <w:r w:rsidRPr="002A7288">
        <w:rPr>
          <w:rFonts w:ascii="Arabic Typesetting" w:hAnsi="Arabic Typesetting" w:cs="Arabic Typesetting"/>
          <w:sz w:val="28"/>
          <w:szCs w:val="28"/>
          <w:rtl/>
        </w:rPr>
        <w:t>خاصة الخاضعين للعلاج، فلم يراعى خصوصيات هذه الفئة عند إعلان عن تقييد حركة التنقل وهنا ندرج بعض الملاحظات:</w:t>
      </w:r>
    </w:p>
    <w:p w14:paraId="1F2927BC" w14:textId="77777777" w:rsidR="00A510D4" w:rsidRPr="002A7288" w:rsidRDefault="00A510D4" w:rsidP="00A510D4">
      <w:pPr>
        <w:numPr>
          <w:ilvl w:val="0"/>
          <w:numId w:val="1"/>
        </w:numPr>
        <w:bidi/>
        <w:spacing w:after="120"/>
        <w:jc w:val="both"/>
        <w:rPr>
          <w:rFonts w:ascii="Arabic Typesetting" w:hAnsi="Arabic Typesetting" w:cs="Arabic Typesetting"/>
          <w:sz w:val="28"/>
          <w:szCs w:val="28"/>
        </w:rPr>
      </w:pPr>
      <w:r w:rsidRPr="002A7288">
        <w:rPr>
          <w:rFonts w:ascii="Arabic Typesetting" w:hAnsi="Arabic Typesetting" w:cs="Arabic Typesetting"/>
          <w:sz w:val="28"/>
          <w:szCs w:val="28"/>
          <w:rtl/>
        </w:rPr>
        <w:t>صعوبة الوصول إلى الأشخاص الذين يتعاطون المخدرات لتزويدهم بوسائل الوقاية بالنظر إلى التغيير اليومي لمواقع التجمع والاستهلاك حسب مواقع توفر المادة المستهلكة "الهيروين".</w:t>
      </w:r>
    </w:p>
    <w:p w14:paraId="08E61E68" w14:textId="038559F8" w:rsidR="00A510D4" w:rsidRPr="002A7288" w:rsidRDefault="00A510D4" w:rsidP="00A510D4">
      <w:pPr>
        <w:numPr>
          <w:ilvl w:val="0"/>
          <w:numId w:val="1"/>
        </w:numPr>
        <w:bidi/>
        <w:spacing w:after="120"/>
        <w:jc w:val="both"/>
        <w:rPr>
          <w:rFonts w:ascii="Arabic Typesetting" w:hAnsi="Arabic Typesetting" w:cs="Arabic Typesetting"/>
          <w:sz w:val="28"/>
          <w:szCs w:val="28"/>
        </w:rPr>
      </w:pPr>
      <w:r w:rsidRPr="002A7288">
        <w:rPr>
          <w:rFonts w:ascii="Arabic Typesetting" w:hAnsi="Arabic Typesetting" w:cs="Arabic Typesetting"/>
          <w:sz w:val="28"/>
          <w:szCs w:val="28"/>
          <w:rtl/>
        </w:rPr>
        <w:t xml:space="preserve">ولاحظت الفرق الميدانية لجمعية محاربة السيدا، تواجد عدد كبير من المتعاطين والمتعاطيات في </w:t>
      </w:r>
      <w:r w:rsidRPr="002A7288">
        <w:rPr>
          <w:rFonts w:ascii="Arabic Typesetting" w:hAnsi="Arabic Typesetting" w:cs="Arabic Typesetting"/>
          <w:sz w:val="28"/>
          <w:szCs w:val="28"/>
          <w:rtl/>
          <w:lang w:bidi="ar-MA"/>
        </w:rPr>
        <w:t>(</w:t>
      </w:r>
      <w:r w:rsidRPr="002A7288">
        <w:rPr>
          <w:rFonts w:ascii="Arabic Typesetting" w:hAnsi="Arabic Typesetting" w:cs="Arabic Typesetting"/>
          <w:sz w:val="28"/>
          <w:szCs w:val="28"/>
          <w:rtl/>
        </w:rPr>
        <w:t xml:space="preserve">حالة انسحاب </w:t>
      </w:r>
      <w:r w:rsidRPr="002A7288">
        <w:rPr>
          <w:rFonts w:ascii="Arabic Typesetting" w:hAnsi="Arabic Typesetting" w:cs="Arabic Typesetting"/>
          <w:sz w:val="28"/>
          <w:szCs w:val="28"/>
        </w:rPr>
        <w:t>une sorte d’état de manque</w:t>
      </w:r>
      <w:r w:rsidRPr="002A7288">
        <w:rPr>
          <w:rFonts w:ascii="Arabic Typesetting" w:hAnsi="Arabic Typesetting" w:cs="Arabic Typesetting"/>
          <w:sz w:val="28"/>
          <w:szCs w:val="28"/>
          <w:rtl/>
        </w:rPr>
        <w:t>) بسبب عدم توفر المادة المستهلكة "الهيروين" مما يعرضهم لمعاناة نفسية وجسدية كبيرة.</w:t>
      </w:r>
    </w:p>
    <w:p w14:paraId="7F293DB7" w14:textId="77777777" w:rsidR="00A510D4" w:rsidRPr="002A7288" w:rsidRDefault="00A510D4" w:rsidP="00A510D4">
      <w:pPr>
        <w:numPr>
          <w:ilvl w:val="0"/>
          <w:numId w:val="1"/>
        </w:numPr>
        <w:bidi/>
        <w:spacing w:after="120"/>
        <w:jc w:val="both"/>
        <w:rPr>
          <w:rFonts w:ascii="Arabic Typesetting" w:hAnsi="Arabic Typesetting" w:cs="Arabic Typesetting"/>
          <w:sz w:val="28"/>
          <w:szCs w:val="28"/>
        </w:rPr>
      </w:pPr>
      <w:r w:rsidRPr="002A7288">
        <w:rPr>
          <w:rFonts w:ascii="Arabic Typesetting" w:hAnsi="Arabic Typesetting" w:cs="Arabic Typesetting"/>
          <w:sz w:val="28"/>
          <w:szCs w:val="28"/>
          <w:rtl/>
        </w:rPr>
        <w:t>صعوبة الحصول على تصاريح التنقل الاستثنائي التي فرضتها السلطات خلال فترة الحجز بسبب عدم توفر البطاقة الوطنية بحجة غياب محل للسكن، جعلهم عرضة للاعتقالات المتكررة وقد ترتب عن ذلك تضييق في حرية التحرك للحصول على الحاجيات الأساسية من قبيل الغذاء.</w:t>
      </w:r>
    </w:p>
    <w:p w14:paraId="6C318FB0" w14:textId="77777777" w:rsidR="00A510D4" w:rsidRPr="002A7288" w:rsidRDefault="00A510D4" w:rsidP="00A510D4">
      <w:pPr>
        <w:numPr>
          <w:ilvl w:val="0"/>
          <w:numId w:val="1"/>
        </w:numPr>
        <w:bidi/>
        <w:spacing w:after="120"/>
        <w:jc w:val="both"/>
        <w:rPr>
          <w:rFonts w:ascii="Arabic Typesetting" w:hAnsi="Arabic Typesetting" w:cs="Arabic Typesetting"/>
          <w:sz w:val="28"/>
          <w:szCs w:val="28"/>
        </w:rPr>
      </w:pPr>
      <w:r w:rsidRPr="002A7288">
        <w:rPr>
          <w:rFonts w:ascii="Arabic Typesetting" w:hAnsi="Arabic Typesetting" w:cs="Arabic Typesetting"/>
          <w:sz w:val="28"/>
          <w:szCs w:val="28"/>
          <w:rtl/>
        </w:rPr>
        <w:t>أمام ندرة المنتوج من المادة المستهلكة "الهيروين"   يتشارك المتعاطون الجرعات فيما بينهم من دون مشاركة الحقن، ولكن دون احترام التدابير الوقائية فيما يتعلق بكوفيد 19 على الرغم من الجهود المبذولة لرفع مستوى الوعي.</w:t>
      </w:r>
    </w:p>
    <w:p w14:paraId="446236AB" w14:textId="77777777" w:rsidR="00A510D4" w:rsidRPr="002A7288" w:rsidRDefault="00A510D4" w:rsidP="00A510D4">
      <w:pPr>
        <w:numPr>
          <w:ilvl w:val="0"/>
          <w:numId w:val="1"/>
        </w:numPr>
        <w:shd w:val="clear" w:color="auto" w:fill="FFFFFF"/>
        <w:bidi/>
        <w:spacing w:after="300"/>
        <w:jc w:val="both"/>
        <w:rPr>
          <w:rFonts w:ascii="Arabic Typesetting" w:hAnsi="Arabic Typesetting" w:cs="Arabic Typesetting"/>
          <w:sz w:val="28"/>
          <w:szCs w:val="28"/>
        </w:rPr>
      </w:pPr>
      <w:r w:rsidRPr="002A7288">
        <w:rPr>
          <w:rFonts w:ascii="Arabic Typesetting" w:hAnsi="Arabic Typesetting" w:cs="Arabic Typesetting"/>
          <w:sz w:val="28"/>
          <w:szCs w:val="28"/>
          <w:rtl/>
        </w:rPr>
        <w:t>زيادة حالات انتهاك حقوق الأشخاص الذين يتعاطون المخدرات وتعرضهم</w:t>
      </w:r>
      <w:r w:rsidRPr="002A7288">
        <w:rPr>
          <w:rFonts w:ascii="Arabic Typesetting" w:hAnsi="Arabic Typesetting" w:cs="Arabic Typesetting"/>
          <w:sz w:val="28"/>
          <w:szCs w:val="28"/>
          <w:rtl/>
          <w:lang w:bidi="ar-MA"/>
        </w:rPr>
        <w:t xml:space="preserve"> </w:t>
      </w:r>
      <w:r w:rsidRPr="002A7288">
        <w:rPr>
          <w:rFonts w:ascii="Arabic Typesetting" w:hAnsi="Arabic Typesetting" w:cs="Arabic Typesetting"/>
          <w:sz w:val="28"/>
          <w:szCs w:val="28"/>
          <w:rtl/>
        </w:rPr>
        <w:t>للوصم والتمييز خاصة بمراكز الايواء إذ أمام غياب فهم خصوصيات المتعاطين يتم طردهم مما يستوجب الترافع مرة أخرى لإعادتهم.</w:t>
      </w:r>
    </w:p>
    <w:p w14:paraId="06D80EF9" w14:textId="77777777" w:rsidR="00A510D4" w:rsidRPr="002A7288" w:rsidRDefault="00A510D4" w:rsidP="00A510D4">
      <w:pPr>
        <w:numPr>
          <w:ilvl w:val="0"/>
          <w:numId w:val="1"/>
        </w:numPr>
        <w:shd w:val="clear" w:color="auto" w:fill="FFFFFF"/>
        <w:bidi/>
        <w:spacing w:after="300"/>
        <w:jc w:val="both"/>
        <w:rPr>
          <w:rFonts w:ascii="Arabic Typesetting" w:eastAsia="SimSun" w:hAnsi="Arabic Typesetting" w:cs="Arabic Typesetting"/>
          <w:kern w:val="3"/>
          <w:sz w:val="28"/>
          <w:szCs w:val="28"/>
          <w:rtl/>
        </w:rPr>
      </w:pPr>
      <w:r w:rsidRPr="002A7288">
        <w:rPr>
          <w:rFonts w:ascii="Arabic Typesetting" w:eastAsia="SimSun" w:hAnsi="Arabic Typesetting" w:cs="Arabic Typesetting"/>
          <w:kern w:val="3"/>
          <w:sz w:val="28"/>
          <w:szCs w:val="28"/>
          <w:rtl/>
        </w:rPr>
        <w:t xml:space="preserve">الحرمان من التطبيب وخاصة الخاضعين للعلاج بالمناهضات الأفيونية، فلم يراعى خصوصيات هذه الفئة عند الإعلان عن تقييد حركة التنقل بين المدن. </w:t>
      </w:r>
    </w:p>
    <w:p w14:paraId="29C3198F" w14:textId="77777777" w:rsidR="00A510D4" w:rsidRPr="002A7288" w:rsidRDefault="00A510D4" w:rsidP="00A510D4">
      <w:pPr>
        <w:numPr>
          <w:ilvl w:val="0"/>
          <w:numId w:val="1"/>
        </w:numPr>
        <w:shd w:val="clear" w:color="auto" w:fill="FFFFFF"/>
        <w:bidi/>
        <w:spacing w:after="300"/>
        <w:jc w:val="both"/>
        <w:rPr>
          <w:rFonts w:ascii="Arabic Typesetting" w:eastAsia="SimSun" w:hAnsi="Arabic Typesetting" w:cs="Arabic Typesetting"/>
          <w:kern w:val="3"/>
          <w:sz w:val="28"/>
          <w:szCs w:val="28"/>
          <w:rtl/>
        </w:rPr>
      </w:pPr>
      <w:r w:rsidRPr="002A7288">
        <w:rPr>
          <w:rFonts w:ascii="Arabic Typesetting" w:eastAsia="SimSun" w:hAnsi="Arabic Typesetting" w:cs="Arabic Typesetting"/>
          <w:kern w:val="3"/>
          <w:sz w:val="28"/>
          <w:szCs w:val="28"/>
          <w:rtl/>
        </w:rPr>
        <w:t xml:space="preserve">رغم حجم الحاجة والفقر الذي يرزح تحته متعاطي المخدرات لم يستفيدوا من صندوق محاربة كورونا بسبب عدم توفرهم على المعلومة والوسائل اللوجستيكية لذلك كالأنترنيت </w:t>
      </w:r>
    </w:p>
    <w:p w14:paraId="16BEE442" w14:textId="77777777" w:rsidR="00A510D4" w:rsidRPr="002A7288" w:rsidRDefault="00A510D4" w:rsidP="00A510D4">
      <w:pPr>
        <w:numPr>
          <w:ilvl w:val="0"/>
          <w:numId w:val="1"/>
        </w:numPr>
        <w:bidi/>
        <w:spacing w:after="120"/>
        <w:jc w:val="both"/>
        <w:rPr>
          <w:rFonts w:ascii="Arabic Typesetting" w:hAnsi="Arabic Typesetting" w:cs="Arabic Typesetting"/>
          <w:sz w:val="28"/>
          <w:szCs w:val="28"/>
          <w:rtl/>
        </w:rPr>
      </w:pPr>
      <w:r w:rsidRPr="002A7288">
        <w:rPr>
          <w:rFonts w:ascii="Arabic Typesetting" w:hAnsi="Arabic Typesetting" w:cs="Arabic Typesetting"/>
          <w:sz w:val="28"/>
          <w:szCs w:val="28"/>
          <w:rtl/>
        </w:rPr>
        <w:t xml:space="preserve">تفاقم وضعية النساء المتعاطيات خاصة الأمهات منهن بسبب تواجدهن في الشارع دون مأوى أو مورد يحميهن واطفالهن من الحاجة مما جعلهن عرضة للاستغلال الجنسي والعنف.  </w:t>
      </w:r>
    </w:p>
    <w:p w14:paraId="647CE4C1" w14:textId="77777777" w:rsidR="00AA1FE6" w:rsidRDefault="00A510D4" w:rsidP="00AA1FE6">
      <w:pPr>
        <w:numPr>
          <w:ilvl w:val="0"/>
          <w:numId w:val="1"/>
        </w:numPr>
        <w:bidi/>
        <w:spacing w:after="120"/>
        <w:jc w:val="both"/>
        <w:rPr>
          <w:rFonts w:ascii="Arabic Typesetting" w:hAnsi="Arabic Typesetting" w:cs="Arabic Typesetting"/>
          <w:sz w:val="28"/>
          <w:szCs w:val="28"/>
        </w:rPr>
      </w:pPr>
      <w:r w:rsidRPr="002A7288">
        <w:rPr>
          <w:rFonts w:ascii="Arabic Typesetting" w:hAnsi="Arabic Typesetting" w:cs="Arabic Typesetting"/>
          <w:sz w:val="28"/>
          <w:szCs w:val="28"/>
          <w:rtl/>
        </w:rPr>
        <w:t>ظهور احتياجات جديدة مرتبطة أساسا بالحجر الصحي وحالة الطوارئ الصحية، من قبيل الكمامات ومواد النظافة والتعقيم لضمان الحماية من تجليات جائحة كوفيد 19</w:t>
      </w:r>
    </w:p>
    <w:p w14:paraId="7E01E7FF" w14:textId="68517A03" w:rsidR="00A510D4" w:rsidRPr="00AA1FE6" w:rsidRDefault="00A510D4" w:rsidP="00AA1FE6">
      <w:pPr>
        <w:bidi/>
        <w:spacing w:after="120"/>
        <w:jc w:val="both"/>
        <w:rPr>
          <w:rFonts w:ascii="Arabic Typesetting" w:hAnsi="Arabic Typesetting" w:cs="Arabic Typesetting"/>
          <w:sz w:val="28"/>
          <w:szCs w:val="28"/>
          <w:rtl/>
        </w:rPr>
      </w:pPr>
      <w:r w:rsidRPr="00AA1FE6">
        <w:rPr>
          <w:rFonts w:ascii="Arabic Typesetting" w:hAnsi="Arabic Typesetting" w:cs="Arabic Typesetting"/>
          <w:sz w:val="28"/>
          <w:szCs w:val="28"/>
          <w:rtl/>
        </w:rPr>
        <w:t xml:space="preserve">لمواجهة التأثيرات السلبية لمتغيرات كوفيد 19 بادرنا كجمعية محاربة السيدا، على إعادة تنظيم وتكييف التدخلات </w:t>
      </w:r>
    </w:p>
    <w:p w14:paraId="043AD0C8" w14:textId="77777777" w:rsidR="00A510D4" w:rsidRPr="002A7288" w:rsidRDefault="00A510D4" w:rsidP="00A510D4">
      <w:pPr>
        <w:numPr>
          <w:ilvl w:val="0"/>
          <w:numId w:val="1"/>
        </w:numPr>
        <w:bidi/>
        <w:spacing w:after="120"/>
        <w:jc w:val="both"/>
        <w:rPr>
          <w:rFonts w:ascii="Arabic Typesetting" w:hAnsi="Arabic Typesetting" w:cs="Arabic Typesetting"/>
          <w:sz w:val="28"/>
          <w:szCs w:val="28"/>
        </w:rPr>
      </w:pPr>
      <w:r w:rsidRPr="002A7288">
        <w:rPr>
          <w:rFonts w:ascii="Arabic Typesetting" w:hAnsi="Arabic Typesetting" w:cs="Arabic Typesetting"/>
          <w:sz w:val="28"/>
          <w:szCs w:val="28"/>
          <w:rtl/>
        </w:rPr>
        <w:t xml:space="preserve">تعبئة الفريق الميداني للمساهمة في ضمان العلاج بالميثادون للمتعاطين البعيدين عن مراكز الرعاية، بالتعاون الوثيق مع الفريق الطبي </w:t>
      </w:r>
    </w:p>
    <w:p w14:paraId="3E2806E5" w14:textId="587CCAD7" w:rsidR="00A510D4" w:rsidRPr="002A7288" w:rsidRDefault="00A510D4" w:rsidP="00A510D4">
      <w:pPr>
        <w:shd w:val="clear" w:color="auto" w:fill="FFFFFF"/>
        <w:bidi/>
        <w:spacing w:before="300" w:after="150"/>
        <w:jc w:val="both"/>
        <w:outlineLvl w:val="2"/>
        <w:rPr>
          <w:rFonts w:ascii="Arabic Typesetting" w:eastAsia="Times New Roman" w:hAnsi="Arabic Typesetting" w:cs="Arabic Typesetting"/>
          <w:b/>
          <w:bCs/>
          <w:color w:val="C00000"/>
          <w:sz w:val="28"/>
          <w:szCs w:val="28"/>
          <w:u w:val="single"/>
          <w:rtl/>
        </w:rPr>
      </w:pPr>
      <w:r w:rsidRPr="002A7288">
        <w:rPr>
          <w:rFonts w:ascii="Arabic Typesetting" w:eastAsia="Times New Roman" w:hAnsi="Arabic Typesetting" w:cs="Arabic Typesetting"/>
          <w:b/>
          <w:bCs/>
          <w:color w:val="C00000"/>
          <w:sz w:val="28"/>
          <w:szCs w:val="28"/>
          <w:u w:val="single"/>
          <w:rtl/>
        </w:rPr>
        <w:t>مراجعة البيئة التشريعية والتنظيمية المرتبطة بالسيدا بالمغرب.</w:t>
      </w:r>
    </w:p>
    <w:p w14:paraId="209D42C7" w14:textId="77777777" w:rsidR="00A510D4" w:rsidRPr="002A7288" w:rsidRDefault="00A510D4" w:rsidP="00A510D4">
      <w:pPr>
        <w:bidi/>
        <w:jc w:val="both"/>
        <w:rPr>
          <w:rFonts w:ascii="Arabic Typesetting" w:hAnsi="Arabic Typesetting" w:cs="Arabic Typesetting"/>
          <w:sz w:val="28"/>
          <w:szCs w:val="28"/>
          <w:rtl/>
          <w:lang w:val="x-none" w:bidi="ar-MA"/>
        </w:rPr>
      </w:pPr>
      <w:r w:rsidRPr="002A7288">
        <w:rPr>
          <w:rFonts w:ascii="Arabic Typesetting" w:hAnsi="Arabic Typesetting" w:cs="Arabic Typesetting"/>
          <w:sz w:val="28"/>
          <w:szCs w:val="28"/>
          <w:rtl/>
          <w:lang w:val="x-none" w:bidi="ar-MA"/>
        </w:rPr>
        <w:t>إن مراجعة البيئة التشريعية والتنظيمية المرتبطة بالسيدا بالمغرب هدفها تحليل الاثار الايجابية والسلبية للقوانين والممارسات المرتبطة بالتصدي لداء السيدا وفيروس التهاب الكبد س، كذلك ملائمة النصوص التشريعية المرتبطة بالسيدا مع القواعد المتعارف عليها عالميا، وتقييم المعيقات التي تحول دون ولوج الاشخاص المتعايشين مع الفيروس لخدمات التطبيب والاستشفاء.</w:t>
      </w:r>
    </w:p>
    <w:p w14:paraId="44881689" w14:textId="2561F615" w:rsidR="004B31CF" w:rsidRPr="002A7288" w:rsidRDefault="00A510D4" w:rsidP="002A7288">
      <w:pPr>
        <w:bidi/>
        <w:jc w:val="both"/>
        <w:rPr>
          <w:rFonts w:ascii="Arabic Typesetting" w:hAnsi="Arabic Typesetting" w:cs="Arabic Typesetting"/>
          <w:sz w:val="28"/>
          <w:szCs w:val="28"/>
          <w:rtl/>
          <w:lang w:val="x-none" w:bidi="ar-MA"/>
        </w:rPr>
      </w:pPr>
      <w:r w:rsidRPr="002A7288">
        <w:rPr>
          <w:rFonts w:ascii="Arabic Typesetting" w:hAnsi="Arabic Typesetting" w:cs="Arabic Typesetting"/>
          <w:sz w:val="28"/>
          <w:szCs w:val="28"/>
          <w:rtl/>
          <w:lang w:val="x-none" w:bidi="ar-MA"/>
        </w:rPr>
        <w:t>وبالرجوع لنتائج هذه المراجعة يظهر أن المغرب يقر مجموعة من الممارسات والنصوص ذات طابع إيجابي ويتوفر على ببيئة قانونية معززة لثقافة حقوق الانسان، لكن وبسبب الوصم والتمييز لا تجرأ الفئات المفتاحية (ومن بينها متعاطي المخدرات) على التقدم بالشكاوى للحصول على حقها في محاكمات عادلة، فنادرا ما يخير القاضي متعاطي المخدرات بين التوجه للعلاج أو العقوبة السجنية وفقا للظهير بمثابة قانون رقم 1.73.282 بتاريخ 28 ربيع الثاني 1394 (21 مايو 1974)</w:t>
      </w:r>
    </w:p>
    <w:p w14:paraId="1C8FD714" w14:textId="18C2A1A1" w:rsidR="004B31CF" w:rsidRPr="00BA6B61" w:rsidRDefault="004B31CF" w:rsidP="00BA6B61">
      <w:pPr>
        <w:shd w:val="clear" w:color="auto" w:fill="FFFFFF"/>
        <w:bidi/>
        <w:spacing w:before="300" w:after="150"/>
        <w:jc w:val="both"/>
        <w:outlineLvl w:val="2"/>
        <w:rPr>
          <w:rFonts w:ascii="Arabic Typesetting" w:hAnsi="Arabic Typesetting" w:cs="Arabic Typesetting"/>
          <w:b/>
          <w:bCs/>
          <w:color w:val="C00000"/>
          <w:sz w:val="28"/>
          <w:szCs w:val="28"/>
          <w:u w:val="single"/>
          <w:rtl/>
        </w:rPr>
      </w:pPr>
      <w:r w:rsidRPr="002A7288">
        <w:rPr>
          <w:rFonts w:ascii="Arabic Typesetting" w:hAnsi="Arabic Typesetting" w:cs="Arabic Typesetting"/>
          <w:b/>
          <w:bCs/>
          <w:color w:val="C00000"/>
          <w:sz w:val="28"/>
          <w:szCs w:val="28"/>
          <w:u w:val="single"/>
          <w:rtl/>
        </w:rPr>
        <w:t>ضرورة الإصلاح</w:t>
      </w:r>
      <w:r w:rsidR="00BA6B61">
        <w:rPr>
          <w:rFonts w:ascii="Arabic Typesetting" w:hAnsi="Arabic Typesetting" w:cs="Arabic Typesetting"/>
          <w:b/>
          <w:bCs/>
          <w:color w:val="C00000"/>
          <w:sz w:val="28"/>
          <w:szCs w:val="28"/>
          <w:u w:val="single"/>
        </w:rPr>
        <w:t xml:space="preserve"> </w:t>
      </w:r>
      <w:r w:rsidRPr="00AA1FE6">
        <w:rPr>
          <w:rFonts w:ascii="Arabic Typesetting" w:hAnsi="Arabic Typesetting" w:cs="Arabic Typesetting"/>
          <w:b/>
          <w:bCs/>
          <w:color w:val="C00000"/>
          <w:sz w:val="28"/>
          <w:szCs w:val="28"/>
          <w:u w:val="single"/>
          <w:rtl/>
        </w:rPr>
        <w:t xml:space="preserve">بغية خلق بيئة تشريعية وتنظيمية مساهمة في التصدي لخطاب التمييز وممارسة انتهاك حقوق الانسان، عملت جمعيات المجتمع المدني على تقديم توصيات وتدابير على الشكل التالي: </w:t>
      </w:r>
    </w:p>
    <w:p w14:paraId="7AFC836A" w14:textId="77777777" w:rsidR="004B31CF" w:rsidRPr="002A7288" w:rsidRDefault="004B31CF" w:rsidP="004B31CF">
      <w:pPr>
        <w:numPr>
          <w:ilvl w:val="0"/>
          <w:numId w:val="2"/>
        </w:numPr>
        <w:bidi/>
        <w:spacing w:after="200" w:line="276" w:lineRule="auto"/>
        <w:jc w:val="both"/>
        <w:rPr>
          <w:rFonts w:ascii="Arabic Typesetting" w:hAnsi="Arabic Typesetting" w:cs="Arabic Typesetting"/>
          <w:sz w:val="28"/>
          <w:szCs w:val="28"/>
        </w:rPr>
      </w:pPr>
      <w:r w:rsidRPr="002A7288">
        <w:rPr>
          <w:rFonts w:ascii="Arabic Typesetting" w:hAnsi="Arabic Typesetting" w:cs="Arabic Typesetting"/>
          <w:sz w:val="28"/>
          <w:szCs w:val="28"/>
          <w:rtl/>
        </w:rPr>
        <w:t>اعتماد قانون مناهضة   العنف ضد النساء عاملات الجنس مع توفير أليات يمكن اللجوء لها لتوفير الحماية الواردة في القانون</w:t>
      </w:r>
    </w:p>
    <w:p w14:paraId="78B606A7" w14:textId="77777777" w:rsidR="004B31CF" w:rsidRPr="002A7288" w:rsidRDefault="004B31CF" w:rsidP="004B31CF">
      <w:pPr>
        <w:numPr>
          <w:ilvl w:val="0"/>
          <w:numId w:val="2"/>
        </w:numPr>
        <w:bidi/>
        <w:spacing w:after="200" w:line="276" w:lineRule="auto"/>
        <w:jc w:val="both"/>
        <w:rPr>
          <w:rFonts w:ascii="Arabic Typesetting" w:hAnsi="Arabic Typesetting" w:cs="Arabic Typesetting"/>
          <w:sz w:val="28"/>
          <w:szCs w:val="28"/>
          <w:rtl/>
        </w:rPr>
      </w:pPr>
      <w:r w:rsidRPr="002A7288">
        <w:rPr>
          <w:rFonts w:ascii="Arabic Typesetting" w:hAnsi="Arabic Typesetting" w:cs="Arabic Typesetting"/>
          <w:sz w:val="28"/>
          <w:szCs w:val="28"/>
          <w:rtl/>
        </w:rPr>
        <w:t>تعزيز القوانين التي تحظر التمييز ضد المصابين بالسيدا.</w:t>
      </w:r>
    </w:p>
    <w:p w14:paraId="7A2A3564" w14:textId="77777777" w:rsidR="004B31CF" w:rsidRPr="002A7288" w:rsidRDefault="004B31CF" w:rsidP="004B31CF">
      <w:pPr>
        <w:numPr>
          <w:ilvl w:val="0"/>
          <w:numId w:val="2"/>
        </w:numPr>
        <w:bidi/>
        <w:spacing w:after="200" w:line="276" w:lineRule="auto"/>
        <w:jc w:val="both"/>
        <w:rPr>
          <w:rFonts w:ascii="Arabic Typesetting" w:hAnsi="Arabic Typesetting" w:cs="Arabic Typesetting"/>
          <w:sz w:val="28"/>
          <w:szCs w:val="28"/>
        </w:rPr>
      </w:pPr>
      <w:r w:rsidRPr="002A7288">
        <w:rPr>
          <w:rFonts w:ascii="Arabic Typesetting" w:hAnsi="Arabic Typesetting" w:cs="Arabic Typesetting"/>
          <w:sz w:val="28"/>
          <w:szCs w:val="28"/>
          <w:rtl/>
        </w:rPr>
        <w:t>تنفيذ جميع الأحكام الدستورية التي تحظر التمييز بجميع أشكاله</w:t>
      </w:r>
      <w:r w:rsidRPr="002A7288">
        <w:rPr>
          <w:rFonts w:ascii="Arabic Typesetting" w:hAnsi="Arabic Typesetting" w:cs="Arabic Typesetting"/>
          <w:sz w:val="28"/>
          <w:szCs w:val="28"/>
        </w:rPr>
        <w:t>.</w:t>
      </w:r>
    </w:p>
    <w:p w14:paraId="404F3FEE" w14:textId="77777777" w:rsidR="004B31CF" w:rsidRPr="002A7288" w:rsidRDefault="004B31CF" w:rsidP="004B31CF">
      <w:pPr>
        <w:numPr>
          <w:ilvl w:val="0"/>
          <w:numId w:val="2"/>
        </w:numPr>
        <w:bidi/>
        <w:spacing w:after="200" w:line="276" w:lineRule="auto"/>
        <w:jc w:val="both"/>
        <w:rPr>
          <w:rFonts w:ascii="Arabic Typesetting" w:hAnsi="Arabic Typesetting" w:cs="Arabic Typesetting"/>
          <w:sz w:val="28"/>
          <w:szCs w:val="28"/>
          <w:rtl/>
        </w:rPr>
      </w:pPr>
      <w:r w:rsidRPr="002A7288">
        <w:rPr>
          <w:rFonts w:ascii="Arabic Typesetting" w:hAnsi="Arabic Typesetting" w:cs="Arabic Typesetting"/>
          <w:sz w:val="28"/>
          <w:szCs w:val="28"/>
          <w:rtl/>
        </w:rPr>
        <w:t>تعزيز القوانين التي تحظر التمييز: إدراج الميل الجنسي كأحد أسباب التمييز في المادة 431</w:t>
      </w:r>
      <w:r w:rsidRPr="002A7288">
        <w:rPr>
          <w:rFonts w:ascii="Arabic Typesetting" w:hAnsi="Arabic Typesetting" w:cs="Arabic Typesetting"/>
          <w:sz w:val="28"/>
          <w:szCs w:val="28"/>
        </w:rPr>
        <w:t>.</w:t>
      </w:r>
    </w:p>
    <w:p w14:paraId="3B545804" w14:textId="77777777" w:rsidR="004B31CF" w:rsidRPr="002A7288" w:rsidRDefault="004B31CF" w:rsidP="004B31CF">
      <w:pPr>
        <w:numPr>
          <w:ilvl w:val="0"/>
          <w:numId w:val="2"/>
        </w:numPr>
        <w:bidi/>
        <w:spacing w:after="200" w:line="276" w:lineRule="auto"/>
        <w:jc w:val="both"/>
        <w:rPr>
          <w:rFonts w:ascii="Arabic Typesetting" w:hAnsi="Arabic Typesetting" w:cs="Arabic Typesetting"/>
          <w:sz w:val="28"/>
          <w:szCs w:val="28"/>
          <w:rtl/>
        </w:rPr>
      </w:pPr>
      <w:r w:rsidRPr="002A7288">
        <w:rPr>
          <w:rFonts w:ascii="Arabic Typesetting" w:hAnsi="Arabic Typesetting" w:cs="Arabic Typesetting"/>
          <w:sz w:val="28"/>
          <w:szCs w:val="28"/>
          <w:rtl/>
        </w:rPr>
        <w:t>إلغاء العقوبات الجنائية المفروضة على البالغين من نفس الجنس والجنس الآخر في حالة ممارسات جنسية بالتراضي</w:t>
      </w:r>
      <w:r w:rsidRPr="002A7288">
        <w:rPr>
          <w:rFonts w:ascii="Arabic Typesetting" w:hAnsi="Arabic Typesetting" w:cs="Arabic Typesetting"/>
          <w:sz w:val="28"/>
          <w:szCs w:val="28"/>
        </w:rPr>
        <w:t>.</w:t>
      </w:r>
    </w:p>
    <w:p w14:paraId="2DC16107" w14:textId="77777777" w:rsidR="004B31CF" w:rsidRPr="002A7288" w:rsidRDefault="004B31CF" w:rsidP="004B31CF">
      <w:pPr>
        <w:numPr>
          <w:ilvl w:val="0"/>
          <w:numId w:val="2"/>
        </w:numPr>
        <w:bidi/>
        <w:spacing w:after="200" w:line="276" w:lineRule="auto"/>
        <w:jc w:val="both"/>
        <w:rPr>
          <w:rFonts w:ascii="Arabic Typesetting" w:hAnsi="Arabic Typesetting" w:cs="Arabic Typesetting"/>
          <w:sz w:val="28"/>
          <w:szCs w:val="28"/>
          <w:rtl/>
        </w:rPr>
      </w:pPr>
      <w:r w:rsidRPr="002A7288">
        <w:rPr>
          <w:rFonts w:ascii="Arabic Typesetting" w:hAnsi="Arabic Typesetting" w:cs="Arabic Typesetting"/>
          <w:sz w:val="28"/>
          <w:szCs w:val="28"/>
          <w:rtl/>
        </w:rPr>
        <w:t>إصلاح القانون رقم 1-73-28 في اتجاه إنزال العقوبات بمروجي المخدرات واعتبار المستهلك شخص مريض له حق الرعاية الصحية.</w:t>
      </w:r>
    </w:p>
    <w:p w14:paraId="0F2E7EBE" w14:textId="77777777" w:rsidR="004B31CF" w:rsidRPr="002A7288" w:rsidRDefault="004B31CF" w:rsidP="004B31CF">
      <w:pPr>
        <w:numPr>
          <w:ilvl w:val="0"/>
          <w:numId w:val="2"/>
        </w:numPr>
        <w:bidi/>
        <w:spacing w:after="200" w:line="276" w:lineRule="auto"/>
        <w:jc w:val="both"/>
        <w:rPr>
          <w:rFonts w:ascii="Arabic Typesetting" w:hAnsi="Arabic Typesetting" w:cs="Arabic Typesetting"/>
          <w:sz w:val="28"/>
          <w:szCs w:val="28"/>
          <w:rtl/>
        </w:rPr>
      </w:pPr>
      <w:r w:rsidRPr="002A7288">
        <w:rPr>
          <w:rFonts w:ascii="Arabic Typesetting" w:hAnsi="Arabic Typesetting" w:cs="Arabic Typesetting"/>
          <w:sz w:val="28"/>
          <w:szCs w:val="28"/>
          <w:rtl/>
        </w:rPr>
        <w:t>تفعيل المرسوم المشترك لوزارة الصحة ووزارة الداخلية ووزارة العدل المعبر عن التزامات العمل على مكافحة فيروس نقص المناعة البشري المكتسب من خلال حث/إعطاء الامر لكل المسؤولين باحترام عمل المتدخلين الميدانيين من أجل تسهيل أنشطتهم الوقائية بقرب الفئات المفتاحية</w:t>
      </w:r>
    </w:p>
    <w:p w14:paraId="05C1004A" w14:textId="77777777" w:rsidR="004B31CF" w:rsidRPr="002A7288" w:rsidRDefault="004B31CF" w:rsidP="004B31CF">
      <w:pPr>
        <w:numPr>
          <w:ilvl w:val="0"/>
          <w:numId w:val="2"/>
        </w:numPr>
        <w:bidi/>
        <w:spacing w:after="200" w:line="276" w:lineRule="auto"/>
        <w:jc w:val="both"/>
        <w:rPr>
          <w:rFonts w:ascii="Arabic Typesetting" w:hAnsi="Arabic Typesetting" w:cs="Arabic Typesetting"/>
          <w:sz w:val="28"/>
          <w:szCs w:val="28"/>
          <w:rtl/>
        </w:rPr>
      </w:pPr>
      <w:r w:rsidRPr="002A7288">
        <w:rPr>
          <w:rFonts w:ascii="Arabic Typesetting" w:hAnsi="Arabic Typesetting" w:cs="Arabic Typesetting"/>
          <w:sz w:val="28"/>
          <w:szCs w:val="28"/>
          <w:rtl/>
        </w:rPr>
        <w:t>تفعيل المرسوم المشترك لوزارة الصحة ووزارة العدل المتعلق بتيسير ترتيبات الحصول على تصريح للسماح للقاصر بالاستفادة من التحليلة الخاصة بداء السيدا في حالة عدم وجود وصي قانوني</w:t>
      </w:r>
      <w:r w:rsidRPr="002A7288">
        <w:rPr>
          <w:rFonts w:ascii="Arabic Typesetting" w:hAnsi="Arabic Typesetting" w:cs="Arabic Typesetting"/>
          <w:sz w:val="28"/>
          <w:szCs w:val="28"/>
        </w:rPr>
        <w:t>.</w:t>
      </w:r>
    </w:p>
    <w:p w14:paraId="5834D260" w14:textId="77777777" w:rsidR="004B31CF" w:rsidRPr="002A7288" w:rsidRDefault="004B31CF" w:rsidP="004B31CF">
      <w:pPr>
        <w:numPr>
          <w:ilvl w:val="0"/>
          <w:numId w:val="2"/>
        </w:numPr>
        <w:bidi/>
        <w:spacing w:after="200" w:line="276" w:lineRule="auto"/>
        <w:jc w:val="both"/>
        <w:rPr>
          <w:rFonts w:ascii="Arabic Typesetting" w:hAnsi="Arabic Typesetting" w:cs="Arabic Typesetting"/>
          <w:sz w:val="28"/>
          <w:szCs w:val="28"/>
          <w:rtl/>
        </w:rPr>
      </w:pPr>
      <w:r w:rsidRPr="002A7288">
        <w:rPr>
          <w:rFonts w:ascii="Arabic Typesetting" w:hAnsi="Arabic Typesetting" w:cs="Arabic Typesetting"/>
          <w:sz w:val="28"/>
          <w:szCs w:val="28"/>
          <w:rtl/>
        </w:rPr>
        <w:t>تفعيل المنشور الوزاري الذي يشير إلى أن أي رفض لتقديم الرعاية هو تمييز ويشير إلى المادة 431-1 من قانون العقوبات</w:t>
      </w:r>
    </w:p>
    <w:p w14:paraId="7D778F41" w14:textId="77777777" w:rsidR="004B31CF" w:rsidRPr="002A7288" w:rsidRDefault="004B31CF" w:rsidP="004B31CF">
      <w:pPr>
        <w:numPr>
          <w:ilvl w:val="0"/>
          <w:numId w:val="2"/>
        </w:numPr>
        <w:bidi/>
        <w:spacing w:after="200" w:line="276" w:lineRule="auto"/>
        <w:jc w:val="both"/>
        <w:rPr>
          <w:rFonts w:ascii="Arabic Typesetting" w:hAnsi="Arabic Typesetting" w:cs="Arabic Typesetting"/>
          <w:sz w:val="28"/>
          <w:szCs w:val="28"/>
          <w:rtl/>
        </w:rPr>
      </w:pPr>
      <w:r w:rsidRPr="002A7288">
        <w:rPr>
          <w:rFonts w:ascii="Arabic Typesetting" w:hAnsi="Arabic Typesetting" w:cs="Arabic Typesetting"/>
          <w:sz w:val="28"/>
          <w:szCs w:val="28"/>
          <w:rtl/>
        </w:rPr>
        <w:t>تفعيل المنشور الوزاري المرتبط بتذكير جميع العالمين بقطاع الصحة (الأطباء والممرضين وغيرهم) بأن السرية الطبية محمية بموجب القانون الجنائي</w:t>
      </w:r>
      <w:r w:rsidRPr="002A7288">
        <w:rPr>
          <w:rFonts w:ascii="Arabic Typesetting" w:hAnsi="Arabic Typesetting" w:cs="Arabic Typesetting"/>
          <w:sz w:val="28"/>
          <w:szCs w:val="28"/>
        </w:rPr>
        <w:t>.</w:t>
      </w:r>
    </w:p>
    <w:p w14:paraId="741FB309" w14:textId="3ED3B826" w:rsidR="004B31CF" w:rsidRPr="002A7288" w:rsidRDefault="004B31CF" w:rsidP="004B31CF">
      <w:pPr>
        <w:jc w:val="both"/>
        <w:rPr>
          <w:rFonts w:ascii="Arabic Typesetting" w:hAnsi="Arabic Typesetting" w:cs="Arabic Typesetting"/>
          <w:sz w:val="28"/>
          <w:szCs w:val="28"/>
        </w:rPr>
      </w:pPr>
    </w:p>
    <w:p w14:paraId="4F16D175" w14:textId="77777777" w:rsidR="009B7D1E" w:rsidRPr="002A7288" w:rsidRDefault="009B7D1E">
      <w:pPr>
        <w:rPr>
          <w:rFonts w:ascii="Arabic Typesetting" w:hAnsi="Arabic Typesetting" w:cs="Arabic Typesetting"/>
          <w:sz w:val="28"/>
          <w:szCs w:val="28"/>
        </w:rPr>
      </w:pPr>
    </w:p>
    <w:sectPr w:rsidR="009B7D1E" w:rsidRPr="002A728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A2E64" w14:textId="77777777" w:rsidR="009F00FC" w:rsidRDefault="009F00FC" w:rsidP="009F00FC">
      <w:r>
        <w:separator/>
      </w:r>
    </w:p>
  </w:endnote>
  <w:endnote w:type="continuationSeparator" w:id="0">
    <w:p w14:paraId="0693A736" w14:textId="77777777" w:rsidR="009F00FC" w:rsidRDefault="009F00FC" w:rsidP="009F0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charset w:val="B2"/>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1">
    <w:altName w:val="Times New Roman"/>
    <w:charset w:val="00"/>
    <w:family w:val="auto"/>
    <w:pitch w:val="variable"/>
  </w:font>
  <w:font w:name="Arabic Typesetting">
    <w:charset w:val="B2"/>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AEE73" w14:textId="77777777" w:rsidR="009F00FC" w:rsidRDefault="009F00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D3A61" w14:textId="77777777" w:rsidR="009F00FC" w:rsidRDefault="009F00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FE87F" w14:textId="77777777" w:rsidR="009F00FC" w:rsidRDefault="009F00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3E706" w14:textId="77777777" w:rsidR="009F00FC" w:rsidRDefault="009F00FC" w:rsidP="009F00FC">
      <w:r>
        <w:separator/>
      </w:r>
    </w:p>
  </w:footnote>
  <w:footnote w:type="continuationSeparator" w:id="0">
    <w:p w14:paraId="26B82598" w14:textId="77777777" w:rsidR="009F00FC" w:rsidRDefault="009F00FC" w:rsidP="009F0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76BAE" w14:textId="77777777" w:rsidR="009F00FC" w:rsidRDefault="009F00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1D716" w14:textId="2139AC6D" w:rsidR="009F00FC" w:rsidRDefault="009F00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9F9D4" w14:textId="77777777" w:rsidR="009F00FC" w:rsidRDefault="009F00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96131"/>
    <w:multiLevelType w:val="hybridMultilevel"/>
    <w:tmpl w:val="9A9865D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40E96D1F"/>
    <w:multiLevelType w:val="hybridMultilevel"/>
    <w:tmpl w:val="47D65BEE"/>
    <w:lvl w:ilvl="0" w:tplc="556CAB04">
      <w:numFmt w:val="bullet"/>
      <w:lvlText w:val="•"/>
      <w:lvlJc w:val="left"/>
      <w:pPr>
        <w:ind w:left="720" w:hanging="360"/>
      </w:pPr>
      <w:rPr>
        <w:rFonts w:ascii="Traditional Arabic" w:eastAsia="Calibr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5EF1535"/>
    <w:multiLevelType w:val="hybridMultilevel"/>
    <w:tmpl w:val="B9E29C1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4D475095"/>
    <w:multiLevelType w:val="hybridMultilevel"/>
    <w:tmpl w:val="6556EC52"/>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4" w15:restartNumberingAfterBreak="0">
    <w:nsid w:val="58B967C5"/>
    <w:multiLevelType w:val="hybridMultilevel"/>
    <w:tmpl w:val="89AE3C9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59A72843"/>
    <w:multiLevelType w:val="hybridMultilevel"/>
    <w:tmpl w:val="42788886"/>
    <w:lvl w:ilvl="0" w:tplc="E17019BA">
      <w:start w:val="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DBA22E8"/>
    <w:multiLevelType w:val="hybridMultilevel"/>
    <w:tmpl w:val="A1829E44"/>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1068919753">
    <w:abstractNumId w:val="6"/>
  </w:num>
  <w:num w:numId="2" w16cid:durableId="1210260645">
    <w:abstractNumId w:val="2"/>
  </w:num>
  <w:num w:numId="3" w16cid:durableId="1626083720">
    <w:abstractNumId w:val="1"/>
  </w:num>
  <w:num w:numId="4" w16cid:durableId="900559805">
    <w:abstractNumId w:val="5"/>
  </w:num>
  <w:num w:numId="5" w16cid:durableId="1961951817">
    <w:abstractNumId w:val="0"/>
  </w:num>
  <w:num w:numId="6" w16cid:durableId="1328947021">
    <w:abstractNumId w:val="3"/>
  </w:num>
  <w:num w:numId="7" w16cid:durableId="890822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D1E"/>
    <w:rsid w:val="00250AD7"/>
    <w:rsid w:val="002A7288"/>
    <w:rsid w:val="003A57BD"/>
    <w:rsid w:val="004622D6"/>
    <w:rsid w:val="004B31CF"/>
    <w:rsid w:val="00851D16"/>
    <w:rsid w:val="009B7D1E"/>
    <w:rsid w:val="009E6A25"/>
    <w:rsid w:val="009F00FC"/>
    <w:rsid w:val="00A510D4"/>
    <w:rsid w:val="00AA1FE6"/>
    <w:rsid w:val="00B773FB"/>
    <w:rsid w:val="00B8411A"/>
    <w:rsid w:val="00BA6B61"/>
    <w:rsid w:val="00BB372A"/>
    <w:rsid w:val="00CC6AC1"/>
    <w:rsid w:val="00CD2DEA"/>
    <w:rsid w:val="00F2797C"/>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E19011"/>
  <w15:chartTrackingRefBased/>
  <w15:docId w15:val="{14957F6A-B914-4764-B1D5-DEE4CD947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M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D1E"/>
    <w:pPr>
      <w:spacing w:after="0" w:line="240" w:lineRule="auto"/>
    </w:pPr>
    <w:rPr>
      <w:rFonts w:ascii="Times New Roman" w:eastAsia="Calibri" w:hAnsi="Times New Roman" w:cs="Times New Roman"/>
      <w:sz w:val="24"/>
      <w:szCs w:val="24"/>
      <w:lang w:val="fr-FR" w:eastAsia="fr-FR"/>
    </w:rPr>
  </w:style>
  <w:style w:type="paragraph" w:styleId="Heading1">
    <w:name w:val="heading 1"/>
    <w:basedOn w:val="Normal"/>
    <w:link w:val="Heading1Char"/>
    <w:uiPriority w:val="9"/>
    <w:qFormat/>
    <w:rsid w:val="009B7D1E"/>
    <w:pPr>
      <w:spacing w:before="100" w:beforeAutospacing="1" w:after="100" w:afterAutospacing="1"/>
      <w:outlineLvl w:val="0"/>
    </w:pPr>
    <w:rPr>
      <w:rFonts w:eastAsia="Times New Roman"/>
      <w:b/>
      <w:bCs/>
      <w:kern w:val="36"/>
      <w:sz w:val="48"/>
      <w:szCs w:val="4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D1E"/>
    <w:rPr>
      <w:rFonts w:ascii="Times New Roman" w:eastAsia="Times New Roman" w:hAnsi="Times New Roman" w:cs="Times New Roman"/>
      <w:b/>
      <w:bCs/>
      <w:kern w:val="36"/>
      <w:sz w:val="48"/>
      <w:szCs w:val="48"/>
      <w:lang w:val="x-none" w:eastAsia="fr-FR"/>
    </w:rPr>
  </w:style>
  <w:style w:type="character" w:styleId="CommentReference">
    <w:name w:val="annotation reference"/>
    <w:uiPriority w:val="99"/>
    <w:semiHidden/>
    <w:unhideWhenUsed/>
    <w:rsid w:val="009B7D1E"/>
    <w:rPr>
      <w:sz w:val="16"/>
      <w:szCs w:val="16"/>
    </w:rPr>
  </w:style>
  <w:style w:type="paragraph" w:styleId="Footer">
    <w:name w:val="footer"/>
    <w:basedOn w:val="Normal"/>
    <w:link w:val="FooterChar"/>
    <w:uiPriority w:val="99"/>
    <w:unhideWhenUsed/>
    <w:rsid w:val="004B31CF"/>
    <w:pPr>
      <w:tabs>
        <w:tab w:val="center" w:pos="4536"/>
        <w:tab w:val="right" w:pos="9072"/>
      </w:tabs>
    </w:pPr>
    <w:rPr>
      <w:rFonts w:eastAsia="Times New Roman"/>
      <w:lang w:val="x-none" w:eastAsia="x-none"/>
    </w:rPr>
  </w:style>
  <w:style w:type="character" w:customStyle="1" w:styleId="FooterChar">
    <w:name w:val="Footer Char"/>
    <w:basedOn w:val="DefaultParagraphFont"/>
    <w:link w:val="Footer"/>
    <w:uiPriority w:val="99"/>
    <w:rsid w:val="004B31CF"/>
    <w:rPr>
      <w:rFonts w:ascii="Times New Roman" w:eastAsia="Times New Roman" w:hAnsi="Times New Roman" w:cs="Times New Roman"/>
      <w:sz w:val="24"/>
      <w:szCs w:val="24"/>
      <w:lang w:val="x-none" w:eastAsia="x-none"/>
    </w:rPr>
  </w:style>
  <w:style w:type="paragraph" w:customStyle="1" w:styleId="Standard">
    <w:name w:val="Standard"/>
    <w:rsid w:val="004B31CF"/>
    <w:pPr>
      <w:suppressAutoHyphens/>
      <w:autoSpaceDN w:val="0"/>
      <w:spacing w:after="200" w:line="276" w:lineRule="auto"/>
      <w:textAlignment w:val="baseline"/>
    </w:pPr>
    <w:rPr>
      <w:rFonts w:ascii="Calibri" w:eastAsia="SimSun" w:hAnsi="Calibri" w:cs="F1"/>
      <w:kern w:val="3"/>
      <w:lang w:val="fr-FR"/>
    </w:rPr>
  </w:style>
  <w:style w:type="paragraph" w:styleId="HTMLPreformatted">
    <w:name w:val="HTML Preformatted"/>
    <w:basedOn w:val="Normal"/>
    <w:link w:val="HTMLPreformattedChar"/>
    <w:uiPriority w:val="99"/>
    <w:unhideWhenUsed/>
    <w:rsid w:val="004B3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B31CF"/>
    <w:rPr>
      <w:rFonts w:ascii="Courier New" w:eastAsia="Times New Roman" w:hAnsi="Courier New" w:cs="Courier New"/>
      <w:sz w:val="20"/>
      <w:szCs w:val="20"/>
      <w:lang w:val="fr-FR" w:eastAsia="fr-FR"/>
    </w:rPr>
  </w:style>
  <w:style w:type="paragraph" w:styleId="Header">
    <w:name w:val="header"/>
    <w:basedOn w:val="Normal"/>
    <w:link w:val="HeaderChar"/>
    <w:uiPriority w:val="99"/>
    <w:unhideWhenUsed/>
    <w:rsid w:val="009F00FC"/>
    <w:pPr>
      <w:tabs>
        <w:tab w:val="center" w:pos="4513"/>
        <w:tab w:val="right" w:pos="9026"/>
      </w:tabs>
    </w:pPr>
  </w:style>
  <w:style w:type="character" w:customStyle="1" w:styleId="HeaderChar">
    <w:name w:val="Header Char"/>
    <w:basedOn w:val="DefaultParagraphFont"/>
    <w:link w:val="Header"/>
    <w:uiPriority w:val="99"/>
    <w:rsid w:val="009F00FC"/>
    <w:rPr>
      <w:rFonts w:ascii="Times New Roman" w:eastAsia="Calibri" w:hAnsi="Times New Roman" w:cs="Times New Roman"/>
      <w:sz w:val="24"/>
      <w:szCs w:val="24"/>
      <w:lang w:val="fr-FR" w:eastAsia="fr-FR"/>
    </w:rPr>
  </w:style>
  <w:style w:type="paragraph" w:styleId="CommentText">
    <w:name w:val="annotation text"/>
    <w:basedOn w:val="Normal"/>
    <w:link w:val="CommentTextChar"/>
    <w:uiPriority w:val="99"/>
    <w:unhideWhenUsed/>
    <w:rsid w:val="00250AD7"/>
    <w:rPr>
      <w:sz w:val="20"/>
      <w:szCs w:val="20"/>
    </w:rPr>
  </w:style>
  <w:style w:type="character" w:customStyle="1" w:styleId="CommentTextChar">
    <w:name w:val="Comment Text Char"/>
    <w:basedOn w:val="DefaultParagraphFont"/>
    <w:link w:val="CommentText"/>
    <w:uiPriority w:val="99"/>
    <w:rsid w:val="00250AD7"/>
    <w:rPr>
      <w:rFonts w:ascii="Times New Roman" w:eastAsia="Calibri" w:hAnsi="Times New Roman"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sid w:val="00250AD7"/>
    <w:rPr>
      <w:b/>
      <w:bCs/>
    </w:rPr>
  </w:style>
  <w:style w:type="character" w:customStyle="1" w:styleId="CommentSubjectChar">
    <w:name w:val="Comment Subject Char"/>
    <w:basedOn w:val="CommentTextChar"/>
    <w:link w:val="CommentSubject"/>
    <w:uiPriority w:val="99"/>
    <w:semiHidden/>
    <w:rsid w:val="00250AD7"/>
    <w:rPr>
      <w:rFonts w:ascii="Times New Roman" w:eastAsia="Calibri" w:hAnsi="Times New Roman" w:cs="Times New Roman"/>
      <w:b/>
      <w:bCs/>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C40202FEBBA843BF41687ADE7B54CC" ma:contentTypeVersion="18" ma:contentTypeDescription="Create a new document." ma:contentTypeScope="" ma:versionID="4900c56d6cc844023b5a704a191eaaa0">
  <xsd:schema xmlns:xsd="http://www.w3.org/2001/XMLSchema" xmlns:xs="http://www.w3.org/2001/XMLSchema" xmlns:p="http://schemas.microsoft.com/office/2006/metadata/properties" xmlns:ns2="c8192cb1-67bb-4ce5-82db-0b25b399d117" xmlns:ns3="9c2e4527-2efa-4ade-b3d6-b2418af14986" xmlns:ns4="985ec44e-1bab-4c0b-9df0-6ba128686fc9" targetNamespace="http://schemas.microsoft.com/office/2006/metadata/properties" ma:root="true" ma:fieldsID="db267e4a8e7b5b4ae8d56018296bc408" ns2:_="" ns3:_="" ns4:_="">
    <xsd:import namespace="c8192cb1-67bb-4ce5-82db-0b25b399d117"/>
    <xsd:import namespace="9c2e4527-2efa-4ade-b3d6-b2418af14986"/>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Contributorsname" minOccurs="0"/>
                <xsd:element ref="ns2:Catetory" minOccurs="0"/>
                <xsd:element ref="ns2:Doctype"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92cb1-67bb-4ce5-82db-0b25b399d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Contributorsname" ma:index="21" nillable="true" ma:displayName="Contributor" ma:description="Who submitted this document?" ma:format="Dropdown" ma:internalName="Contributorsname">
      <xsd:simpleType>
        <xsd:restriction base="dms:Text">
          <xsd:maxLength value="255"/>
        </xsd:restriction>
      </xsd:simpleType>
    </xsd:element>
    <xsd:element name="Catetory" ma:index="22" nillable="true" ma:displayName="Category" ma:description="The contributor belongs to Member states, NHRIs, UN entities, CSOs, Academia, Individuals, or others?" ma:format="Dropdown" ma:internalName="Catetory">
      <xsd:simpleType>
        <xsd:union memberTypes="dms:Text">
          <xsd:simpleType>
            <xsd:restriction base="dms:Choice">
              <xsd:enumeration value="Member States"/>
              <xsd:enumeration value="NHRIs"/>
              <xsd:enumeration value="UN entities"/>
              <xsd:enumeration value="CSOs"/>
              <xsd:enumeration value="Academia"/>
              <xsd:enumeration value="Individuals"/>
            </xsd:restriction>
          </xsd:simpleType>
        </xsd:union>
      </xsd:simpleType>
    </xsd:element>
    <xsd:element name="Doctype" ma:index="23" nillable="true" ma:displayName="Doc type" ma:default="input" ma:description="Specify the document type (optional)" ma:format="Dropdown" ma:internalName="Doctype">
      <xsd:simpleType>
        <xsd:union memberTypes="dms:Text">
          <xsd:simpleType>
            <xsd:restriction base="dms:Choice">
              <xsd:enumeration value="input"/>
              <xsd:enumeration value="input I"/>
              <xsd:enumeration value="input II"/>
              <xsd:enumeration value="input III"/>
              <xsd:enumeration value="cover letter"/>
              <xsd:enumeration value="note verbale"/>
              <xsd:enumeration value="annex"/>
              <xsd:enumeration value="annex I"/>
              <xsd:enumeration value="annex II"/>
              <xsd:enumeration value="annex III"/>
              <xsd:enumeration value="French translation"/>
              <xsd:enumeration value="Spanish translation"/>
              <xsd:enumeration value="Arabic translation"/>
              <xsd:enumeration value="Russian translation"/>
              <xsd:enumeration value="Chinese translation"/>
            </xsd:restriction>
          </xsd:simpleType>
        </xsd:union>
      </xsd:simpleType>
    </xsd:element>
    <xsd:element name="Language" ma:index="24" nillable="true" ma:displayName="Language" ma:default="English" ma:description="Document language" ma:format="Dropdown" ma:internalName="Language">
      <xsd:simpleType>
        <xsd:union memberTypes="dms:Text">
          <xsd:simpleType>
            <xsd:restriction base="dms:Choice">
              <xsd:enumeration value="English"/>
              <xsd:enumeration value="French"/>
              <xsd:enumeration value="Spanish"/>
              <xsd:enumeration value="Arabic"/>
              <xsd:enumeration value="Russian"/>
              <xsd:enumeration value="Chinese"/>
              <xsd:enumeration value="Choice 7"/>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56201A-20FF-47CB-BA20-DE7E02273DE1}">
  <ds:schemaRefs>
    <ds:schemaRef ds:uri="http://schemas.openxmlformats.org/officeDocument/2006/bibliography"/>
  </ds:schemaRefs>
</ds:datastoreItem>
</file>

<file path=customXml/itemProps2.xml><?xml version="1.0" encoding="utf-8"?>
<ds:datastoreItem xmlns:ds="http://schemas.openxmlformats.org/officeDocument/2006/customXml" ds:itemID="{89F7E3DF-DCC9-4D24-B443-C3E5D68C6AF0}"/>
</file>

<file path=customXml/itemProps3.xml><?xml version="1.0" encoding="utf-8"?>
<ds:datastoreItem xmlns:ds="http://schemas.openxmlformats.org/officeDocument/2006/customXml" ds:itemID="{9088DD9E-C11F-40B0-9D56-41DFC222CA2D}"/>
</file>

<file path=docProps/app.xml><?xml version="1.0" encoding="utf-8"?>
<Properties xmlns="http://schemas.openxmlformats.org/officeDocument/2006/extended-properties" xmlns:vt="http://schemas.openxmlformats.org/officeDocument/2006/docPropsVTypes">
  <Template>Normal.dotm</Template>
  <TotalTime>1</TotalTime>
  <Pages>5</Pages>
  <Words>1391</Words>
  <Characters>7932</Characters>
  <Application>Microsoft Office Word</Application>
  <DocSecurity>4</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DOURAIDI Moulay Ahmed</dc:creator>
  <cp:keywords/>
  <dc:description/>
  <cp:lastModifiedBy>JUFO NZOYEM</cp:lastModifiedBy>
  <cp:revision>2</cp:revision>
  <dcterms:created xsi:type="dcterms:W3CDTF">2023-06-13T12:42:00Z</dcterms:created>
  <dcterms:modified xsi:type="dcterms:W3CDTF">2023-06-13T12:42:00Z</dcterms:modified>
</cp:coreProperties>
</file>