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US"/>
        </w:rPr>
        <w:id w:val="821547507"/>
        <w:docPartObj>
          <w:docPartGallery w:val="Cover Pages"/>
          <w:docPartUnique/>
        </w:docPartObj>
      </w:sdtPr>
      <w:sdtEndPr>
        <w:rPr>
          <w:rStyle w:val="Hyperlink"/>
          <w:rFonts w:ascii="Garamond" w:hAnsi="Garamond" w:cstheme="minorHAnsi"/>
          <w:color w:val="0000FF"/>
          <w:sz w:val="20"/>
          <w:szCs w:val="20"/>
          <w:u w:val="single"/>
        </w:rPr>
      </w:sdtEndPr>
      <w:sdtContent>
        <w:p w14:paraId="3558559A" w14:textId="77777777" w:rsidR="00107BB6" w:rsidRPr="00F85FB3" w:rsidRDefault="00107BB6" w:rsidP="00107BB6">
          <w:pPr>
            <w:pStyle w:val="BodyText"/>
            <w:spacing w:line="360" w:lineRule="auto"/>
            <w:ind w:left="167" w:right="243" w:firstLine="2"/>
            <w:jc w:val="both"/>
            <w:rPr>
              <w:rFonts w:ascii="Garamond" w:hAnsi="Garamond"/>
              <w:spacing w:val="-1"/>
              <w:sz w:val="24"/>
              <w:szCs w:val="24"/>
            </w:rPr>
          </w:pPr>
        </w:p>
        <w:p w14:paraId="2625A9B2" w14:textId="13939127" w:rsidR="00107BB6" w:rsidRPr="00571F1A" w:rsidRDefault="00107BB6" w:rsidP="004D2599">
          <w:pPr>
            <w:pStyle w:val="BodyText"/>
            <w:spacing w:after="0" w:line="360" w:lineRule="auto"/>
            <w:ind w:right="243"/>
            <w:jc w:val="both"/>
            <w:rPr>
              <w:rFonts w:ascii="Garamond" w:hAnsi="Garamond"/>
              <w:spacing w:val="-1"/>
              <w:sz w:val="24"/>
              <w:szCs w:val="24"/>
            </w:rPr>
          </w:pPr>
          <w:bookmarkStart w:id="0" w:name="_Hlk135406029"/>
          <w:r w:rsidRPr="00B51260">
            <w:rPr>
              <w:rFonts w:ascii="Garamond" w:hAnsi="Garamond"/>
              <w:spacing w:val="-1"/>
              <w:sz w:val="24"/>
              <w:szCs w:val="24"/>
            </w:rPr>
            <w:t xml:space="preserve">Submission to the Office of the High Commissioner for Human Rights </w:t>
          </w:r>
          <w:r w:rsidR="00B51260" w:rsidRPr="00B51260">
            <w:rPr>
              <w:rFonts w:ascii="Garamond" w:hAnsi="Garamond"/>
              <w:spacing w:val="-1"/>
              <w:sz w:val="24"/>
              <w:szCs w:val="24"/>
            </w:rPr>
            <w:t>to help inform</w:t>
          </w:r>
          <w:r w:rsidRPr="00B51260">
            <w:rPr>
              <w:rFonts w:ascii="Garamond" w:hAnsi="Garamond"/>
              <w:spacing w:val="-1"/>
              <w:sz w:val="24"/>
              <w:szCs w:val="24"/>
            </w:rPr>
            <w:t xml:space="preserve"> preparation of its report</w:t>
          </w:r>
          <w:r w:rsidR="00B51260" w:rsidRPr="00B51260">
            <w:rPr>
              <w:rFonts w:ascii="Garamond" w:hAnsi="Garamond"/>
              <w:spacing w:val="-1"/>
              <w:sz w:val="24"/>
              <w:szCs w:val="24"/>
            </w:rPr>
            <w:t xml:space="preserve"> </w:t>
          </w:r>
          <w:r w:rsidRPr="00B51260">
            <w:rPr>
              <w:rFonts w:ascii="Garamond" w:hAnsi="Garamond"/>
              <w:spacing w:val="-1"/>
              <w:sz w:val="24"/>
              <w:szCs w:val="24"/>
            </w:rPr>
            <w:t xml:space="preserve">on “human rights challenges in addressing and countering all aspects of the world drug problem” pursuant to Human Rights Council </w:t>
          </w:r>
          <w:r w:rsidR="00B51260">
            <w:rPr>
              <w:rFonts w:ascii="Garamond" w:hAnsi="Garamond"/>
              <w:spacing w:val="-1"/>
              <w:sz w:val="24"/>
              <w:szCs w:val="24"/>
            </w:rPr>
            <w:t>R</w:t>
          </w:r>
          <w:r w:rsidRPr="00B51260">
            <w:rPr>
              <w:rFonts w:ascii="Garamond" w:hAnsi="Garamond"/>
              <w:spacing w:val="-1"/>
              <w:sz w:val="24"/>
              <w:szCs w:val="24"/>
            </w:rPr>
            <w:t>esolution 54/22</w:t>
          </w:r>
          <w:r w:rsidR="00B51260">
            <w:rPr>
              <w:rFonts w:ascii="Garamond" w:hAnsi="Garamond"/>
              <w:spacing w:val="-1"/>
              <w:sz w:val="24"/>
              <w:szCs w:val="24"/>
            </w:rPr>
            <w:t>,</w:t>
          </w:r>
          <w:r w:rsidRPr="00B51260">
            <w:rPr>
              <w:rFonts w:ascii="Garamond" w:hAnsi="Garamond"/>
              <w:spacing w:val="-1"/>
              <w:sz w:val="24"/>
              <w:szCs w:val="24"/>
            </w:rPr>
            <w:t xml:space="preserve"> adopted on 4 April 2023</w:t>
          </w:r>
          <w:r w:rsidR="00B51260" w:rsidRPr="00B51260">
            <w:rPr>
              <w:rFonts w:ascii="Garamond" w:hAnsi="Garamond"/>
              <w:spacing w:val="-1"/>
              <w:sz w:val="24"/>
              <w:szCs w:val="24"/>
            </w:rPr>
            <w:t>.</w:t>
          </w:r>
          <w:bookmarkEnd w:id="0"/>
        </w:p>
        <w:p w14:paraId="0DEBDE78" w14:textId="77777777" w:rsidR="00107BB6" w:rsidRPr="00571F1A" w:rsidRDefault="00107BB6" w:rsidP="00107BB6">
          <w:pPr>
            <w:spacing w:after="0" w:line="360" w:lineRule="auto"/>
            <w:jc w:val="both"/>
            <w:rPr>
              <w:rFonts w:ascii="Garamond" w:eastAsia="Gill Sans MT" w:hAnsi="Garamond" w:cs="Gill Sans MT"/>
              <w:sz w:val="24"/>
              <w:szCs w:val="24"/>
            </w:rPr>
          </w:pPr>
        </w:p>
        <w:p w14:paraId="2CC25C0A" w14:textId="2AE73E12" w:rsidR="00107BB6" w:rsidRDefault="00107BB6" w:rsidP="00107BB6">
          <w:pPr>
            <w:spacing w:after="0" w:line="360" w:lineRule="auto"/>
            <w:ind w:right="75"/>
            <w:jc w:val="both"/>
            <w:rPr>
              <w:rFonts w:ascii="Garamond" w:hAnsi="Garamond"/>
              <w:sz w:val="24"/>
              <w:szCs w:val="24"/>
            </w:rPr>
          </w:pPr>
          <w:r w:rsidRPr="00571F1A">
            <w:rPr>
              <w:rFonts w:ascii="Garamond" w:hAnsi="Garamond"/>
              <w:sz w:val="24"/>
              <w:szCs w:val="24"/>
            </w:rPr>
            <w:t>19 May 2023</w:t>
          </w:r>
        </w:p>
        <w:p w14:paraId="0444F563" w14:textId="77777777" w:rsidR="004D2599" w:rsidRPr="00571F1A" w:rsidRDefault="004D2599" w:rsidP="00107BB6">
          <w:pPr>
            <w:spacing w:after="0" w:line="360" w:lineRule="auto"/>
            <w:ind w:right="75"/>
            <w:jc w:val="both"/>
            <w:rPr>
              <w:rFonts w:ascii="Garamond" w:eastAsia="Gill Sans MT" w:hAnsi="Garamond" w:cs="Gill Sans MT"/>
              <w:sz w:val="24"/>
              <w:szCs w:val="24"/>
            </w:rPr>
          </w:pPr>
          <w:bookmarkStart w:id="1" w:name="_GoBack"/>
          <w:bookmarkEnd w:id="1"/>
        </w:p>
        <w:p w14:paraId="3751B92F" w14:textId="021AF07F" w:rsidR="00107BB6" w:rsidRDefault="00107BB6" w:rsidP="00107BB6">
          <w:pPr>
            <w:spacing w:after="0" w:line="360" w:lineRule="auto"/>
            <w:jc w:val="both"/>
            <w:rPr>
              <w:rFonts w:ascii="Garamond" w:eastAsia="Gill Sans MT" w:hAnsi="Garamond" w:cs="Gill Sans MT"/>
              <w:sz w:val="24"/>
              <w:szCs w:val="24"/>
            </w:rPr>
          </w:pPr>
          <w:r>
            <w:rPr>
              <w:noProof/>
            </w:rPr>
            <w:drawing>
              <wp:inline distT="0" distB="0" distL="0" distR="0" wp14:anchorId="5E88DFFF" wp14:editId="74A8E362">
                <wp:extent cx="883920" cy="883920"/>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597" cy="910597"/>
                        </a:xfrm>
                        <a:prstGeom prst="rect">
                          <a:avLst/>
                        </a:prstGeom>
                        <a:noFill/>
                        <a:ln>
                          <a:noFill/>
                        </a:ln>
                      </pic:spPr>
                    </pic:pic>
                  </a:graphicData>
                </a:graphic>
              </wp:inline>
            </w:drawing>
          </w:r>
        </w:p>
        <w:p w14:paraId="6C1035C6" w14:textId="77777777" w:rsidR="00107BB6" w:rsidRPr="00571F1A" w:rsidRDefault="00107BB6" w:rsidP="00107BB6">
          <w:pPr>
            <w:spacing w:after="0" w:line="360" w:lineRule="auto"/>
            <w:jc w:val="both"/>
            <w:rPr>
              <w:rFonts w:ascii="Garamond" w:eastAsia="Gill Sans MT" w:hAnsi="Garamond" w:cs="Gill Sans MT"/>
              <w:sz w:val="24"/>
              <w:szCs w:val="24"/>
            </w:rPr>
          </w:pPr>
        </w:p>
        <w:p w14:paraId="30FE17CF" w14:textId="77777777" w:rsidR="00107BB6" w:rsidRPr="00571F1A" w:rsidRDefault="00107BB6" w:rsidP="00107BB6">
          <w:pPr>
            <w:spacing w:after="0" w:line="360" w:lineRule="auto"/>
            <w:jc w:val="both"/>
            <w:rPr>
              <w:rFonts w:ascii="Garamond" w:hAnsi="Garamond"/>
              <w:sz w:val="24"/>
              <w:szCs w:val="24"/>
            </w:rPr>
          </w:pPr>
          <w:r w:rsidRPr="00571F1A">
            <w:rPr>
              <w:rFonts w:ascii="Garamond" w:hAnsi="Garamond"/>
              <w:sz w:val="24"/>
              <w:szCs w:val="24"/>
            </w:rPr>
            <w:t>DRUG POLICY ALLIANCE</w:t>
          </w:r>
        </w:p>
        <w:p w14:paraId="1EE43DB6" w14:textId="50910AAD" w:rsidR="00107BB6" w:rsidRPr="00571F1A" w:rsidRDefault="00107BB6" w:rsidP="00107BB6">
          <w:pPr>
            <w:pStyle w:val="BodyText"/>
            <w:spacing w:line="360" w:lineRule="auto"/>
            <w:ind w:right="112"/>
            <w:jc w:val="both"/>
            <w:rPr>
              <w:rFonts w:ascii="Garamond" w:hAnsi="Garamond"/>
              <w:spacing w:val="-1"/>
              <w:sz w:val="24"/>
              <w:szCs w:val="24"/>
            </w:rPr>
          </w:pPr>
          <w:r w:rsidRPr="00571F1A">
            <w:rPr>
              <w:rFonts w:ascii="Garamond" w:hAnsi="Garamond"/>
              <w:spacing w:val="-1"/>
              <w:sz w:val="24"/>
              <w:szCs w:val="24"/>
            </w:rPr>
            <w:t xml:space="preserve">The </w:t>
          </w:r>
          <w:hyperlink r:id="rId12" w:history="1">
            <w:r w:rsidR="00B96975">
              <w:rPr>
                <w:rStyle w:val="Hyperlink"/>
                <w:rFonts w:ascii="Garamond" w:hAnsi="Garamond"/>
                <w:spacing w:val="-1"/>
                <w:sz w:val="24"/>
                <w:szCs w:val="24"/>
              </w:rPr>
              <w:t>Drug Policy Alliance</w:t>
            </w:r>
          </w:hyperlink>
          <w:r w:rsidR="00B96975" w:rsidRPr="00571F1A">
            <w:rPr>
              <w:rFonts w:ascii="Garamond" w:hAnsi="Garamond"/>
              <w:spacing w:val="-1"/>
              <w:sz w:val="24"/>
              <w:szCs w:val="24"/>
            </w:rPr>
            <w:t xml:space="preserve"> </w:t>
          </w:r>
          <w:r w:rsidRPr="00571F1A">
            <w:rPr>
              <w:rFonts w:ascii="Garamond" w:hAnsi="Garamond"/>
              <w:spacing w:val="-1"/>
              <w:sz w:val="24"/>
              <w:szCs w:val="24"/>
            </w:rPr>
            <w:t>(DPA) is the leading organization in the U.S. promoting alternatives to the war on drugs. We envision a just society in which the use and regulation of drugs are grounded in science, compassion, health, and human rights; in which people are no longer punished for what they put into their own bodies; and in which the fears, prejudices, and punitive prohibitions of today are no more.</w:t>
          </w:r>
        </w:p>
        <w:p w14:paraId="35203CF8" w14:textId="0D181E03" w:rsidR="00107BB6" w:rsidRDefault="00107BB6" w:rsidP="00107BB6">
          <w:pPr>
            <w:pStyle w:val="BodyText"/>
            <w:spacing w:line="360" w:lineRule="auto"/>
            <w:ind w:right="112"/>
            <w:jc w:val="both"/>
            <w:rPr>
              <w:rFonts w:ascii="Garamond" w:hAnsi="Garamond"/>
              <w:sz w:val="24"/>
              <w:szCs w:val="24"/>
            </w:rPr>
          </w:pPr>
          <w:r w:rsidRPr="00571F1A">
            <w:rPr>
              <w:rFonts w:ascii="Garamond" w:hAnsi="Garamond"/>
              <w:spacing w:val="-1"/>
              <w:sz w:val="24"/>
              <w:szCs w:val="24"/>
            </w:rPr>
            <w:t xml:space="preserve">Since 2000, we led the way on creating cutting-edge policies that have fundamentally transformed the direction of drug policy in the U.S. and beyond. </w:t>
          </w:r>
          <w:r w:rsidRPr="00571F1A">
            <w:rPr>
              <w:rFonts w:ascii="Garamond" w:hAnsi="Garamond"/>
              <w:sz w:val="24"/>
              <w:szCs w:val="24"/>
            </w:rPr>
            <w:t xml:space="preserve">Our recent initiative </w:t>
          </w:r>
          <w:hyperlink r:id="rId13" w:tgtFrame="_blank" w:history="1">
            <w:r w:rsidRPr="00571F1A">
              <w:rPr>
                <w:rFonts w:ascii="Garamond" w:hAnsi="Garamond"/>
                <w:sz w:val="24"/>
                <w:szCs w:val="24"/>
              </w:rPr>
              <w:t>Uprooting the Drug War</w:t>
            </w:r>
          </w:hyperlink>
          <w:r w:rsidRPr="00571F1A">
            <w:rPr>
              <w:rStyle w:val="FootnoteReference"/>
              <w:rFonts w:ascii="Garamond" w:hAnsi="Garamond"/>
              <w:sz w:val="24"/>
              <w:szCs w:val="24"/>
            </w:rPr>
            <w:footnoteReference w:id="1"/>
          </w:r>
          <w:r w:rsidRPr="00571F1A">
            <w:rPr>
              <w:rFonts w:ascii="Garamond" w:hAnsi="Garamond"/>
              <w:sz w:val="24"/>
              <w:szCs w:val="24"/>
            </w:rPr>
            <w:t xml:space="preserve"> exposed how the impact of the war on drugs extends far beyond arrest and incarceration and has contaminated nearly every aspect of people’s lives, including education, healthcare, housing, immigration, and employment</w:t>
          </w:r>
          <w:r w:rsidR="00B96975">
            <w:rPr>
              <w:rFonts w:ascii="Garamond" w:hAnsi="Garamond"/>
              <w:sz w:val="24"/>
              <w:szCs w:val="24"/>
            </w:rPr>
            <w:t>.</w:t>
          </w:r>
        </w:p>
        <w:p w14:paraId="74FF0BB3" w14:textId="77777777" w:rsidR="00231489" w:rsidRDefault="00B96975" w:rsidP="00301B4E">
          <w:pPr>
            <w:spacing w:after="0" w:line="360" w:lineRule="auto"/>
            <w:rPr>
              <w:rFonts w:ascii="Garamond" w:hAnsi="Garamond"/>
              <w:spacing w:val="-1"/>
              <w:sz w:val="24"/>
              <w:szCs w:val="24"/>
            </w:rPr>
          </w:pPr>
          <w:r>
            <w:rPr>
              <w:rFonts w:ascii="Garamond" w:hAnsi="Garamond"/>
              <w:spacing w:val="-1"/>
              <w:sz w:val="24"/>
              <w:szCs w:val="24"/>
            </w:rPr>
            <w:t xml:space="preserve">DPA is pleased to offer this submission to </w:t>
          </w:r>
          <w:r w:rsidR="009279F4">
            <w:rPr>
              <w:rFonts w:ascii="Garamond" w:hAnsi="Garamond"/>
              <w:spacing w:val="-1"/>
              <w:sz w:val="24"/>
              <w:szCs w:val="24"/>
            </w:rPr>
            <w:t xml:space="preserve">help </w:t>
          </w:r>
          <w:r>
            <w:rPr>
              <w:rFonts w:ascii="Garamond" w:hAnsi="Garamond"/>
              <w:spacing w:val="-1"/>
              <w:sz w:val="24"/>
              <w:szCs w:val="24"/>
            </w:rPr>
            <w:t xml:space="preserve">inform the OHCHR report.  For additional information, please contact: </w:t>
          </w:r>
        </w:p>
        <w:p w14:paraId="3B163799" w14:textId="5E5FB0BD" w:rsidR="00231489" w:rsidRDefault="00107BB6" w:rsidP="00301B4E">
          <w:pPr>
            <w:spacing w:after="0" w:line="360" w:lineRule="auto"/>
            <w:rPr>
              <w:rFonts w:ascii="Garamond" w:hAnsi="Garamond"/>
              <w:spacing w:val="-1"/>
              <w:sz w:val="24"/>
              <w:szCs w:val="24"/>
            </w:rPr>
          </w:pPr>
          <w:r w:rsidRPr="00571F1A">
            <w:rPr>
              <w:rFonts w:ascii="Garamond" w:hAnsi="Garamond"/>
              <w:spacing w:val="-1"/>
              <w:sz w:val="24"/>
              <w:szCs w:val="24"/>
            </w:rPr>
            <w:t xml:space="preserve">Theshia Naidoo: </w:t>
          </w:r>
          <w:hyperlink r:id="rId14" w:history="1">
            <w:r w:rsidRPr="00571F1A">
              <w:rPr>
                <w:rStyle w:val="Hyperlink"/>
                <w:rFonts w:ascii="Garamond" w:hAnsi="Garamond"/>
                <w:spacing w:val="-1"/>
                <w:sz w:val="24"/>
                <w:szCs w:val="24"/>
              </w:rPr>
              <w:t>tnaidoo@drugpolicy.org</w:t>
            </w:r>
          </w:hyperlink>
          <w:r w:rsidRPr="00571F1A">
            <w:rPr>
              <w:rFonts w:ascii="Garamond" w:hAnsi="Garamond"/>
              <w:spacing w:val="-1"/>
              <w:sz w:val="24"/>
              <w:szCs w:val="24"/>
            </w:rPr>
            <w:t xml:space="preserve"> </w:t>
          </w:r>
        </w:p>
        <w:p w14:paraId="2DD387BC" w14:textId="7770BD2C" w:rsidR="00107BB6" w:rsidRPr="00571F1A" w:rsidRDefault="00107BB6" w:rsidP="00301B4E">
          <w:pPr>
            <w:spacing w:after="0" w:line="360" w:lineRule="auto"/>
            <w:rPr>
              <w:rFonts w:ascii="Garamond" w:hAnsi="Garamond"/>
              <w:spacing w:val="-1"/>
              <w:sz w:val="24"/>
              <w:szCs w:val="24"/>
            </w:rPr>
          </w:pPr>
          <w:r w:rsidRPr="00571F1A">
            <w:rPr>
              <w:rFonts w:ascii="Garamond" w:hAnsi="Garamond"/>
              <w:spacing w:val="-1"/>
              <w:sz w:val="24"/>
              <w:szCs w:val="24"/>
            </w:rPr>
            <w:t xml:space="preserve">Melissa Moore: </w:t>
          </w:r>
          <w:hyperlink r:id="rId15" w:history="1">
            <w:r w:rsidRPr="00571F1A">
              <w:rPr>
                <w:rStyle w:val="Hyperlink"/>
                <w:rFonts w:ascii="Garamond" w:hAnsi="Garamond"/>
                <w:spacing w:val="-1"/>
                <w:sz w:val="24"/>
                <w:szCs w:val="24"/>
              </w:rPr>
              <w:t>mmoore@drugpolicy.org</w:t>
            </w:r>
          </w:hyperlink>
          <w:r w:rsidRPr="00571F1A">
            <w:rPr>
              <w:rFonts w:ascii="Garamond" w:hAnsi="Garamond"/>
              <w:spacing w:val="-1"/>
              <w:sz w:val="24"/>
              <w:szCs w:val="24"/>
            </w:rPr>
            <w:t xml:space="preserve"> </w:t>
          </w:r>
        </w:p>
        <w:p w14:paraId="3E5CD9A9" w14:textId="1D6B6F53" w:rsidR="00107BB6" w:rsidRDefault="00237D86" w:rsidP="00107BB6">
          <w:pPr>
            <w:rPr>
              <w:rStyle w:val="Hyperlink"/>
              <w:rFonts w:ascii="Garamond" w:hAnsi="Garamond" w:cstheme="minorHAnsi"/>
              <w:sz w:val="20"/>
              <w:szCs w:val="20"/>
            </w:rPr>
          </w:pPr>
        </w:p>
      </w:sdtContent>
    </w:sdt>
    <w:p w14:paraId="612E6430" w14:textId="4C1FA057" w:rsidR="00107BB6" w:rsidRDefault="00107BB6" w:rsidP="00107BB6">
      <w:pPr>
        <w:rPr>
          <w:rFonts w:ascii="Garamond" w:eastAsia="Times New Roman" w:hAnsi="Garamond" w:cs="Times New Roman"/>
          <w:b/>
          <w:sz w:val="24"/>
          <w:szCs w:val="24"/>
        </w:rPr>
      </w:pPr>
    </w:p>
    <w:p w14:paraId="55DF0BED" w14:textId="01677BF0" w:rsidR="0041532E" w:rsidRPr="00107BB6" w:rsidRDefault="00107BB6" w:rsidP="00107BB6">
      <w:pPr>
        <w:rPr>
          <w:rFonts w:ascii="Garamond" w:eastAsia="Times New Roman" w:hAnsi="Garamond" w:cs="Times New Roman"/>
          <w:b/>
          <w:sz w:val="24"/>
          <w:szCs w:val="24"/>
        </w:rPr>
      </w:pPr>
      <w:r>
        <w:rPr>
          <w:rFonts w:ascii="Garamond" w:eastAsia="Times New Roman" w:hAnsi="Garamond" w:cs="Times New Roman"/>
          <w:b/>
          <w:sz w:val="24"/>
          <w:szCs w:val="24"/>
        </w:rPr>
        <w:br w:type="page"/>
      </w:r>
      <w:r w:rsidR="0041532E" w:rsidRPr="00571F1A">
        <w:rPr>
          <w:rFonts w:ascii="Garamond" w:eastAsia="Times New Roman" w:hAnsi="Garamond" w:cs="Times New Roman"/>
          <w:b/>
          <w:sz w:val="24"/>
          <w:szCs w:val="24"/>
        </w:rPr>
        <w:lastRenderedPageBreak/>
        <w:t>Introduction</w:t>
      </w:r>
    </w:p>
    <w:p w14:paraId="5DC1A384" w14:textId="4D0675E7" w:rsidR="001B58C1" w:rsidRPr="00571F1A" w:rsidRDefault="001B58C1" w:rsidP="6DB8CE78">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For over five decades, the United States</w:t>
      </w:r>
      <w:r w:rsidR="00515226">
        <w:rPr>
          <w:rFonts w:ascii="Garamond" w:eastAsia="Times New Roman" w:hAnsi="Garamond" w:cs="Times New Roman"/>
          <w:sz w:val="24"/>
          <w:szCs w:val="24"/>
        </w:rPr>
        <w:t xml:space="preserve"> </w:t>
      </w:r>
      <w:r w:rsidR="001114C8">
        <w:rPr>
          <w:rFonts w:ascii="Garamond" w:eastAsia="Times New Roman" w:hAnsi="Garamond" w:cs="Times New Roman"/>
          <w:sz w:val="24"/>
          <w:szCs w:val="24"/>
        </w:rPr>
        <w:t xml:space="preserve">(U.S.) </w:t>
      </w:r>
      <w:r w:rsidR="00515226">
        <w:rPr>
          <w:rFonts w:ascii="Garamond" w:eastAsia="Times New Roman" w:hAnsi="Garamond" w:cs="Times New Roman"/>
          <w:sz w:val="24"/>
          <w:szCs w:val="24"/>
        </w:rPr>
        <w:t>‘war on drugs’</w:t>
      </w:r>
      <w:r w:rsidRPr="00571F1A">
        <w:rPr>
          <w:rFonts w:ascii="Garamond" w:eastAsia="Times New Roman" w:hAnsi="Garamond" w:cs="Times New Roman"/>
          <w:sz w:val="24"/>
          <w:szCs w:val="24"/>
        </w:rPr>
        <w:t xml:space="preserve"> has criminalized millions of people</w:t>
      </w:r>
      <w:r w:rsidR="00515226">
        <w:rPr>
          <w:rFonts w:ascii="Garamond" w:eastAsia="Times New Roman" w:hAnsi="Garamond" w:cs="Times New Roman"/>
          <w:sz w:val="24"/>
          <w:szCs w:val="24"/>
        </w:rPr>
        <w:t>, su</w:t>
      </w:r>
      <w:r w:rsidRPr="00571F1A">
        <w:rPr>
          <w:rFonts w:ascii="Garamond" w:eastAsia="Times New Roman" w:hAnsi="Garamond" w:cs="Times New Roman"/>
          <w:sz w:val="24"/>
          <w:szCs w:val="24"/>
        </w:rPr>
        <w:t>bjected them to lifelong criminal records</w:t>
      </w:r>
      <w:r w:rsidR="00515226">
        <w:rPr>
          <w:rFonts w:ascii="Garamond" w:eastAsia="Times New Roman" w:hAnsi="Garamond" w:cs="Times New Roman"/>
          <w:sz w:val="24"/>
          <w:szCs w:val="24"/>
        </w:rPr>
        <w:t>, and</w:t>
      </w:r>
      <w:r w:rsidRPr="00571F1A">
        <w:rPr>
          <w:rFonts w:ascii="Garamond" w:eastAsia="Times New Roman" w:hAnsi="Garamond" w:cs="Times New Roman"/>
          <w:sz w:val="24"/>
          <w:szCs w:val="24"/>
        </w:rPr>
        <w:t xml:space="preserve"> has </w:t>
      </w:r>
      <w:r w:rsidR="007B1DB8" w:rsidRPr="00571F1A">
        <w:rPr>
          <w:rFonts w:ascii="Garamond" w:eastAsia="Times New Roman" w:hAnsi="Garamond" w:cs="Times New Roman"/>
          <w:sz w:val="24"/>
          <w:szCs w:val="24"/>
        </w:rPr>
        <w:t>infiltrated</w:t>
      </w:r>
      <w:r w:rsidR="00763DF2" w:rsidRPr="00571F1A">
        <w:rPr>
          <w:rFonts w:ascii="Garamond" w:eastAsia="Times New Roman" w:hAnsi="Garamond" w:cs="Times New Roman"/>
          <w:sz w:val="24"/>
          <w:szCs w:val="24"/>
        </w:rPr>
        <w:t xml:space="preserve"> </w:t>
      </w:r>
      <w:r w:rsidR="00C87418" w:rsidRPr="00571F1A">
        <w:rPr>
          <w:rFonts w:ascii="Garamond" w:eastAsia="Times New Roman" w:hAnsi="Garamond" w:cs="Times New Roman"/>
          <w:sz w:val="24"/>
          <w:szCs w:val="24"/>
        </w:rPr>
        <w:t>civil</w:t>
      </w:r>
      <w:r w:rsidR="007B1DB8" w:rsidRPr="00571F1A">
        <w:rPr>
          <w:rFonts w:ascii="Garamond" w:eastAsia="Times New Roman" w:hAnsi="Garamond" w:cs="Times New Roman"/>
          <w:sz w:val="24"/>
          <w:szCs w:val="24"/>
        </w:rPr>
        <w:t xml:space="preserve"> </w:t>
      </w:r>
      <w:r w:rsidRPr="00571F1A">
        <w:rPr>
          <w:rFonts w:ascii="Garamond" w:eastAsia="Times New Roman" w:hAnsi="Garamond" w:cs="Times New Roman"/>
          <w:sz w:val="24"/>
          <w:szCs w:val="24"/>
        </w:rPr>
        <w:t>systems</w:t>
      </w:r>
      <w:r w:rsidR="007B1DB8" w:rsidRPr="00571F1A">
        <w:rPr>
          <w:rFonts w:ascii="Garamond" w:eastAsia="Times New Roman" w:hAnsi="Garamond" w:cs="Times New Roman"/>
          <w:sz w:val="24"/>
          <w:szCs w:val="24"/>
        </w:rPr>
        <w:t xml:space="preserve"> </w:t>
      </w:r>
      <w:r w:rsidR="00EB2E49" w:rsidRPr="00571F1A">
        <w:rPr>
          <w:rFonts w:ascii="Garamond" w:eastAsia="Times New Roman" w:hAnsi="Garamond" w:cs="Times New Roman"/>
          <w:sz w:val="24"/>
          <w:szCs w:val="24"/>
        </w:rPr>
        <w:t>with</w:t>
      </w:r>
      <w:r w:rsidR="007B1DB8" w:rsidRPr="00571F1A">
        <w:rPr>
          <w:rFonts w:ascii="Garamond" w:eastAsia="Times New Roman" w:hAnsi="Garamond" w:cs="Times New Roman"/>
          <w:sz w:val="24"/>
          <w:szCs w:val="24"/>
        </w:rPr>
        <w:t xml:space="preserve"> </w:t>
      </w:r>
      <w:r w:rsidR="0035436E" w:rsidRPr="00571F1A">
        <w:rPr>
          <w:rFonts w:ascii="Garamond" w:eastAsia="Times New Roman" w:hAnsi="Garamond" w:cs="Times New Roman"/>
          <w:sz w:val="24"/>
          <w:szCs w:val="24"/>
        </w:rPr>
        <w:t xml:space="preserve">significant </w:t>
      </w:r>
      <w:r w:rsidR="007B1DB8" w:rsidRPr="00571F1A">
        <w:rPr>
          <w:rFonts w:ascii="Garamond" w:eastAsia="Times New Roman" w:hAnsi="Garamond" w:cs="Times New Roman"/>
          <w:sz w:val="24"/>
          <w:szCs w:val="24"/>
        </w:rPr>
        <w:t>impact</w:t>
      </w:r>
      <w:r w:rsidR="0035436E" w:rsidRPr="00571F1A">
        <w:rPr>
          <w:rFonts w:ascii="Garamond" w:eastAsia="Times New Roman" w:hAnsi="Garamond" w:cs="Times New Roman"/>
          <w:sz w:val="24"/>
          <w:szCs w:val="24"/>
        </w:rPr>
        <w:t>s</w:t>
      </w:r>
      <w:r w:rsidR="007B1DB8" w:rsidRPr="00571F1A">
        <w:rPr>
          <w:rFonts w:ascii="Garamond" w:eastAsia="Times New Roman" w:hAnsi="Garamond" w:cs="Times New Roman"/>
          <w:sz w:val="24"/>
          <w:szCs w:val="24"/>
        </w:rPr>
        <w:t xml:space="preserve"> </w:t>
      </w:r>
      <w:r w:rsidR="0035436E" w:rsidRPr="00571F1A">
        <w:rPr>
          <w:rFonts w:ascii="Garamond" w:eastAsia="Times New Roman" w:hAnsi="Garamond" w:cs="Times New Roman"/>
          <w:sz w:val="24"/>
          <w:szCs w:val="24"/>
        </w:rPr>
        <w:t xml:space="preserve">on </w:t>
      </w:r>
      <w:r w:rsidR="007B1DB8" w:rsidRPr="00571F1A">
        <w:rPr>
          <w:rFonts w:ascii="Garamond" w:eastAsia="Times New Roman" w:hAnsi="Garamond" w:cs="Times New Roman"/>
          <w:sz w:val="24"/>
          <w:szCs w:val="24"/>
        </w:rPr>
        <w:t xml:space="preserve">various aspects of </w:t>
      </w:r>
      <w:r w:rsidR="00C4356A" w:rsidRPr="00571F1A">
        <w:rPr>
          <w:rFonts w:ascii="Garamond" w:eastAsia="Times New Roman" w:hAnsi="Garamond" w:cs="Times New Roman"/>
          <w:sz w:val="24"/>
          <w:szCs w:val="24"/>
        </w:rPr>
        <w:t>everyday life</w:t>
      </w:r>
      <w:r w:rsidR="00C87418" w:rsidRPr="00571F1A">
        <w:rPr>
          <w:rFonts w:ascii="Garamond" w:eastAsia="Times New Roman" w:hAnsi="Garamond" w:cs="Times New Roman"/>
          <w:sz w:val="24"/>
          <w:szCs w:val="24"/>
        </w:rPr>
        <w:t>.</w:t>
      </w:r>
      <w:r w:rsidRPr="00571F1A">
        <w:rPr>
          <w:rFonts w:ascii="Garamond" w:eastAsia="Times New Roman" w:hAnsi="Garamond" w:cs="Times New Roman"/>
          <w:sz w:val="24"/>
          <w:szCs w:val="24"/>
        </w:rPr>
        <w:t xml:space="preserve">  This submission will highlight the ways in which drug policies have undermined economic</w:t>
      </w:r>
      <w:r w:rsidR="00736E1F" w:rsidRPr="00571F1A">
        <w:rPr>
          <w:rFonts w:ascii="Garamond" w:eastAsia="Times New Roman" w:hAnsi="Garamond" w:cs="Times New Roman"/>
          <w:sz w:val="24"/>
          <w:szCs w:val="24"/>
        </w:rPr>
        <w:t>, social</w:t>
      </w:r>
      <w:r w:rsidRPr="00571F1A">
        <w:rPr>
          <w:rFonts w:ascii="Garamond" w:eastAsia="Times New Roman" w:hAnsi="Garamond" w:cs="Times New Roman"/>
          <w:sz w:val="24"/>
          <w:szCs w:val="24"/>
        </w:rPr>
        <w:t xml:space="preserve"> and cultural rights</w:t>
      </w:r>
      <w:r w:rsidR="00525BA2" w:rsidRPr="00571F1A">
        <w:rPr>
          <w:rFonts w:ascii="Garamond" w:eastAsia="Times New Roman" w:hAnsi="Garamond" w:cs="Times New Roman"/>
          <w:sz w:val="24"/>
          <w:szCs w:val="24"/>
        </w:rPr>
        <w:t xml:space="preserve"> in the U.S.</w:t>
      </w:r>
      <w:r w:rsidR="00682C08" w:rsidRPr="00571F1A">
        <w:rPr>
          <w:rFonts w:ascii="Garamond" w:eastAsia="Times New Roman" w:hAnsi="Garamond" w:cs="Times New Roman"/>
          <w:sz w:val="24"/>
          <w:szCs w:val="24"/>
        </w:rPr>
        <w:t>, and</w:t>
      </w:r>
      <w:r w:rsidRPr="00571F1A">
        <w:rPr>
          <w:rFonts w:ascii="Garamond" w:eastAsia="Times New Roman" w:hAnsi="Garamond" w:cs="Times New Roman"/>
          <w:sz w:val="24"/>
          <w:szCs w:val="24"/>
        </w:rPr>
        <w:t xml:space="preserve"> urges </w:t>
      </w:r>
      <w:r w:rsidR="00B64253" w:rsidRPr="00571F1A">
        <w:rPr>
          <w:rFonts w:ascii="Garamond" w:eastAsia="Times New Roman" w:hAnsi="Garamond" w:cs="Times New Roman"/>
          <w:sz w:val="24"/>
          <w:szCs w:val="24"/>
        </w:rPr>
        <w:t>the Office of the High Commissioner for Human Right</w:t>
      </w:r>
      <w:r w:rsidR="003B78B7" w:rsidRPr="00571F1A">
        <w:rPr>
          <w:rFonts w:ascii="Garamond" w:eastAsia="Times New Roman" w:hAnsi="Garamond" w:cs="Times New Roman"/>
          <w:sz w:val="24"/>
          <w:szCs w:val="24"/>
        </w:rPr>
        <w:t xml:space="preserve">s </w:t>
      </w:r>
      <w:r w:rsidR="00690A92" w:rsidRPr="00571F1A">
        <w:rPr>
          <w:rFonts w:ascii="Garamond" w:eastAsia="Times New Roman" w:hAnsi="Garamond" w:cs="Times New Roman"/>
          <w:sz w:val="24"/>
          <w:szCs w:val="24"/>
        </w:rPr>
        <w:t xml:space="preserve">(OHCHR) </w:t>
      </w:r>
      <w:r w:rsidRPr="00571F1A">
        <w:rPr>
          <w:rFonts w:ascii="Garamond" w:eastAsia="Times New Roman" w:hAnsi="Garamond" w:cs="Times New Roman"/>
          <w:sz w:val="24"/>
          <w:szCs w:val="24"/>
        </w:rPr>
        <w:t xml:space="preserve">to explore </w:t>
      </w:r>
      <w:r w:rsidR="002A66C5">
        <w:rPr>
          <w:rFonts w:ascii="Garamond" w:eastAsia="Times New Roman" w:hAnsi="Garamond" w:cs="Times New Roman"/>
          <w:sz w:val="24"/>
          <w:szCs w:val="24"/>
        </w:rPr>
        <w:t xml:space="preserve">in its report </w:t>
      </w:r>
      <w:r w:rsidRPr="00571F1A">
        <w:rPr>
          <w:rFonts w:ascii="Garamond" w:eastAsia="Times New Roman" w:hAnsi="Garamond" w:cs="Times New Roman"/>
          <w:sz w:val="24"/>
          <w:szCs w:val="24"/>
        </w:rPr>
        <w:t xml:space="preserve">the human rights </w:t>
      </w:r>
      <w:r w:rsidR="00C4356A" w:rsidRPr="00571F1A">
        <w:rPr>
          <w:rFonts w:ascii="Garamond" w:eastAsia="Times New Roman" w:hAnsi="Garamond" w:cs="Times New Roman"/>
          <w:sz w:val="24"/>
          <w:szCs w:val="24"/>
        </w:rPr>
        <w:t>impacts</w:t>
      </w:r>
      <w:r w:rsidRPr="00571F1A">
        <w:rPr>
          <w:rFonts w:ascii="Garamond" w:eastAsia="Times New Roman" w:hAnsi="Garamond" w:cs="Times New Roman"/>
          <w:sz w:val="24"/>
          <w:szCs w:val="24"/>
        </w:rPr>
        <w:t xml:space="preserve"> of drug </w:t>
      </w:r>
      <w:r w:rsidR="003B78B7" w:rsidRPr="00571F1A">
        <w:rPr>
          <w:rFonts w:ascii="Garamond" w:eastAsia="Times New Roman" w:hAnsi="Garamond" w:cs="Times New Roman"/>
          <w:sz w:val="24"/>
          <w:szCs w:val="24"/>
        </w:rPr>
        <w:t xml:space="preserve">policies </w:t>
      </w:r>
      <w:r w:rsidR="00736E1F" w:rsidRPr="00571F1A">
        <w:rPr>
          <w:rFonts w:ascii="Garamond" w:eastAsia="Times New Roman" w:hAnsi="Garamond" w:cs="Times New Roman"/>
          <w:sz w:val="24"/>
          <w:szCs w:val="24"/>
        </w:rPr>
        <w:t>beyond the criminal legal system</w:t>
      </w:r>
      <w:r w:rsidRPr="00571F1A">
        <w:rPr>
          <w:rFonts w:ascii="Garamond" w:eastAsia="Times New Roman" w:hAnsi="Garamond" w:cs="Times New Roman"/>
          <w:sz w:val="24"/>
          <w:szCs w:val="24"/>
        </w:rPr>
        <w:t>.</w:t>
      </w:r>
      <w:r w:rsidR="003B78B7" w:rsidRPr="00571F1A">
        <w:rPr>
          <w:rStyle w:val="FootnoteReference"/>
          <w:rFonts w:ascii="Garamond" w:eastAsia="Times New Roman" w:hAnsi="Garamond" w:cs="Times New Roman"/>
          <w:sz w:val="24"/>
          <w:szCs w:val="24"/>
        </w:rPr>
        <w:footnoteReference w:id="2"/>
      </w:r>
    </w:p>
    <w:p w14:paraId="5D9AC485" w14:textId="56245777" w:rsidR="00B41D67" w:rsidRPr="00571F1A" w:rsidRDefault="00B41D67" w:rsidP="001B58C1">
      <w:pPr>
        <w:spacing w:before="100" w:beforeAutospacing="1" w:after="100" w:afterAutospacing="1" w:line="240" w:lineRule="auto"/>
        <w:outlineLvl w:val="1"/>
        <w:rPr>
          <w:rFonts w:ascii="Garamond" w:eastAsia="Times New Roman" w:hAnsi="Garamond" w:cs="Times New Roman"/>
          <w:b/>
          <w:bCs/>
          <w:sz w:val="24"/>
          <w:szCs w:val="24"/>
        </w:rPr>
      </w:pPr>
      <w:r w:rsidRPr="00571F1A">
        <w:rPr>
          <w:rFonts w:ascii="Garamond" w:eastAsia="Times New Roman" w:hAnsi="Garamond" w:cs="Times New Roman"/>
          <w:b/>
          <w:bCs/>
          <w:sz w:val="24"/>
          <w:szCs w:val="24"/>
        </w:rPr>
        <w:t>Erosion of Economic, Social and Cultural Rights</w:t>
      </w:r>
    </w:p>
    <w:p w14:paraId="0084B04E" w14:textId="2439A219" w:rsidR="001B58C1" w:rsidRPr="00571F1A" w:rsidRDefault="001B58C1" w:rsidP="001B58C1">
      <w:pPr>
        <w:spacing w:before="100" w:beforeAutospacing="1" w:after="100" w:afterAutospacing="1" w:line="240" w:lineRule="auto"/>
        <w:outlineLvl w:val="1"/>
        <w:rPr>
          <w:rFonts w:ascii="Garamond" w:eastAsia="Times New Roman" w:hAnsi="Garamond" w:cs="Times New Roman"/>
          <w:bCs/>
          <w:i/>
          <w:sz w:val="24"/>
          <w:szCs w:val="24"/>
        </w:rPr>
      </w:pPr>
      <w:r w:rsidRPr="00571F1A">
        <w:rPr>
          <w:rFonts w:ascii="Garamond" w:eastAsia="Times New Roman" w:hAnsi="Garamond" w:cs="Times New Roman"/>
          <w:bCs/>
          <w:i/>
          <w:sz w:val="24"/>
          <w:szCs w:val="24"/>
        </w:rPr>
        <w:t>Employment</w:t>
      </w:r>
      <w:r w:rsidR="00C55D8D" w:rsidRPr="00571F1A">
        <w:rPr>
          <w:rFonts w:ascii="Garamond" w:eastAsia="Times New Roman" w:hAnsi="Garamond" w:cs="Times New Roman"/>
          <w:bCs/>
          <w:i/>
          <w:sz w:val="24"/>
          <w:szCs w:val="24"/>
        </w:rPr>
        <w:t xml:space="preserve"> Barriers</w:t>
      </w:r>
    </w:p>
    <w:p w14:paraId="6CEB5103" w14:textId="15A53A6D" w:rsidR="00B70569" w:rsidRPr="00571F1A" w:rsidRDefault="00C650FC" w:rsidP="6DB8CE78">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Prior criminal records, including drug</w:t>
      </w:r>
      <w:r w:rsidR="00EB2E49" w:rsidRPr="00571F1A">
        <w:rPr>
          <w:rFonts w:ascii="Garamond" w:eastAsia="Times New Roman" w:hAnsi="Garamond" w:cs="Times New Roman"/>
          <w:sz w:val="24"/>
          <w:szCs w:val="24"/>
        </w:rPr>
        <w:t xml:space="preserve"> </w:t>
      </w:r>
      <w:r w:rsidRPr="00571F1A">
        <w:rPr>
          <w:rFonts w:ascii="Garamond" w:eastAsia="Times New Roman" w:hAnsi="Garamond" w:cs="Times New Roman"/>
          <w:sz w:val="24"/>
          <w:szCs w:val="24"/>
        </w:rPr>
        <w:t>convictions, are frequently used as a basis to deny employment or the issuance of professional or occupational licenses</w:t>
      </w:r>
      <w:r w:rsidR="006873EC" w:rsidRPr="00571F1A">
        <w:rPr>
          <w:rFonts w:ascii="Garamond" w:eastAsia="Times New Roman" w:hAnsi="Garamond" w:cs="Times New Roman"/>
          <w:sz w:val="24"/>
          <w:szCs w:val="24"/>
        </w:rPr>
        <w:t xml:space="preserve"> to millions of people</w:t>
      </w:r>
      <w:r w:rsidRPr="00571F1A">
        <w:rPr>
          <w:rFonts w:ascii="Garamond" w:eastAsia="Times New Roman" w:hAnsi="Garamond" w:cs="Times New Roman"/>
          <w:sz w:val="24"/>
          <w:szCs w:val="24"/>
        </w:rPr>
        <w:t>.</w:t>
      </w:r>
      <w:r w:rsidRPr="00571F1A">
        <w:rPr>
          <w:rStyle w:val="FootnoteReference"/>
          <w:rFonts w:ascii="Garamond" w:eastAsia="Times New Roman" w:hAnsi="Garamond" w:cs="Times New Roman"/>
          <w:sz w:val="24"/>
          <w:szCs w:val="24"/>
        </w:rPr>
        <w:t xml:space="preserve"> </w:t>
      </w:r>
      <w:r w:rsidRPr="00571F1A">
        <w:rPr>
          <w:rStyle w:val="FootnoteReference"/>
          <w:rFonts w:ascii="Garamond" w:eastAsia="Times New Roman" w:hAnsi="Garamond" w:cs="Times New Roman"/>
          <w:sz w:val="24"/>
          <w:szCs w:val="24"/>
        </w:rPr>
        <w:footnoteReference w:id="3"/>
      </w:r>
      <w:r w:rsidRPr="00571F1A">
        <w:rPr>
          <w:rFonts w:ascii="Garamond" w:eastAsia="Times New Roman" w:hAnsi="Garamond" w:cs="Times New Roman"/>
          <w:sz w:val="24"/>
          <w:szCs w:val="24"/>
        </w:rPr>
        <w:t xml:space="preserve">  These </w:t>
      </w:r>
      <w:r w:rsidR="006873EC" w:rsidRPr="00571F1A">
        <w:rPr>
          <w:rFonts w:ascii="Garamond" w:eastAsia="Times New Roman" w:hAnsi="Garamond" w:cs="Times New Roman"/>
          <w:sz w:val="24"/>
          <w:szCs w:val="24"/>
        </w:rPr>
        <w:t xml:space="preserve">barriers to </w:t>
      </w:r>
      <w:r w:rsidRPr="00571F1A">
        <w:rPr>
          <w:rFonts w:ascii="Garamond" w:eastAsia="Times New Roman" w:hAnsi="Garamond" w:cs="Times New Roman"/>
          <w:sz w:val="24"/>
          <w:szCs w:val="24"/>
        </w:rPr>
        <w:t xml:space="preserve">employment </w:t>
      </w:r>
      <w:r w:rsidR="00B70569" w:rsidRPr="00571F1A">
        <w:rPr>
          <w:rFonts w:ascii="Garamond" w:eastAsia="Times New Roman" w:hAnsi="Garamond" w:cs="Times New Roman"/>
          <w:sz w:val="24"/>
          <w:szCs w:val="24"/>
        </w:rPr>
        <w:t xml:space="preserve">opportunities </w:t>
      </w:r>
      <w:r w:rsidRPr="00571F1A">
        <w:rPr>
          <w:rFonts w:ascii="Garamond" w:eastAsia="Times New Roman" w:hAnsi="Garamond" w:cs="Times New Roman"/>
          <w:sz w:val="24"/>
          <w:szCs w:val="24"/>
        </w:rPr>
        <w:t xml:space="preserve">disproportionately affect </w:t>
      </w:r>
      <w:r w:rsidR="006873EC" w:rsidRPr="00571F1A">
        <w:rPr>
          <w:rFonts w:ascii="Garamond" w:eastAsia="Times New Roman" w:hAnsi="Garamond" w:cs="Times New Roman"/>
          <w:sz w:val="24"/>
          <w:szCs w:val="24"/>
        </w:rPr>
        <w:t xml:space="preserve">people of African </w:t>
      </w:r>
      <w:r w:rsidR="00EF5765" w:rsidRPr="00571F1A">
        <w:rPr>
          <w:rFonts w:ascii="Garamond" w:eastAsia="Times New Roman" w:hAnsi="Garamond" w:cs="Times New Roman"/>
          <w:sz w:val="24"/>
          <w:szCs w:val="24"/>
        </w:rPr>
        <w:t xml:space="preserve">and Latin American </w:t>
      </w:r>
      <w:r w:rsidR="006873EC" w:rsidRPr="00571F1A">
        <w:rPr>
          <w:rFonts w:ascii="Garamond" w:eastAsia="Times New Roman" w:hAnsi="Garamond" w:cs="Times New Roman"/>
          <w:sz w:val="24"/>
          <w:szCs w:val="24"/>
        </w:rPr>
        <w:t>descent in the U.S.</w:t>
      </w:r>
      <w:r w:rsidR="00091FE7" w:rsidRPr="00571F1A">
        <w:rPr>
          <w:rFonts w:ascii="Garamond" w:eastAsia="Times New Roman" w:hAnsi="Garamond" w:cs="Times New Roman"/>
          <w:sz w:val="24"/>
          <w:szCs w:val="24"/>
        </w:rPr>
        <w:t>, who are overrepresented in the criminal justice system</w:t>
      </w:r>
      <w:r w:rsidR="00977803" w:rsidRPr="00571F1A">
        <w:rPr>
          <w:rFonts w:ascii="Garamond" w:eastAsia="Times New Roman" w:hAnsi="Garamond" w:cs="Times New Roman"/>
          <w:sz w:val="24"/>
          <w:szCs w:val="24"/>
        </w:rPr>
        <w:t>.</w:t>
      </w:r>
      <w:r w:rsidR="006873EC" w:rsidRPr="00571F1A">
        <w:rPr>
          <w:rStyle w:val="FootnoteReference"/>
          <w:rFonts w:ascii="Garamond" w:eastAsia="Times New Roman" w:hAnsi="Garamond" w:cs="Times New Roman"/>
          <w:sz w:val="24"/>
          <w:szCs w:val="24"/>
        </w:rPr>
        <w:footnoteReference w:id="4"/>
      </w:r>
      <w:r w:rsidR="007F17E7" w:rsidRPr="00571F1A">
        <w:rPr>
          <w:rFonts w:ascii="Garamond" w:eastAsia="Times New Roman" w:hAnsi="Garamond" w:cs="Times New Roman"/>
          <w:sz w:val="24"/>
          <w:szCs w:val="24"/>
        </w:rPr>
        <w:t xml:space="preserve"> </w:t>
      </w:r>
      <w:r w:rsidRPr="00571F1A">
        <w:rPr>
          <w:rFonts w:ascii="Garamond" w:eastAsia="Times New Roman" w:hAnsi="Garamond" w:cs="Times New Roman"/>
          <w:sz w:val="24"/>
          <w:szCs w:val="24"/>
        </w:rPr>
        <w:t xml:space="preserve"> </w:t>
      </w:r>
      <w:r w:rsidR="006873EC" w:rsidRPr="00571F1A">
        <w:rPr>
          <w:rFonts w:ascii="Garamond" w:eastAsia="Times New Roman" w:hAnsi="Garamond" w:cs="Times New Roman"/>
          <w:sz w:val="24"/>
          <w:szCs w:val="24"/>
        </w:rPr>
        <w:t>A</w:t>
      </w:r>
      <w:r w:rsidRPr="00571F1A">
        <w:rPr>
          <w:rFonts w:ascii="Garamond" w:eastAsia="Times New Roman" w:hAnsi="Garamond" w:cs="Times New Roman"/>
          <w:sz w:val="24"/>
          <w:szCs w:val="24"/>
        </w:rPr>
        <w:t xml:space="preserve"> </w:t>
      </w:r>
      <w:r w:rsidR="00EB2E49" w:rsidRPr="00571F1A">
        <w:rPr>
          <w:rFonts w:ascii="Garamond" w:eastAsia="Times New Roman" w:hAnsi="Garamond" w:cs="Times New Roman"/>
          <w:sz w:val="24"/>
          <w:szCs w:val="24"/>
        </w:rPr>
        <w:t xml:space="preserve">recent </w:t>
      </w:r>
      <w:r w:rsidRPr="00571F1A">
        <w:rPr>
          <w:rFonts w:ascii="Garamond" w:eastAsia="Times New Roman" w:hAnsi="Garamond" w:cs="Times New Roman"/>
          <w:sz w:val="24"/>
          <w:szCs w:val="24"/>
        </w:rPr>
        <w:t>report points out</w:t>
      </w:r>
      <w:r w:rsidR="00091FE7" w:rsidRPr="00571F1A">
        <w:rPr>
          <w:rFonts w:ascii="Garamond" w:eastAsia="Times New Roman" w:hAnsi="Garamond" w:cs="Times New Roman"/>
          <w:sz w:val="24"/>
          <w:szCs w:val="24"/>
        </w:rPr>
        <w:t xml:space="preserve"> that </w:t>
      </w:r>
      <w:r w:rsidR="00B70569" w:rsidRPr="00571F1A">
        <w:rPr>
          <w:rFonts w:ascii="Garamond" w:eastAsia="Times New Roman" w:hAnsi="Garamond" w:cs="Times New Roman"/>
          <w:sz w:val="24"/>
          <w:szCs w:val="24"/>
        </w:rPr>
        <w:t xml:space="preserve">the </w:t>
      </w:r>
      <w:r w:rsidRPr="00571F1A">
        <w:rPr>
          <w:rFonts w:ascii="Garamond" w:eastAsia="Times New Roman" w:hAnsi="Garamond" w:cs="Times New Roman"/>
          <w:sz w:val="24"/>
          <w:szCs w:val="24"/>
        </w:rPr>
        <w:t>“staggering racial disparities in our criminal justice system flow directly into economic inequality”</w:t>
      </w:r>
      <w:r w:rsidR="00B70569" w:rsidRPr="00571F1A">
        <w:rPr>
          <w:rFonts w:ascii="Garamond" w:eastAsia="Times New Roman" w:hAnsi="Garamond" w:cs="Times New Roman"/>
          <w:sz w:val="24"/>
          <w:szCs w:val="24"/>
        </w:rPr>
        <w:t xml:space="preserve"> and the loss of earnings</w:t>
      </w:r>
      <w:r w:rsidR="00C87418" w:rsidRPr="00571F1A">
        <w:rPr>
          <w:rFonts w:ascii="Garamond" w:eastAsia="Times New Roman" w:hAnsi="Garamond" w:cs="Times New Roman"/>
          <w:sz w:val="24"/>
          <w:szCs w:val="24"/>
        </w:rPr>
        <w:t xml:space="preserve"> further</w:t>
      </w:r>
      <w:r w:rsidR="00B70569" w:rsidRPr="00571F1A">
        <w:rPr>
          <w:rFonts w:ascii="Garamond" w:eastAsia="Times New Roman" w:hAnsi="Garamond" w:cs="Times New Roman"/>
          <w:sz w:val="24"/>
          <w:szCs w:val="24"/>
        </w:rPr>
        <w:t xml:space="preserve"> “entrench poverty”</w:t>
      </w:r>
      <w:r w:rsidR="00C87418" w:rsidRPr="00571F1A">
        <w:rPr>
          <w:rFonts w:ascii="Garamond" w:eastAsia="Times New Roman" w:hAnsi="Garamond" w:cs="Times New Roman"/>
          <w:sz w:val="24"/>
          <w:szCs w:val="24"/>
        </w:rPr>
        <w:t xml:space="preserve"> in marginalized communities.</w:t>
      </w:r>
      <w:r w:rsidR="004E6956" w:rsidRPr="00571F1A">
        <w:rPr>
          <w:rStyle w:val="FootnoteReference"/>
          <w:rFonts w:ascii="Garamond" w:eastAsia="Times New Roman" w:hAnsi="Garamond" w:cs="Times New Roman"/>
          <w:sz w:val="24"/>
          <w:szCs w:val="24"/>
        </w:rPr>
        <w:footnoteReference w:id="5"/>
      </w:r>
      <w:r w:rsidR="00B70569" w:rsidRPr="00571F1A">
        <w:rPr>
          <w:rFonts w:ascii="Garamond" w:eastAsia="Times New Roman" w:hAnsi="Garamond" w:cs="Times New Roman"/>
          <w:sz w:val="24"/>
          <w:szCs w:val="24"/>
        </w:rPr>
        <w:t xml:space="preserve"> </w:t>
      </w:r>
    </w:p>
    <w:p w14:paraId="76610BBF" w14:textId="28B4D19A" w:rsidR="00A66C1C" w:rsidRPr="00571F1A" w:rsidRDefault="00B70569" w:rsidP="001B58C1">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Additional barriers to </w:t>
      </w:r>
      <w:r w:rsidR="00903919" w:rsidRPr="00571F1A">
        <w:rPr>
          <w:rFonts w:ascii="Garamond" w:eastAsia="Times New Roman" w:hAnsi="Garamond" w:cs="Times New Roman"/>
          <w:sz w:val="24"/>
          <w:szCs w:val="24"/>
        </w:rPr>
        <w:t>economic</w:t>
      </w:r>
      <w:r w:rsidRPr="00571F1A">
        <w:rPr>
          <w:rFonts w:ascii="Garamond" w:eastAsia="Times New Roman" w:hAnsi="Garamond" w:cs="Times New Roman"/>
          <w:sz w:val="24"/>
          <w:szCs w:val="24"/>
        </w:rPr>
        <w:t xml:space="preserve"> opportunities </w:t>
      </w:r>
      <w:r w:rsidR="00903919" w:rsidRPr="00571F1A">
        <w:rPr>
          <w:rFonts w:ascii="Garamond" w:eastAsia="Times New Roman" w:hAnsi="Garamond" w:cs="Times New Roman"/>
          <w:sz w:val="24"/>
          <w:szCs w:val="24"/>
        </w:rPr>
        <w:t xml:space="preserve">include </w:t>
      </w:r>
      <w:r w:rsidRPr="00571F1A">
        <w:rPr>
          <w:rFonts w:ascii="Garamond" w:eastAsia="Times New Roman" w:hAnsi="Garamond" w:cs="Times New Roman"/>
          <w:sz w:val="24"/>
          <w:szCs w:val="24"/>
        </w:rPr>
        <w:t xml:space="preserve">the widespread use </w:t>
      </w:r>
      <w:r w:rsidR="005051A7" w:rsidRPr="00571F1A">
        <w:rPr>
          <w:rFonts w:ascii="Garamond" w:eastAsia="Times New Roman" w:hAnsi="Garamond" w:cs="Times New Roman"/>
          <w:sz w:val="24"/>
          <w:szCs w:val="24"/>
        </w:rPr>
        <w:t xml:space="preserve">of </w:t>
      </w:r>
      <w:r w:rsidRPr="00571F1A">
        <w:rPr>
          <w:rFonts w:ascii="Garamond" w:eastAsia="Times New Roman" w:hAnsi="Garamond" w:cs="Times New Roman"/>
          <w:sz w:val="24"/>
          <w:szCs w:val="24"/>
        </w:rPr>
        <w:t xml:space="preserve">drug testing in </w:t>
      </w:r>
      <w:r w:rsidR="00A66C1C" w:rsidRPr="00571F1A">
        <w:rPr>
          <w:rFonts w:ascii="Garamond" w:eastAsia="Times New Roman" w:hAnsi="Garamond" w:cs="Times New Roman"/>
          <w:sz w:val="24"/>
          <w:szCs w:val="24"/>
        </w:rPr>
        <w:t xml:space="preserve">employment </w:t>
      </w:r>
      <w:r w:rsidRPr="00571F1A">
        <w:rPr>
          <w:rFonts w:ascii="Garamond" w:eastAsia="Times New Roman" w:hAnsi="Garamond" w:cs="Times New Roman"/>
          <w:sz w:val="24"/>
          <w:szCs w:val="24"/>
        </w:rPr>
        <w:t>decisions</w:t>
      </w:r>
      <w:r w:rsidR="00A66C1C" w:rsidRPr="00571F1A">
        <w:rPr>
          <w:rFonts w:ascii="Garamond" w:eastAsia="Times New Roman" w:hAnsi="Garamond" w:cs="Times New Roman"/>
          <w:sz w:val="24"/>
          <w:szCs w:val="24"/>
        </w:rPr>
        <w:t xml:space="preserve">, ostensibly to improve workplace </w:t>
      </w:r>
      <w:r w:rsidR="00290E58" w:rsidRPr="00571F1A">
        <w:rPr>
          <w:rFonts w:ascii="Garamond" w:eastAsia="Times New Roman" w:hAnsi="Garamond" w:cs="Times New Roman"/>
          <w:sz w:val="24"/>
          <w:szCs w:val="24"/>
        </w:rPr>
        <w:t>outcomes</w:t>
      </w:r>
      <w:r w:rsidRPr="00571F1A">
        <w:rPr>
          <w:rFonts w:ascii="Garamond" w:eastAsia="Times New Roman" w:hAnsi="Garamond" w:cs="Times New Roman"/>
          <w:sz w:val="24"/>
          <w:szCs w:val="24"/>
        </w:rPr>
        <w:t>.</w:t>
      </w:r>
      <w:r w:rsidR="00A66C1C" w:rsidRPr="00571F1A">
        <w:rPr>
          <w:rFonts w:ascii="Garamond" w:eastAsia="Times New Roman" w:hAnsi="Garamond" w:cs="Times New Roman"/>
          <w:sz w:val="24"/>
          <w:szCs w:val="24"/>
        </w:rPr>
        <w:t xml:space="preserve">  </w:t>
      </w:r>
      <w:r w:rsidR="00290E58" w:rsidRPr="00571F1A">
        <w:rPr>
          <w:rFonts w:ascii="Garamond" w:eastAsia="Times New Roman" w:hAnsi="Garamond" w:cs="Times New Roman"/>
          <w:sz w:val="24"/>
          <w:szCs w:val="24"/>
        </w:rPr>
        <w:t xml:space="preserve">However, </w:t>
      </w:r>
      <w:r w:rsidR="00F40D6A" w:rsidRPr="00571F1A">
        <w:rPr>
          <w:rFonts w:ascii="Garamond" w:eastAsia="Times New Roman" w:hAnsi="Garamond" w:cs="Times New Roman"/>
        </w:rPr>
        <w:t>d</w:t>
      </w:r>
      <w:r w:rsidR="00EB2E49" w:rsidRPr="00571F1A">
        <w:rPr>
          <w:rFonts w:ascii="Garamond" w:eastAsia="Times New Roman" w:hAnsi="Garamond" w:cs="Times New Roman"/>
        </w:rPr>
        <w:t xml:space="preserve">rug testing does not indicate if someone is impaired, unfit to perform their duties, or pose a safety risk.  Further, </w:t>
      </w:r>
      <w:r w:rsidR="00290E58" w:rsidRPr="00571F1A">
        <w:rPr>
          <w:rFonts w:ascii="Garamond" w:eastAsia="Times New Roman" w:hAnsi="Garamond" w:cs="Times New Roman"/>
          <w:sz w:val="24"/>
          <w:szCs w:val="24"/>
        </w:rPr>
        <w:t xml:space="preserve">there is no evidence </w:t>
      </w:r>
      <w:r w:rsidR="004664FE" w:rsidRPr="00571F1A">
        <w:rPr>
          <w:rFonts w:ascii="Garamond" w:eastAsia="Times New Roman" w:hAnsi="Garamond" w:cs="Times New Roman"/>
          <w:sz w:val="24"/>
          <w:szCs w:val="24"/>
        </w:rPr>
        <w:t xml:space="preserve">to support </w:t>
      </w:r>
      <w:r w:rsidR="00290E58" w:rsidRPr="00571F1A">
        <w:rPr>
          <w:rFonts w:ascii="Garamond" w:eastAsia="Times New Roman" w:hAnsi="Garamond" w:cs="Times New Roman"/>
          <w:sz w:val="24"/>
          <w:szCs w:val="24"/>
        </w:rPr>
        <w:t xml:space="preserve">a causal </w:t>
      </w:r>
      <w:r w:rsidR="003B78B7" w:rsidRPr="00571F1A">
        <w:rPr>
          <w:rFonts w:ascii="Garamond" w:eastAsia="Times New Roman" w:hAnsi="Garamond" w:cs="Times New Roman"/>
          <w:sz w:val="24"/>
          <w:szCs w:val="24"/>
        </w:rPr>
        <w:t xml:space="preserve">connection </w:t>
      </w:r>
      <w:r w:rsidR="00290E58" w:rsidRPr="00571F1A">
        <w:rPr>
          <w:rFonts w:ascii="Garamond" w:eastAsia="Times New Roman" w:hAnsi="Garamond" w:cs="Times New Roman"/>
          <w:sz w:val="24"/>
          <w:szCs w:val="24"/>
        </w:rPr>
        <w:t xml:space="preserve">between drug testing and improved workplace safety and </w:t>
      </w:r>
      <w:r w:rsidR="00C87418" w:rsidRPr="00571F1A">
        <w:rPr>
          <w:rFonts w:ascii="Garamond" w:eastAsia="Times New Roman" w:hAnsi="Garamond" w:cs="Times New Roman"/>
          <w:sz w:val="24"/>
          <w:szCs w:val="24"/>
        </w:rPr>
        <w:t>productivity.</w:t>
      </w:r>
      <w:r w:rsidR="00290E58" w:rsidRPr="00571F1A">
        <w:rPr>
          <w:rStyle w:val="FootnoteReference"/>
          <w:rFonts w:ascii="Garamond" w:hAnsi="Garamond"/>
          <w:sz w:val="24"/>
          <w:szCs w:val="24"/>
        </w:rPr>
        <w:footnoteReference w:id="6"/>
      </w:r>
      <w:r w:rsidR="008512AE" w:rsidRPr="00571F1A">
        <w:rPr>
          <w:rFonts w:ascii="Garamond" w:eastAsia="Times New Roman" w:hAnsi="Garamond" w:cs="Times New Roman"/>
          <w:sz w:val="24"/>
          <w:szCs w:val="24"/>
        </w:rPr>
        <w:t xml:space="preserve"> </w:t>
      </w:r>
      <w:r w:rsidR="008512AE" w:rsidRPr="00571F1A">
        <w:rPr>
          <w:rStyle w:val="FootnoteReference"/>
          <w:rFonts w:ascii="Garamond" w:eastAsia="Times New Roman" w:hAnsi="Garamond" w:cs="Times New Roman"/>
          <w:sz w:val="24"/>
          <w:szCs w:val="24"/>
        </w:rPr>
        <w:footnoteReference w:id="7"/>
      </w:r>
      <w:r w:rsidR="008512AE" w:rsidRPr="00571F1A">
        <w:rPr>
          <w:rFonts w:ascii="Garamond" w:eastAsia="Times New Roman" w:hAnsi="Garamond" w:cs="Times New Roman"/>
          <w:sz w:val="24"/>
          <w:szCs w:val="24"/>
        </w:rPr>
        <w:t xml:space="preserve"> </w:t>
      </w:r>
      <w:r w:rsidR="008512AE" w:rsidRPr="00571F1A">
        <w:rPr>
          <w:rStyle w:val="FootnoteReference"/>
          <w:rFonts w:ascii="Garamond" w:eastAsia="Times New Roman" w:hAnsi="Garamond" w:cs="Times New Roman"/>
          <w:sz w:val="24"/>
          <w:szCs w:val="24"/>
        </w:rPr>
        <w:footnoteReference w:id="8"/>
      </w:r>
      <w:r w:rsidR="00290E58" w:rsidRPr="00571F1A">
        <w:rPr>
          <w:rStyle w:val="FootnoteReference"/>
          <w:rFonts w:ascii="Garamond" w:hAnsi="Garamond"/>
          <w:sz w:val="24"/>
          <w:szCs w:val="24"/>
        </w:rPr>
        <w:t xml:space="preserve"> </w:t>
      </w:r>
      <w:r w:rsidR="00290E58" w:rsidRPr="00571F1A">
        <w:rPr>
          <w:rFonts w:ascii="Garamond" w:eastAsia="Times New Roman" w:hAnsi="Garamond" w:cs="Times New Roman"/>
          <w:sz w:val="24"/>
          <w:szCs w:val="24"/>
        </w:rPr>
        <w:t xml:space="preserve"> </w:t>
      </w:r>
      <w:r w:rsidR="00BF1C98" w:rsidRPr="00571F1A">
        <w:rPr>
          <w:rFonts w:ascii="Garamond" w:eastAsia="Times New Roman" w:hAnsi="Garamond" w:cs="Times New Roman"/>
          <w:color w:val="FF0000"/>
          <w:sz w:val="24"/>
          <w:szCs w:val="24"/>
        </w:rPr>
        <w:t xml:space="preserve">  </w:t>
      </w:r>
    </w:p>
    <w:p w14:paraId="4E1A6D02" w14:textId="77777777" w:rsidR="000C07EF" w:rsidRPr="00571F1A" w:rsidRDefault="000C07EF" w:rsidP="00C87418">
      <w:pPr>
        <w:spacing w:before="100" w:beforeAutospacing="1" w:after="100" w:afterAutospacing="1" w:line="240" w:lineRule="auto"/>
        <w:outlineLvl w:val="1"/>
        <w:rPr>
          <w:rFonts w:ascii="Garamond" w:eastAsia="Times New Roman" w:hAnsi="Garamond" w:cs="Times New Roman"/>
          <w:bCs/>
          <w:i/>
          <w:sz w:val="24"/>
          <w:szCs w:val="24"/>
        </w:rPr>
      </w:pPr>
    </w:p>
    <w:p w14:paraId="154DA52C" w14:textId="66D4B91F" w:rsidR="00C87418" w:rsidRPr="00571F1A" w:rsidRDefault="002D11B7" w:rsidP="00C87418">
      <w:pPr>
        <w:spacing w:before="100" w:beforeAutospacing="1" w:after="100" w:afterAutospacing="1" w:line="240" w:lineRule="auto"/>
        <w:outlineLvl w:val="1"/>
        <w:rPr>
          <w:rFonts w:ascii="Garamond" w:eastAsia="Times New Roman" w:hAnsi="Garamond" w:cs="Times New Roman"/>
          <w:bCs/>
          <w:i/>
          <w:sz w:val="24"/>
          <w:szCs w:val="24"/>
        </w:rPr>
      </w:pPr>
      <w:r w:rsidRPr="00571F1A">
        <w:rPr>
          <w:rFonts w:ascii="Garamond" w:eastAsia="Times New Roman" w:hAnsi="Garamond" w:cs="Times New Roman"/>
          <w:bCs/>
          <w:i/>
          <w:sz w:val="24"/>
          <w:szCs w:val="24"/>
        </w:rPr>
        <w:lastRenderedPageBreak/>
        <w:t xml:space="preserve">Restricting Access to </w:t>
      </w:r>
      <w:r w:rsidR="00C87418" w:rsidRPr="00571F1A">
        <w:rPr>
          <w:rFonts w:ascii="Garamond" w:eastAsia="Times New Roman" w:hAnsi="Garamond" w:cs="Times New Roman"/>
          <w:bCs/>
          <w:i/>
          <w:sz w:val="24"/>
          <w:szCs w:val="24"/>
        </w:rPr>
        <w:t xml:space="preserve">Public </w:t>
      </w:r>
      <w:r w:rsidR="00044BDD" w:rsidRPr="00571F1A">
        <w:rPr>
          <w:rFonts w:ascii="Garamond" w:eastAsia="Times New Roman" w:hAnsi="Garamond" w:cs="Times New Roman"/>
          <w:bCs/>
          <w:i/>
          <w:sz w:val="24"/>
          <w:szCs w:val="24"/>
        </w:rPr>
        <w:t>B</w:t>
      </w:r>
      <w:r w:rsidR="00C87418" w:rsidRPr="00571F1A">
        <w:rPr>
          <w:rFonts w:ascii="Garamond" w:eastAsia="Times New Roman" w:hAnsi="Garamond" w:cs="Times New Roman"/>
          <w:bCs/>
          <w:i/>
          <w:sz w:val="24"/>
          <w:szCs w:val="24"/>
        </w:rPr>
        <w:t>enefits</w:t>
      </w:r>
    </w:p>
    <w:p w14:paraId="4C1BDF5F" w14:textId="17E57AD0" w:rsidR="0035436E" w:rsidRPr="00571F1A" w:rsidRDefault="00C55D8D" w:rsidP="0035436E">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The </w:t>
      </w:r>
      <w:r w:rsidR="0035436E" w:rsidRPr="00571F1A">
        <w:rPr>
          <w:rFonts w:ascii="Garamond" w:eastAsia="Times New Roman" w:hAnsi="Garamond" w:cs="Times New Roman"/>
          <w:sz w:val="24"/>
          <w:szCs w:val="24"/>
        </w:rPr>
        <w:t>drug war has obstructed economic rights through restrict</w:t>
      </w:r>
      <w:r w:rsidRPr="00571F1A">
        <w:rPr>
          <w:rFonts w:ascii="Garamond" w:eastAsia="Times New Roman" w:hAnsi="Garamond" w:cs="Times New Roman"/>
          <w:sz w:val="24"/>
          <w:szCs w:val="24"/>
        </w:rPr>
        <w:t xml:space="preserve">ions on </w:t>
      </w:r>
      <w:r w:rsidR="0035436E" w:rsidRPr="00571F1A">
        <w:rPr>
          <w:rFonts w:ascii="Garamond" w:eastAsia="Times New Roman" w:hAnsi="Garamond" w:cs="Times New Roman"/>
          <w:sz w:val="24"/>
          <w:szCs w:val="24"/>
        </w:rPr>
        <w:t>access to public benefits. A federal law</w:t>
      </w:r>
      <w:r w:rsidR="0035436E" w:rsidRPr="00571F1A">
        <w:rPr>
          <w:rStyle w:val="FootnoteReference"/>
          <w:rFonts w:ascii="Garamond" w:eastAsia="Times New Roman" w:hAnsi="Garamond" w:cs="Times New Roman"/>
          <w:sz w:val="24"/>
          <w:szCs w:val="24"/>
        </w:rPr>
        <w:footnoteReference w:id="9"/>
      </w:r>
      <w:r w:rsidR="0035436E" w:rsidRPr="00571F1A">
        <w:rPr>
          <w:rFonts w:ascii="Garamond" w:eastAsia="Times New Roman" w:hAnsi="Garamond" w:cs="Times New Roman"/>
          <w:sz w:val="24"/>
          <w:szCs w:val="24"/>
        </w:rPr>
        <w:t xml:space="preserve"> imposed a lifetime ban (unless states opted out or modified the ban) </w:t>
      </w:r>
      <w:r w:rsidR="003B78B7" w:rsidRPr="00571F1A">
        <w:rPr>
          <w:rFonts w:ascii="Garamond" w:eastAsia="Times New Roman" w:hAnsi="Garamond" w:cs="Times New Roman"/>
          <w:sz w:val="24"/>
          <w:szCs w:val="24"/>
        </w:rPr>
        <w:t xml:space="preserve">for anyone with a prior felony drug conviction (which included drug possession offenses) from </w:t>
      </w:r>
      <w:r w:rsidR="0035436E" w:rsidRPr="00571F1A">
        <w:rPr>
          <w:rFonts w:ascii="Garamond" w:eastAsia="Times New Roman" w:hAnsi="Garamond" w:cs="Times New Roman"/>
          <w:sz w:val="24"/>
          <w:szCs w:val="24"/>
        </w:rPr>
        <w:t>receiving cash assistance for needy families or from benefiting from food security program</w:t>
      </w:r>
      <w:r w:rsidR="003B78B7" w:rsidRPr="00571F1A">
        <w:rPr>
          <w:rFonts w:ascii="Garamond" w:eastAsia="Times New Roman" w:hAnsi="Garamond" w:cs="Times New Roman"/>
          <w:sz w:val="24"/>
          <w:szCs w:val="24"/>
        </w:rPr>
        <w:t>s</w:t>
      </w:r>
      <w:r w:rsidR="0035436E" w:rsidRPr="00571F1A">
        <w:rPr>
          <w:rFonts w:ascii="Garamond" w:eastAsia="Times New Roman" w:hAnsi="Garamond" w:cs="Times New Roman"/>
          <w:sz w:val="24"/>
          <w:szCs w:val="24"/>
        </w:rPr>
        <w:t xml:space="preserve">. Given that people of African and Latin American descent are overrepresented in the criminal justice system for drug offenses, </w:t>
      </w:r>
      <w:r w:rsidR="004664FE" w:rsidRPr="00571F1A">
        <w:rPr>
          <w:rFonts w:ascii="Garamond" w:eastAsia="Times New Roman" w:hAnsi="Garamond" w:cs="Times New Roman"/>
          <w:sz w:val="24"/>
          <w:szCs w:val="24"/>
        </w:rPr>
        <w:t xml:space="preserve">members </w:t>
      </w:r>
      <w:r w:rsidR="0035436E" w:rsidRPr="00571F1A">
        <w:rPr>
          <w:rFonts w:ascii="Garamond" w:eastAsia="Times New Roman" w:hAnsi="Garamond" w:cs="Times New Roman"/>
          <w:sz w:val="24"/>
          <w:szCs w:val="24"/>
        </w:rPr>
        <w:t xml:space="preserve">from these communities disproportionately suffer the impacts of these bans, and are subjected to hardships including food insecurity, unstable housing, and </w:t>
      </w:r>
      <w:r w:rsidR="00B41D67" w:rsidRPr="00571F1A">
        <w:rPr>
          <w:rFonts w:ascii="Garamond" w:eastAsia="Times New Roman" w:hAnsi="Garamond" w:cs="Times New Roman"/>
          <w:sz w:val="24"/>
          <w:szCs w:val="24"/>
        </w:rPr>
        <w:t>an inadequate standard of living</w:t>
      </w:r>
      <w:r w:rsidR="0035436E" w:rsidRPr="00571F1A">
        <w:rPr>
          <w:rFonts w:ascii="Garamond" w:eastAsia="Times New Roman" w:hAnsi="Garamond" w:cs="Times New Roman"/>
          <w:sz w:val="24"/>
          <w:szCs w:val="24"/>
        </w:rPr>
        <w:t>.</w:t>
      </w:r>
      <w:r w:rsidR="0035436E" w:rsidRPr="00571F1A">
        <w:rPr>
          <w:rStyle w:val="FootnoteReference"/>
          <w:rFonts w:ascii="Garamond" w:eastAsia="Times New Roman" w:hAnsi="Garamond" w:cs="Times New Roman"/>
          <w:sz w:val="24"/>
          <w:szCs w:val="24"/>
        </w:rPr>
        <w:footnoteReference w:id="10"/>
      </w:r>
    </w:p>
    <w:p w14:paraId="4ECE1591" w14:textId="1A188BF5" w:rsidR="0035436E" w:rsidRPr="00571F1A" w:rsidRDefault="0035436E" w:rsidP="6DB8CE78">
      <w:pPr>
        <w:spacing w:before="100" w:beforeAutospacing="1" w:after="100" w:afterAutospacing="1" w:line="240" w:lineRule="auto"/>
        <w:outlineLvl w:val="1"/>
        <w:rPr>
          <w:rFonts w:ascii="Garamond" w:eastAsia="Times New Roman" w:hAnsi="Garamond" w:cs="Times New Roman"/>
          <w:sz w:val="24"/>
          <w:szCs w:val="24"/>
        </w:rPr>
      </w:pPr>
      <w:r w:rsidRPr="00571F1A">
        <w:rPr>
          <w:rFonts w:ascii="Garamond" w:eastAsia="Times New Roman" w:hAnsi="Garamond" w:cs="Times New Roman"/>
          <w:sz w:val="24"/>
          <w:szCs w:val="24"/>
        </w:rPr>
        <w:t xml:space="preserve">In addition to these bans, many programs require drug testing of anyone with a prior felony drug conviction or those who are suspected of drug use (after a </w:t>
      </w:r>
      <w:r w:rsidR="003B78B7" w:rsidRPr="00571F1A">
        <w:rPr>
          <w:rFonts w:ascii="Garamond" w:eastAsia="Times New Roman" w:hAnsi="Garamond" w:cs="Times New Roman"/>
          <w:sz w:val="24"/>
          <w:szCs w:val="24"/>
        </w:rPr>
        <w:t xml:space="preserve">completing a </w:t>
      </w:r>
      <w:r w:rsidRPr="00571F1A">
        <w:rPr>
          <w:rFonts w:ascii="Garamond" w:eastAsia="Times New Roman" w:hAnsi="Garamond" w:cs="Times New Roman"/>
          <w:sz w:val="24"/>
          <w:szCs w:val="24"/>
        </w:rPr>
        <w:t>screening questionnaire</w:t>
      </w:r>
      <w:r w:rsidR="004213CE" w:rsidRPr="00571F1A">
        <w:rPr>
          <w:rFonts w:ascii="Garamond" w:eastAsia="Times New Roman" w:hAnsi="Garamond" w:cs="Times New Roman"/>
          <w:sz w:val="24"/>
          <w:szCs w:val="24"/>
        </w:rPr>
        <w:t xml:space="preserve"> that </w:t>
      </w:r>
      <w:r w:rsidR="004664FE" w:rsidRPr="00571F1A">
        <w:rPr>
          <w:rFonts w:ascii="Garamond" w:eastAsia="Times New Roman" w:hAnsi="Garamond" w:cs="Times New Roman"/>
          <w:sz w:val="24"/>
          <w:szCs w:val="24"/>
        </w:rPr>
        <w:t>in some states have been di</w:t>
      </w:r>
      <w:r w:rsidR="004213CE" w:rsidRPr="00571F1A">
        <w:rPr>
          <w:rFonts w:ascii="Garamond" w:eastAsia="Times New Roman" w:hAnsi="Garamond" w:cs="Times New Roman"/>
          <w:sz w:val="24"/>
          <w:szCs w:val="24"/>
        </w:rPr>
        <w:t>s</w:t>
      </w:r>
      <w:r w:rsidR="004664FE" w:rsidRPr="00571F1A">
        <w:rPr>
          <w:rFonts w:ascii="Garamond" w:eastAsia="Times New Roman" w:hAnsi="Garamond" w:cs="Times New Roman"/>
          <w:sz w:val="24"/>
          <w:szCs w:val="24"/>
        </w:rPr>
        <w:t>credited</w:t>
      </w:r>
      <w:r w:rsidR="004213CE" w:rsidRPr="00571F1A">
        <w:rPr>
          <w:rStyle w:val="FootnoteReference"/>
          <w:rFonts w:ascii="Garamond" w:eastAsia="Times New Roman" w:hAnsi="Garamond" w:cs="Times New Roman"/>
          <w:sz w:val="24"/>
          <w:szCs w:val="24"/>
        </w:rPr>
        <w:footnoteReference w:id="11"/>
      </w:r>
      <w:r w:rsidR="004213CE" w:rsidRPr="00571F1A">
        <w:rPr>
          <w:rFonts w:ascii="Garamond" w:eastAsia="Times New Roman" w:hAnsi="Garamond" w:cs="Times New Roman"/>
          <w:sz w:val="24"/>
          <w:szCs w:val="24"/>
        </w:rPr>
        <w:t xml:space="preserve"> as violating disability rights laws</w:t>
      </w:r>
      <w:r w:rsidRPr="00571F1A">
        <w:rPr>
          <w:rFonts w:ascii="Garamond" w:eastAsia="Times New Roman" w:hAnsi="Garamond" w:cs="Times New Roman"/>
          <w:sz w:val="24"/>
          <w:szCs w:val="24"/>
        </w:rPr>
        <w:t>)</w:t>
      </w:r>
      <w:r w:rsidR="008311FF" w:rsidRPr="00571F1A">
        <w:rPr>
          <w:rFonts w:ascii="Garamond" w:eastAsia="Times New Roman" w:hAnsi="Garamond" w:cs="Times New Roman"/>
          <w:sz w:val="24"/>
          <w:szCs w:val="24"/>
        </w:rPr>
        <w:t>.</w:t>
      </w:r>
      <w:r w:rsidR="008311FF" w:rsidRPr="00571F1A">
        <w:rPr>
          <w:rStyle w:val="FootnoteReference"/>
          <w:rFonts w:ascii="Garamond" w:eastAsia="Times New Roman" w:hAnsi="Garamond" w:cs="Times New Roman"/>
          <w:sz w:val="24"/>
          <w:szCs w:val="24"/>
        </w:rPr>
        <w:footnoteReference w:id="12"/>
      </w:r>
      <w:r w:rsidR="008311FF" w:rsidRPr="00571F1A">
        <w:rPr>
          <w:rFonts w:ascii="Garamond" w:eastAsia="Times New Roman" w:hAnsi="Garamond" w:cs="Times New Roman"/>
          <w:sz w:val="24"/>
          <w:szCs w:val="24"/>
        </w:rPr>
        <w:t xml:space="preserve"> </w:t>
      </w:r>
      <w:r w:rsidRPr="00571F1A">
        <w:rPr>
          <w:rFonts w:ascii="Garamond" w:eastAsia="Times New Roman" w:hAnsi="Garamond" w:cs="Times New Roman"/>
          <w:sz w:val="24"/>
          <w:szCs w:val="24"/>
        </w:rPr>
        <w:t>Some programs expect the individual to cover the cost of testing, posing a</w:t>
      </w:r>
      <w:r w:rsidR="00C55D8D" w:rsidRPr="00571F1A">
        <w:rPr>
          <w:rFonts w:ascii="Garamond" w:eastAsia="Times New Roman" w:hAnsi="Garamond" w:cs="Times New Roman"/>
          <w:sz w:val="24"/>
          <w:szCs w:val="24"/>
        </w:rPr>
        <w:t xml:space="preserve">n enormous </w:t>
      </w:r>
      <w:r w:rsidRPr="00571F1A">
        <w:rPr>
          <w:rFonts w:ascii="Garamond" w:eastAsia="Times New Roman" w:hAnsi="Garamond" w:cs="Times New Roman"/>
          <w:sz w:val="24"/>
          <w:szCs w:val="24"/>
        </w:rPr>
        <w:t xml:space="preserve">barrier to people </w:t>
      </w:r>
      <w:r w:rsidR="003B78B7" w:rsidRPr="00571F1A">
        <w:rPr>
          <w:rFonts w:ascii="Garamond" w:eastAsia="Times New Roman" w:hAnsi="Garamond" w:cs="Times New Roman"/>
          <w:sz w:val="24"/>
          <w:szCs w:val="24"/>
        </w:rPr>
        <w:t xml:space="preserve">who </w:t>
      </w:r>
      <w:r w:rsidRPr="00571F1A">
        <w:rPr>
          <w:rFonts w:ascii="Garamond" w:eastAsia="Times New Roman" w:hAnsi="Garamond" w:cs="Times New Roman"/>
          <w:sz w:val="24"/>
          <w:szCs w:val="24"/>
        </w:rPr>
        <w:t xml:space="preserve">are struggling to </w:t>
      </w:r>
      <w:r w:rsidR="00C55D8D" w:rsidRPr="00571F1A">
        <w:rPr>
          <w:rFonts w:ascii="Garamond" w:eastAsia="Times New Roman" w:hAnsi="Garamond" w:cs="Times New Roman"/>
          <w:sz w:val="24"/>
          <w:szCs w:val="24"/>
        </w:rPr>
        <w:t>earn a living</w:t>
      </w:r>
      <w:r w:rsidRPr="00571F1A">
        <w:rPr>
          <w:rFonts w:ascii="Garamond" w:eastAsia="Times New Roman" w:hAnsi="Garamond" w:cs="Times New Roman"/>
          <w:sz w:val="24"/>
          <w:szCs w:val="24"/>
        </w:rPr>
        <w:t xml:space="preserve">.  A positive drug test can disqualify someone from receiving cash assistance, imposing </w:t>
      </w:r>
      <w:r w:rsidR="00C55D8D" w:rsidRPr="00571F1A">
        <w:rPr>
          <w:rFonts w:ascii="Garamond" w:eastAsia="Times New Roman" w:hAnsi="Garamond" w:cs="Times New Roman"/>
          <w:sz w:val="24"/>
          <w:szCs w:val="24"/>
        </w:rPr>
        <w:t xml:space="preserve">an </w:t>
      </w:r>
      <w:r w:rsidRPr="00571F1A">
        <w:rPr>
          <w:rFonts w:ascii="Garamond" w:eastAsia="Times New Roman" w:hAnsi="Garamond" w:cs="Times New Roman"/>
          <w:sz w:val="24"/>
          <w:szCs w:val="24"/>
        </w:rPr>
        <w:t>economic hardship on the entire family.</w:t>
      </w:r>
      <w:r w:rsidRPr="00571F1A">
        <w:rPr>
          <w:rStyle w:val="FootnoteReference"/>
          <w:rFonts w:ascii="Garamond" w:eastAsia="Times New Roman" w:hAnsi="Garamond" w:cs="Times New Roman"/>
          <w:sz w:val="24"/>
          <w:szCs w:val="24"/>
        </w:rPr>
        <w:footnoteReference w:id="13"/>
      </w:r>
    </w:p>
    <w:p w14:paraId="2B12BE9D" w14:textId="5C7B2004" w:rsidR="00C87418" w:rsidRPr="00571F1A" w:rsidRDefault="00C87418" w:rsidP="00C87418">
      <w:pPr>
        <w:spacing w:before="100" w:beforeAutospacing="1" w:after="100" w:afterAutospacing="1" w:line="240" w:lineRule="auto"/>
        <w:outlineLvl w:val="1"/>
        <w:rPr>
          <w:rFonts w:ascii="Garamond" w:eastAsia="Times New Roman" w:hAnsi="Garamond" w:cs="Times New Roman"/>
          <w:bCs/>
          <w:i/>
          <w:sz w:val="24"/>
          <w:szCs w:val="24"/>
        </w:rPr>
      </w:pPr>
      <w:r w:rsidRPr="00571F1A">
        <w:rPr>
          <w:rFonts w:ascii="Garamond" w:eastAsia="Times New Roman" w:hAnsi="Garamond" w:cs="Times New Roman"/>
          <w:bCs/>
          <w:i/>
          <w:sz w:val="24"/>
          <w:szCs w:val="24"/>
        </w:rPr>
        <w:t>Housing</w:t>
      </w:r>
      <w:r w:rsidR="002D11B7" w:rsidRPr="00571F1A">
        <w:rPr>
          <w:rFonts w:ascii="Garamond" w:eastAsia="Times New Roman" w:hAnsi="Garamond" w:cs="Times New Roman"/>
          <w:bCs/>
          <w:i/>
          <w:sz w:val="24"/>
          <w:szCs w:val="24"/>
        </w:rPr>
        <w:t xml:space="preserve"> Restrictions</w:t>
      </w:r>
    </w:p>
    <w:p w14:paraId="084AF317" w14:textId="5FF2528A" w:rsidR="00B41D67" w:rsidRPr="00571F1A" w:rsidRDefault="00C87418" w:rsidP="6DB8CE78">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Various </w:t>
      </w:r>
      <w:r w:rsidR="00C55D8D" w:rsidRPr="00571F1A">
        <w:rPr>
          <w:rFonts w:ascii="Garamond" w:eastAsia="Times New Roman" w:hAnsi="Garamond" w:cs="Times New Roman"/>
          <w:sz w:val="24"/>
          <w:szCs w:val="24"/>
        </w:rPr>
        <w:t xml:space="preserve">federal </w:t>
      </w:r>
      <w:r w:rsidRPr="00571F1A">
        <w:rPr>
          <w:rFonts w:ascii="Garamond" w:eastAsia="Times New Roman" w:hAnsi="Garamond" w:cs="Times New Roman"/>
          <w:sz w:val="24"/>
          <w:szCs w:val="24"/>
        </w:rPr>
        <w:t xml:space="preserve">laws extended </w:t>
      </w:r>
      <w:r w:rsidR="003B78B7" w:rsidRPr="00571F1A">
        <w:rPr>
          <w:rFonts w:ascii="Garamond" w:eastAsia="Times New Roman" w:hAnsi="Garamond" w:cs="Times New Roman"/>
          <w:sz w:val="24"/>
          <w:szCs w:val="24"/>
        </w:rPr>
        <w:t xml:space="preserve">the reach of the </w:t>
      </w:r>
      <w:r w:rsidRPr="00571F1A">
        <w:rPr>
          <w:rFonts w:ascii="Garamond" w:eastAsia="Times New Roman" w:hAnsi="Garamond" w:cs="Times New Roman"/>
          <w:sz w:val="24"/>
          <w:szCs w:val="24"/>
        </w:rPr>
        <w:t xml:space="preserve">drug </w:t>
      </w:r>
      <w:r w:rsidR="003B78B7" w:rsidRPr="00571F1A">
        <w:rPr>
          <w:rFonts w:ascii="Garamond" w:eastAsia="Times New Roman" w:hAnsi="Garamond" w:cs="Times New Roman"/>
          <w:sz w:val="24"/>
          <w:szCs w:val="24"/>
        </w:rPr>
        <w:t xml:space="preserve">war </w:t>
      </w:r>
      <w:r w:rsidRPr="00571F1A">
        <w:rPr>
          <w:rFonts w:ascii="Garamond" w:eastAsia="Times New Roman" w:hAnsi="Garamond" w:cs="Times New Roman"/>
          <w:sz w:val="24"/>
          <w:szCs w:val="24"/>
        </w:rPr>
        <w:t>into housing policies, which bec</w:t>
      </w:r>
      <w:r w:rsidR="003B78B7" w:rsidRPr="00571F1A">
        <w:rPr>
          <w:rFonts w:ascii="Garamond" w:eastAsia="Times New Roman" w:hAnsi="Garamond" w:cs="Times New Roman"/>
          <w:sz w:val="24"/>
          <w:szCs w:val="24"/>
        </w:rPr>
        <w:t>a</w:t>
      </w:r>
      <w:r w:rsidRPr="00571F1A">
        <w:rPr>
          <w:rFonts w:ascii="Garamond" w:eastAsia="Times New Roman" w:hAnsi="Garamond" w:cs="Times New Roman"/>
          <w:sz w:val="24"/>
          <w:szCs w:val="24"/>
        </w:rPr>
        <w:t>me increasingly punitive with each success</w:t>
      </w:r>
      <w:r w:rsidR="003B78B7" w:rsidRPr="00571F1A">
        <w:rPr>
          <w:rFonts w:ascii="Garamond" w:eastAsia="Times New Roman" w:hAnsi="Garamond" w:cs="Times New Roman"/>
          <w:sz w:val="24"/>
          <w:szCs w:val="24"/>
        </w:rPr>
        <w:t xml:space="preserve">ive </w:t>
      </w:r>
      <w:r w:rsidRPr="00571F1A">
        <w:rPr>
          <w:rFonts w:ascii="Garamond" w:eastAsia="Times New Roman" w:hAnsi="Garamond" w:cs="Times New Roman"/>
          <w:sz w:val="24"/>
          <w:szCs w:val="24"/>
        </w:rPr>
        <w:t>law</w:t>
      </w:r>
      <w:r w:rsidR="00C55D8D" w:rsidRPr="00571F1A">
        <w:rPr>
          <w:rFonts w:ascii="Garamond" w:eastAsia="Times New Roman" w:hAnsi="Garamond" w:cs="Times New Roman"/>
          <w:sz w:val="24"/>
          <w:szCs w:val="24"/>
        </w:rPr>
        <w:t>.</w:t>
      </w:r>
      <w:r w:rsidR="003B78B7" w:rsidRPr="00571F1A">
        <w:rPr>
          <w:rFonts w:ascii="Garamond" w:eastAsia="Times New Roman" w:hAnsi="Garamond" w:cs="Times New Roman"/>
          <w:sz w:val="24"/>
          <w:szCs w:val="24"/>
        </w:rPr>
        <w:t xml:space="preserve">  The</w:t>
      </w:r>
      <w:r w:rsidR="00C55D8D" w:rsidRPr="00571F1A">
        <w:rPr>
          <w:rFonts w:ascii="Garamond" w:eastAsia="Times New Roman" w:hAnsi="Garamond" w:cs="Times New Roman"/>
          <w:sz w:val="24"/>
          <w:szCs w:val="24"/>
        </w:rPr>
        <w:t>y</w:t>
      </w:r>
      <w:r w:rsidR="003B78B7" w:rsidRPr="00571F1A">
        <w:rPr>
          <w:rFonts w:ascii="Garamond" w:eastAsia="Times New Roman" w:hAnsi="Garamond" w:cs="Times New Roman"/>
          <w:sz w:val="24"/>
          <w:szCs w:val="24"/>
        </w:rPr>
        <w:t xml:space="preserve"> </w:t>
      </w:r>
      <w:r w:rsidRPr="00571F1A">
        <w:rPr>
          <w:rFonts w:ascii="Garamond" w:eastAsia="Times New Roman" w:hAnsi="Garamond" w:cs="Times New Roman"/>
          <w:sz w:val="24"/>
          <w:szCs w:val="24"/>
        </w:rPr>
        <w:t xml:space="preserve">allowed for eviction of tenants for </w:t>
      </w:r>
      <w:r w:rsidRPr="00571F1A">
        <w:rPr>
          <w:rFonts w:ascii="Garamond" w:eastAsia="Times New Roman" w:hAnsi="Garamond" w:cs="Times New Roman"/>
          <w:i/>
          <w:iCs/>
          <w:sz w:val="24"/>
          <w:szCs w:val="24"/>
        </w:rPr>
        <w:t>suspected</w:t>
      </w:r>
      <w:r w:rsidRPr="00571F1A">
        <w:rPr>
          <w:rFonts w:ascii="Garamond" w:eastAsia="Times New Roman" w:hAnsi="Garamond" w:cs="Times New Roman"/>
          <w:sz w:val="24"/>
          <w:szCs w:val="24"/>
        </w:rPr>
        <w:t xml:space="preserve"> drug related activity on or near public housing facilities by tenants </w:t>
      </w:r>
      <w:r w:rsidRPr="00571F1A">
        <w:rPr>
          <w:rFonts w:ascii="Garamond" w:eastAsia="Times New Roman" w:hAnsi="Garamond" w:cs="Times New Roman"/>
          <w:i/>
          <w:iCs/>
          <w:sz w:val="24"/>
          <w:szCs w:val="24"/>
        </w:rPr>
        <w:t>or guests</w:t>
      </w:r>
      <w:r w:rsidRPr="00571F1A">
        <w:rPr>
          <w:rFonts w:ascii="Garamond" w:eastAsia="Times New Roman" w:hAnsi="Garamond" w:cs="Times New Roman"/>
          <w:sz w:val="24"/>
          <w:szCs w:val="24"/>
        </w:rPr>
        <w:t>, without requiring an arrest or proof that the tenant or guest were engaged in drug use or sales.</w:t>
      </w:r>
      <w:r w:rsidR="008311FF" w:rsidRPr="00571F1A">
        <w:rPr>
          <w:rStyle w:val="FootnoteReference"/>
          <w:rFonts w:ascii="Garamond" w:eastAsia="Times New Roman" w:hAnsi="Garamond" w:cs="Times New Roman"/>
          <w:sz w:val="24"/>
          <w:szCs w:val="24"/>
        </w:rPr>
        <w:footnoteReference w:id="14"/>
      </w:r>
      <w:r w:rsidRPr="00571F1A">
        <w:rPr>
          <w:rFonts w:ascii="Garamond" w:eastAsia="Times New Roman" w:hAnsi="Garamond" w:cs="Times New Roman"/>
          <w:sz w:val="24"/>
          <w:szCs w:val="24"/>
        </w:rPr>
        <w:t xml:space="preserve">  These punitive policies have made it increasingly difficult for people to stay in </w:t>
      </w:r>
      <w:r w:rsidR="000C07EF" w:rsidRPr="00571F1A">
        <w:rPr>
          <w:rFonts w:ascii="Garamond" w:eastAsia="Times New Roman" w:hAnsi="Garamond" w:cs="Times New Roman"/>
          <w:sz w:val="24"/>
          <w:szCs w:val="24"/>
        </w:rPr>
        <w:t xml:space="preserve">or find </w:t>
      </w:r>
      <w:r w:rsidRPr="00571F1A">
        <w:rPr>
          <w:rFonts w:ascii="Garamond" w:eastAsia="Times New Roman" w:hAnsi="Garamond" w:cs="Times New Roman"/>
          <w:sz w:val="24"/>
          <w:szCs w:val="24"/>
        </w:rPr>
        <w:t>affordable housing</w:t>
      </w:r>
      <w:r w:rsidR="003B78B7" w:rsidRPr="00571F1A">
        <w:rPr>
          <w:rFonts w:ascii="Garamond" w:eastAsia="Times New Roman" w:hAnsi="Garamond" w:cs="Times New Roman"/>
          <w:sz w:val="24"/>
          <w:szCs w:val="24"/>
        </w:rPr>
        <w:t>, and impact their standard of living.</w:t>
      </w:r>
      <w:r w:rsidRPr="00571F1A">
        <w:rPr>
          <w:rFonts w:ascii="Garamond" w:eastAsia="Times New Roman" w:hAnsi="Garamond" w:cs="Times New Roman"/>
          <w:sz w:val="24"/>
          <w:szCs w:val="24"/>
        </w:rPr>
        <w:t xml:space="preserve">  </w:t>
      </w:r>
    </w:p>
    <w:p w14:paraId="6223FB1C" w14:textId="77777777" w:rsidR="00571F1A" w:rsidRDefault="00571F1A" w:rsidP="001B58C1">
      <w:pPr>
        <w:spacing w:before="100" w:beforeAutospacing="1" w:after="100" w:afterAutospacing="1" w:line="240" w:lineRule="auto"/>
        <w:outlineLvl w:val="1"/>
        <w:rPr>
          <w:rFonts w:ascii="Garamond" w:eastAsia="Times New Roman" w:hAnsi="Garamond" w:cs="Times New Roman"/>
          <w:bCs/>
          <w:i/>
          <w:sz w:val="24"/>
          <w:szCs w:val="24"/>
        </w:rPr>
      </w:pPr>
    </w:p>
    <w:p w14:paraId="60C83BDF" w14:textId="4D080A01" w:rsidR="00571F1A" w:rsidRDefault="00571F1A" w:rsidP="001B58C1">
      <w:pPr>
        <w:spacing w:before="100" w:beforeAutospacing="1" w:after="100" w:afterAutospacing="1" w:line="240" w:lineRule="auto"/>
        <w:outlineLvl w:val="1"/>
        <w:rPr>
          <w:rFonts w:ascii="Garamond" w:eastAsia="Times New Roman" w:hAnsi="Garamond" w:cs="Times New Roman"/>
          <w:bCs/>
          <w:i/>
          <w:sz w:val="24"/>
          <w:szCs w:val="24"/>
        </w:rPr>
      </w:pPr>
    </w:p>
    <w:p w14:paraId="4874976A" w14:textId="77777777" w:rsidR="00515226" w:rsidRDefault="00515226" w:rsidP="001B58C1">
      <w:pPr>
        <w:spacing w:before="100" w:beforeAutospacing="1" w:after="100" w:afterAutospacing="1" w:line="240" w:lineRule="auto"/>
        <w:outlineLvl w:val="1"/>
        <w:rPr>
          <w:rFonts w:ascii="Garamond" w:eastAsia="Times New Roman" w:hAnsi="Garamond" w:cs="Times New Roman"/>
          <w:bCs/>
          <w:i/>
          <w:sz w:val="24"/>
          <w:szCs w:val="24"/>
        </w:rPr>
      </w:pPr>
    </w:p>
    <w:p w14:paraId="23EE28CD" w14:textId="19655DB2" w:rsidR="001B58C1" w:rsidRPr="00571F1A" w:rsidRDefault="00D1283D" w:rsidP="001B58C1">
      <w:pPr>
        <w:spacing w:before="100" w:beforeAutospacing="1" w:after="100" w:afterAutospacing="1" w:line="240" w:lineRule="auto"/>
        <w:outlineLvl w:val="1"/>
        <w:rPr>
          <w:rFonts w:ascii="Garamond" w:eastAsia="Times New Roman" w:hAnsi="Garamond" w:cs="Times New Roman"/>
          <w:bCs/>
          <w:i/>
          <w:sz w:val="24"/>
          <w:szCs w:val="24"/>
        </w:rPr>
      </w:pPr>
      <w:r w:rsidRPr="00571F1A">
        <w:rPr>
          <w:rFonts w:ascii="Garamond" w:eastAsia="Times New Roman" w:hAnsi="Garamond" w:cs="Times New Roman"/>
          <w:bCs/>
          <w:i/>
          <w:sz w:val="24"/>
          <w:szCs w:val="24"/>
        </w:rPr>
        <w:lastRenderedPageBreak/>
        <w:t>Barriers to Education</w:t>
      </w:r>
    </w:p>
    <w:p w14:paraId="37E1E8DC" w14:textId="0F4A6B15" w:rsidR="00CC0E02" w:rsidRPr="00571F1A" w:rsidRDefault="00AA4A86" w:rsidP="6DB8CE78">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The drug war </w:t>
      </w:r>
      <w:r w:rsidR="000C07EF" w:rsidRPr="00571F1A">
        <w:rPr>
          <w:rFonts w:ascii="Garamond" w:eastAsia="Times New Roman" w:hAnsi="Garamond" w:cs="Times New Roman"/>
          <w:sz w:val="24"/>
          <w:szCs w:val="24"/>
        </w:rPr>
        <w:t xml:space="preserve">also </w:t>
      </w:r>
      <w:r w:rsidRPr="00571F1A">
        <w:rPr>
          <w:rFonts w:ascii="Garamond" w:eastAsia="Times New Roman" w:hAnsi="Garamond" w:cs="Times New Roman"/>
          <w:sz w:val="24"/>
          <w:szCs w:val="24"/>
        </w:rPr>
        <w:t>hinders educational opportunities. Instead of providing supportive services</w:t>
      </w:r>
      <w:r w:rsidR="00CC0E02" w:rsidRPr="00571F1A">
        <w:rPr>
          <w:rFonts w:ascii="Garamond" w:eastAsia="Times New Roman" w:hAnsi="Garamond" w:cs="Times New Roman"/>
          <w:sz w:val="24"/>
          <w:szCs w:val="24"/>
        </w:rPr>
        <w:t xml:space="preserve"> to </w:t>
      </w:r>
      <w:r w:rsidR="00C6373E" w:rsidRPr="00571F1A">
        <w:rPr>
          <w:rFonts w:ascii="Garamond" w:eastAsia="Times New Roman" w:hAnsi="Garamond" w:cs="Times New Roman"/>
          <w:sz w:val="24"/>
          <w:szCs w:val="24"/>
        </w:rPr>
        <w:t>those</w:t>
      </w:r>
      <w:r w:rsidR="00CC0E02" w:rsidRPr="00571F1A">
        <w:rPr>
          <w:rFonts w:ascii="Garamond" w:eastAsia="Times New Roman" w:hAnsi="Garamond" w:cs="Times New Roman"/>
          <w:sz w:val="24"/>
          <w:szCs w:val="24"/>
        </w:rPr>
        <w:t xml:space="preserve"> who need them</w:t>
      </w:r>
      <w:r w:rsidRPr="00571F1A">
        <w:rPr>
          <w:rFonts w:ascii="Garamond" w:eastAsia="Times New Roman" w:hAnsi="Garamond" w:cs="Times New Roman"/>
          <w:sz w:val="24"/>
          <w:szCs w:val="24"/>
        </w:rPr>
        <w:t xml:space="preserve">, </w:t>
      </w:r>
      <w:r w:rsidR="00CC0E02" w:rsidRPr="00571F1A">
        <w:rPr>
          <w:rFonts w:ascii="Garamond" w:eastAsia="Times New Roman" w:hAnsi="Garamond" w:cs="Times New Roman"/>
          <w:sz w:val="24"/>
          <w:szCs w:val="24"/>
        </w:rPr>
        <w:t xml:space="preserve">drugs use is frequently the </w:t>
      </w:r>
      <w:r w:rsidR="006A5151" w:rsidRPr="00571F1A">
        <w:rPr>
          <w:rFonts w:ascii="Garamond" w:eastAsia="Times New Roman" w:hAnsi="Garamond" w:cs="Times New Roman"/>
          <w:sz w:val="24"/>
          <w:szCs w:val="24"/>
        </w:rPr>
        <w:t>reason</w:t>
      </w:r>
      <w:r w:rsidR="00CC0E02" w:rsidRPr="00571F1A">
        <w:rPr>
          <w:rFonts w:ascii="Garamond" w:eastAsia="Times New Roman" w:hAnsi="Garamond" w:cs="Times New Roman"/>
          <w:sz w:val="24"/>
          <w:szCs w:val="24"/>
        </w:rPr>
        <w:t xml:space="preserve"> for </w:t>
      </w:r>
      <w:r w:rsidR="00C6373E" w:rsidRPr="00571F1A">
        <w:rPr>
          <w:rFonts w:ascii="Garamond" w:eastAsia="Times New Roman" w:hAnsi="Garamond" w:cs="Times New Roman"/>
          <w:sz w:val="24"/>
          <w:szCs w:val="24"/>
        </w:rPr>
        <w:t>referring students</w:t>
      </w:r>
      <w:r w:rsidR="00CC0E02" w:rsidRPr="00571F1A">
        <w:rPr>
          <w:rFonts w:ascii="Garamond" w:eastAsia="Times New Roman" w:hAnsi="Garamond" w:cs="Times New Roman"/>
          <w:sz w:val="24"/>
          <w:szCs w:val="24"/>
        </w:rPr>
        <w:t xml:space="preserve"> to law enforcement</w:t>
      </w:r>
      <w:r w:rsidR="003D11EA" w:rsidRPr="00571F1A">
        <w:rPr>
          <w:rFonts w:ascii="Garamond" w:eastAsia="Times New Roman" w:hAnsi="Garamond" w:cs="Times New Roman"/>
          <w:sz w:val="24"/>
          <w:szCs w:val="24"/>
        </w:rPr>
        <w:t>,</w:t>
      </w:r>
      <w:r w:rsidR="00CC0E02" w:rsidRPr="00571F1A">
        <w:rPr>
          <w:rStyle w:val="FootnoteReference"/>
          <w:rFonts w:ascii="Garamond" w:eastAsia="Times New Roman" w:hAnsi="Garamond" w:cs="Times New Roman"/>
          <w:sz w:val="24"/>
          <w:szCs w:val="24"/>
        </w:rPr>
        <w:footnoteReference w:id="15"/>
      </w:r>
      <w:r w:rsidR="003D11EA" w:rsidRPr="00571F1A">
        <w:rPr>
          <w:rFonts w:ascii="Garamond" w:eastAsia="Times New Roman" w:hAnsi="Garamond" w:cs="Times New Roman"/>
          <w:sz w:val="24"/>
          <w:szCs w:val="24"/>
        </w:rPr>
        <w:t xml:space="preserve"> </w:t>
      </w:r>
      <w:r w:rsidR="003B78B7" w:rsidRPr="00571F1A">
        <w:rPr>
          <w:rFonts w:ascii="Garamond" w:eastAsia="Times New Roman" w:hAnsi="Garamond" w:cs="Times New Roman"/>
          <w:sz w:val="24"/>
          <w:szCs w:val="24"/>
        </w:rPr>
        <w:t>leading to school suspensions or expulsions</w:t>
      </w:r>
      <w:r w:rsidR="001D2DD8" w:rsidRPr="00571F1A">
        <w:rPr>
          <w:rFonts w:ascii="Garamond" w:eastAsia="Times New Roman" w:hAnsi="Garamond" w:cs="Times New Roman"/>
          <w:sz w:val="24"/>
          <w:szCs w:val="24"/>
        </w:rPr>
        <w:t>.</w:t>
      </w:r>
      <w:r w:rsidR="00CC0E02" w:rsidRPr="00571F1A">
        <w:rPr>
          <w:rFonts w:ascii="Garamond" w:eastAsia="Times New Roman" w:hAnsi="Garamond" w:cs="Times New Roman"/>
          <w:sz w:val="24"/>
          <w:szCs w:val="24"/>
        </w:rPr>
        <w:t xml:space="preserve"> In higher education, drug offenses are a basis to deny financial aid to students</w:t>
      </w:r>
      <w:r w:rsidR="003B78B7" w:rsidRPr="00571F1A">
        <w:rPr>
          <w:rFonts w:ascii="Garamond" w:eastAsia="Times New Roman" w:hAnsi="Garamond" w:cs="Times New Roman"/>
          <w:sz w:val="24"/>
          <w:szCs w:val="24"/>
        </w:rPr>
        <w:t xml:space="preserve">, and </w:t>
      </w:r>
      <w:r w:rsidR="00CC0E02" w:rsidRPr="00571F1A">
        <w:rPr>
          <w:rFonts w:ascii="Garamond" w:eastAsia="Times New Roman" w:hAnsi="Garamond" w:cs="Times New Roman"/>
          <w:sz w:val="24"/>
          <w:szCs w:val="24"/>
        </w:rPr>
        <w:t xml:space="preserve">close to a third of </w:t>
      </w:r>
      <w:r w:rsidR="006A5151" w:rsidRPr="00571F1A">
        <w:rPr>
          <w:rFonts w:ascii="Garamond" w:eastAsia="Times New Roman" w:hAnsi="Garamond" w:cs="Times New Roman"/>
          <w:sz w:val="24"/>
          <w:szCs w:val="24"/>
        </w:rPr>
        <w:t>U.S.</w:t>
      </w:r>
      <w:r w:rsidR="00CC0E02" w:rsidRPr="00571F1A">
        <w:rPr>
          <w:rFonts w:ascii="Garamond" w:eastAsia="Times New Roman" w:hAnsi="Garamond" w:cs="Times New Roman"/>
          <w:sz w:val="24"/>
          <w:szCs w:val="24"/>
        </w:rPr>
        <w:t xml:space="preserve"> states deny aid to students with a criminal record.</w:t>
      </w:r>
      <w:r w:rsidR="008311FF" w:rsidRPr="00571F1A">
        <w:rPr>
          <w:rStyle w:val="FootnoteReference"/>
          <w:rFonts w:ascii="Garamond" w:eastAsia="Times New Roman" w:hAnsi="Garamond" w:cs="Times New Roman"/>
          <w:sz w:val="24"/>
          <w:szCs w:val="24"/>
        </w:rPr>
        <w:footnoteReference w:id="16"/>
      </w:r>
      <w:r w:rsidR="00C6373E" w:rsidRPr="00571F1A">
        <w:rPr>
          <w:rFonts w:ascii="Garamond" w:eastAsia="Times New Roman" w:hAnsi="Garamond" w:cs="Times New Roman"/>
          <w:sz w:val="24"/>
          <w:szCs w:val="24"/>
        </w:rPr>
        <w:t xml:space="preserve">  Financial aid is often the only way that people </w:t>
      </w:r>
      <w:r w:rsidR="006A5151" w:rsidRPr="00571F1A">
        <w:rPr>
          <w:rFonts w:ascii="Garamond" w:eastAsia="Times New Roman" w:hAnsi="Garamond" w:cs="Times New Roman"/>
          <w:sz w:val="24"/>
          <w:szCs w:val="24"/>
        </w:rPr>
        <w:t>of</w:t>
      </w:r>
      <w:r w:rsidR="00C6373E" w:rsidRPr="00571F1A">
        <w:rPr>
          <w:rFonts w:ascii="Garamond" w:eastAsia="Times New Roman" w:hAnsi="Garamond" w:cs="Times New Roman"/>
          <w:sz w:val="24"/>
          <w:szCs w:val="24"/>
        </w:rPr>
        <w:t xml:space="preserve"> limited </w:t>
      </w:r>
      <w:r w:rsidR="006A5151" w:rsidRPr="00571F1A">
        <w:rPr>
          <w:rFonts w:ascii="Garamond" w:eastAsia="Times New Roman" w:hAnsi="Garamond" w:cs="Times New Roman"/>
          <w:sz w:val="24"/>
          <w:szCs w:val="24"/>
        </w:rPr>
        <w:t>means</w:t>
      </w:r>
      <w:r w:rsidR="00C6373E" w:rsidRPr="00571F1A">
        <w:rPr>
          <w:rFonts w:ascii="Garamond" w:eastAsia="Times New Roman" w:hAnsi="Garamond" w:cs="Times New Roman"/>
          <w:sz w:val="24"/>
          <w:szCs w:val="24"/>
        </w:rPr>
        <w:t xml:space="preserve"> </w:t>
      </w:r>
      <w:r w:rsidR="003B78B7" w:rsidRPr="00571F1A">
        <w:rPr>
          <w:rFonts w:ascii="Garamond" w:eastAsia="Times New Roman" w:hAnsi="Garamond" w:cs="Times New Roman"/>
          <w:sz w:val="24"/>
          <w:szCs w:val="24"/>
        </w:rPr>
        <w:t>can</w:t>
      </w:r>
      <w:r w:rsidR="006A5151" w:rsidRPr="00571F1A">
        <w:rPr>
          <w:rFonts w:ascii="Garamond" w:eastAsia="Times New Roman" w:hAnsi="Garamond" w:cs="Times New Roman"/>
          <w:sz w:val="24"/>
          <w:szCs w:val="24"/>
        </w:rPr>
        <w:t xml:space="preserve"> </w:t>
      </w:r>
      <w:r w:rsidR="00C6373E" w:rsidRPr="00571F1A">
        <w:rPr>
          <w:rFonts w:ascii="Garamond" w:eastAsia="Times New Roman" w:hAnsi="Garamond" w:cs="Times New Roman"/>
          <w:sz w:val="24"/>
          <w:szCs w:val="24"/>
        </w:rPr>
        <w:t xml:space="preserve">partake in higher education and </w:t>
      </w:r>
      <w:r w:rsidR="006A5151" w:rsidRPr="00571F1A">
        <w:rPr>
          <w:rFonts w:ascii="Garamond" w:eastAsia="Times New Roman" w:hAnsi="Garamond" w:cs="Times New Roman"/>
          <w:sz w:val="24"/>
          <w:szCs w:val="24"/>
        </w:rPr>
        <w:t>obtain training for</w:t>
      </w:r>
      <w:r w:rsidR="00C6373E" w:rsidRPr="00571F1A">
        <w:rPr>
          <w:rFonts w:ascii="Garamond" w:eastAsia="Times New Roman" w:hAnsi="Garamond" w:cs="Times New Roman"/>
          <w:sz w:val="24"/>
          <w:szCs w:val="24"/>
        </w:rPr>
        <w:t xml:space="preserve"> stable career options.  Denying financial aid </w:t>
      </w:r>
      <w:r w:rsidR="000C07EF" w:rsidRPr="00571F1A">
        <w:rPr>
          <w:rFonts w:ascii="Garamond" w:eastAsia="Times New Roman" w:hAnsi="Garamond" w:cs="Times New Roman"/>
          <w:sz w:val="24"/>
          <w:szCs w:val="24"/>
        </w:rPr>
        <w:t xml:space="preserve">eliminates </w:t>
      </w:r>
      <w:r w:rsidR="00C6373E" w:rsidRPr="00571F1A">
        <w:rPr>
          <w:rFonts w:ascii="Garamond" w:eastAsia="Times New Roman" w:hAnsi="Garamond" w:cs="Times New Roman"/>
          <w:sz w:val="24"/>
          <w:szCs w:val="24"/>
        </w:rPr>
        <w:t xml:space="preserve">opportunities to </w:t>
      </w:r>
      <w:r w:rsidR="000C07EF" w:rsidRPr="00571F1A">
        <w:rPr>
          <w:rFonts w:ascii="Garamond" w:eastAsia="Times New Roman" w:hAnsi="Garamond" w:cs="Times New Roman"/>
          <w:sz w:val="24"/>
          <w:szCs w:val="24"/>
        </w:rPr>
        <w:t xml:space="preserve">find work and </w:t>
      </w:r>
      <w:r w:rsidR="00B41D67" w:rsidRPr="00571F1A">
        <w:rPr>
          <w:rFonts w:ascii="Garamond" w:eastAsia="Times New Roman" w:hAnsi="Garamond" w:cs="Times New Roman"/>
          <w:sz w:val="24"/>
          <w:szCs w:val="24"/>
        </w:rPr>
        <w:t xml:space="preserve">earn an adequate standard of living.  </w:t>
      </w:r>
    </w:p>
    <w:p w14:paraId="4D2B2464" w14:textId="34FAD09B" w:rsidR="001B58C1" w:rsidRPr="00571F1A" w:rsidRDefault="001B58C1" w:rsidP="001B58C1">
      <w:pPr>
        <w:spacing w:before="100" w:beforeAutospacing="1" w:after="100" w:afterAutospacing="1" w:line="240" w:lineRule="auto"/>
        <w:outlineLvl w:val="1"/>
        <w:rPr>
          <w:rFonts w:ascii="Garamond" w:eastAsia="Times New Roman" w:hAnsi="Garamond" w:cs="Times New Roman"/>
          <w:bCs/>
          <w:i/>
          <w:sz w:val="24"/>
          <w:szCs w:val="24"/>
        </w:rPr>
      </w:pPr>
      <w:r w:rsidRPr="00571F1A">
        <w:rPr>
          <w:rFonts w:ascii="Garamond" w:eastAsia="Times New Roman" w:hAnsi="Garamond" w:cs="Times New Roman"/>
          <w:bCs/>
          <w:i/>
          <w:sz w:val="24"/>
          <w:szCs w:val="24"/>
        </w:rPr>
        <w:t xml:space="preserve">Family </w:t>
      </w:r>
      <w:r w:rsidR="00D1283D" w:rsidRPr="00571F1A">
        <w:rPr>
          <w:rFonts w:ascii="Garamond" w:eastAsia="Times New Roman" w:hAnsi="Garamond" w:cs="Times New Roman"/>
          <w:bCs/>
          <w:i/>
          <w:sz w:val="24"/>
          <w:szCs w:val="24"/>
        </w:rPr>
        <w:t xml:space="preserve">Separation </w:t>
      </w:r>
    </w:p>
    <w:p w14:paraId="5C6C24E6" w14:textId="33EE3159" w:rsidR="00C10186" w:rsidRPr="00571F1A" w:rsidRDefault="00B41D67" w:rsidP="6DB8CE78">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The </w:t>
      </w:r>
      <w:r w:rsidR="00C10186" w:rsidRPr="00571F1A">
        <w:rPr>
          <w:rFonts w:ascii="Garamond" w:eastAsia="Times New Roman" w:hAnsi="Garamond" w:cs="Times New Roman"/>
          <w:sz w:val="24"/>
          <w:szCs w:val="24"/>
        </w:rPr>
        <w:t>drug war impedes economic, social and cultural rights through the family regulation system.  In many U.S. states,</w:t>
      </w:r>
      <w:r w:rsidR="00735557" w:rsidRPr="00571F1A">
        <w:rPr>
          <w:rFonts w:ascii="Garamond" w:eastAsia="Times New Roman" w:hAnsi="Garamond" w:cs="Times New Roman"/>
          <w:sz w:val="24"/>
          <w:szCs w:val="24"/>
        </w:rPr>
        <w:t xml:space="preserve"> </w:t>
      </w:r>
      <w:r w:rsidR="00C10186" w:rsidRPr="00571F1A">
        <w:rPr>
          <w:rFonts w:ascii="Garamond" w:eastAsia="Times New Roman" w:hAnsi="Garamond" w:cs="Times New Roman"/>
          <w:sz w:val="24"/>
          <w:szCs w:val="24"/>
        </w:rPr>
        <w:t xml:space="preserve">parental drug use, even without any showing of harm to a child, is often grounds to terminate parental rights </w:t>
      </w:r>
      <w:r w:rsidR="003D11EA" w:rsidRPr="00571F1A">
        <w:rPr>
          <w:rFonts w:ascii="Garamond" w:eastAsia="Times New Roman" w:hAnsi="Garamond" w:cs="Times New Roman"/>
          <w:sz w:val="24"/>
          <w:szCs w:val="24"/>
        </w:rPr>
        <w:t xml:space="preserve">and has become the second most common reason </w:t>
      </w:r>
      <w:r w:rsidR="00F132CB" w:rsidRPr="00571F1A">
        <w:rPr>
          <w:rFonts w:ascii="Garamond" w:eastAsia="Times New Roman" w:hAnsi="Garamond" w:cs="Times New Roman"/>
          <w:sz w:val="24"/>
          <w:szCs w:val="24"/>
        </w:rPr>
        <w:t>to remove a</w:t>
      </w:r>
      <w:r w:rsidR="003D11EA" w:rsidRPr="00571F1A">
        <w:rPr>
          <w:rFonts w:ascii="Garamond" w:eastAsia="Times New Roman" w:hAnsi="Garamond" w:cs="Times New Roman"/>
          <w:sz w:val="24"/>
          <w:szCs w:val="24"/>
        </w:rPr>
        <w:t xml:space="preserve"> child</w:t>
      </w:r>
      <w:r w:rsidR="00F132CB" w:rsidRPr="00571F1A">
        <w:rPr>
          <w:rFonts w:ascii="Garamond" w:eastAsia="Times New Roman" w:hAnsi="Garamond" w:cs="Times New Roman"/>
          <w:sz w:val="24"/>
          <w:szCs w:val="24"/>
        </w:rPr>
        <w:t xml:space="preserve"> from a home</w:t>
      </w:r>
      <w:r w:rsidR="003D11EA" w:rsidRPr="00571F1A">
        <w:rPr>
          <w:rFonts w:ascii="Garamond" w:eastAsia="Times New Roman" w:hAnsi="Garamond" w:cs="Times New Roman"/>
          <w:sz w:val="24"/>
          <w:szCs w:val="24"/>
        </w:rPr>
        <w:t>.</w:t>
      </w:r>
      <w:r w:rsidR="003D11EA" w:rsidRPr="00571F1A">
        <w:rPr>
          <w:rStyle w:val="FootnoteReference"/>
          <w:rFonts w:ascii="Garamond" w:eastAsia="Times New Roman" w:hAnsi="Garamond" w:cs="Times New Roman"/>
          <w:sz w:val="24"/>
          <w:szCs w:val="24"/>
        </w:rPr>
        <w:t xml:space="preserve"> </w:t>
      </w:r>
      <w:r w:rsidR="00763DF2" w:rsidRPr="00571F1A">
        <w:rPr>
          <w:rStyle w:val="FootnoteReference"/>
          <w:rFonts w:ascii="Garamond" w:eastAsia="Times New Roman" w:hAnsi="Garamond" w:cs="Times New Roman"/>
          <w:sz w:val="24"/>
          <w:szCs w:val="24"/>
        </w:rPr>
        <w:footnoteReference w:id="17"/>
      </w:r>
      <w:r w:rsidR="00C10186" w:rsidRPr="00571F1A">
        <w:rPr>
          <w:rFonts w:ascii="Garamond" w:eastAsia="Times New Roman" w:hAnsi="Garamond" w:cs="Times New Roman"/>
          <w:sz w:val="24"/>
          <w:szCs w:val="24"/>
        </w:rPr>
        <w:t xml:space="preserve"> </w:t>
      </w:r>
      <w:r w:rsidR="004E6956" w:rsidRPr="00571F1A">
        <w:rPr>
          <w:rFonts w:ascii="Garamond" w:hAnsi="Garamond"/>
          <w:sz w:val="24"/>
          <w:szCs w:val="24"/>
        </w:rPr>
        <w:t>A</w:t>
      </w:r>
      <w:r w:rsidR="00C10186" w:rsidRPr="00571F1A">
        <w:rPr>
          <w:rFonts w:ascii="Garamond" w:eastAsia="Times New Roman" w:hAnsi="Garamond" w:cs="Times New Roman"/>
          <w:sz w:val="24"/>
          <w:szCs w:val="24"/>
        </w:rPr>
        <w:t xml:space="preserve">dditionally, medical </w:t>
      </w:r>
      <w:r w:rsidR="00F132CB" w:rsidRPr="00571F1A">
        <w:rPr>
          <w:rFonts w:ascii="Garamond" w:eastAsia="Times New Roman" w:hAnsi="Garamond" w:cs="Times New Roman"/>
          <w:sz w:val="24"/>
          <w:szCs w:val="24"/>
        </w:rPr>
        <w:t>providers</w:t>
      </w:r>
      <w:r w:rsidR="00C10186" w:rsidRPr="00571F1A">
        <w:rPr>
          <w:rFonts w:ascii="Garamond" w:eastAsia="Times New Roman" w:hAnsi="Garamond" w:cs="Times New Roman"/>
          <w:sz w:val="24"/>
          <w:szCs w:val="24"/>
        </w:rPr>
        <w:t xml:space="preserve"> </w:t>
      </w:r>
      <w:r w:rsidR="009D2676" w:rsidRPr="00571F1A">
        <w:rPr>
          <w:rFonts w:ascii="Garamond" w:eastAsia="Times New Roman" w:hAnsi="Garamond" w:cs="Times New Roman"/>
          <w:sz w:val="24"/>
          <w:szCs w:val="24"/>
        </w:rPr>
        <w:t xml:space="preserve">in some states </w:t>
      </w:r>
      <w:r w:rsidR="00C10186" w:rsidRPr="00571F1A">
        <w:rPr>
          <w:rFonts w:ascii="Garamond" w:eastAsia="Times New Roman" w:hAnsi="Garamond" w:cs="Times New Roman"/>
          <w:sz w:val="24"/>
          <w:szCs w:val="24"/>
        </w:rPr>
        <w:t xml:space="preserve">are </w:t>
      </w:r>
      <w:r w:rsidR="00727486" w:rsidRPr="00571F1A">
        <w:rPr>
          <w:rFonts w:ascii="Garamond" w:eastAsia="Times New Roman" w:hAnsi="Garamond" w:cs="Times New Roman"/>
          <w:sz w:val="24"/>
          <w:szCs w:val="24"/>
        </w:rPr>
        <w:t>mandated</w:t>
      </w:r>
      <w:r w:rsidRPr="00571F1A">
        <w:rPr>
          <w:rFonts w:ascii="Garamond" w:eastAsia="Times New Roman" w:hAnsi="Garamond" w:cs="Times New Roman"/>
          <w:sz w:val="24"/>
          <w:szCs w:val="24"/>
        </w:rPr>
        <w:t xml:space="preserve"> to </w:t>
      </w:r>
      <w:r w:rsidR="00C10186" w:rsidRPr="00571F1A">
        <w:rPr>
          <w:rFonts w:ascii="Garamond" w:eastAsia="Times New Roman" w:hAnsi="Garamond" w:cs="Times New Roman"/>
          <w:sz w:val="24"/>
          <w:szCs w:val="24"/>
        </w:rPr>
        <w:t xml:space="preserve">report </w:t>
      </w:r>
      <w:r w:rsidR="00F132CB" w:rsidRPr="00571F1A">
        <w:rPr>
          <w:rFonts w:ascii="Garamond" w:eastAsia="Times New Roman" w:hAnsi="Garamond" w:cs="Times New Roman"/>
          <w:sz w:val="24"/>
          <w:szCs w:val="24"/>
        </w:rPr>
        <w:t xml:space="preserve">pregnant </w:t>
      </w:r>
      <w:r w:rsidR="00C10186" w:rsidRPr="00571F1A">
        <w:rPr>
          <w:rFonts w:ascii="Garamond" w:eastAsia="Times New Roman" w:hAnsi="Garamond" w:cs="Times New Roman"/>
          <w:sz w:val="24"/>
          <w:szCs w:val="24"/>
        </w:rPr>
        <w:t xml:space="preserve">patients suspected </w:t>
      </w:r>
      <w:r w:rsidR="003B78B7" w:rsidRPr="00571F1A">
        <w:rPr>
          <w:rFonts w:ascii="Garamond" w:eastAsia="Times New Roman" w:hAnsi="Garamond" w:cs="Times New Roman"/>
          <w:sz w:val="24"/>
          <w:szCs w:val="24"/>
        </w:rPr>
        <w:t xml:space="preserve">of </w:t>
      </w:r>
      <w:r w:rsidR="00C10186" w:rsidRPr="00571F1A">
        <w:rPr>
          <w:rFonts w:ascii="Garamond" w:eastAsia="Times New Roman" w:hAnsi="Garamond" w:cs="Times New Roman"/>
          <w:sz w:val="24"/>
          <w:szCs w:val="24"/>
        </w:rPr>
        <w:t>drug</w:t>
      </w:r>
      <w:r w:rsidR="009D2676" w:rsidRPr="00571F1A">
        <w:rPr>
          <w:rFonts w:ascii="Garamond" w:eastAsia="Times New Roman" w:hAnsi="Garamond" w:cs="Times New Roman"/>
          <w:sz w:val="24"/>
          <w:szCs w:val="24"/>
        </w:rPr>
        <w:t xml:space="preserve"> use</w:t>
      </w:r>
      <w:r w:rsidR="00C10186" w:rsidRPr="00571F1A">
        <w:rPr>
          <w:rFonts w:ascii="Garamond" w:eastAsia="Times New Roman" w:hAnsi="Garamond" w:cs="Times New Roman"/>
          <w:sz w:val="24"/>
          <w:szCs w:val="24"/>
        </w:rPr>
        <w:t xml:space="preserve"> to child welfare authorities</w:t>
      </w:r>
      <w:r w:rsidR="00EB2E49" w:rsidRPr="00571F1A">
        <w:rPr>
          <w:rFonts w:ascii="Garamond" w:eastAsia="Times New Roman" w:hAnsi="Garamond" w:cs="Times New Roman"/>
          <w:sz w:val="24"/>
          <w:szCs w:val="24"/>
        </w:rPr>
        <w:t>.</w:t>
      </w:r>
      <w:r w:rsidR="004E6956" w:rsidRPr="00571F1A">
        <w:rPr>
          <w:rStyle w:val="FootnoteReference"/>
          <w:rFonts w:ascii="Garamond" w:eastAsia="Times New Roman" w:hAnsi="Garamond" w:cs="Times New Roman"/>
          <w:sz w:val="24"/>
          <w:szCs w:val="24"/>
        </w:rPr>
        <w:footnoteReference w:id="18"/>
      </w:r>
      <w:r w:rsidR="003D11EA" w:rsidRPr="00571F1A">
        <w:rPr>
          <w:rFonts w:ascii="Garamond" w:eastAsia="Times New Roman" w:hAnsi="Garamond" w:cs="Times New Roman"/>
          <w:sz w:val="24"/>
          <w:szCs w:val="24"/>
        </w:rPr>
        <w:t xml:space="preserve"> </w:t>
      </w:r>
      <w:r w:rsidR="00A3027E" w:rsidRPr="00571F1A">
        <w:rPr>
          <w:rFonts w:ascii="Garamond" w:eastAsia="Times New Roman" w:hAnsi="Garamond" w:cs="Times New Roman"/>
          <w:sz w:val="24"/>
          <w:szCs w:val="24"/>
        </w:rPr>
        <w:t xml:space="preserve">Despite the lack of evidence </w:t>
      </w:r>
      <w:r w:rsidR="00F132CB" w:rsidRPr="00571F1A">
        <w:rPr>
          <w:rFonts w:ascii="Garamond" w:eastAsia="Times New Roman" w:hAnsi="Garamond" w:cs="Times New Roman"/>
          <w:sz w:val="24"/>
          <w:szCs w:val="24"/>
        </w:rPr>
        <w:t xml:space="preserve">linking </w:t>
      </w:r>
      <w:r w:rsidR="00A3027E" w:rsidRPr="00571F1A">
        <w:rPr>
          <w:rFonts w:ascii="Garamond" w:eastAsia="Times New Roman" w:hAnsi="Garamond" w:cs="Times New Roman"/>
          <w:sz w:val="24"/>
          <w:szCs w:val="24"/>
        </w:rPr>
        <w:t xml:space="preserve">drug use during pregnancy and harm to the fetus or </w:t>
      </w:r>
      <w:r w:rsidR="00F132CB" w:rsidRPr="00571F1A">
        <w:rPr>
          <w:rFonts w:ascii="Garamond" w:eastAsia="Times New Roman" w:hAnsi="Garamond" w:cs="Times New Roman"/>
          <w:sz w:val="24"/>
          <w:szCs w:val="24"/>
        </w:rPr>
        <w:t xml:space="preserve">later </w:t>
      </w:r>
      <w:r w:rsidR="00A3027E" w:rsidRPr="00571F1A">
        <w:rPr>
          <w:rFonts w:ascii="Garamond" w:eastAsia="Times New Roman" w:hAnsi="Garamond" w:cs="Times New Roman"/>
          <w:sz w:val="24"/>
          <w:szCs w:val="24"/>
        </w:rPr>
        <w:t xml:space="preserve">impacts on child development, </w:t>
      </w:r>
      <w:r w:rsidR="003B78B7" w:rsidRPr="00571F1A">
        <w:rPr>
          <w:rFonts w:ascii="Garamond" w:eastAsia="Times New Roman" w:hAnsi="Garamond" w:cs="Times New Roman"/>
          <w:sz w:val="24"/>
          <w:szCs w:val="24"/>
        </w:rPr>
        <w:t>drug use</w:t>
      </w:r>
      <w:r w:rsidR="00C10186" w:rsidRPr="00571F1A">
        <w:rPr>
          <w:rFonts w:ascii="Garamond" w:eastAsia="Times New Roman" w:hAnsi="Garamond" w:cs="Times New Roman"/>
          <w:sz w:val="24"/>
          <w:szCs w:val="24"/>
        </w:rPr>
        <w:t xml:space="preserve"> is presumed to be </w:t>
      </w:r>
      <w:r w:rsidR="003B78B7" w:rsidRPr="00571F1A">
        <w:rPr>
          <w:rFonts w:ascii="Garamond" w:eastAsia="Times New Roman" w:hAnsi="Garamond" w:cs="Times New Roman"/>
          <w:sz w:val="24"/>
          <w:szCs w:val="24"/>
        </w:rPr>
        <w:t xml:space="preserve">evidence of </w:t>
      </w:r>
      <w:r w:rsidR="00C10186" w:rsidRPr="00571F1A">
        <w:rPr>
          <w:rFonts w:ascii="Garamond" w:eastAsia="Times New Roman" w:hAnsi="Garamond" w:cs="Times New Roman"/>
          <w:sz w:val="24"/>
          <w:szCs w:val="24"/>
        </w:rPr>
        <w:t>child maltreatment</w:t>
      </w:r>
      <w:r w:rsidR="00A3027E" w:rsidRPr="00571F1A">
        <w:rPr>
          <w:rFonts w:ascii="Garamond" w:eastAsia="Times New Roman" w:hAnsi="Garamond" w:cs="Times New Roman"/>
          <w:sz w:val="24"/>
          <w:szCs w:val="24"/>
        </w:rPr>
        <w:t xml:space="preserve"> in many states.</w:t>
      </w:r>
      <w:r w:rsidR="008311FF" w:rsidRPr="00571F1A">
        <w:rPr>
          <w:rStyle w:val="FootnoteReference"/>
          <w:rFonts w:ascii="Garamond" w:eastAsia="Times New Roman" w:hAnsi="Garamond" w:cs="Times New Roman"/>
          <w:sz w:val="24"/>
          <w:szCs w:val="24"/>
        </w:rPr>
        <w:footnoteReference w:id="19"/>
      </w:r>
      <w:r w:rsidR="00735557" w:rsidRPr="00571F1A">
        <w:rPr>
          <w:rFonts w:ascii="Garamond" w:eastAsia="Times New Roman" w:hAnsi="Garamond" w:cs="Times New Roman"/>
          <w:sz w:val="24"/>
          <w:szCs w:val="24"/>
        </w:rPr>
        <w:t xml:space="preserve"> </w:t>
      </w:r>
      <w:r w:rsidR="009D2676" w:rsidRPr="00571F1A">
        <w:rPr>
          <w:rFonts w:ascii="Garamond" w:eastAsia="Times New Roman" w:hAnsi="Garamond" w:cs="Times New Roman"/>
          <w:sz w:val="24"/>
          <w:szCs w:val="24"/>
        </w:rPr>
        <w:t xml:space="preserve"> </w:t>
      </w:r>
      <w:r w:rsidR="003D11EA" w:rsidRPr="00571F1A">
        <w:rPr>
          <w:rStyle w:val="FootnoteReference"/>
          <w:rFonts w:ascii="Garamond" w:eastAsia="Times New Roman" w:hAnsi="Garamond" w:cs="Times New Roman"/>
          <w:sz w:val="24"/>
          <w:szCs w:val="24"/>
        </w:rPr>
        <w:footnoteReference w:id="20"/>
      </w:r>
      <w:r w:rsidR="00EB2E49" w:rsidRPr="00571F1A">
        <w:rPr>
          <w:rFonts w:ascii="Garamond" w:eastAsia="Times New Roman" w:hAnsi="Garamond" w:cs="Times New Roman"/>
          <w:sz w:val="24"/>
          <w:szCs w:val="24"/>
        </w:rPr>
        <w:t xml:space="preserve"> </w:t>
      </w:r>
      <w:r w:rsidR="00C10186" w:rsidRPr="00571F1A">
        <w:rPr>
          <w:rFonts w:ascii="Garamond" w:eastAsia="Times New Roman" w:hAnsi="Garamond" w:cs="Times New Roman"/>
          <w:sz w:val="24"/>
          <w:szCs w:val="24"/>
        </w:rPr>
        <w:t>These punitive policies tend to deter people from accessing prenatal care for fear of being reported to the authorities, and lack of medical care can</w:t>
      </w:r>
      <w:r w:rsidR="00735557" w:rsidRPr="00571F1A">
        <w:rPr>
          <w:rFonts w:ascii="Garamond" w:eastAsia="Times New Roman" w:hAnsi="Garamond" w:cs="Times New Roman"/>
          <w:sz w:val="24"/>
          <w:szCs w:val="24"/>
        </w:rPr>
        <w:t xml:space="preserve"> often</w:t>
      </w:r>
      <w:r w:rsidR="00C10186" w:rsidRPr="00571F1A">
        <w:rPr>
          <w:rFonts w:ascii="Garamond" w:eastAsia="Times New Roman" w:hAnsi="Garamond" w:cs="Times New Roman"/>
          <w:sz w:val="24"/>
          <w:szCs w:val="24"/>
        </w:rPr>
        <w:t xml:space="preserve"> lead to poor</w:t>
      </w:r>
      <w:r w:rsidRPr="00571F1A">
        <w:rPr>
          <w:rFonts w:ascii="Garamond" w:eastAsia="Times New Roman" w:hAnsi="Garamond" w:cs="Times New Roman"/>
          <w:sz w:val="24"/>
          <w:szCs w:val="24"/>
        </w:rPr>
        <w:t xml:space="preserve"> health and</w:t>
      </w:r>
      <w:r w:rsidR="00C10186" w:rsidRPr="00571F1A">
        <w:rPr>
          <w:rFonts w:ascii="Garamond" w:eastAsia="Times New Roman" w:hAnsi="Garamond" w:cs="Times New Roman"/>
          <w:sz w:val="24"/>
          <w:szCs w:val="24"/>
        </w:rPr>
        <w:t xml:space="preserve"> pregnancy outcomes.</w:t>
      </w:r>
      <w:r w:rsidR="009D2676" w:rsidRPr="00571F1A">
        <w:rPr>
          <w:rStyle w:val="FootnoteReference"/>
          <w:rFonts w:ascii="Garamond" w:eastAsia="Times New Roman" w:hAnsi="Garamond" w:cs="Times New Roman"/>
          <w:sz w:val="24"/>
          <w:szCs w:val="24"/>
        </w:rPr>
        <w:footnoteReference w:id="21"/>
      </w:r>
      <w:r w:rsidR="00735557" w:rsidRPr="00571F1A">
        <w:rPr>
          <w:rFonts w:ascii="Garamond" w:eastAsia="Times New Roman" w:hAnsi="Garamond" w:cs="Times New Roman"/>
          <w:sz w:val="24"/>
          <w:szCs w:val="24"/>
        </w:rPr>
        <w:t xml:space="preserve"> </w:t>
      </w:r>
    </w:p>
    <w:p w14:paraId="34E8894C" w14:textId="46EB9E48" w:rsidR="001B58C1" w:rsidRPr="00571F1A" w:rsidRDefault="00B41D67" w:rsidP="001B58C1">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As with other systems, these policies have discriminatory </w:t>
      </w:r>
      <w:r w:rsidR="001B58C1" w:rsidRPr="00571F1A">
        <w:rPr>
          <w:rFonts w:ascii="Garamond" w:eastAsia="Times New Roman" w:hAnsi="Garamond" w:cs="Times New Roman"/>
          <w:sz w:val="24"/>
          <w:szCs w:val="24"/>
        </w:rPr>
        <w:t xml:space="preserve">impacts on </w:t>
      </w:r>
      <w:r w:rsidRPr="00571F1A">
        <w:rPr>
          <w:rFonts w:ascii="Garamond" w:eastAsia="Times New Roman" w:hAnsi="Garamond" w:cs="Times New Roman"/>
          <w:sz w:val="24"/>
          <w:szCs w:val="24"/>
        </w:rPr>
        <w:t xml:space="preserve">low income African Americans, who are subjected to </w:t>
      </w:r>
      <w:r w:rsidR="001B58C1" w:rsidRPr="00571F1A">
        <w:rPr>
          <w:rFonts w:ascii="Garamond" w:eastAsia="Times New Roman" w:hAnsi="Garamond" w:cs="Times New Roman"/>
          <w:sz w:val="24"/>
          <w:szCs w:val="24"/>
        </w:rPr>
        <w:t>dru</w:t>
      </w:r>
      <w:r w:rsidRPr="00571F1A">
        <w:rPr>
          <w:rFonts w:ascii="Garamond" w:eastAsia="Times New Roman" w:hAnsi="Garamond" w:cs="Times New Roman"/>
          <w:sz w:val="24"/>
          <w:szCs w:val="24"/>
        </w:rPr>
        <w:t>g testing and reported to the authorities at higher rates</w:t>
      </w:r>
      <w:r w:rsidR="008311FF" w:rsidRPr="00571F1A">
        <w:rPr>
          <w:rStyle w:val="FootnoteReference"/>
          <w:rFonts w:ascii="Garamond" w:eastAsia="Times New Roman" w:hAnsi="Garamond" w:cs="Times New Roman"/>
          <w:sz w:val="24"/>
          <w:szCs w:val="24"/>
        </w:rPr>
        <w:footnoteReference w:id="22"/>
      </w:r>
      <w:r w:rsidR="008311FF" w:rsidRPr="00571F1A">
        <w:rPr>
          <w:rFonts w:ascii="Garamond" w:eastAsia="Times New Roman" w:hAnsi="Garamond" w:cs="Times New Roman"/>
          <w:sz w:val="24"/>
          <w:szCs w:val="24"/>
        </w:rPr>
        <w:t xml:space="preserve"> </w:t>
      </w:r>
      <w:r w:rsidRPr="00571F1A">
        <w:rPr>
          <w:rFonts w:ascii="Garamond" w:eastAsia="Times New Roman" w:hAnsi="Garamond" w:cs="Times New Roman"/>
          <w:sz w:val="24"/>
          <w:szCs w:val="24"/>
        </w:rPr>
        <w:t xml:space="preserve">due to their </w:t>
      </w:r>
      <w:r w:rsidR="008311FF" w:rsidRPr="00571F1A">
        <w:rPr>
          <w:rFonts w:ascii="Garamond" w:eastAsia="Times New Roman" w:hAnsi="Garamond" w:cs="Times New Roman"/>
          <w:sz w:val="24"/>
          <w:szCs w:val="24"/>
        </w:rPr>
        <w:t xml:space="preserve">frequent </w:t>
      </w:r>
      <w:r w:rsidRPr="00571F1A">
        <w:rPr>
          <w:rFonts w:ascii="Garamond" w:eastAsia="Times New Roman" w:hAnsi="Garamond" w:cs="Times New Roman"/>
          <w:sz w:val="24"/>
          <w:szCs w:val="24"/>
        </w:rPr>
        <w:t xml:space="preserve">interaction with public systems </w:t>
      </w:r>
      <w:r w:rsidR="008311FF" w:rsidRPr="00571F1A">
        <w:rPr>
          <w:rFonts w:ascii="Garamond" w:eastAsia="Times New Roman" w:hAnsi="Garamond" w:cs="Times New Roman"/>
          <w:sz w:val="24"/>
          <w:szCs w:val="24"/>
        </w:rPr>
        <w:t xml:space="preserve">with </w:t>
      </w:r>
      <w:r w:rsidRPr="00571F1A">
        <w:rPr>
          <w:rFonts w:ascii="Garamond" w:eastAsia="Times New Roman" w:hAnsi="Garamond" w:cs="Times New Roman"/>
          <w:sz w:val="24"/>
          <w:szCs w:val="24"/>
        </w:rPr>
        <w:t>mandated reporting requirements.</w:t>
      </w:r>
      <w:r w:rsidR="008311FF" w:rsidRPr="00571F1A">
        <w:rPr>
          <w:rStyle w:val="FootnoteReference"/>
          <w:rFonts w:ascii="Garamond" w:eastAsia="Times New Roman" w:hAnsi="Garamond" w:cs="Times New Roman"/>
          <w:sz w:val="24"/>
          <w:szCs w:val="24"/>
        </w:rPr>
        <w:footnoteReference w:id="23"/>
      </w:r>
      <w:r w:rsidRPr="00571F1A">
        <w:rPr>
          <w:rFonts w:ascii="Garamond" w:eastAsia="Times New Roman" w:hAnsi="Garamond" w:cs="Times New Roman"/>
          <w:sz w:val="24"/>
          <w:szCs w:val="24"/>
        </w:rPr>
        <w:t xml:space="preserve"> </w:t>
      </w:r>
    </w:p>
    <w:p w14:paraId="481EB967" w14:textId="22B0071F" w:rsidR="00B41D67" w:rsidRPr="00571F1A" w:rsidRDefault="00D1283D" w:rsidP="00B41D67">
      <w:pPr>
        <w:spacing w:before="100" w:beforeAutospacing="1" w:after="100" w:afterAutospacing="1" w:line="240" w:lineRule="auto"/>
        <w:outlineLvl w:val="1"/>
        <w:rPr>
          <w:rFonts w:ascii="Garamond" w:eastAsia="Times New Roman" w:hAnsi="Garamond" w:cs="Times New Roman"/>
          <w:b/>
          <w:bCs/>
          <w:sz w:val="24"/>
          <w:szCs w:val="24"/>
        </w:rPr>
      </w:pPr>
      <w:r w:rsidRPr="00571F1A">
        <w:rPr>
          <w:rFonts w:ascii="Garamond" w:eastAsia="Times New Roman" w:hAnsi="Garamond" w:cs="Times New Roman"/>
          <w:b/>
          <w:bCs/>
          <w:sz w:val="24"/>
          <w:szCs w:val="24"/>
        </w:rPr>
        <w:lastRenderedPageBreak/>
        <w:t>Recommendations</w:t>
      </w:r>
    </w:p>
    <w:p w14:paraId="03DB1F11" w14:textId="55424515" w:rsidR="00C10186" w:rsidRPr="00571F1A" w:rsidRDefault="00D1283D" w:rsidP="6DB8CE78">
      <w:p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To address the human rights impacts of drug policies, it is important to </w:t>
      </w:r>
      <w:r w:rsidR="008311FF" w:rsidRPr="00571F1A">
        <w:rPr>
          <w:rFonts w:ascii="Garamond" w:eastAsia="Times New Roman" w:hAnsi="Garamond" w:cs="Times New Roman"/>
          <w:sz w:val="24"/>
          <w:szCs w:val="24"/>
        </w:rPr>
        <w:t>confront</w:t>
      </w:r>
      <w:r w:rsidRPr="00571F1A">
        <w:rPr>
          <w:rFonts w:ascii="Garamond" w:eastAsia="Times New Roman" w:hAnsi="Garamond" w:cs="Times New Roman"/>
          <w:sz w:val="24"/>
          <w:szCs w:val="24"/>
        </w:rPr>
        <w:t xml:space="preserve"> the full range in which </w:t>
      </w:r>
      <w:r w:rsidR="008311FF" w:rsidRPr="00571F1A">
        <w:rPr>
          <w:rFonts w:ascii="Garamond" w:eastAsia="Times New Roman" w:hAnsi="Garamond" w:cs="Times New Roman"/>
          <w:sz w:val="24"/>
          <w:szCs w:val="24"/>
        </w:rPr>
        <w:t xml:space="preserve">they have </w:t>
      </w:r>
      <w:r w:rsidRPr="00571F1A">
        <w:rPr>
          <w:rFonts w:ascii="Garamond" w:eastAsia="Times New Roman" w:hAnsi="Garamond" w:cs="Times New Roman"/>
          <w:sz w:val="24"/>
          <w:szCs w:val="24"/>
        </w:rPr>
        <w:t xml:space="preserve">infiltrated civil systems to erode economic, cultural and social rights.  </w:t>
      </w:r>
      <w:r w:rsidR="00C55D8D" w:rsidRPr="00571F1A">
        <w:rPr>
          <w:rFonts w:ascii="Garamond" w:eastAsia="Times New Roman" w:hAnsi="Garamond" w:cs="Times New Roman"/>
          <w:sz w:val="24"/>
          <w:szCs w:val="24"/>
        </w:rPr>
        <w:t xml:space="preserve">DPA </w:t>
      </w:r>
      <w:r w:rsidR="00C10186" w:rsidRPr="00571F1A">
        <w:rPr>
          <w:rFonts w:ascii="Garamond" w:eastAsia="Times New Roman" w:hAnsi="Garamond" w:cs="Times New Roman"/>
          <w:sz w:val="24"/>
          <w:szCs w:val="24"/>
        </w:rPr>
        <w:t xml:space="preserve">encourages the </w:t>
      </w:r>
      <w:r w:rsidR="00C55D8D" w:rsidRPr="00571F1A">
        <w:rPr>
          <w:rFonts w:ascii="Garamond" w:eastAsia="Times New Roman" w:hAnsi="Garamond" w:cs="Times New Roman"/>
          <w:sz w:val="24"/>
          <w:szCs w:val="24"/>
        </w:rPr>
        <w:t xml:space="preserve">OHCHR </w:t>
      </w:r>
      <w:r w:rsidR="00C10186" w:rsidRPr="00571F1A">
        <w:rPr>
          <w:rFonts w:ascii="Garamond" w:eastAsia="Times New Roman" w:hAnsi="Garamond" w:cs="Times New Roman"/>
          <w:sz w:val="24"/>
          <w:szCs w:val="24"/>
        </w:rPr>
        <w:t>t</w:t>
      </w:r>
      <w:r w:rsidRPr="00571F1A">
        <w:rPr>
          <w:rFonts w:ascii="Garamond" w:eastAsia="Times New Roman" w:hAnsi="Garamond" w:cs="Times New Roman"/>
          <w:sz w:val="24"/>
          <w:szCs w:val="24"/>
        </w:rPr>
        <w:t>o include in its report the following recommendations to confront these human rights challenges in drug policies:</w:t>
      </w:r>
    </w:p>
    <w:p w14:paraId="67B7C335" w14:textId="229F7924" w:rsidR="00D1283D" w:rsidRPr="00571F1A" w:rsidRDefault="455EF80E" w:rsidP="6DB8CE78">
      <w:pPr>
        <w:pStyle w:val="ListParagraph"/>
        <w:numPr>
          <w:ilvl w:val="0"/>
          <w:numId w:val="1"/>
        </w:num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End</w:t>
      </w:r>
      <w:r w:rsidR="00D1283D" w:rsidRPr="00571F1A">
        <w:rPr>
          <w:rFonts w:ascii="Garamond" w:eastAsia="Times New Roman" w:hAnsi="Garamond" w:cs="Times New Roman"/>
          <w:sz w:val="24"/>
          <w:szCs w:val="24"/>
        </w:rPr>
        <w:t xml:space="preserve"> the use of employment drug testing and eliminate criminal background checks and restrictions on professional licensing. </w:t>
      </w:r>
    </w:p>
    <w:p w14:paraId="655AD83A" w14:textId="5AF7144C" w:rsidR="00B42665" w:rsidRPr="00571F1A" w:rsidRDefault="00D1283D" w:rsidP="00D1283D">
      <w:pPr>
        <w:pStyle w:val="ListParagraph"/>
        <w:numPr>
          <w:ilvl w:val="0"/>
          <w:numId w:val="1"/>
        </w:numPr>
        <w:rPr>
          <w:rFonts w:ascii="Garamond" w:hAnsi="Garamond"/>
          <w:sz w:val="24"/>
          <w:szCs w:val="24"/>
        </w:rPr>
      </w:pPr>
      <w:r w:rsidRPr="00571F1A">
        <w:rPr>
          <w:rFonts w:ascii="Garamond" w:eastAsia="Times New Roman" w:hAnsi="Garamond" w:cs="Times New Roman"/>
          <w:sz w:val="24"/>
          <w:szCs w:val="24"/>
        </w:rPr>
        <w:t>End bans on receiving public benefits for those with prior drug convictions and eliminate drug testing in determining eligibility.</w:t>
      </w:r>
    </w:p>
    <w:p w14:paraId="30F6913F" w14:textId="53D2869E" w:rsidR="00D1283D" w:rsidRPr="00571F1A" w:rsidRDefault="00D1283D" w:rsidP="6DB8CE78">
      <w:pPr>
        <w:pStyle w:val="ListParagraph"/>
        <w:numPr>
          <w:ilvl w:val="0"/>
          <w:numId w:val="1"/>
        </w:num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 xml:space="preserve">Prohibit </w:t>
      </w:r>
      <w:r w:rsidR="20D2EC1E" w:rsidRPr="00571F1A">
        <w:rPr>
          <w:rFonts w:ascii="Garamond" w:eastAsia="Times New Roman" w:hAnsi="Garamond" w:cs="Times New Roman"/>
          <w:sz w:val="24"/>
          <w:szCs w:val="24"/>
        </w:rPr>
        <w:t xml:space="preserve">tenant screening and </w:t>
      </w:r>
      <w:r w:rsidRPr="00571F1A">
        <w:rPr>
          <w:rFonts w:ascii="Garamond" w:eastAsia="Times New Roman" w:hAnsi="Garamond" w:cs="Times New Roman"/>
          <w:sz w:val="24"/>
          <w:szCs w:val="24"/>
        </w:rPr>
        <w:t>evictions based solely on drug</w:t>
      </w:r>
      <w:r w:rsidR="33339926" w:rsidRPr="00571F1A">
        <w:rPr>
          <w:rFonts w:ascii="Garamond" w:eastAsia="Times New Roman" w:hAnsi="Garamond" w:cs="Times New Roman"/>
          <w:sz w:val="24"/>
          <w:szCs w:val="24"/>
        </w:rPr>
        <w:t>-</w:t>
      </w:r>
      <w:r w:rsidRPr="00571F1A">
        <w:rPr>
          <w:rFonts w:ascii="Garamond" w:eastAsia="Times New Roman" w:hAnsi="Garamond" w:cs="Times New Roman"/>
          <w:sz w:val="24"/>
          <w:szCs w:val="24"/>
        </w:rPr>
        <w:t>related activity and adopt Housing First programs</w:t>
      </w:r>
      <w:r w:rsidRPr="00571F1A">
        <w:rPr>
          <w:rFonts w:ascii="Garamond" w:eastAsia="Times New Roman" w:hAnsi="Garamond" w:cs="Times New Roman"/>
          <w:color w:val="FF0000"/>
          <w:sz w:val="24"/>
          <w:szCs w:val="24"/>
        </w:rPr>
        <w:t>.</w:t>
      </w:r>
    </w:p>
    <w:p w14:paraId="05E74B78" w14:textId="4E834186" w:rsidR="00D1283D" w:rsidRPr="00571F1A" w:rsidRDefault="00D1283D" w:rsidP="6DB8CE78">
      <w:pPr>
        <w:pStyle w:val="ListParagraph"/>
        <w:numPr>
          <w:ilvl w:val="0"/>
          <w:numId w:val="1"/>
        </w:num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Treat drug use as a public health issue, as supported by United Nations General Assembly Special Session on drugs</w:t>
      </w:r>
      <w:r w:rsidR="00690A92" w:rsidRPr="00571F1A">
        <w:rPr>
          <w:rStyle w:val="FootnoteReference"/>
          <w:rFonts w:ascii="Garamond" w:eastAsia="Times New Roman" w:hAnsi="Garamond" w:cs="Times New Roman"/>
          <w:sz w:val="24"/>
          <w:szCs w:val="24"/>
        </w:rPr>
        <w:footnoteReference w:id="24"/>
      </w:r>
      <w:r w:rsidRPr="00571F1A">
        <w:rPr>
          <w:rFonts w:ascii="Garamond" w:eastAsia="Times New Roman" w:hAnsi="Garamond" w:cs="Times New Roman"/>
          <w:sz w:val="24"/>
          <w:szCs w:val="24"/>
        </w:rPr>
        <w:t xml:space="preserve"> and provide access to treatment for those requesting it.  </w:t>
      </w:r>
    </w:p>
    <w:p w14:paraId="7FA460CA" w14:textId="4BD2B4F4" w:rsidR="00D1283D" w:rsidRPr="00571F1A" w:rsidRDefault="00D1283D" w:rsidP="6DB8CE78">
      <w:pPr>
        <w:pStyle w:val="ListParagraph"/>
        <w:numPr>
          <w:ilvl w:val="0"/>
          <w:numId w:val="1"/>
        </w:numPr>
        <w:spacing w:before="100" w:beforeAutospacing="1" w:after="100" w:afterAutospacing="1" w:line="240" w:lineRule="auto"/>
        <w:rPr>
          <w:rFonts w:ascii="Garamond" w:eastAsia="Times New Roman" w:hAnsi="Garamond" w:cs="Times New Roman"/>
          <w:sz w:val="24"/>
          <w:szCs w:val="24"/>
        </w:rPr>
      </w:pPr>
      <w:r w:rsidRPr="00571F1A">
        <w:rPr>
          <w:rFonts w:ascii="Garamond" w:eastAsia="Times New Roman" w:hAnsi="Garamond" w:cs="Times New Roman"/>
          <w:sz w:val="24"/>
          <w:szCs w:val="24"/>
        </w:rPr>
        <w:t>Prohibit family separation based solely on drug test results</w:t>
      </w:r>
      <w:r w:rsidR="6938B41A" w:rsidRPr="00571F1A">
        <w:rPr>
          <w:rFonts w:ascii="Garamond" w:eastAsia="Times New Roman" w:hAnsi="Garamond" w:cs="Times New Roman"/>
          <w:sz w:val="24"/>
          <w:szCs w:val="24"/>
        </w:rPr>
        <w:t xml:space="preserve"> and allegations of drug use</w:t>
      </w:r>
      <w:r w:rsidRPr="00571F1A">
        <w:rPr>
          <w:rFonts w:ascii="Garamond" w:eastAsia="Times New Roman" w:hAnsi="Garamond" w:cs="Times New Roman"/>
          <w:sz w:val="24"/>
          <w:szCs w:val="24"/>
        </w:rPr>
        <w:t>.</w:t>
      </w:r>
    </w:p>
    <w:sectPr w:rsidR="00D1283D" w:rsidRPr="00571F1A" w:rsidSect="00107BB6">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82150D" w16cex:dateUtc="2023-05-19T16:48:13.797Z"/>
  <w16cex:commentExtensible w16cex:durableId="4C2F423E" w16cex:dateUtc="2023-05-19T16:52:38.575Z"/>
  <w16cex:commentExtensible w16cex:durableId="2AB507BD" w16cex:dateUtc="2023-05-19T16:57:39.989Z"/>
  <w16cex:commentExtensible w16cex:durableId="6C116C57" w16cex:dateUtc="2023-05-19T17:09:12.0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D3E6" w14:textId="77777777" w:rsidR="00237D86" w:rsidRDefault="00237D86" w:rsidP="001B58C1">
      <w:pPr>
        <w:spacing w:after="0" w:line="240" w:lineRule="auto"/>
      </w:pPr>
      <w:r>
        <w:separator/>
      </w:r>
    </w:p>
  </w:endnote>
  <w:endnote w:type="continuationSeparator" w:id="0">
    <w:p w14:paraId="62CF7D5C" w14:textId="77777777" w:rsidR="00237D86" w:rsidRDefault="00237D86" w:rsidP="001B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ter Light">
    <w:altName w:val="Inter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94066"/>
      <w:docPartObj>
        <w:docPartGallery w:val="Page Numbers (Bottom of Page)"/>
        <w:docPartUnique/>
      </w:docPartObj>
    </w:sdtPr>
    <w:sdtEndPr>
      <w:rPr>
        <w:noProof/>
      </w:rPr>
    </w:sdtEndPr>
    <w:sdtContent>
      <w:p w14:paraId="5769BF72" w14:textId="1C85AD43" w:rsidR="00107BB6" w:rsidRDefault="00107B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30B69" w14:textId="77777777" w:rsidR="0041532E" w:rsidRDefault="0041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714FE" w14:textId="77777777" w:rsidR="00237D86" w:rsidRDefault="00237D86" w:rsidP="001B58C1">
      <w:pPr>
        <w:spacing w:after="0" w:line="240" w:lineRule="auto"/>
      </w:pPr>
      <w:r>
        <w:separator/>
      </w:r>
    </w:p>
  </w:footnote>
  <w:footnote w:type="continuationSeparator" w:id="0">
    <w:p w14:paraId="40B8DA00" w14:textId="77777777" w:rsidR="00237D86" w:rsidRDefault="00237D86" w:rsidP="001B58C1">
      <w:pPr>
        <w:spacing w:after="0" w:line="240" w:lineRule="auto"/>
      </w:pPr>
      <w:r>
        <w:continuationSeparator/>
      </w:r>
    </w:p>
  </w:footnote>
  <w:footnote w:id="1">
    <w:p w14:paraId="69A3D6AD" w14:textId="77777777" w:rsidR="00107BB6" w:rsidRPr="001D2DD8" w:rsidRDefault="00107BB6" w:rsidP="00107BB6">
      <w:pPr>
        <w:pStyle w:val="FootnoteText"/>
        <w:rPr>
          <w:rFonts w:ascii="Garamond" w:hAnsi="Garamond"/>
        </w:rPr>
      </w:pPr>
      <w:r w:rsidRPr="001D2DD8">
        <w:rPr>
          <w:rStyle w:val="FootnoteReference"/>
          <w:rFonts w:ascii="Garamond" w:hAnsi="Garamond"/>
        </w:rPr>
        <w:footnoteRef/>
      </w:r>
      <w:r w:rsidRPr="001D2DD8">
        <w:rPr>
          <w:rFonts w:ascii="Garamond" w:hAnsi="Garamond"/>
        </w:rPr>
        <w:t xml:space="preserve"> </w:t>
      </w:r>
      <w:hyperlink r:id="rId1" w:history="1">
        <w:r w:rsidRPr="001D2DD8">
          <w:rPr>
            <w:rStyle w:val="Hyperlink"/>
            <w:rFonts w:ascii="Garamond" w:eastAsia="Times New Roman" w:hAnsi="Garamond" w:cs="Times New Roman"/>
          </w:rPr>
          <w:t>https://uprootingthedrugwar.org/</w:t>
        </w:r>
      </w:hyperlink>
      <w:r w:rsidRPr="001D2DD8">
        <w:rPr>
          <w:rFonts w:ascii="Garamond" w:eastAsia="Times New Roman" w:hAnsi="Garamond" w:cs="Times New Roman"/>
        </w:rPr>
        <w:t xml:space="preserve"> </w:t>
      </w:r>
    </w:p>
  </w:footnote>
  <w:footnote w:id="2">
    <w:p w14:paraId="396BCF26" w14:textId="1F96225F" w:rsidR="003B78B7" w:rsidRPr="001D2DD8" w:rsidRDefault="003B78B7">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r w:rsidRPr="001D2DD8">
        <w:rPr>
          <w:rStyle w:val="ref-title"/>
          <w:rFonts w:ascii="Garamond" w:hAnsi="Garamond" w:cstheme="minorHAnsi"/>
        </w:rPr>
        <w:t xml:space="preserve">This submission is largely derived from the following publication, which provides detailed information about the drug war’s impact on various social systems:  </w:t>
      </w:r>
      <w:r w:rsidRPr="001D2DD8">
        <w:rPr>
          <w:rFonts w:ascii="Garamond" w:hAnsi="Garamond" w:cstheme="minorHAnsi"/>
        </w:rPr>
        <w:t xml:space="preserve">Cohen A, et. al., “How </w:t>
      </w:r>
      <w:proofErr w:type="gramStart"/>
      <w:r w:rsidRPr="001D2DD8">
        <w:rPr>
          <w:rFonts w:ascii="Garamond" w:hAnsi="Garamond" w:cstheme="minorHAnsi"/>
        </w:rPr>
        <w:t>The</w:t>
      </w:r>
      <w:proofErr w:type="gramEnd"/>
      <w:r w:rsidRPr="001D2DD8">
        <w:rPr>
          <w:rFonts w:ascii="Garamond" w:hAnsi="Garamond" w:cstheme="minorHAnsi"/>
        </w:rPr>
        <w:t xml:space="preserve"> War on Drugs Impacts Social Determinants of Health Beyond The Criminal Legal System” found at: </w:t>
      </w:r>
      <w:hyperlink r:id="rId2" w:history="1">
        <w:r w:rsidRPr="001D2DD8">
          <w:rPr>
            <w:rStyle w:val="Hyperlink"/>
            <w:rFonts w:ascii="Garamond" w:hAnsi="Garamond" w:cstheme="minorHAnsi"/>
          </w:rPr>
          <w:t>https://www.ncbi.nlm.nih.gov/pmc/articles/PMC9302017/</w:t>
        </w:r>
      </w:hyperlink>
    </w:p>
  </w:footnote>
  <w:footnote w:id="3">
    <w:p w14:paraId="4C481573" w14:textId="3ABD8BEA" w:rsidR="00C650FC" w:rsidRPr="001D2DD8" w:rsidRDefault="00C650FC" w:rsidP="00C650FC">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proofErr w:type="spellStart"/>
      <w:r w:rsidR="005051A7" w:rsidRPr="001D2DD8">
        <w:rPr>
          <w:rFonts w:ascii="Garamond" w:hAnsi="Garamond" w:cstheme="minorHAnsi"/>
        </w:rPr>
        <w:t>Umez</w:t>
      </w:r>
      <w:proofErr w:type="spellEnd"/>
      <w:r w:rsidR="005051A7" w:rsidRPr="001D2DD8">
        <w:rPr>
          <w:rFonts w:ascii="Garamond" w:hAnsi="Garamond" w:cstheme="minorHAnsi"/>
        </w:rPr>
        <w:t xml:space="preserve"> C. et. al., “Barriers to Work: People with Criminal Records,” </w:t>
      </w:r>
      <w:r w:rsidR="000C07EF">
        <w:rPr>
          <w:rFonts w:ascii="Garamond" w:hAnsi="Garamond" w:cstheme="minorHAnsi"/>
        </w:rPr>
        <w:t>NCSL</w:t>
      </w:r>
      <w:r w:rsidR="005051A7" w:rsidRPr="001D2DD8">
        <w:rPr>
          <w:rFonts w:ascii="Garamond" w:hAnsi="Garamond" w:cstheme="minorHAnsi"/>
        </w:rPr>
        <w:t xml:space="preserve">, </w:t>
      </w:r>
      <w:hyperlink r:id="rId3" w:history="1">
        <w:r w:rsidR="00DC6F87" w:rsidRPr="001D2DD8">
          <w:rPr>
            <w:rStyle w:val="Hyperlink"/>
            <w:rFonts w:ascii="Garamond" w:hAnsi="Garamond" w:cstheme="minorHAnsi"/>
          </w:rPr>
          <w:t>https://www.ncsl.org/research/labor-and-employment/barriers-to-work-individuals-with-criminal-records.aspx</w:t>
        </w:r>
      </w:hyperlink>
      <w:r w:rsidR="00DC6F87" w:rsidRPr="001D2DD8">
        <w:rPr>
          <w:rFonts w:ascii="Garamond" w:hAnsi="Garamond" w:cstheme="minorHAnsi"/>
        </w:rPr>
        <w:t xml:space="preserve">. </w:t>
      </w:r>
      <w:r w:rsidR="005051A7" w:rsidRPr="001D2DD8">
        <w:rPr>
          <w:rFonts w:ascii="Garamond" w:hAnsi="Garamond" w:cstheme="minorHAnsi"/>
        </w:rPr>
        <w:t xml:space="preserve"> </w:t>
      </w:r>
    </w:p>
  </w:footnote>
  <w:footnote w:id="4">
    <w:p w14:paraId="4A951657" w14:textId="2675E83A" w:rsidR="006873EC" w:rsidRPr="001D2DD8" w:rsidRDefault="006873EC">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proofErr w:type="spellStart"/>
      <w:r w:rsidRPr="001D2DD8">
        <w:rPr>
          <w:rStyle w:val="mixed-citation"/>
          <w:rFonts w:ascii="Garamond" w:hAnsi="Garamond" w:cstheme="minorHAnsi"/>
        </w:rPr>
        <w:t>Bushway</w:t>
      </w:r>
      <w:proofErr w:type="spellEnd"/>
      <w:r w:rsidRPr="001D2DD8">
        <w:rPr>
          <w:rStyle w:val="mixed-citation"/>
          <w:rFonts w:ascii="Garamond" w:hAnsi="Garamond" w:cstheme="minorHAnsi"/>
        </w:rPr>
        <w:t xml:space="preserve"> S, et al.. </w:t>
      </w:r>
      <w:r w:rsidRPr="001D2DD8">
        <w:rPr>
          <w:rStyle w:val="ref-title"/>
          <w:rFonts w:ascii="Garamond" w:hAnsi="Garamond" w:cstheme="minorHAnsi"/>
        </w:rPr>
        <w:t>Barred from employment: more than half of unemployed men in their 30s had a criminal history of arrest</w:t>
      </w:r>
      <w:r w:rsidRPr="001D2DD8">
        <w:rPr>
          <w:rStyle w:val="mixed-citation"/>
          <w:rFonts w:ascii="Garamond" w:hAnsi="Garamond" w:cstheme="minorHAnsi"/>
        </w:rPr>
        <w:t xml:space="preserve">. </w:t>
      </w:r>
      <w:r w:rsidRPr="001D2DD8">
        <w:rPr>
          <w:rStyle w:val="ref-journal"/>
          <w:rFonts w:ascii="Garamond" w:hAnsi="Garamond" w:cstheme="minorHAnsi"/>
        </w:rPr>
        <w:t>Sci Adv</w:t>
      </w:r>
      <w:r w:rsidRPr="001D2DD8">
        <w:rPr>
          <w:rStyle w:val="mixed-citation"/>
          <w:rFonts w:ascii="Garamond" w:hAnsi="Garamond" w:cstheme="minorHAnsi"/>
        </w:rPr>
        <w:t>. 2022;</w:t>
      </w:r>
      <w:r w:rsidRPr="001D2DD8">
        <w:rPr>
          <w:rStyle w:val="ref-vol"/>
          <w:rFonts w:ascii="Garamond" w:hAnsi="Garamond" w:cstheme="minorHAnsi"/>
        </w:rPr>
        <w:t>8</w:t>
      </w:r>
      <w:r w:rsidRPr="001D2DD8">
        <w:rPr>
          <w:rStyle w:val="mixed-citation"/>
          <w:rFonts w:ascii="Garamond" w:hAnsi="Garamond" w:cstheme="minorHAnsi"/>
        </w:rPr>
        <w:t>(</w:t>
      </w:r>
      <w:r w:rsidRPr="001D2DD8">
        <w:rPr>
          <w:rStyle w:val="ref-iss"/>
          <w:rFonts w:ascii="Garamond" w:hAnsi="Garamond" w:cstheme="minorHAnsi"/>
        </w:rPr>
        <w:t>7</w:t>
      </w:r>
      <w:r w:rsidRPr="001D2DD8">
        <w:rPr>
          <w:rStyle w:val="mixed-citation"/>
          <w:rFonts w:ascii="Garamond" w:hAnsi="Garamond" w:cstheme="minorHAnsi"/>
        </w:rPr>
        <w:t>):1–10</w:t>
      </w:r>
    </w:p>
  </w:footnote>
  <w:footnote w:id="5">
    <w:p w14:paraId="4532C930" w14:textId="5D0A2CC2" w:rsidR="004E6956" w:rsidRPr="001D2DD8" w:rsidRDefault="004E6956" w:rsidP="004E6956">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Craigie TA, et. al., Conviction, Imprisonment, and Lost Earnings. Brennan Center for Justice;  Available from: </w:t>
      </w:r>
      <w:hyperlink r:id="rId4" w:history="1">
        <w:r w:rsidRPr="001D2DD8">
          <w:rPr>
            <w:rStyle w:val="Hyperlink"/>
            <w:rFonts w:ascii="Garamond" w:hAnsi="Garamond" w:cstheme="minorHAnsi"/>
          </w:rPr>
          <w:t>https://www.brennancenter.org/our-work/research-reports/conviction-imprisonment-and-lost-earnings-how-involvement-criminal</w:t>
        </w:r>
      </w:hyperlink>
    </w:p>
  </w:footnote>
  <w:footnote w:id="6">
    <w:p w14:paraId="520E99FB" w14:textId="0C06589C" w:rsidR="00290E58" w:rsidRPr="001D2DD8" w:rsidRDefault="00290E58" w:rsidP="00290E58">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Christopher S. Carpenter, “Workplace Drug Testing and Worker Drug Use,” Health Services Research 42, no. 2 (April 2007): 795–810, </w:t>
      </w:r>
      <w:hyperlink r:id="rId5" w:history="1">
        <w:r w:rsidRPr="001D2DD8">
          <w:rPr>
            <w:rStyle w:val="Hyperlink"/>
            <w:rFonts w:ascii="Garamond" w:hAnsi="Garamond" w:cstheme="minorHAnsi"/>
          </w:rPr>
          <w:t>https://www.ncbi.nlm.nih.gov/pmc/articles/PMC1955359</w:t>
        </w:r>
      </w:hyperlink>
      <w:r w:rsidRPr="001D2DD8">
        <w:rPr>
          <w:rFonts w:ascii="Garamond" w:hAnsi="Garamond" w:cstheme="minorHAnsi"/>
        </w:rPr>
        <w:t xml:space="preserve"> </w:t>
      </w:r>
    </w:p>
  </w:footnote>
  <w:footnote w:id="7">
    <w:p w14:paraId="797A3B57" w14:textId="075D12DA" w:rsidR="008512AE" w:rsidRPr="00A0059A" w:rsidRDefault="008512AE" w:rsidP="008512AE">
      <w:pPr>
        <w:pStyle w:val="FootnoteText"/>
        <w:rPr>
          <w:rFonts w:ascii="Garamond" w:hAnsi="Garamond" w:cstheme="minorHAnsi"/>
        </w:rPr>
      </w:pPr>
      <w:r w:rsidRPr="001D2DD8">
        <w:rPr>
          <w:rStyle w:val="FootnoteReference"/>
          <w:rFonts w:ascii="Garamond" w:hAnsi="Garamond"/>
        </w:rPr>
        <w:footnoteRef/>
      </w:r>
      <w:r w:rsidRPr="001D2DD8">
        <w:rPr>
          <w:rFonts w:ascii="Garamond" w:hAnsi="Garamond"/>
        </w:rPr>
        <w:t xml:space="preserve"> </w:t>
      </w:r>
      <w:proofErr w:type="spellStart"/>
      <w:r w:rsidR="00A0059A" w:rsidRPr="001D2DD8">
        <w:rPr>
          <w:rFonts w:ascii="Garamond" w:hAnsi="Garamond" w:cstheme="minorHAnsi"/>
        </w:rPr>
        <w:t>Pidd</w:t>
      </w:r>
      <w:proofErr w:type="spellEnd"/>
      <w:r w:rsidR="00A0059A">
        <w:rPr>
          <w:rFonts w:ascii="Garamond" w:hAnsi="Garamond" w:cstheme="minorHAnsi"/>
        </w:rPr>
        <w:t>,</w:t>
      </w:r>
      <w:r w:rsidR="00A0059A" w:rsidRPr="001D2DD8">
        <w:rPr>
          <w:rFonts w:ascii="Garamond" w:hAnsi="Garamond" w:cstheme="minorHAnsi"/>
        </w:rPr>
        <w:t xml:space="preserve"> </w:t>
      </w:r>
      <w:r w:rsidRPr="001D2DD8">
        <w:rPr>
          <w:rFonts w:ascii="Garamond" w:hAnsi="Garamond" w:cstheme="minorHAnsi"/>
        </w:rPr>
        <w:t xml:space="preserve">Ken </w:t>
      </w:r>
      <w:r w:rsidR="00A0059A">
        <w:rPr>
          <w:rFonts w:ascii="Garamond" w:hAnsi="Garamond" w:cstheme="minorHAnsi"/>
        </w:rPr>
        <w:t>et. al.</w:t>
      </w:r>
      <w:r w:rsidRPr="001D2DD8">
        <w:rPr>
          <w:rFonts w:ascii="Garamond" w:hAnsi="Garamond" w:cstheme="minorHAnsi"/>
        </w:rPr>
        <w:t xml:space="preserve">, “How Effective Is Drug Testing as a Workplace Safety Strategy? A Systematic Review of the Evidence,” Accident Analysis &amp; Prevention 71: 154–165, </w:t>
      </w:r>
      <w:r w:rsidR="00A0059A">
        <w:rPr>
          <w:rFonts w:ascii="Garamond" w:hAnsi="Garamond" w:cstheme="minorHAnsi"/>
        </w:rPr>
        <w:t xml:space="preserve">found at: </w:t>
      </w:r>
      <w:hyperlink r:id="rId6" w:history="1">
        <w:r w:rsidR="00A0059A" w:rsidRPr="000233C8">
          <w:rPr>
            <w:rStyle w:val="Hyperlink"/>
            <w:rFonts w:ascii="Garamond" w:hAnsi="Garamond" w:cstheme="minorHAnsi"/>
          </w:rPr>
          <w:t>www.sciencedirect.com/science/article/abs/pii/S0001457514001547</w:t>
        </w:r>
      </w:hyperlink>
    </w:p>
  </w:footnote>
  <w:footnote w:id="8">
    <w:p w14:paraId="23ED1D84" w14:textId="653CAFCA" w:rsidR="008512AE" w:rsidRPr="001D2DD8" w:rsidRDefault="008512AE">
      <w:pPr>
        <w:pStyle w:val="FootnoteText"/>
        <w:rPr>
          <w:rFonts w:ascii="Garamond" w:hAnsi="Garamond"/>
        </w:rPr>
      </w:pPr>
      <w:r w:rsidRPr="001D2DD8">
        <w:rPr>
          <w:rStyle w:val="FootnoteReference"/>
          <w:rFonts w:ascii="Garamond" w:hAnsi="Garamond"/>
        </w:rPr>
        <w:footnoteRef/>
      </w:r>
      <w:r w:rsidRPr="001D2DD8">
        <w:rPr>
          <w:rFonts w:ascii="Garamond" w:hAnsi="Garamond"/>
        </w:rPr>
        <w:t xml:space="preserve"> </w:t>
      </w:r>
      <w:r w:rsidR="00A0059A" w:rsidRPr="001D2DD8">
        <w:rPr>
          <w:rFonts w:ascii="Garamond" w:hAnsi="Garamond" w:cstheme="minorHAnsi"/>
        </w:rPr>
        <w:t>Price,</w:t>
      </w:r>
      <w:r w:rsidR="00A0059A">
        <w:rPr>
          <w:rFonts w:ascii="Garamond" w:hAnsi="Garamond" w:cstheme="minorHAnsi"/>
        </w:rPr>
        <w:t xml:space="preserve"> </w:t>
      </w:r>
      <w:r w:rsidRPr="001D2DD8">
        <w:rPr>
          <w:rFonts w:ascii="Garamond" w:hAnsi="Garamond" w:cstheme="minorHAnsi"/>
        </w:rPr>
        <w:t xml:space="preserve">James “Does Performing Preplacement Workplace Hair Drug Testing Influence US Department of Transportation Random and </w:t>
      </w:r>
      <w:proofErr w:type="spellStart"/>
      <w:r w:rsidRPr="001D2DD8">
        <w:rPr>
          <w:rFonts w:ascii="Garamond" w:hAnsi="Garamond" w:cstheme="minorHAnsi"/>
        </w:rPr>
        <w:t>Postaccident</w:t>
      </w:r>
      <w:proofErr w:type="spellEnd"/>
      <w:r w:rsidRPr="001D2DD8">
        <w:rPr>
          <w:rFonts w:ascii="Garamond" w:hAnsi="Garamond" w:cstheme="minorHAnsi"/>
        </w:rPr>
        <w:t xml:space="preserve"> Urine Drug Test Positivity Rates?” Journal of Addiction Medicine 12, no. 2 (2018): 163–66, </w:t>
      </w:r>
      <w:hyperlink r:id="rId7" w:history="1">
        <w:r w:rsidRPr="001D2DD8">
          <w:rPr>
            <w:rStyle w:val="Hyperlink"/>
            <w:rFonts w:ascii="Garamond" w:hAnsi="Garamond" w:cstheme="minorHAnsi"/>
          </w:rPr>
          <w:t>https://doi.org/10.1097/ADM.0000000000000384</w:t>
        </w:r>
      </w:hyperlink>
    </w:p>
  </w:footnote>
  <w:footnote w:id="9">
    <w:p w14:paraId="26209E8E" w14:textId="56017E9B" w:rsidR="0035436E" w:rsidRPr="001D2DD8" w:rsidRDefault="0035436E">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r w:rsidRPr="001D2DD8">
        <w:rPr>
          <w:rStyle w:val="mixed-citation"/>
          <w:rFonts w:ascii="Garamond" w:hAnsi="Garamond" w:cstheme="minorHAnsi"/>
        </w:rPr>
        <w:t xml:space="preserve">Personal Responsibility and Work Opportunity Reconciliation Act of 1996, Pub. L. 104-193, 110 Stat. 3732. 1996, found at: </w:t>
      </w:r>
      <w:hyperlink r:id="rId8" w:history="1">
        <w:r w:rsidRPr="001D2DD8">
          <w:rPr>
            <w:rStyle w:val="Hyperlink"/>
            <w:rFonts w:ascii="Garamond" w:hAnsi="Garamond" w:cstheme="minorHAnsi"/>
          </w:rPr>
          <w:t>https://www.congress.gov/104/plaws/publ193/PLAW-104publ193.pdf</w:t>
        </w:r>
      </w:hyperlink>
      <w:r w:rsidRPr="001D2DD8">
        <w:rPr>
          <w:rStyle w:val="mixed-citation"/>
          <w:rFonts w:ascii="Garamond" w:hAnsi="Garamond" w:cstheme="minorHAnsi"/>
        </w:rPr>
        <w:t xml:space="preserve"> </w:t>
      </w:r>
    </w:p>
  </w:footnote>
  <w:footnote w:id="10">
    <w:p w14:paraId="43DDC188" w14:textId="0DFBF128" w:rsidR="0035436E" w:rsidRPr="001D2DD8" w:rsidRDefault="0035436E">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r w:rsidRPr="001D2DD8">
        <w:rPr>
          <w:rStyle w:val="mixed-citation"/>
          <w:rFonts w:ascii="Garamond" w:hAnsi="Garamond" w:cstheme="minorHAnsi"/>
        </w:rPr>
        <w:t xml:space="preserve">Reichman N, </w:t>
      </w:r>
      <w:proofErr w:type="spellStart"/>
      <w:r w:rsidRPr="001D2DD8">
        <w:rPr>
          <w:rStyle w:val="mixed-citation"/>
          <w:rFonts w:ascii="Garamond" w:hAnsi="Garamond" w:cstheme="minorHAnsi"/>
        </w:rPr>
        <w:t>Teitler</w:t>
      </w:r>
      <w:proofErr w:type="spellEnd"/>
      <w:r w:rsidRPr="001D2DD8">
        <w:rPr>
          <w:rStyle w:val="mixed-citation"/>
          <w:rFonts w:ascii="Garamond" w:hAnsi="Garamond" w:cstheme="minorHAnsi"/>
        </w:rPr>
        <w:t xml:space="preserve"> J, Curtis M.. </w:t>
      </w:r>
      <w:r w:rsidRPr="001D2DD8">
        <w:rPr>
          <w:rStyle w:val="ref-title"/>
          <w:rFonts w:ascii="Garamond" w:hAnsi="Garamond" w:cstheme="minorHAnsi"/>
        </w:rPr>
        <w:t>TANF sanctioning and hardship</w:t>
      </w:r>
      <w:r w:rsidRPr="001D2DD8">
        <w:rPr>
          <w:rStyle w:val="mixed-citation"/>
          <w:rFonts w:ascii="Garamond" w:hAnsi="Garamond" w:cstheme="minorHAnsi"/>
        </w:rPr>
        <w:t xml:space="preserve">. </w:t>
      </w:r>
      <w:r w:rsidRPr="001D2DD8">
        <w:rPr>
          <w:rStyle w:val="ref-journal"/>
          <w:rFonts w:ascii="Garamond" w:hAnsi="Garamond" w:cstheme="minorHAnsi"/>
        </w:rPr>
        <w:t>Soc Serv Rev</w:t>
      </w:r>
      <w:r w:rsidRPr="001D2DD8">
        <w:rPr>
          <w:rStyle w:val="mixed-citation"/>
          <w:rFonts w:ascii="Garamond" w:hAnsi="Garamond" w:cstheme="minorHAnsi"/>
        </w:rPr>
        <w:t>. 2005;</w:t>
      </w:r>
      <w:r w:rsidRPr="001D2DD8">
        <w:rPr>
          <w:rStyle w:val="ref-vol"/>
          <w:rFonts w:ascii="Garamond" w:hAnsi="Garamond" w:cstheme="minorHAnsi"/>
        </w:rPr>
        <w:t>79</w:t>
      </w:r>
      <w:r w:rsidRPr="001D2DD8">
        <w:rPr>
          <w:rStyle w:val="mixed-citation"/>
          <w:rFonts w:ascii="Garamond" w:hAnsi="Garamond" w:cstheme="minorHAnsi"/>
        </w:rPr>
        <w:t>(</w:t>
      </w:r>
      <w:r w:rsidRPr="001D2DD8">
        <w:rPr>
          <w:rStyle w:val="ref-iss"/>
          <w:rFonts w:ascii="Garamond" w:hAnsi="Garamond" w:cstheme="minorHAnsi"/>
        </w:rPr>
        <w:t>2</w:t>
      </w:r>
      <w:r w:rsidRPr="001D2DD8">
        <w:rPr>
          <w:rStyle w:val="mixed-citation"/>
          <w:rFonts w:ascii="Garamond" w:hAnsi="Garamond" w:cstheme="minorHAnsi"/>
        </w:rPr>
        <w:t xml:space="preserve">):215–236.  </w:t>
      </w:r>
      <w:hyperlink r:id="rId9" w:history="1">
        <w:r w:rsidRPr="001D2DD8">
          <w:rPr>
            <w:rStyle w:val="Hyperlink"/>
            <w:rFonts w:ascii="Garamond" w:hAnsi="Garamond" w:cstheme="minorHAnsi"/>
          </w:rPr>
          <w:t>https://www.journals.uchicago.edu/doi/abs/10.1086/428918</w:t>
        </w:r>
      </w:hyperlink>
      <w:r w:rsidRPr="001D2DD8">
        <w:rPr>
          <w:rStyle w:val="mixed-citation"/>
          <w:rFonts w:ascii="Garamond" w:hAnsi="Garamond" w:cstheme="minorHAnsi"/>
        </w:rPr>
        <w:t xml:space="preserve"> </w:t>
      </w:r>
    </w:p>
  </w:footnote>
  <w:footnote w:id="11">
    <w:p w14:paraId="7D67EB71" w14:textId="5A9C2676" w:rsidR="004213CE" w:rsidRPr="001D2DD8" w:rsidRDefault="004213CE">
      <w:pPr>
        <w:pStyle w:val="FootnoteText"/>
        <w:rPr>
          <w:rFonts w:ascii="Garamond" w:hAnsi="Garamond"/>
        </w:rPr>
      </w:pPr>
      <w:r w:rsidRPr="001D2DD8">
        <w:rPr>
          <w:rStyle w:val="FootnoteReference"/>
          <w:rFonts w:ascii="Garamond" w:hAnsi="Garamond"/>
        </w:rPr>
        <w:footnoteRef/>
      </w:r>
      <w:r w:rsidRPr="001D2DD8">
        <w:rPr>
          <w:rFonts w:ascii="Garamond" w:hAnsi="Garamond"/>
        </w:rPr>
        <w:t xml:space="preserve"> See </w:t>
      </w:r>
      <w:hyperlink r:id="rId10" w:history="1">
        <w:r w:rsidR="001D2DD8" w:rsidRPr="001D2DD8">
          <w:rPr>
            <w:rStyle w:val="Hyperlink"/>
            <w:rFonts w:ascii="Garamond" w:hAnsi="Garamond"/>
          </w:rPr>
          <w:t>https://www.clasp.org/wp-content/uploads/2022/01/2019_drug-testing-and-public-_0.pdf</w:t>
        </w:r>
      </w:hyperlink>
      <w:r w:rsidRPr="001D2DD8">
        <w:rPr>
          <w:rFonts w:ascii="Garamond" w:hAnsi="Garamond"/>
        </w:rPr>
        <w:t xml:space="preserve"> </w:t>
      </w:r>
    </w:p>
  </w:footnote>
  <w:footnote w:id="12">
    <w:p w14:paraId="56AF46F0" w14:textId="79631217" w:rsidR="008311FF" w:rsidRPr="001D2DD8" w:rsidRDefault="008311FF" w:rsidP="008311FF">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104. McCarty M, Falk G, </w:t>
      </w:r>
      <w:proofErr w:type="spellStart"/>
      <w:r w:rsidRPr="001D2DD8">
        <w:rPr>
          <w:rFonts w:ascii="Garamond" w:hAnsi="Garamond" w:cstheme="minorHAnsi"/>
        </w:rPr>
        <w:t>Aussenberg</w:t>
      </w:r>
      <w:proofErr w:type="spellEnd"/>
      <w:r w:rsidRPr="001D2DD8">
        <w:rPr>
          <w:rFonts w:ascii="Garamond" w:hAnsi="Garamond" w:cstheme="minorHAnsi"/>
        </w:rPr>
        <w:t xml:space="preserve"> RA, et al.. Drug testing and crime-related restrictions in TANF, SNAP, and housing assistance. Washington, DC: Congressional Research Service (US); 2016.</w:t>
      </w:r>
      <w:r w:rsidR="00A0059A">
        <w:rPr>
          <w:rFonts w:ascii="Garamond" w:hAnsi="Garamond" w:cstheme="minorHAnsi"/>
        </w:rPr>
        <w:t xml:space="preserve"> </w:t>
      </w:r>
      <w:r w:rsidRPr="001D2DD8">
        <w:rPr>
          <w:rFonts w:ascii="Garamond" w:hAnsi="Garamond" w:cstheme="minorHAnsi"/>
        </w:rPr>
        <w:t xml:space="preserve">Dong KR, Tang AM, </w:t>
      </w:r>
      <w:proofErr w:type="spellStart"/>
      <w:r w:rsidRPr="001D2DD8">
        <w:rPr>
          <w:rFonts w:ascii="Garamond" w:hAnsi="Garamond" w:cstheme="minorHAnsi"/>
        </w:rPr>
        <w:t>Stopka</w:t>
      </w:r>
      <w:proofErr w:type="spellEnd"/>
      <w:r w:rsidRPr="001D2DD8">
        <w:rPr>
          <w:rFonts w:ascii="Garamond" w:hAnsi="Garamond" w:cstheme="minorHAnsi"/>
        </w:rPr>
        <w:t xml:space="preserve"> TJ, et al.. Food acquisition methods and correlates of food insecurity in adults on probation in Rhode Island</w:t>
      </w:r>
      <w:r w:rsidR="00A0059A">
        <w:rPr>
          <w:rFonts w:ascii="Garamond" w:hAnsi="Garamond" w:cstheme="minorHAnsi"/>
        </w:rPr>
        <w:t xml:space="preserve">, </w:t>
      </w:r>
      <w:r w:rsidR="00A0059A" w:rsidRPr="001D2DD8">
        <w:rPr>
          <w:rFonts w:ascii="Garamond" w:hAnsi="Garamond" w:cstheme="minorHAnsi"/>
        </w:rPr>
        <w:t xml:space="preserve">Found at: </w:t>
      </w:r>
      <w:hyperlink r:id="rId11" w:history="1">
        <w:r w:rsidR="00A0059A" w:rsidRPr="001D2DD8">
          <w:rPr>
            <w:rStyle w:val="Hyperlink"/>
            <w:rFonts w:ascii="Garamond" w:hAnsi="Garamond" w:cstheme="minorHAnsi"/>
          </w:rPr>
          <w:t>https://www.ncbi.nlm.nih.gov/pmc/articles/PMC5993252/</w:t>
        </w:r>
      </w:hyperlink>
    </w:p>
  </w:footnote>
  <w:footnote w:id="13">
    <w:p w14:paraId="4E461151" w14:textId="68B9F5AA" w:rsidR="0035436E" w:rsidRPr="001D2DD8" w:rsidRDefault="0035436E">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r w:rsidRPr="001D2DD8">
        <w:rPr>
          <w:rStyle w:val="mixed-citation"/>
          <w:rFonts w:ascii="Garamond" w:hAnsi="Garamond" w:cstheme="minorHAnsi"/>
        </w:rPr>
        <w:t>Dong KR,</w:t>
      </w:r>
      <w:r w:rsidR="00A0059A">
        <w:rPr>
          <w:rStyle w:val="mixed-citation"/>
          <w:rFonts w:ascii="Garamond" w:hAnsi="Garamond" w:cstheme="minorHAnsi"/>
        </w:rPr>
        <w:t xml:space="preserve"> supra note 12. </w:t>
      </w:r>
      <w:r w:rsidRPr="001D2DD8">
        <w:rPr>
          <w:rStyle w:val="mixed-citation"/>
          <w:rFonts w:ascii="Garamond" w:hAnsi="Garamond" w:cstheme="minorHAnsi"/>
        </w:rPr>
        <w:t xml:space="preserve"> </w:t>
      </w:r>
    </w:p>
  </w:footnote>
  <w:footnote w:id="14">
    <w:p w14:paraId="619C54FA" w14:textId="4FD046B9" w:rsidR="008311FF" w:rsidRPr="001D2DD8" w:rsidRDefault="008311FF" w:rsidP="008311FF">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Anti-Drug Abuse Act of 1988, Pub. L. 100–690, 102 Stat. 4181 (Nov. 18, 1988)</w:t>
      </w:r>
      <w:r w:rsidR="00A0059A">
        <w:rPr>
          <w:rFonts w:ascii="Garamond" w:hAnsi="Garamond" w:cstheme="minorHAnsi"/>
        </w:rPr>
        <w:t xml:space="preserve">; </w:t>
      </w:r>
      <w:r w:rsidRPr="001D2DD8">
        <w:rPr>
          <w:rFonts w:ascii="Garamond" w:hAnsi="Garamond" w:cstheme="minorHAnsi"/>
        </w:rPr>
        <w:t>Cranston-Gonzalez National Affordable Housing Act, Pub. L. 101–625, 104 Stat. 4079 (Nov. 28, 1990).</w:t>
      </w:r>
      <w:r w:rsidR="00A0059A">
        <w:rPr>
          <w:rFonts w:ascii="Garamond" w:hAnsi="Garamond" w:cstheme="minorHAnsi"/>
        </w:rPr>
        <w:t xml:space="preserve">; </w:t>
      </w:r>
      <w:r w:rsidRPr="001D2DD8">
        <w:rPr>
          <w:rFonts w:ascii="Garamond" w:hAnsi="Garamond" w:cstheme="minorHAnsi"/>
        </w:rPr>
        <w:t>Housing Opportunity Program Extension Act 1996, Pub. L. 104–120, 110 Stat. 834 (Mar. 28 1996)</w:t>
      </w:r>
      <w:r w:rsidR="00A0059A">
        <w:rPr>
          <w:rFonts w:ascii="Garamond" w:hAnsi="Garamond" w:cstheme="minorHAnsi"/>
        </w:rPr>
        <w:t xml:space="preserve">; </w:t>
      </w:r>
      <w:r w:rsidRPr="001D2DD8">
        <w:rPr>
          <w:rFonts w:ascii="Garamond" w:hAnsi="Garamond" w:cstheme="minorHAnsi"/>
        </w:rPr>
        <w:t xml:space="preserve">Silva RL. Collateral damage: a public housing consequence of the “war on drugs. UC Irvine L Rev. 2015;5(4):804. </w:t>
      </w:r>
    </w:p>
  </w:footnote>
  <w:footnote w:id="15">
    <w:p w14:paraId="61148678" w14:textId="0435F8CF" w:rsidR="00CC0E02" w:rsidRPr="001D2DD8" w:rsidRDefault="00CC0E02" w:rsidP="00CC0E02">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Alvarez ME, et al.. School social workers and educational outcomes. Child Sch. 2013;35(4):235–243</w:t>
      </w:r>
    </w:p>
  </w:footnote>
  <w:footnote w:id="16">
    <w:p w14:paraId="1C2AE3EA" w14:textId="32904807" w:rsidR="008311FF" w:rsidRPr="001D2DD8" w:rsidRDefault="008311FF">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Hobby L,</w:t>
      </w:r>
      <w:r w:rsidR="00A0059A">
        <w:rPr>
          <w:rFonts w:ascii="Garamond" w:hAnsi="Garamond" w:cstheme="minorHAnsi"/>
        </w:rPr>
        <w:t xml:space="preserve"> et. al.</w:t>
      </w:r>
      <w:r w:rsidRPr="001D2DD8">
        <w:rPr>
          <w:rFonts w:ascii="Garamond" w:hAnsi="Garamond" w:cstheme="minorHAnsi"/>
        </w:rPr>
        <w:t xml:space="preserve">. A piece of the puzzle: state financial aid for incarcerated students. Vera Institute of Justice. Available </w:t>
      </w:r>
      <w:r w:rsidR="003D11EA" w:rsidRPr="001D2DD8">
        <w:rPr>
          <w:rFonts w:ascii="Garamond" w:hAnsi="Garamond" w:cstheme="minorHAnsi"/>
        </w:rPr>
        <w:t>at</w:t>
      </w:r>
      <w:r w:rsidRPr="001D2DD8">
        <w:rPr>
          <w:rFonts w:ascii="Garamond" w:hAnsi="Garamond" w:cstheme="minorHAnsi"/>
        </w:rPr>
        <w:t xml:space="preserve">: </w:t>
      </w:r>
      <w:hyperlink r:id="rId12" w:history="1">
        <w:r w:rsidRPr="001D2DD8">
          <w:rPr>
            <w:rStyle w:val="Hyperlink"/>
            <w:rFonts w:ascii="Garamond" w:hAnsi="Garamond" w:cstheme="minorHAnsi"/>
          </w:rPr>
          <w:t>https://www.vera.org/downloads/publications/a-piece-of-the-puzzle.pdf</w:t>
        </w:r>
      </w:hyperlink>
      <w:r w:rsidRPr="001D2DD8">
        <w:rPr>
          <w:rFonts w:ascii="Garamond" w:hAnsi="Garamond" w:cstheme="minorHAnsi"/>
        </w:rPr>
        <w:t xml:space="preserve"> </w:t>
      </w:r>
    </w:p>
  </w:footnote>
  <w:footnote w:id="17">
    <w:p w14:paraId="05A77717" w14:textId="39B0DCC5" w:rsidR="00763DF2" w:rsidRPr="001D2DD8" w:rsidRDefault="00763DF2" w:rsidP="00763DF2">
      <w:pPr>
        <w:pStyle w:val="FootnoteText"/>
        <w:rPr>
          <w:rFonts w:ascii="Garamond" w:hAnsi="Garamond" w:cstheme="minorHAnsi"/>
        </w:rPr>
      </w:pPr>
      <w:r w:rsidRPr="001D2DD8">
        <w:rPr>
          <w:rStyle w:val="FootnoteReference"/>
          <w:rFonts w:ascii="Garamond" w:hAnsi="Garamond"/>
        </w:rPr>
        <w:footnoteRef/>
      </w:r>
      <w:r w:rsidR="003D11EA" w:rsidRPr="001D2DD8">
        <w:rPr>
          <w:rFonts w:ascii="Garamond" w:hAnsi="Garamond" w:cstheme="minorHAnsi"/>
        </w:rPr>
        <w:t xml:space="preserve"> Se</w:t>
      </w:r>
      <w:r w:rsidRPr="001D2DD8">
        <w:rPr>
          <w:rFonts w:ascii="Garamond" w:hAnsi="Garamond" w:cstheme="minorHAnsi"/>
        </w:rPr>
        <w:t>e</w:t>
      </w:r>
      <w:r w:rsidR="003D11EA" w:rsidRPr="001D2DD8">
        <w:rPr>
          <w:rFonts w:ascii="Garamond" w:hAnsi="Garamond" w:cstheme="minorHAnsi"/>
        </w:rPr>
        <w:t xml:space="preserve"> Parenting and Drug Use, Pregnancy Justice, found at: </w:t>
      </w:r>
      <w:hyperlink r:id="rId13" w:history="1">
        <w:r w:rsidR="003D11EA" w:rsidRPr="001D2DD8">
          <w:rPr>
            <w:rStyle w:val="Hyperlink"/>
            <w:rFonts w:ascii="Garamond" w:hAnsi="Garamond"/>
          </w:rPr>
          <w:t>https://www.pregnancyjusticeus.org/wp-content/uploads/2022/12/parenting-and-drug-use-12-12.pdf</w:t>
        </w:r>
      </w:hyperlink>
      <w:r w:rsidRPr="001D2DD8">
        <w:rPr>
          <w:rFonts w:ascii="Garamond" w:hAnsi="Garamond"/>
        </w:rPr>
        <w:t xml:space="preserve"> </w:t>
      </w:r>
    </w:p>
  </w:footnote>
  <w:footnote w:id="18">
    <w:p w14:paraId="3C0F9B70" w14:textId="7D4EC580" w:rsidR="004E6956" w:rsidRPr="001D2DD8" w:rsidRDefault="004E6956" w:rsidP="004E6956">
      <w:pPr>
        <w:spacing w:after="0" w:line="240" w:lineRule="auto"/>
        <w:rPr>
          <w:rFonts w:ascii="Garamond" w:hAnsi="Garamond"/>
          <w:sz w:val="20"/>
          <w:szCs w:val="20"/>
        </w:rPr>
      </w:pPr>
      <w:r w:rsidRPr="001D2DD8">
        <w:rPr>
          <w:rStyle w:val="FootnoteReference"/>
          <w:rFonts w:ascii="Garamond" w:hAnsi="Garamond"/>
          <w:sz w:val="20"/>
          <w:szCs w:val="20"/>
        </w:rPr>
        <w:footnoteRef/>
      </w:r>
      <w:r w:rsidRPr="001D2DD8">
        <w:rPr>
          <w:rFonts w:ascii="Garamond" w:hAnsi="Garamond"/>
          <w:sz w:val="20"/>
          <w:szCs w:val="20"/>
        </w:rPr>
        <w:t xml:space="preserve"> </w:t>
      </w:r>
      <w:r w:rsidR="003D11EA" w:rsidRPr="001D2DD8">
        <w:rPr>
          <w:rFonts w:ascii="Garamond" w:hAnsi="Garamond"/>
          <w:sz w:val="20"/>
          <w:szCs w:val="20"/>
        </w:rPr>
        <w:t xml:space="preserve">See also </w:t>
      </w:r>
      <w:r w:rsidRPr="001D2DD8">
        <w:rPr>
          <w:rFonts w:ascii="Garamond" w:hAnsi="Garamond"/>
          <w:sz w:val="20"/>
          <w:szCs w:val="20"/>
        </w:rPr>
        <w:t>Criminalizing pregnancy: policing pregnant women who use drugs in the USA</w:t>
      </w:r>
      <w:r w:rsidR="003D11EA" w:rsidRPr="001D2DD8">
        <w:rPr>
          <w:rFonts w:ascii="Garamond" w:hAnsi="Garamond"/>
          <w:sz w:val="20"/>
          <w:szCs w:val="20"/>
        </w:rPr>
        <w:t>”</w:t>
      </w:r>
      <w:r w:rsidRPr="001D2DD8">
        <w:rPr>
          <w:rFonts w:ascii="Garamond" w:hAnsi="Garamond"/>
          <w:sz w:val="20"/>
          <w:szCs w:val="20"/>
        </w:rPr>
        <w:t xml:space="preserve">, found at: </w:t>
      </w:r>
      <w:hyperlink r:id="rId14">
        <w:r w:rsidRPr="001D2DD8">
          <w:rPr>
            <w:rStyle w:val="Hyperlink"/>
            <w:rFonts w:ascii="Garamond" w:hAnsi="Garamond"/>
            <w:sz w:val="20"/>
            <w:szCs w:val="20"/>
          </w:rPr>
          <w:t>https://www.amnesty.org/en/documents/amr51/6203/2017/en/</w:t>
        </w:r>
      </w:hyperlink>
    </w:p>
  </w:footnote>
  <w:footnote w:id="19">
    <w:p w14:paraId="4104E67B" w14:textId="3DD59D75" w:rsidR="008311FF" w:rsidRPr="001D2DD8" w:rsidRDefault="008311FF" w:rsidP="008311FF">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Substance use during pregnancy. Guttmacher Institute. 2021. </w:t>
      </w:r>
      <w:r w:rsidR="00A0059A">
        <w:rPr>
          <w:rFonts w:ascii="Garamond" w:hAnsi="Garamond" w:cstheme="minorHAnsi"/>
        </w:rPr>
        <w:t xml:space="preserve"> Found </w:t>
      </w:r>
      <w:r w:rsidR="003D11EA" w:rsidRPr="001D2DD8">
        <w:rPr>
          <w:rFonts w:ascii="Garamond" w:hAnsi="Garamond" w:cstheme="minorHAnsi"/>
        </w:rPr>
        <w:t>at</w:t>
      </w:r>
      <w:r w:rsidRPr="001D2DD8">
        <w:rPr>
          <w:rFonts w:ascii="Garamond" w:hAnsi="Garamond" w:cstheme="minorHAnsi"/>
        </w:rPr>
        <w:t xml:space="preserve">: </w:t>
      </w:r>
      <w:hyperlink r:id="rId15" w:history="1">
        <w:r w:rsidRPr="001D2DD8">
          <w:rPr>
            <w:rStyle w:val="Hyperlink"/>
            <w:rFonts w:ascii="Garamond" w:hAnsi="Garamond" w:cstheme="minorHAnsi"/>
          </w:rPr>
          <w:t>https://www.guttmacher.org/state-policy/explore/substance-use-during-pregnancy#</w:t>
        </w:r>
      </w:hyperlink>
      <w:r w:rsidRPr="001D2DD8">
        <w:rPr>
          <w:rFonts w:ascii="Garamond" w:hAnsi="Garamond" w:cstheme="minorHAnsi"/>
        </w:rPr>
        <w:t xml:space="preserve"> </w:t>
      </w:r>
    </w:p>
  </w:footnote>
  <w:footnote w:id="20">
    <w:p w14:paraId="4B8AB2F5" w14:textId="3BA2BA87" w:rsidR="003D11EA" w:rsidRPr="001D2DD8" w:rsidRDefault="003D11EA">
      <w:pPr>
        <w:pStyle w:val="FootnoteText"/>
        <w:rPr>
          <w:rFonts w:ascii="Garamond" w:hAnsi="Garamond"/>
        </w:rPr>
      </w:pPr>
      <w:r w:rsidRPr="001D2DD8">
        <w:rPr>
          <w:rStyle w:val="FootnoteReference"/>
          <w:rFonts w:ascii="Garamond" w:hAnsi="Garamond"/>
        </w:rPr>
        <w:footnoteRef/>
      </w:r>
      <w:r w:rsidRPr="001D2DD8">
        <w:rPr>
          <w:rFonts w:ascii="Garamond" w:hAnsi="Garamond"/>
        </w:rPr>
        <w:t xml:space="preserve">  </w:t>
      </w:r>
      <w:proofErr w:type="spellStart"/>
      <w:r w:rsidRPr="001D2DD8">
        <w:rPr>
          <w:rFonts w:ascii="Garamond" w:hAnsi="Garamond" w:cstheme="minorHAnsi"/>
        </w:rPr>
        <w:t>Sangoi</w:t>
      </w:r>
      <w:proofErr w:type="spellEnd"/>
      <w:r w:rsidRPr="001D2DD8">
        <w:rPr>
          <w:rFonts w:ascii="Garamond" w:hAnsi="Garamond" w:cstheme="minorHAnsi"/>
        </w:rPr>
        <w:t xml:space="preserve"> L. How the foster system has become ground zero for the US drug war. Movement for Family Power. 2020. Available at: </w:t>
      </w:r>
      <w:hyperlink r:id="rId16" w:history="1">
        <w:r w:rsidRPr="001D2DD8">
          <w:rPr>
            <w:rStyle w:val="Hyperlink"/>
            <w:rFonts w:ascii="Garamond" w:hAnsi="Garamond" w:cstheme="minorHAnsi"/>
          </w:rPr>
          <w:t>https://static1.squarespace.com/static/5be5ed0fd274cb7c8a5d0cba/t/5eead939ca509d4e36a89277/1592449422870/MFP+Drug+War+Foster+System+Report.pdf</w:t>
        </w:r>
      </w:hyperlink>
      <w:r w:rsidRPr="001D2DD8">
        <w:rPr>
          <w:rStyle w:val="Hyperlink"/>
          <w:rFonts w:ascii="Garamond" w:hAnsi="Garamond" w:cstheme="minorHAnsi"/>
        </w:rPr>
        <w:t xml:space="preserve"> </w:t>
      </w:r>
    </w:p>
  </w:footnote>
  <w:footnote w:id="21">
    <w:p w14:paraId="6781612F" w14:textId="6203EAC7" w:rsidR="009D2676" w:rsidRPr="001D2DD8" w:rsidRDefault="009D2676" w:rsidP="009D2676">
      <w:pPr>
        <w:pStyle w:val="FootnoteText"/>
        <w:rPr>
          <w:rFonts w:ascii="Garamond" w:hAnsi="Garamond"/>
        </w:rPr>
      </w:pPr>
      <w:r w:rsidRPr="001D2DD8">
        <w:rPr>
          <w:rStyle w:val="FootnoteReference"/>
          <w:rFonts w:ascii="Garamond" w:hAnsi="Garamond"/>
        </w:rPr>
        <w:footnoteRef/>
      </w:r>
      <w:r w:rsidRPr="001D2DD8">
        <w:rPr>
          <w:rFonts w:ascii="Garamond" w:hAnsi="Garamond"/>
        </w:rPr>
        <w:t xml:space="preserve"> </w:t>
      </w:r>
      <w:r w:rsidR="0013416A" w:rsidRPr="001D2DD8">
        <w:rPr>
          <w:rFonts w:ascii="Garamond" w:hAnsi="Garamond"/>
        </w:rPr>
        <w:t xml:space="preserve">Smith, </w:t>
      </w:r>
      <w:proofErr w:type="spellStart"/>
      <w:r w:rsidR="0013416A" w:rsidRPr="001D2DD8">
        <w:rPr>
          <w:rFonts w:ascii="Garamond" w:hAnsi="Garamond"/>
        </w:rPr>
        <w:t>DeAnna</w:t>
      </w:r>
      <w:proofErr w:type="spellEnd"/>
      <w:r w:rsidR="0013416A" w:rsidRPr="001D2DD8">
        <w:rPr>
          <w:rFonts w:ascii="Garamond" w:hAnsi="Garamond"/>
        </w:rPr>
        <w:t xml:space="preserve">, et. al., </w:t>
      </w:r>
      <w:r w:rsidRPr="001D2DD8">
        <w:rPr>
          <w:rFonts w:ascii="Garamond" w:hAnsi="Garamond"/>
        </w:rPr>
        <w:t>Child Removal Fears and Black Mothers’ Medical Decision-Making</w:t>
      </w:r>
      <w:r w:rsidR="0013416A" w:rsidRPr="001D2DD8">
        <w:rPr>
          <w:rFonts w:ascii="Garamond" w:hAnsi="Garamond"/>
        </w:rPr>
        <w:t xml:space="preserve">, found at: </w:t>
      </w:r>
    </w:p>
    <w:p w14:paraId="3CFB0428" w14:textId="1EBF8573" w:rsidR="009D2676" w:rsidRPr="001D2DD8" w:rsidRDefault="00237D86" w:rsidP="009D2676">
      <w:pPr>
        <w:pStyle w:val="FootnoteText"/>
        <w:rPr>
          <w:rFonts w:ascii="Garamond" w:hAnsi="Garamond"/>
        </w:rPr>
      </w:pPr>
      <w:hyperlink r:id="rId17" w:history="1">
        <w:r w:rsidR="009D2676" w:rsidRPr="001D2DD8">
          <w:rPr>
            <w:rStyle w:val="Hyperlink"/>
            <w:rFonts w:ascii="Garamond" w:hAnsi="Garamond"/>
          </w:rPr>
          <w:t>https://journals.sagepub.com/doi/abs/10.1177/15365042221142834</w:t>
        </w:r>
      </w:hyperlink>
      <w:r w:rsidR="009D2676" w:rsidRPr="001D2DD8">
        <w:rPr>
          <w:rFonts w:ascii="Garamond" w:hAnsi="Garamond"/>
        </w:rPr>
        <w:t xml:space="preserve"> </w:t>
      </w:r>
    </w:p>
  </w:footnote>
  <w:footnote w:id="22">
    <w:p w14:paraId="7911ED88" w14:textId="1CD812AF" w:rsidR="008311FF" w:rsidRPr="001D2DD8" w:rsidRDefault="008311FF" w:rsidP="008311FF">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Ellsworth MA, </w:t>
      </w:r>
      <w:r w:rsidR="004664FE" w:rsidRPr="001D2DD8">
        <w:rPr>
          <w:rFonts w:ascii="Garamond" w:hAnsi="Garamond" w:cstheme="minorHAnsi"/>
        </w:rPr>
        <w:t>et. al.</w:t>
      </w:r>
      <w:r w:rsidRPr="001D2DD8">
        <w:rPr>
          <w:rFonts w:ascii="Garamond" w:hAnsi="Garamond" w:cstheme="minorHAnsi"/>
        </w:rPr>
        <w:t>. Infant race affects application of clinical guidelines when screening for drugs of abuse in newborns. Pediatrics. 2010;125(6</w:t>
      </w:r>
      <w:proofErr w:type="gramStart"/>
      <w:r w:rsidRPr="001D2DD8">
        <w:rPr>
          <w:rFonts w:ascii="Garamond" w:hAnsi="Garamond" w:cstheme="minorHAnsi"/>
        </w:rPr>
        <w:t>):e</w:t>
      </w:r>
      <w:proofErr w:type="gramEnd"/>
      <w:r w:rsidRPr="001D2DD8">
        <w:rPr>
          <w:rFonts w:ascii="Garamond" w:hAnsi="Garamond" w:cstheme="minorHAnsi"/>
        </w:rPr>
        <w:t>1379–e1385</w:t>
      </w:r>
      <w:r w:rsidR="001114C8">
        <w:rPr>
          <w:rFonts w:ascii="Garamond" w:hAnsi="Garamond" w:cstheme="minorHAnsi"/>
        </w:rPr>
        <w:t>;</w:t>
      </w:r>
    </w:p>
    <w:p w14:paraId="3FD26BB3" w14:textId="7830BC4B" w:rsidR="008311FF" w:rsidRPr="001D2DD8" w:rsidRDefault="008311FF" w:rsidP="008311FF">
      <w:pPr>
        <w:pStyle w:val="FootnoteText"/>
        <w:rPr>
          <w:rFonts w:ascii="Garamond" w:hAnsi="Garamond" w:cstheme="minorHAnsi"/>
        </w:rPr>
      </w:pPr>
      <w:proofErr w:type="spellStart"/>
      <w:r w:rsidRPr="001D2DD8">
        <w:rPr>
          <w:rFonts w:ascii="Garamond" w:hAnsi="Garamond" w:cstheme="minorHAnsi"/>
        </w:rPr>
        <w:t>Kunins</w:t>
      </w:r>
      <w:proofErr w:type="spellEnd"/>
      <w:r w:rsidRPr="001D2DD8">
        <w:rPr>
          <w:rFonts w:ascii="Garamond" w:hAnsi="Garamond" w:cstheme="minorHAnsi"/>
        </w:rPr>
        <w:t xml:space="preserve"> HV, et al.. The effect of race on provider decisions to test for illicit drug use in the peripartum setting. J </w:t>
      </w:r>
      <w:proofErr w:type="spellStart"/>
      <w:r w:rsidRPr="001D2DD8">
        <w:rPr>
          <w:rFonts w:ascii="Garamond" w:hAnsi="Garamond" w:cstheme="minorHAnsi"/>
        </w:rPr>
        <w:t>Womens</w:t>
      </w:r>
      <w:proofErr w:type="spellEnd"/>
      <w:r w:rsidRPr="001D2DD8">
        <w:rPr>
          <w:rFonts w:ascii="Garamond" w:hAnsi="Garamond" w:cstheme="minorHAnsi"/>
        </w:rPr>
        <w:t xml:space="preserve"> Health (</w:t>
      </w:r>
      <w:proofErr w:type="spellStart"/>
      <w:r w:rsidRPr="001D2DD8">
        <w:rPr>
          <w:rFonts w:ascii="Garamond" w:hAnsi="Garamond" w:cstheme="minorHAnsi"/>
        </w:rPr>
        <w:t>Larchmt</w:t>
      </w:r>
      <w:proofErr w:type="spellEnd"/>
      <w:r w:rsidRPr="001D2DD8">
        <w:rPr>
          <w:rFonts w:ascii="Garamond" w:hAnsi="Garamond" w:cstheme="minorHAnsi"/>
        </w:rPr>
        <w:t xml:space="preserve">). 2007;16(2):245–255. </w:t>
      </w:r>
    </w:p>
    <w:p w14:paraId="0506BB52" w14:textId="5D93526B" w:rsidR="008311FF" w:rsidRPr="001D2DD8" w:rsidRDefault="008311FF" w:rsidP="008311FF">
      <w:pPr>
        <w:pStyle w:val="FootnoteText"/>
        <w:rPr>
          <w:rFonts w:ascii="Garamond" w:hAnsi="Garamond" w:cstheme="minorHAnsi"/>
        </w:rPr>
      </w:pPr>
      <w:r w:rsidRPr="001D2DD8">
        <w:rPr>
          <w:rFonts w:ascii="Garamond" w:hAnsi="Garamond" w:cstheme="minorHAnsi"/>
        </w:rPr>
        <w:t xml:space="preserve">Roberts S, </w:t>
      </w:r>
      <w:r w:rsidR="00C55D8D">
        <w:rPr>
          <w:rFonts w:ascii="Garamond" w:hAnsi="Garamond" w:cstheme="minorHAnsi"/>
        </w:rPr>
        <w:t xml:space="preserve">et. al., </w:t>
      </w:r>
      <w:r w:rsidRPr="001D2DD8">
        <w:rPr>
          <w:rFonts w:ascii="Garamond" w:hAnsi="Garamond" w:cstheme="minorHAnsi"/>
        </w:rPr>
        <w:t xml:space="preserve">Universal screening for alcohol and drug use and racial disparities in child protective services reporting. J </w:t>
      </w:r>
      <w:proofErr w:type="spellStart"/>
      <w:r w:rsidRPr="001D2DD8">
        <w:rPr>
          <w:rFonts w:ascii="Garamond" w:hAnsi="Garamond" w:cstheme="minorHAnsi"/>
        </w:rPr>
        <w:t>Behav</w:t>
      </w:r>
      <w:proofErr w:type="spellEnd"/>
      <w:r w:rsidRPr="001D2DD8">
        <w:rPr>
          <w:rFonts w:ascii="Garamond" w:hAnsi="Garamond" w:cstheme="minorHAnsi"/>
        </w:rPr>
        <w:t xml:space="preserve"> Health Serv Res. 2012;39(1):3–16. </w:t>
      </w:r>
    </w:p>
  </w:footnote>
  <w:footnote w:id="23">
    <w:p w14:paraId="6688E03D" w14:textId="77CDB09A" w:rsidR="008311FF" w:rsidRPr="001D2DD8" w:rsidRDefault="008311FF">
      <w:pPr>
        <w:pStyle w:val="FootnoteText"/>
        <w:rPr>
          <w:rFonts w:ascii="Garamond" w:hAnsi="Garamond" w:cstheme="minorHAnsi"/>
        </w:rPr>
      </w:pPr>
      <w:r w:rsidRPr="001D2DD8">
        <w:rPr>
          <w:rStyle w:val="FootnoteReference"/>
          <w:rFonts w:ascii="Garamond" w:hAnsi="Garamond" w:cstheme="minorHAnsi"/>
        </w:rPr>
        <w:footnoteRef/>
      </w:r>
      <w:r w:rsidRPr="001D2DD8">
        <w:rPr>
          <w:rFonts w:ascii="Garamond" w:hAnsi="Garamond" w:cstheme="minorHAnsi"/>
        </w:rPr>
        <w:t xml:space="preserve"> </w:t>
      </w:r>
      <w:r w:rsidRPr="001D2DD8">
        <w:rPr>
          <w:rFonts w:ascii="Garamond" w:eastAsia="Times New Roman" w:hAnsi="Garamond" w:cstheme="minorHAnsi"/>
        </w:rPr>
        <w:t>Roberts</w:t>
      </w:r>
      <w:r w:rsidR="001114C8">
        <w:rPr>
          <w:rFonts w:ascii="Garamond" w:eastAsia="Times New Roman" w:hAnsi="Garamond" w:cstheme="minorHAnsi"/>
        </w:rPr>
        <w:t>,</w:t>
      </w:r>
      <w:r w:rsidRPr="001D2DD8">
        <w:rPr>
          <w:rFonts w:ascii="Garamond" w:eastAsia="Times New Roman" w:hAnsi="Garamond" w:cstheme="minorHAnsi"/>
        </w:rPr>
        <w:t xml:space="preserve"> D. Shattered bonds: the color of child welfare. New York (NY)</w:t>
      </w:r>
      <w:r w:rsidRPr="001D2DD8">
        <w:rPr>
          <w:rFonts w:ascii="Garamond" w:eastAsia="Times New Roman" w:hAnsi="Garamond" w:cstheme="minorHAnsi"/>
          <w:i/>
          <w:iCs/>
        </w:rPr>
        <w:t>:</w:t>
      </w:r>
      <w:r w:rsidRPr="001D2DD8">
        <w:rPr>
          <w:rFonts w:ascii="Garamond" w:eastAsia="Times New Roman" w:hAnsi="Garamond" w:cstheme="minorHAnsi"/>
        </w:rPr>
        <w:t xml:space="preserve"> Basic Books; 2002.</w:t>
      </w:r>
    </w:p>
  </w:footnote>
  <w:footnote w:id="24">
    <w:p w14:paraId="15188AE4" w14:textId="29A9FB3B" w:rsidR="00690A92" w:rsidRPr="001D2DD8" w:rsidRDefault="00690A92">
      <w:pPr>
        <w:pStyle w:val="FootnoteText"/>
        <w:rPr>
          <w:rFonts w:ascii="Garamond" w:hAnsi="Garamond"/>
        </w:rPr>
      </w:pPr>
      <w:r w:rsidRPr="001D2DD8">
        <w:rPr>
          <w:rStyle w:val="FootnoteReference"/>
          <w:rFonts w:ascii="Garamond" w:hAnsi="Garamond"/>
        </w:rPr>
        <w:footnoteRef/>
      </w:r>
      <w:r w:rsidRPr="001D2DD8">
        <w:rPr>
          <w:rFonts w:ascii="Garamond" w:hAnsi="Garamond"/>
        </w:rPr>
        <w:t xml:space="preserve"> United Nations Office on Drugs and Crimes</w:t>
      </w:r>
      <w:r w:rsidR="00180052">
        <w:rPr>
          <w:rFonts w:ascii="Garamond" w:hAnsi="Garamond"/>
        </w:rPr>
        <w:t xml:space="preserve">: </w:t>
      </w:r>
      <w:hyperlink r:id="rId18" w:history="1">
        <w:r w:rsidRPr="001D2DD8">
          <w:rPr>
            <w:rStyle w:val="Hyperlink"/>
            <w:rFonts w:ascii="Garamond" w:hAnsi="Garamond"/>
          </w:rPr>
          <w:t>https://www.unodc.org/documents/postungass2016/follow-up/18-01924_UNGASS_eBook_002.pdf</w:t>
        </w:r>
      </w:hyperlink>
      <w:r w:rsidRPr="001D2DD8">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9F1E" w14:textId="324F69DB" w:rsidR="00F85FB3" w:rsidRDefault="00F85FB3" w:rsidP="00F85FB3">
    <w:pPr>
      <w:pStyle w:val="Header"/>
      <w:ind w:firstLine="720"/>
    </w:pPr>
    <w:r>
      <w:tab/>
    </w:r>
    <w:r>
      <w:tab/>
    </w:r>
    <w:r>
      <w:rPr>
        <w:noProof/>
      </w:rPr>
      <w:drawing>
        <wp:inline distT="0" distB="0" distL="0" distR="0" wp14:anchorId="1B8FD35C" wp14:editId="7CB97F91">
          <wp:extent cx="527957" cy="527957"/>
          <wp:effectExtent l="0" t="0" r="5715" b="5715"/>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15" cy="543615"/>
                  </a:xfrm>
                  <a:prstGeom prst="rect">
                    <a:avLst/>
                  </a:prstGeom>
                  <a:noFill/>
                  <a:ln>
                    <a:noFill/>
                  </a:ln>
                </pic:spPr>
              </pic:pic>
            </a:graphicData>
          </a:graphic>
        </wp:inline>
      </w:drawing>
    </w:r>
  </w:p>
  <w:p w14:paraId="40739289" w14:textId="77777777" w:rsidR="00F85FB3" w:rsidRDefault="00F85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0512B"/>
    <w:multiLevelType w:val="hybridMultilevel"/>
    <w:tmpl w:val="64AA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C1"/>
    <w:rsid w:val="00044BDD"/>
    <w:rsid w:val="000640B5"/>
    <w:rsid w:val="00086F3C"/>
    <w:rsid w:val="00091FE7"/>
    <w:rsid w:val="000B1395"/>
    <w:rsid w:val="000C07EF"/>
    <w:rsid w:val="00107BB6"/>
    <w:rsid w:val="001114C8"/>
    <w:rsid w:val="0013416A"/>
    <w:rsid w:val="00172DE9"/>
    <w:rsid w:val="00180052"/>
    <w:rsid w:val="001B2D81"/>
    <w:rsid w:val="001B58C1"/>
    <w:rsid w:val="001D2DD8"/>
    <w:rsid w:val="001E3690"/>
    <w:rsid w:val="00231489"/>
    <w:rsid w:val="00237D86"/>
    <w:rsid w:val="00264578"/>
    <w:rsid w:val="00290E58"/>
    <w:rsid w:val="002A66C5"/>
    <w:rsid w:val="002C259D"/>
    <w:rsid w:val="002D11B7"/>
    <w:rsid w:val="002E4F31"/>
    <w:rsid w:val="002F0FFE"/>
    <w:rsid w:val="00301B4E"/>
    <w:rsid w:val="00313C3E"/>
    <w:rsid w:val="003226CD"/>
    <w:rsid w:val="0035436E"/>
    <w:rsid w:val="003931A3"/>
    <w:rsid w:val="003B78B7"/>
    <w:rsid w:val="003D11EA"/>
    <w:rsid w:val="0041532E"/>
    <w:rsid w:val="004213CE"/>
    <w:rsid w:val="004501E6"/>
    <w:rsid w:val="004664FE"/>
    <w:rsid w:val="004D2599"/>
    <w:rsid w:val="004E6956"/>
    <w:rsid w:val="005051A7"/>
    <w:rsid w:val="00515226"/>
    <w:rsid w:val="00525BA2"/>
    <w:rsid w:val="00537842"/>
    <w:rsid w:val="005614EA"/>
    <w:rsid w:val="00571F1A"/>
    <w:rsid w:val="00682C08"/>
    <w:rsid w:val="006873EC"/>
    <w:rsid w:val="00690A92"/>
    <w:rsid w:val="006A5151"/>
    <w:rsid w:val="00727486"/>
    <w:rsid w:val="00735557"/>
    <w:rsid w:val="00736E1F"/>
    <w:rsid w:val="00763DF2"/>
    <w:rsid w:val="007B1DB8"/>
    <w:rsid w:val="007F17E7"/>
    <w:rsid w:val="00814DA6"/>
    <w:rsid w:val="008311FF"/>
    <w:rsid w:val="008512AE"/>
    <w:rsid w:val="008F5961"/>
    <w:rsid w:val="00903919"/>
    <w:rsid w:val="009279F4"/>
    <w:rsid w:val="00930F0C"/>
    <w:rsid w:val="00971EE7"/>
    <w:rsid w:val="00977803"/>
    <w:rsid w:val="00993AF4"/>
    <w:rsid w:val="009D2676"/>
    <w:rsid w:val="00A0059A"/>
    <w:rsid w:val="00A132D6"/>
    <w:rsid w:val="00A3027E"/>
    <w:rsid w:val="00A65D57"/>
    <w:rsid w:val="00A66C1C"/>
    <w:rsid w:val="00A723A7"/>
    <w:rsid w:val="00AA4A86"/>
    <w:rsid w:val="00B41D67"/>
    <w:rsid w:val="00B42665"/>
    <w:rsid w:val="00B51260"/>
    <w:rsid w:val="00B64253"/>
    <w:rsid w:val="00B70569"/>
    <w:rsid w:val="00B96975"/>
    <w:rsid w:val="00BC2F41"/>
    <w:rsid w:val="00BF1C98"/>
    <w:rsid w:val="00C10186"/>
    <w:rsid w:val="00C4356A"/>
    <w:rsid w:val="00C55D8D"/>
    <w:rsid w:val="00C6373E"/>
    <w:rsid w:val="00C650FC"/>
    <w:rsid w:val="00C87418"/>
    <w:rsid w:val="00CC0E02"/>
    <w:rsid w:val="00D061AC"/>
    <w:rsid w:val="00D1283D"/>
    <w:rsid w:val="00D13D14"/>
    <w:rsid w:val="00D25CDF"/>
    <w:rsid w:val="00DC6F87"/>
    <w:rsid w:val="00EA2973"/>
    <w:rsid w:val="00EB2E49"/>
    <w:rsid w:val="00EF5765"/>
    <w:rsid w:val="00EF7F53"/>
    <w:rsid w:val="00F132CB"/>
    <w:rsid w:val="00F40D6A"/>
    <w:rsid w:val="00F52A71"/>
    <w:rsid w:val="00F702DF"/>
    <w:rsid w:val="00F85FB3"/>
    <w:rsid w:val="00F95F27"/>
    <w:rsid w:val="00FD7A6A"/>
    <w:rsid w:val="00FF29F3"/>
    <w:rsid w:val="0B76F71C"/>
    <w:rsid w:val="142D16A5"/>
    <w:rsid w:val="19E37A6C"/>
    <w:rsid w:val="20D2EC1E"/>
    <w:rsid w:val="23980AB9"/>
    <w:rsid w:val="26FD01CA"/>
    <w:rsid w:val="33339926"/>
    <w:rsid w:val="38272CCC"/>
    <w:rsid w:val="3C96FD46"/>
    <w:rsid w:val="40957329"/>
    <w:rsid w:val="41319583"/>
    <w:rsid w:val="42975B87"/>
    <w:rsid w:val="43CD13EB"/>
    <w:rsid w:val="454EE7D7"/>
    <w:rsid w:val="455EF80E"/>
    <w:rsid w:val="54068244"/>
    <w:rsid w:val="5708C988"/>
    <w:rsid w:val="5E64B491"/>
    <w:rsid w:val="66569E19"/>
    <w:rsid w:val="6938B41A"/>
    <w:rsid w:val="6DB8CE78"/>
    <w:rsid w:val="7674AF69"/>
    <w:rsid w:val="78107FCA"/>
    <w:rsid w:val="7982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95EE"/>
  <w15:chartTrackingRefBased/>
  <w15:docId w15:val="{FFD8B69F-7DDA-4BDC-BBE9-9A7F1F4B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8C1"/>
    <w:rPr>
      <w:color w:val="0000FF"/>
      <w:u w:val="single"/>
    </w:rPr>
  </w:style>
  <w:style w:type="paragraph" w:styleId="FootnoteText">
    <w:name w:val="footnote text"/>
    <w:basedOn w:val="Normal"/>
    <w:link w:val="FootnoteTextChar"/>
    <w:uiPriority w:val="99"/>
    <w:unhideWhenUsed/>
    <w:rsid w:val="001B58C1"/>
    <w:pPr>
      <w:spacing w:after="0" w:line="240" w:lineRule="auto"/>
    </w:pPr>
    <w:rPr>
      <w:sz w:val="20"/>
      <w:szCs w:val="20"/>
    </w:rPr>
  </w:style>
  <w:style w:type="character" w:customStyle="1" w:styleId="FootnoteTextChar">
    <w:name w:val="Footnote Text Char"/>
    <w:basedOn w:val="DefaultParagraphFont"/>
    <w:link w:val="FootnoteText"/>
    <w:uiPriority w:val="99"/>
    <w:rsid w:val="001B58C1"/>
    <w:rPr>
      <w:sz w:val="20"/>
      <w:szCs w:val="20"/>
    </w:rPr>
  </w:style>
  <w:style w:type="character" w:styleId="FootnoteReference">
    <w:name w:val="footnote reference"/>
    <w:basedOn w:val="DefaultParagraphFont"/>
    <w:uiPriority w:val="99"/>
    <w:semiHidden/>
    <w:unhideWhenUsed/>
    <w:rsid w:val="001B58C1"/>
    <w:rPr>
      <w:vertAlign w:val="superscript"/>
    </w:rPr>
  </w:style>
  <w:style w:type="character" w:customStyle="1" w:styleId="mixed-citation">
    <w:name w:val="mixed-citation"/>
    <w:basedOn w:val="DefaultParagraphFont"/>
    <w:rsid w:val="006873EC"/>
  </w:style>
  <w:style w:type="character" w:customStyle="1" w:styleId="ref-title">
    <w:name w:val="ref-title"/>
    <w:basedOn w:val="DefaultParagraphFont"/>
    <w:rsid w:val="006873EC"/>
  </w:style>
  <w:style w:type="character" w:customStyle="1" w:styleId="ref-journal">
    <w:name w:val="ref-journal"/>
    <w:basedOn w:val="DefaultParagraphFont"/>
    <w:rsid w:val="006873EC"/>
  </w:style>
  <w:style w:type="character" w:customStyle="1" w:styleId="ref-vol">
    <w:name w:val="ref-vol"/>
    <w:basedOn w:val="DefaultParagraphFont"/>
    <w:rsid w:val="006873EC"/>
  </w:style>
  <w:style w:type="character" w:customStyle="1" w:styleId="ref-iss">
    <w:name w:val="ref-iss"/>
    <w:basedOn w:val="DefaultParagraphFont"/>
    <w:rsid w:val="006873EC"/>
  </w:style>
  <w:style w:type="character" w:styleId="UnresolvedMention">
    <w:name w:val="Unresolved Mention"/>
    <w:basedOn w:val="DefaultParagraphFont"/>
    <w:uiPriority w:val="99"/>
    <w:semiHidden/>
    <w:unhideWhenUsed/>
    <w:rsid w:val="007F17E7"/>
    <w:rPr>
      <w:color w:val="605E5C"/>
      <w:shd w:val="clear" w:color="auto" w:fill="E1DFDD"/>
    </w:rPr>
  </w:style>
  <w:style w:type="character" w:styleId="FollowedHyperlink">
    <w:name w:val="FollowedHyperlink"/>
    <w:basedOn w:val="DefaultParagraphFont"/>
    <w:uiPriority w:val="99"/>
    <w:semiHidden/>
    <w:unhideWhenUsed/>
    <w:rsid w:val="00D061AC"/>
    <w:rPr>
      <w:color w:val="954F72" w:themeColor="followedHyperlink"/>
      <w:u w:val="single"/>
    </w:rPr>
  </w:style>
  <w:style w:type="character" w:styleId="Strong">
    <w:name w:val="Strong"/>
    <w:basedOn w:val="DefaultParagraphFont"/>
    <w:uiPriority w:val="22"/>
    <w:qFormat/>
    <w:rsid w:val="005614EA"/>
    <w:rPr>
      <w:b/>
      <w:bCs/>
    </w:rPr>
  </w:style>
  <w:style w:type="paragraph" w:customStyle="1" w:styleId="Default">
    <w:name w:val="Default"/>
    <w:rsid w:val="005051A7"/>
    <w:pPr>
      <w:autoSpaceDE w:val="0"/>
      <w:autoSpaceDN w:val="0"/>
      <w:adjustRightInd w:val="0"/>
      <w:spacing w:after="0" w:line="240" w:lineRule="auto"/>
    </w:pPr>
    <w:rPr>
      <w:rFonts w:ascii="Inter Light" w:hAnsi="Inter Light" w:cs="Inter Light"/>
      <w:color w:val="000000"/>
      <w:sz w:val="24"/>
      <w:szCs w:val="24"/>
    </w:rPr>
  </w:style>
  <w:style w:type="character" w:customStyle="1" w:styleId="A2">
    <w:name w:val="A2"/>
    <w:uiPriority w:val="99"/>
    <w:rsid w:val="002F0FFE"/>
    <w:rPr>
      <w:rFonts w:cs="Inter Light"/>
      <w:color w:val="221E1F"/>
      <w:sz w:val="11"/>
      <w:szCs w:val="11"/>
    </w:rPr>
  </w:style>
  <w:style w:type="paragraph" w:styleId="Title">
    <w:name w:val="Title"/>
    <w:basedOn w:val="Normal"/>
    <w:next w:val="Normal"/>
    <w:link w:val="TitleChar"/>
    <w:uiPriority w:val="10"/>
    <w:qFormat/>
    <w:rsid w:val="00C10186"/>
    <w:pPr>
      <w:spacing w:after="0" w:line="240" w:lineRule="auto"/>
      <w:contextualSpacing/>
    </w:pPr>
    <w:rPr>
      <w:rFonts w:asciiTheme="majorHAnsi" w:eastAsiaTheme="majorEastAsia" w:hAnsiTheme="majorHAnsi" w:cstheme="majorBidi"/>
      <w:b/>
      <w:spacing w:val="-10"/>
      <w:kern w:val="28"/>
      <w:szCs w:val="56"/>
      <w:lang w:val="en-GB"/>
    </w:rPr>
  </w:style>
  <w:style w:type="character" w:customStyle="1" w:styleId="TitleChar">
    <w:name w:val="Title Char"/>
    <w:basedOn w:val="DefaultParagraphFont"/>
    <w:link w:val="Title"/>
    <w:uiPriority w:val="10"/>
    <w:rsid w:val="00C10186"/>
    <w:rPr>
      <w:rFonts w:asciiTheme="majorHAnsi" w:eastAsiaTheme="majorEastAsia" w:hAnsiTheme="majorHAnsi" w:cstheme="majorBidi"/>
      <w:b/>
      <w:spacing w:val="-10"/>
      <w:kern w:val="28"/>
      <w:szCs w:val="56"/>
      <w:lang w:val="en-GB"/>
    </w:rPr>
  </w:style>
  <w:style w:type="paragraph" w:styleId="BodyText">
    <w:name w:val="Body Text"/>
    <w:basedOn w:val="Normal"/>
    <w:link w:val="BodyTextChar"/>
    <w:uiPriority w:val="99"/>
    <w:unhideWhenUsed/>
    <w:rsid w:val="00C10186"/>
    <w:pPr>
      <w:spacing w:after="120" w:line="256" w:lineRule="auto"/>
    </w:pPr>
    <w:rPr>
      <w:lang w:val="en-GB"/>
    </w:rPr>
  </w:style>
  <w:style w:type="character" w:customStyle="1" w:styleId="BodyTextChar">
    <w:name w:val="Body Text Char"/>
    <w:basedOn w:val="DefaultParagraphFont"/>
    <w:link w:val="BodyText"/>
    <w:uiPriority w:val="99"/>
    <w:rsid w:val="00C10186"/>
    <w:rPr>
      <w:lang w:val="en-GB"/>
    </w:rPr>
  </w:style>
  <w:style w:type="paragraph" w:styleId="ListParagraph">
    <w:name w:val="List Paragraph"/>
    <w:basedOn w:val="Normal"/>
    <w:uiPriority w:val="34"/>
    <w:qFormat/>
    <w:rsid w:val="00D1283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90"/>
    <w:rPr>
      <w:rFonts w:ascii="Segoe UI" w:hAnsi="Segoe UI" w:cs="Segoe UI"/>
      <w:sz w:val="18"/>
      <w:szCs w:val="18"/>
    </w:rPr>
  </w:style>
  <w:style w:type="paragraph" w:styleId="Header">
    <w:name w:val="header"/>
    <w:basedOn w:val="Normal"/>
    <w:link w:val="HeaderChar"/>
    <w:uiPriority w:val="99"/>
    <w:unhideWhenUsed/>
    <w:rsid w:val="00F85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FB3"/>
  </w:style>
  <w:style w:type="paragraph" w:styleId="Footer">
    <w:name w:val="footer"/>
    <w:basedOn w:val="Normal"/>
    <w:link w:val="FooterChar"/>
    <w:uiPriority w:val="99"/>
    <w:unhideWhenUsed/>
    <w:rsid w:val="00F85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FB3"/>
  </w:style>
  <w:style w:type="paragraph" w:styleId="NoSpacing">
    <w:name w:val="No Spacing"/>
    <w:link w:val="NoSpacingChar"/>
    <w:uiPriority w:val="1"/>
    <w:qFormat/>
    <w:rsid w:val="00107BB6"/>
    <w:pPr>
      <w:spacing w:after="0" w:line="240" w:lineRule="auto"/>
    </w:pPr>
    <w:rPr>
      <w:rFonts w:eastAsiaTheme="minorEastAsia"/>
    </w:rPr>
  </w:style>
  <w:style w:type="character" w:customStyle="1" w:styleId="NoSpacingChar">
    <w:name w:val="No Spacing Char"/>
    <w:basedOn w:val="DefaultParagraphFont"/>
    <w:link w:val="NoSpacing"/>
    <w:uiPriority w:val="1"/>
    <w:rsid w:val="00107BB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11019">
      <w:bodyDiv w:val="1"/>
      <w:marLeft w:val="0"/>
      <w:marRight w:val="0"/>
      <w:marTop w:val="0"/>
      <w:marBottom w:val="0"/>
      <w:divBdr>
        <w:top w:val="none" w:sz="0" w:space="0" w:color="auto"/>
        <w:left w:val="none" w:sz="0" w:space="0" w:color="auto"/>
        <w:bottom w:val="none" w:sz="0" w:space="0" w:color="auto"/>
        <w:right w:val="none" w:sz="0" w:space="0" w:color="auto"/>
      </w:divBdr>
    </w:div>
    <w:div w:id="15970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rootingthedrugwar.org/" TargetMode="External"/><Relationship Id="rId18" Type="http://schemas.openxmlformats.org/officeDocument/2006/relationships/fontTable" Target="fontTable.xml"/><Relationship Id="rId3" Type="http://schemas.openxmlformats.org/officeDocument/2006/relationships/customXml" Target="../customXml/item3.xml"/><Relationship Id="Rfad5094b711143d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drugpolic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moore@drugpolic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naidoo@drugpolicy.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s.gov/104/plaws/publ193/PLAW-104publ193.pdf" TargetMode="External"/><Relationship Id="rId13" Type="http://schemas.openxmlformats.org/officeDocument/2006/relationships/hyperlink" Target="https://www.pregnancyjusticeus.org/wp-content/uploads/2022/12/parenting-and-drug-use-12-12.pdf" TargetMode="External"/><Relationship Id="rId18" Type="http://schemas.openxmlformats.org/officeDocument/2006/relationships/hyperlink" Target="https://www.unodc.org/documents/postungass2016/follow-up/18-01924_UNGASS_eBook_002.pdf" TargetMode="External"/><Relationship Id="rId3" Type="http://schemas.openxmlformats.org/officeDocument/2006/relationships/hyperlink" Target="https://www.ncsl.org/research/labor-and-employment/barriers-to-work-individuals-with-criminal-records.aspx" TargetMode="External"/><Relationship Id="rId7" Type="http://schemas.openxmlformats.org/officeDocument/2006/relationships/hyperlink" Target="https://doi.org/10.1097/ADM.0000000000000384" TargetMode="External"/><Relationship Id="rId12" Type="http://schemas.openxmlformats.org/officeDocument/2006/relationships/hyperlink" Target="https://www.vera.org/downloads/publications/a-piece-of-the-puzzle.pdf" TargetMode="External"/><Relationship Id="rId17" Type="http://schemas.openxmlformats.org/officeDocument/2006/relationships/hyperlink" Target="https://journals.sagepub.com/doi/abs/10.1177/15365042221142834" TargetMode="External"/><Relationship Id="rId2" Type="http://schemas.openxmlformats.org/officeDocument/2006/relationships/hyperlink" Target="https://www.ncbi.nlm.nih.gov/pmc/articles/PMC9302017/" TargetMode="External"/><Relationship Id="rId16" Type="http://schemas.openxmlformats.org/officeDocument/2006/relationships/hyperlink" Target="https://static1.squarespace.com/static/5be5ed0fd274cb7c8a5d0cba/t/5eead939ca509d4e36a89277/1592449422870/MFP+Drug+War+Foster+System+Report.pdf" TargetMode="External"/><Relationship Id="rId1" Type="http://schemas.openxmlformats.org/officeDocument/2006/relationships/hyperlink" Target="https://uprootingthedrugwar.org/" TargetMode="External"/><Relationship Id="rId6" Type="http://schemas.openxmlformats.org/officeDocument/2006/relationships/hyperlink" Target="http://www.sciencedirect.com/science/article/abs/pii/S0001457514001547" TargetMode="External"/><Relationship Id="rId11" Type="http://schemas.openxmlformats.org/officeDocument/2006/relationships/hyperlink" Target="https://www.ncbi.nlm.nih.gov/pmc/articles/PMC5993252/" TargetMode="External"/><Relationship Id="rId5" Type="http://schemas.openxmlformats.org/officeDocument/2006/relationships/hyperlink" Target="https://www.ncbi.nlm.nih.gov/pmc/articles/PMC1955359" TargetMode="External"/><Relationship Id="rId15" Type="http://schemas.openxmlformats.org/officeDocument/2006/relationships/hyperlink" Target="https://www.guttmacher.org/state-policy/explore/substance-use-during-pregnancy" TargetMode="External"/><Relationship Id="rId10" Type="http://schemas.openxmlformats.org/officeDocument/2006/relationships/hyperlink" Target="https://www.clasp.org/wp-content/uploads/2022/01/2019_drug-testing-and-public-_0.pdf" TargetMode="External"/><Relationship Id="rId4" Type="http://schemas.openxmlformats.org/officeDocument/2006/relationships/hyperlink" Target="https://www.brennancenter.org/our-work/research-reports/conviction-imprisonment-and-lost-earnings-how-involvement-criminal" TargetMode="External"/><Relationship Id="rId9" Type="http://schemas.openxmlformats.org/officeDocument/2006/relationships/hyperlink" Target="https://www.journals.uchicago.edu/doi/abs/10.1086/428918" TargetMode="External"/><Relationship Id="rId14" Type="http://schemas.openxmlformats.org/officeDocument/2006/relationships/hyperlink" Target="https://www.amnesty.org/en/documents/amr51/6203/201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70EE-FCBB-4986-9AA8-62C08AC79757}"/>
</file>

<file path=customXml/itemProps2.xml><?xml version="1.0" encoding="utf-8"?>
<ds:datastoreItem xmlns:ds="http://schemas.openxmlformats.org/officeDocument/2006/customXml" ds:itemID="{2123CE69-739F-4D19-87C4-EE31DE3CF2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E1952-F8C3-498C-B38F-4BDD2CA02A58}">
  <ds:schemaRefs>
    <ds:schemaRef ds:uri="http://schemas.microsoft.com/sharepoint/v3/contenttype/forms"/>
  </ds:schemaRefs>
</ds:datastoreItem>
</file>

<file path=customXml/itemProps4.xml><?xml version="1.0" encoding="utf-8"?>
<ds:datastoreItem xmlns:ds="http://schemas.openxmlformats.org/officeDocument/2006/customXml" ds:itemID="{65EF24DB-8B74-4C4D-BD24-66B6D448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1182</Words>
  <Characters>6610</Characters>
  <Application>Microsoft Office Word</Application>
  <DocSecurity>0</DocSecurity>
  <Lines>108</Lines>
  <Paragraphs>23</Paragraphs>
  <ScaleCrop>false</ScaleCrop>
  <HeadingPairs>
    <vt:vector size="2" baseType="variant">
      <vt:variant>
        <vt:lpstr>Title</vt:lpstr>
      </vt:variant>
      <vt:variant>
        <vt:i4>1</vt:i4>
      </vt:variant>
    </vt:vector>
  </HeadingPairs>
  <TitlesOfParts>
    <vt:vector size="1" baseType="lpstr">
      <vt:lpstr/>
    </vt:vector>
  </TitlesOfParts>
  <Company>Drug Policy Alliace</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Theshia Naidoo</dc:creator>
  <cp:keywords/>
  <dc:description/>
  <cp:lastModifiedBy>Theshia Naidoo</cp:lastModifiedBy>
  <cp:revision>8</cp:revision>
  <dcterms:created xsi:type="dcterms:W3CDTF">2023-05-19T23:20:00Z</dcterms:created>
  <dcterms:modified xsi:type="dcterms:W3CDTF">2023-05-19T23:34:00Z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0x0101001D8E5FE69395A54E8E30952F538E6D84</vt:lpwstr>
  </property>
  <property fmtid="{D5CDD505-2E9C-101B-9397-08002B2CF9AE}" pid="3" name="MediaServiceImageTags">
    <vt:lpwstr/>
  </property>
</Properties>
</file>