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AC191" w14:textId="77777777" w:rsidR="00720038" w:rsidRPr="00050DF5" w:rsidRDefault="00B209CC" w:rsidP="00050DF5">
      <w:pPr>
        <w:pBdr>
          <w:top w:val="nil"/>
          <w:left w:val="nil"/>
          <w:bottom w:val="nil"/>
          <w:right w:val="nil"/>
          <w:between w:val="nil"/>
        </w:pBdr>
        <w:spacing w:line="276" w:lineRule="auto"/>
        <w:jc w:val="center"/>
        <w:rPr>
          <w:rFonts w:asciiTheme="majorHAnsi" w:eastAsia="Calibri" w:hAnsiTheme="majorHAnsi" w:cs="Calibri"/>
          <w:b/>
          <w:i/>
          <w:color w:val="000000"/>
          <w:sz w:val="50"/>
          <w:szCs w:val="50"/>
        </w:rPr>
      </w:pPr>
      <w:r w:rsidRPr="00050DF5">
        <w:rPr>
          <w:rFonts w:asciiTheme="majorHAnsi" w:eastAsia="Calibri" w:hAnsiTheme="majorHAnsi" w:cs="Calibri"/>
          <w:b/>
          <w:noProof/>
          <w:sz w:val="40"/>
          <w:szCs w:val="40"/>
          <w:lang w:val="ru-RU"/>
        </w:rPr>
        <w:drawing>
          <wp:inline distT="114300" distB="114300" distL="114300" distR="114300" wp14:anchorId="23F9B280" wp14:editId="3D41A899">
            <wp:extent cx="913447" cy="93759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13447" cy="937598"/>
                    </a:xfrm>
                    <a:prstGeom prst="rect">
                      <a:avLst/>
                    </a:prstGeom>
                    <a:ln/>
                  </pic:spPr>
                </pic:pic>
              </a:graphicData>
            </a:graphic>
          </wp:inline>
        </w:drawing>
      </w:r>
      <w:r w:rsidRPr="00050DF5">
        <w:rPr>
          <w:rFonts w:asciiTheme="majorHAnsi" w:eastAsia="Calibri" w:hAnsiTheme="majorHAnsi" w:cs="Calibri"/>
          <w:b/>
          <w:i/>
          <w:color w:val="000000"/>
          <w:sz w:val="50"/>
          <w:szCs w:val="50"/>
        </w:rPr>
        <w:t xml:space="preserve"> </w:t>
      </w:r>
      <w:r w:rsidRPr="00050DF5">
        <w:rPr>
          <w:rFonts w:asciiTheme="majorHAnsi" w:eastAsia="Calibri" w:hAnsiTheme="majorHAnsi" w:cs="Calibri"/>
          <w:b/>
          <w:i/>
          <w:noProof/>
          <w:color w:val="000000"/>
          <w:sz w:val="50"/>
          <w:szCs w:val="50"/>
          <w:lang w:val="ru-RU"/>
        </w:rPr>
        <w:drawing>
          <wp:inline distT="114300" distB="114300" distL="114300" distR="114300" wp14:anchorId="1AEDD618" wp14:editId="313B0866">
            <wp:extent cx="2133600" cy="52324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20088" b="22034"/>
                    <a:stretch>
                      <a:fillRect/>
                    </a:stretch>
                  </pic:blipFill>
                  <pic:spPr>
                    <a:xfrm>
                      <a:off x="0" y="0"/>
                      <a:ext cx="2133600" cy="523240"/>
                    </a:xfrm>
                    <a:prstGeom prst="rect">
                      <a:avLst/>
                    </a:prstGeom>
                    <a:ln/>
                  </pic:spPr>
                </pic:pic>
              </a:graphicData>
            </a:graphic>
          </wp:inline>
        </w:drawing>
      </w:r>
      <w:r w:rsidRPr="00050DF5">
        <w:rPr>
          <w:rFonts w:asciiTheme="majorHAnsi" w:eastAsia="Calibri" w:hAnsiTheme="majorHAnsi" w:cs="Calibri"/>
          <w:noProof/>
          <w:lang w:val="ru-RU"/>
        </w:rPr>
        <w:drawing>
          <wp:inline distT="114300" distB="114300" distL="114300" distR="114300" wp14:anchorId="40BDF4F1" wp14:editId="526A8AC1">
            <wp:extent cx="896473" cy="36913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96473" cy="369136"/>
                    </a:xfrm>
                    <a:prstGeom prst="rect">
                      <a:avLst/>
                    </a:prstGeom>
                    <a:ln/>
                  </pic:spPr>
                </pic:pic>
              </a:graphicData>
            </a:graphic>
          </wp:inline>
        </w:drawing>
      </w:r>
    </w:p>
    <w:p w14:paraId="1C309678" w14:textId="77777777" w:rsidR="00720038" w:rsidRPr="00050DF5" w:rsidRDefault="00720038" w:rsidP="00050DF5">
      <w:pPr>
        <w:pBdr>
          <w:top w:val="nil"/>
          <w:left w:val="nil"/>
          <w:bottom w:val="nil"/>
          <w:right w:val="nil"/>
          <w:between w:val="nil"/>
        </w:pBdr>
        <w:spacing w:line="276" w:lineRule="auto"/>
        <w:jc w:val="both"/>
        <w:rPr>
          <w:rFonts w:asciiTheme="majorHAnsi" w:eastAsia="Calibri" w:hAnsiTheme="majorHAnsi" w:cs="Calibri"/>
          <w:b/>
          <w:color w:val="000000"/>
          <w:sz w:val="32"/>
          <w:szCs w:val="32"/>
        </w:rPr>
      </w:pPr>
    </w:p>
    <w:p w14:paraId="0F093551" w14:textId="77777777" w:rsidR="00720038" w:rsidRPr="00472A90" w:rsidRDefault="00B209CC" w:rsidP="00050DF5">
      <w:pPr>
        <w:pBdr>
          <w:top w:val="nil"/>
          <w:left w:val="nil"/>
          <w:bottom w:val="nil"/>
          <w:right w:val="nil"/>
          <w:between w:val="nil"/>
        </w:pBdr>
        <w:spacing w:line="276" w:lineRule="auto"/>
        <w:jc w:val="center"/>
        <w:rPr>
          <w:rFonts w:asciiTheme="majorHAnsi" w:hAnsiTheme="majorHAnsi"/>
          <w:b/>
          <w:sz w:val="32"/>
          <w:szCs w:val="28"/>
        </w:rPr>
      </w:pPr>
      <w:r w:rsidRPr="00472A90">
        <w:rPr>
          <w:rFonts w:asciiTheme="majorHAnsi" w:hAnsiTheme="majorHAnsi"/>
          <w:b/>
          <w:sz w:val="32"/>
          <w:szCs w:val="28"/>
        </w:rPr>
        <w:t>Submission to the United Nations High Commissioner for Human Rights</w:t>
      </w:r>
    </w:p>
    <w:p w14:paraId="6F4F0EFC" w14:textId="77777777" w:rsidR="00720038" w:rsidRPr="00050DF5" w:rsidRDefault="00B209CC" w:rsidP="00050DF5">
      <w:pPr>
        <w:pBdr>
          <w:top w:val="nil"/>
          <w:left w:val="nil"/>
          <w:bottom w:val="nil"/>
          <w:right w:val="nil"/>
          <w:between w:val="nil"/>
        </w:pBdr>
        <w:spacing w:line="276" w:lineRule="auto"/>
        <w:jc w:val="center"/>
        <w:rPr>
          <w:rFonts w:asciiTheme="majorHAnsi" w:hAnsiTheme="majorHAnsi"/>
          <w:b/>
          <w:sz w:val="30"/>
          <w:szCs w:val="30"/>
        </w:rPr>
      </w:pPr>
      <w:r w:rsidRPr="00050DF5">
        <w:rPr>
          <w:rFonts w:asciiTheme="majorHAnsi" w:hAnsiTheme="majorHAnsi"/>
          <w:sz w:val="28"/>
          <w:szCs w:val="28"/>
        </w:rPr>
        <w:br/>
      </w:r>
      <w:r w:rsidRPr="00050DF5">
        <w:rPr>
          <w:rFonts w:asciiTheme="majorHAnsi" w:hAnsiTheme="majorHAnsi"/>
          <w:b/>
          <w:sz w:val="30"/>
          <w:szCs w:val="30"/>
        </w:rPr>
        <w:t>Criminalization of Psychoactive Substances Use</w:t>
      </w:r>
    </w:p>
    <w:p w14:paraId="46FEB9FB" w14:textId="77777777" w:rsidR="00720038" w:rsidRPr="00050DF5" w:rsidRDefault="00B209CC" w:rsidP="00050DF5">
      <w:pPr>
        <w:pBdr>
          <w:top w:val="nil"/>
          <w:left w:val="nil"/>
          <w:bottom w:val="nil"/>
          <w:right w:val="nil"/>
          <w:between w:val="nil"/>
        </w:pBdr>
        <w:spacing w:line="276" w:lineRule="auto"/>
        <w:jc w:val="center"/>
        <w:rPr>
          <w:rFonts w:asciiTheme="majorHAnsi" w:hAnsiTheme="majorHAnsi"/>
          <w:b/>
          <w:sz w:val="30"/>
          <w:szCs w:val="30"/>
        </w:rPr>
      </w:pPr>
      <w:r w:rsidRPr="00050DF5">
        <w:rPr>
          <w:rFonts w:asciiTheme="majorHAnsi" w:hAnsiTheme="majorHAnsi"/>
          <w:b/>
          <w:sz w:val="30"/>
          <w:szCs w:val="30"/>
        </w:rPr>
        <w:t>as a Driver of Systematic Human Rights Violations in Ukraine</w:t>
      </w:r>
    </w:p>
    <w:p w14:paraId="3531A355" w14:textId="77777777" w:rsidR="00720038" w:rsidRPr="00050DF5" w:rsidRDefault="00720038" w:rsidP="00050DF5">
      <w:pPr>
        <w:pBdr>
          <w:top w:val="nil"/>
          <w:left w:val="nil"/>
          <w:bottom w:val="nil"/>
          <w:right w:val="nil"/>
          <w:between w:val="nil"/>
        </w:pBdr>
        <w:spacing w:line="276" w:lineRule="auto"/>
        <w:jc w:val="both"/>
        <w:rPr>
          <w:rFonts w:asciiTheme="majorHAnsi" w:hAnsiTheme="majorHAnsi"/>
          <w:sz w:val="28"/>
          <w:szCs w:val="28"/>
        </w:rPr>
      </w:pPr>
    </w:p>
    <w:p w14:paraId="4C53C2DA" w14:textId="77777777" w:rsidR="00720038" w:rsidRPr="000852D8" w:rsidRDefault="00B209CC" w:rsidP="00050DF5">
      <w:pPr>
        <w:pBdr>
          <w:top w:val="nil"/>
          <w:left w:val="nil"/>
          <w:bottom w:val="nil"/>
          <w:right w:val="nil"/>
          <w:between w:val="nil"/>
        </w:pBdr>
        <w:spacing w:line="276" w:lineRule="auto"/>
        <w:jc w:val="both"/>
        <w:rPr>
          <w:rFonts w:asciiTheme="majorHAnsi" w:eastAsia="Calibri" w:hAnsiTheme="majorHAnsi" w:cs="Calibri"/>
          <w:color w:val="000000"/>
          <w:sz w:val="32"/>
          <w:szCs w:val="32"/>
        </w:rPr>
      </w:pPr>
      <w:r w:rsidRPr="000852D8">
        <w:rPr>
          <w:rFonts w:asciiTheme="majorHAnsi" w:hAnsiTheme="majorHAnsi"/>
          <w:sz w:val="28"/>
          <w:szCs w:val="28"/>
        </w:rPr>
        <w:t>May 2023</w:t>
      </w:r>
    </w:p>
    <w:p w14:paraId="44671045" w14:textId="77777777" w:rsidR="00720038" w:rsidRPr="00050DF5" w:rsidRDefault="00720038" w:rsidP="00050DF5">
      <w:pPr>
        <w:pBdr>
          <w:top w:val="nil"/>
          <w:left w:val="nil"/>
          <w:bottom w:val="nil"/>
          <w:right w:val="nil"/>
          <w:between w:val="nil"/>
        </w:pBdr>
        <w:spacing w:line="276" w:lineRule="auto"/>
        <w:jc w:val="both"/>
        <w:rPr>
          <w:rFonts w:asciiTheme="majorHAnsi" w:hAnsiTheme="majorHAnsi"/>
          <w:sz w:val="28"/>
          <w:szCs w:val="28"/>
        </w:rPr>
      </w:pPr>
    </w:p>
    <w:p w14:paraId="40E7F032" w14:textId="77777777" w:rsidR="00720038" w:rsidRPr="00050DF5" w:rsidRDefault="00B209CC" w:rsidP="00050DF5">
      <w:pPr>
        <w:pBdr>
          <w:top w:val="nil"/>
          <w:left w:val="nil"/>
          <w:bottom w:val="nil"/>
          <w:right w:val="nil"/>
          <w:between w:val="nil"/>
        </w:pBdr>
        <w:spacing w:line="276" w:lineRule="auto"/>
        <w:jc w:val="both"/>
        <w:rPr>
          <w:rFonts w:asciiTheme="majorHAnsi" w:hAnsiTheme="majorHAnsi"/>
          <w:b/>
          <w:sz w:val="28"/>
          <w:szCs w:val="28"/>
        </w:rPr>
      </w:pPr>
      <w:r w:rsidRPr="00050DF5">
        <w:rPr>
          <w:rFonts w:asciiTheme="majorHAnsi" w:hAnsiTheme="majorHAnsi"/>
          <w:b/>
          <w:sz w:val="28"/>
          <w:szCs w:val="28"/>
        </w:rPr>
        <w:t>Submitting organization(-s):</w:t>
      </w:r>
    </w:p>
    <w:p w14:paraId="1CF692CC" w14:textId="3E8084F5" w:rsidR="00720038" w:rsidRPr="00050DF5" w:rsidRDefault="00B209CC" w:rsidP="00050DF5">
      <w:pPr>
        <w:numPr>
          <w:ilvl w:val="0"/>
          <w:numId w:val="1"/>
        </w:numPr>
        <w:spacing w:line="276" w:lineRule="auto"/>
        <w:jc w:val="both"/>
        <w:rPr>
          <w:rFonts w:asciiTheme="majorHAnsi" w:hAnsiTheme="majorHAnsi"/>
          <w:sz w:val="28"/>
          <w:szCs w:val="28"/>
        </w:rPr>
      </w:pPr>
      <w:r w:rsidRPr="00050DF5">
        <w:rPr>
          <w:rFonts w:asciiTheme="majorHAnsi" w:hAnsiTheme="majorHAnsi"/>
          <w:sz w:val="28"/>
          <w:szCs w:val="28"/>
        </w:rPr>
        <w:t>EURASIAN NETWORK OF PEOPLE WHO USE DRUGS (ENPUD): We work together to build and operate ENPUD through a framework of shared goals and objectives, mutual respect, development, and support. We seek to ensure that people don't become dependent on dr</w:t>
      </w:r>
      <w:bookmarkStart w:id="0" w:name="_GoBack"/>
      <w:bookmarkEnd w:id="0"/>
      <w:r w:rsidRPr="00050DF5">
        <w:rPr>
          <w:rFonts w:asciiTheme="majorHAnsi" w:hAnsiTheme="majorHAnsi"/>
          <w:sz w:val="28"/>
          <w:szCs w:val="28"/>
        </w:rPr>
        <w:t xml:space="preserve">ugs, and </w:t>
      </w:r>
      <w:r w:rsidR="00637701">
        <w:rPr>
          <w:rFonts w:asciiTheme="majorHAnsi" w:hAnsiTheme="majorHAnsi"/>
          <w:sz w:val="28"/>
          <w:szCs w:val="28"/>
        </w:rPr>
        <w:t xml:space="preserve">that </w:t>
      </w:r>
      <w:r w:rsidRPr="00050DF5">
        <w:rPr>
          <w:rFonts w:asciiTheme="majorHAnsi" w:hAnsiTheme="majorHAnsi"/>
          <w:sz w:val="28"/>
          <w:szCs w:val="28"/>
        </w:rPr>
        <w:t xml:space="preserve">those who get sick stay alive, healthy, and free. </w:t>
      </w:r>
    </w:p>
    <w:p w14:paraId="3A6A4D6A" w14:textId="77777777" w:rsidR="00720038" w:rsidRPr="00050DF5" w:rsidRDefault="00B209CC" w:rsidP="00050DF5">
      <w:pPr>
        <w:numPr>
          <w:ilvl w:val="0"/>
          <w:numId w:val="1"/>
        </w:numPr>
        <w:spacing w:line="276" w:lineRule="auto"/>
        <w:jc w:val="both"/>
        <w:rPr>
          <w:rFonts w:asciiTheme="majorHAnsi" w:hAnsiTheme="majorHAnsi"/>
          <w:sz w:val="28"/>
          <w:szCs w:val="28"/>
        </w:rPr>
      </w:pPr>
      <w:r w:rsidRPr="00050DF5">
        <w:rPr>
          <w:rFonts w:asciiTheme="majorHAnsi" w:hAnsiTheme="majorHAnsi"/>
          <w:sz w:val="28"/>
          <w:szCs w:val="28"/>
        </w:rPr>
        <w:t>The ICF “Alliance for Public Health” is a leading non-governmental professional organization, which has been on a mission since 2003 to make a significant impact on the epidemics of HIV/AIDS, tuberculosis, and viral hepatitis in Ukraine.</w:t>
      </w:r>
    </w:p>
    <w:p w14:paraId="1B28A2EB" w14:textId="77777777" w:rsidR="00720038" w:rsidRPr="00050DF5" w:rsidRDefault="00720038" w:rsidP="00050DF5">
      <w:pPr>
        <w:spacing w:line="276" w:lineRule="auto"/>
        <w:jc w:val="both"/>
        <w:rPr>
          <w:rFonts w:asciiTheme="majorHAnsi" w:hAnsiTheme="majorHAnsi"/>
          <w:sz w:val="28"/>
          <w:szCs w:val="28"/>
        </w:rPr>
      </w:pPr>
    </w:p>
    <w:p w14:paraId="00FEC8D2" w14:textId="212DDF77" w:rsidR="00720038" w:rsidRPr="0077187B" w:rsidRDefault="00B209CC" w:rsidP="00050DF5">
      <w:pPr>
        <w:pBdr>
          <w:top w:val="nil"/>
          <w:left w:val="nil"/>
          <w:bottom w:val="nil"/>
          <w:right w:val="nil"/>
          <w:between w:val="nil"/>
        </w:pBdr>
        <w:spacing w:line="276" w:lineRule="auto"/>
        <w:jc w:val="both"/>
        <w:rPr>
          <w:rFonts w:asciiTheme="majorHAnsi" w:hAnsiTheme="majorHAnsi"/>
          <w:b/>
          <w:sz w:val="28"/>
          <w:szCs w:val="28"/>
        </w:rPr>
      </w:pPr>
      <w:r w:rsidRPr="00050DF5">
        <w:rPr>
          <w:rFonts w:asciiTheme="majorHAnsi" w:hAnsiTheme="majorHAnsi"/>
          <w:b/>
          <w:sz w:val="28"/>
          <w:szCs w:val="28"/>
        </w:rPr>
        <w:t xml:space="preserve">Word count: </w:t>
      </w:r>
      <w:r w:rsidR="00F939EE" w:rsidRPr="0077187B">
        <w:rPr>
          <w:rFonts w:asciiTheme="majorHAnsi" w:hAnsiTheme="majorHAnsi"/>
          <w:sz w:val="28"/>
          <w:szCs w:val="28"/>
        </w:rPr>
        <w:t>14</w:t>
      </w:r>
      <w:r w:rsidR="00D57C52">
        <w:rPr>
          <w:rFonts w:asciiTheme="majorHAnsi" w:hAnsiTheme="majorHAnsi"/>
          <w:sz w:val="28"/>
          <w:szCs w:val="28"/>
        </w:rPr>
        <w:t>83</w:t>
      </w:r>
    </w:p>
    <w:p w14:paraId="496AE3A6" w14:textId="77777777" w:rsidR="00720038" w:rsidRPr="00050DF5" w:rsidRDefault="00720038" w:rsidP="00050DF5">
      <w:pPr>
        <w:pBdr>
          <w:top w:val="nil"/>
          <w:left w:val="nil"/>
          <w:bottom w:val="nil"/>
          <w:right w:val="nil"/>
          <w:between w:val="nil"/>
        </w:pBdr>
        <w:spacing w:line="276" w:lineRule="auto"/>
        <w:jc w:val="both"/>
        <w:rPr>
          <w:rFonts w:asciiTheme="majorHAnsi" w:hAnsiTheme="majorHAnsi"/>
          <w:sz w:val="28"/>
          <w:szCs w:val="28"/>
        </w:rPr>
      </w:pPr>
    </w:p>
    <w:p w14:paraId="24AC3C76" w14:textId="77777777" w:rsidR="00720038" w:rsidRPr="00050DF5" w:rsidRDefault="00B209CC" w:rsidP="00050DF5">
      <w:pPr>
        <w:pBdr>
          <w:top w:val="nil"/>
          <w:left w:val="nil"/>
          <w:bottom w:val="nil"/>
          <w:right w:val="nil"/>
          <w:between w:val="nil"/>
        </w:pBdr>
        <w:spacing w:line="276" w:lineRule="auto"/>
        <w:jc w:val="both"/>
        <w:rPr>
          <w:rFonts w:asciiTheme="majorHAnsi" w:hAnsiTheme="majorHAnsi"/>
          <w:b/>
          <w:sz w:val="28"/>
          <w:szCs w:val="28"/>
        </w:rPr>
      </w:pPr>
      <w:r w:rsidRPr="00050DF5">
        <w:rPr>
          <w:rFonts w:asciiTheme="majorHAnsi" w:hAnsiTheme="majorHAnsi"/>
          <w:b/>
          <w:sz w:val="28"/>
          <w:szCs w:val="28"/>
        </w:rPr>
        <w:t>Contact details for this submission:</w:t>
      </w:r>
    </w:p>
    <w:p w14:paraId="6559584F" w14:textId="77777777" w:rsidR="009A0482" w:rsidRDefault="009A0482" w:rsidP="00050DF5">
      <w:pPr>
        <w:pBdr>
          <w:top w:val="nil"/>
          <w:left w:val="nil"/>
          <w:bottom w:val="nil"/>
          <w:right w:val="nil"/>
          <w:between w:val="nil"/>
        </w:pBdr>
        <w:spacing w:line="276" w:lineRule="auto"/>
        <w:jc w:val="both"/>
        <w:rPr>
          <w:rFonts w:asciiTheme="majorHAnsi" w:hAnsiTheme="majorHAnsi"/>
          <w:sz w:val="28"/>
          <w:szCs w:val="28"/>
        </w:rPr>
      </w:pPr>
      <w:r>
        <w:rPr>
          <w:rFonts w:asciiTheme="majorHAnsi" w:hAnsiTheme="majorHAnsi"/>
          <w:sz w:val="28"/>
          <w:szCs w:val="28"/>
        </w:rPr>
        <w:t>Nadiia Semchuk</w:t>
      </w:r>
    </w:p>
    <w:p w14:paraId="3464C866" w14:textId="77777777" w:rsidR="009A0482" w:rsidRDefault="009A0482" w:rsidP="00050DF5">
      <w:pPr>
        <w:pBdr>
          <w:top w:val="nil"/>
          <w:left w:val="nil"/>
          <w:bottom w:val="nil"/>
          <w:right w:val="nil"/>
          <w:between w:val="nil"/>
        </w:pBdr>
        <w:spacing w:line="276" w:lineRule="auto"/>
        <w:jc w:val="both"/>
        <w:rPr>
          <w:rFonts w:asciiTheme="majorHAnsi" w:hAnsiTheme="majorHAnsi"/>
          <w:sz w:val="28"/>
          <w:szCs w:val="28"/>
        </w:rPr>
      </w:pPr>
      <w:hyperlink r:id="rId12" w:history="1">
        <w:r w:rsidRPr="001367D2">
          <w:rPr>
            <w:rStyle w:val="ab"/>
            <w:rFonts w:asciiTheme="majorHAnsi" w:hAnsiTheme="majorHAnsi"/>
            <w:sz w:val="28"/>
            <w:szCs w:val="28"/>
          </w:rPr>
          <w:t>semchuk@aph.org.ua</w:t>
        </w:r>
      </w:hyperlink>
    </w:p>
    <w:p w14:paraId="7C00622A" w14:textId="77777777" w:rsidR="009A0482" w:rsidRDefault="00B209CC" w:rsidP="00050DF5">
      <w:pPr>
        <w:pBdr>
          <w:top w:val="nil"/>
          <w:left w:val="nil"/>
          <w:bottom w:val="nil"/>
          <w:right w:val="nil"/>
          <w:between w:val="nil"/>
        </w:pBdr>
        <w:spacing w:line="276" w:lineRule="auto"/>
        <w:jc w:val="both"/>
        <w:rPr>
          <w:rFonts w:asciiTheme="majorHAnsi" w:hAnsiTheme="majorHAnsi"/>
          <w:sz w:val="28"/>
          <w:szCs w:val="28"/>
        </w:rPr>
      </w:pPr>
      <w:r w:rsidRPr="00050DF5">
        <w:rPr>
          <w:rFonts w:asciiTheme="majorHAnsi" w:hAnsiTheme="majorHAnsi"/>
          <w:sz w:val="28"/>
          <w:szCs w:val="28"/>
        </w:rPr>
        <w:t>IC</w:t>
      </w:r>
      <w:r w:rsidR="009A0482">
        <w:rPr>
          <w:rFonts w:asciiTheme="majorHAnsi" w:hAnsiTheme="majorHAnsi"/>
          <w:sz w:val="28"/>
          <w:szCs w:val="28"/>
        </w:rPr>
        <w:t>F “Alliance for Public Health”</w:t>
      </w:r>
    </w:p>
    <w:p w14:paraId="7E98420C" w14:textId="08609352" w:rsidR="00720038" w:rsidRPr="009A0482" w:rsidRDefault="00B209CC" w:rsidP="00050DF5">
      <w:pPr>
        <w:pBdr>
          <w:top w:val="nil"/>
          <w:left w:val="nil"/>
          <w:bottom w:val="nil"/>
          <w:right w:val="nil"/>
          <w:between w:val="nil"/>
        </w:pBdr>
        <w:spacing w:line="276" w:lineRule="auto"/>
        <w:jc w:val="both"/>
        <w:sectPr w:rsidR="00720038" w:rsidRPr="009A0482">
          <w:headerReference w:type="default" r:id="rId13"/>
          <w:footerReference w:type="default" r:id="rId14"/>
          <w:pgSz w:w="11906" w:h="16838"/>
          <w:pgMar w:top="1304" w:right="1134" w:bottom="1304" w:left="1134" w:header="720" w:footer="720" w:gutter="0"/>
          <w:pgNumType w:start="1"/>
          <w:cols w:space="720"/>
        </w:sectPr>
      </w:pPr>
      <w:r w:rsidRPr="00050DF5">
        <w:rPr>
          <w:rFonts w:asciiTheme="majorHAnsi" w:hAnsiTheme="majorHAnsi"/>
          <w:sz w:val="28"/>
          <w:szCs w:val="28"/>
        </w:rPr>
        <w:t xml:space="preserve">24, </w:t>
      </w:r>
      <w:proofErr w:type="spellStart"/>
      <w:r w:rsidRPr="00050DF5">
        <w:rPr>
          <w:rFonts w:asciiTheme="majorHAnsi" w:hAnsiTheme="majorHAnsi"/>
          <w:sz w:val="28"/>
          <w:szCs w:val="28"/>
        </w:rPr>
        <w:t>Bulvarno-Kudriavska</w:t>
      </w:r>
      <w:proofErr w:type="spellEnd"/>
      <w:r w:rsidRPr="00050DF5">
        <w:rPr>
          <w:rFonts w:asciiTheme="majorHAnsi" w:hAnsiTheme="majorHAnsi"/>
          <w:sz w:val="28"/>
          <w:szCs w:val="28"/>
        </w:rPr>
        <w:t xml:space="preserve"> Street, Kyiv, Ukraine</w:t>
      </w:r>
    </w:p>
    <w:p w14:paraId="322AB5A1" w14:textId="77777777" w:rsidR="00720038" w:rsidRPr="00050DF5" w:rsidRDefault="00B209CC" w:rsidP="00050DF5">
      <w:pPr>
        <w:pBdr>
          <w:top w:val="nil"/>
          <w:left w:val="nil"/>
          <w:bottom w:val="nil"/>
          <w:right w:val="nil"/>
          <w:between w:val="nil"/>
        </w:pBdr>
        <w:spacing w:after="200" w:line="276" w:lineRule="auto"/>
        <w:jc w:val="both"/>
        <w:rPr>
          <w:rFonts w:asciiTheme="majorHAnsi" w:eastAsia="Calibri" w:hAnsiTheme="majorHAnsi" w:cs="Calibri"/>
          <w:b/>
          <w:i/>
          <w:color w:val="FF0000"/>
          <w:sz w:val="20"/>
          <w:szCs w:val="20"/>
        </w:rPr>
      </w:pPr>
      <w:r w:rsidRPr="00050DF5">
        <w:rPr>
          <w:rFonts w:asciiTheme="majorHAnsi" w:eastAsia="Calibri" w:hAnsiTheme="majorHAnsi" w:cs="Calibri"/>
          <w:b/>
          <w:color w:val="000000"/>
          <w:sz w:val="32"/>
          <w:szCs w:val="32"/>
        </w:rPr>
        <w:lastRenderedPageBreak/>
        <w:t>Introduction</w:t>
      </w:r>
      <w:r w:rsidRPr="00050DF5">
        <w:rPr>
          <w:rFonts w:asciiTheme="majorHAnsi" w:eastAsia="Calibri" w:hAnsiTheme="majorHAnsi" w:cs="Calibri"/>
          <w:b/>
          <w:color w:val="000000"/>
          <w:sz w:val="32"/>
          <w:szCs w:val="32"/>
        </w:rPr>
        <w:br/>
      </w:r>
    </w:p>
    <w:p w14:paraId="2B86B14A" w14:textId="3632307D" w:rsidR="00720038" w:rsidRPr="00050DF5" w:rsidRDefault="00B209CC" w:rsidP="002F4821">
      <w:pPr>
        <w:pBdr>
          <w:top w:val="nil"/>
          <w:left w:val="nil"/>
          <w:bottom w:val="nil"/>
          <w:right w:val="nil"/>
          <w:between w:val="nil"/>
        </w:pBdr>
        <w:spacing w:line="276" w:lineRule="auto"/>
        <w:ind w:firstLine="720"/>
        <w:jc w:val="both"/>
        <w:rPr>
          <w:rFonts w:asciiTheme="majorHAnsi" w:hAnsiTheme="majorHAnsi"/>
          <w:sz w:val="28"/>
          <w:szCs w:val="28"/>
        </w:rPr>
      </w:pPr>
      <w:r w:rsidRPr="00050DF5">
        <w:rPr>
          <w:rFonts w:asciiTheme="majorHAnsi" w:hAnsiTheme="majorHAnsi"/>
          <w:sz w:val="28"/>
          <w:szCs w:val="28"/>
        </w:rPr>
        <w:t>We welcome the opportunity to present this material to the UN High Commissioner for Human Rights.</w:t>
      </w:r>
    </w:p>
    <w:p w14:paraId="694C2884" w14:textId="17F5F21A" w:rsidR="00720038" w:rsidRPr="00050DF5" w:rsidRDefault="000A32BD" w:rsidP="002F4821">
      <w:pPr>
        <w:pBdr>
          <w:top w:val="nil"/>
          <w:left w:val="nil"/>
          <w:bottom w:val="nil"/>
          <w:right w:val="nil"/>
          <w:between w:val="nil"/>
        </w:pBdr>
        <w:spacing w:line="276" w:lineRule="auto"/>
        <w:ind w:firstLine="720"/>
        <w:jc w:val="both"/>
        <w:rPr>
          <w:rFonts w:asciiTheme="majorHAnsi" w:hAnsiTheme="majorHAnsi"/>
          <w:sz w:val="28"/>
          <w:szCs w:val="28"/>
        </w:rPr>
      </w:pPr>
      <w:r w:rsidRPr="000A32BD">
        <w:rPr>
          <w:rFonts w:asciiTheme="majorHAnsi" w:hAnsiTheme="majorHAnsi"/>
          <w:sz w:val="28"/>
          <w:szCs w:val="28"/>
        </w:rPr>
        <w:t xml:space="preserve">International human rights treaties seek to promote respect for human dignity and freedom. </w:t>
      </w:r>
      <w:r w:rsidR="00B209CC" w:rsidRPr="00050DF5">
        <w:rPr>
          <w:rFonts w:asciiTheme="majorHAnsi" w:hAnsiTheme="majorHAnsi"/>
          <w:sz w:val="28"/>
          <w:szCs w:val="28"/>
        </w:rPr>
        <w:t xml:space="preserve">The criminalization of personal </w:t>
      </w:r>
      <w:r w:rsidR="009249C9">
        <w:rPr>
          <w:rFonts w:asciiTheme="majorHAnsi" w:hAnsiTheme="majorHAnsi"/>
          <w:sz w:val="28"/>
          <w:szCs w:val="28"/>
        </w:rPr>
        <w:t xml:space="preserve">drug </w:t>
      </w:r>
      <w:r w:rsidR="00B209CC" w:rsidRPr="00050DF5">
        <w:rPr>
          <w:rFonts w:asciiTheme="majorHAnsi" w:hAnsiTheme="majorHAnsi"/>
          <w:sz w:val="28"/>
          <w:szCs w:val="28"/>
        </w:rPr>
        <w:t>use infringes on human dignity and autonomy, especially when linked to health conditions, such as drug addiction. Criminalized possession of drugs leads to criminalizing personal use, thus placing many people with drug use issues and chronic substance dependence outside the law. According to the UN Special Rapporteur on the Right to Health, "Criminalization of drug use fuels the perception that people who use drugs are unproductive criminals or moral degenerates, which in turn allows disciplinary treatment approaches to proliferate.”</w:t>
      </w:r>
    </w:p>
    <w:p w14:paraId="29BB387B" w14:textId="236AF321" w:rsidR="00720038" w:rsidRPr="00050DF5" w:rsidRDefault="00B209CC" w:rsidP="002F4821">
      <w:pPr>
        <w:pBdr>
          <w:top w:val="nil"/>
          <w:left w:val="nil"/>
          <w:bottom w:val="nil"/>
          <w:right w:val="nil"/>
          <w:between w:val="nil"/>
        </w:pBdr>
        <w:spacing w:line="276" w:lineRule="auto"/>
        <w:ind w:firstLine="720"/>
        <w:jc w:val="both"/>
        <w:rPr>
          <w:rFonts w:asciiTheme="majorHAnsi" w:hAnsiTheme="majorHAnsi"/>
          <w:sz w:val="28"/>
          <w:szCs w:val="28"/>
        </w:rPr>
      </w:pPr>
      <w:r w:rsidRPr="00050DF5">
        <w:rPr>
          <w:rFonts w:asciiTheme="majorHAnsi" w:hAnsiTheme="majorHAnsi"/>
          <w:sz w:val="28"/>
          <w:szCs w:val="28"/>
        </w:rPr>
        <w:t>Existing evidence indicates that the criminalization of controlled substances has a discriminatory effect on marginalized communities. Laws imposing incarceration are discriminatory and disproportionate if applicable to drug use offen</w:t>
      </w:r>
      <w:r w:rsidR="007824FC">
        <w:rPr>
          <w:rFonts w:asciiTheme="majorHAnsi" w:hAnsiTheme="majorHAnsi"/>
          <w:sz w:val="28"/>
          <w:szCs w:val="28"/>
        </w:rPr>
        <w:t>c</w:t>
      </w:r>
      <w:r w:rsidRPr="00050DF5">
        <w:rPr>
          <w:rFonts w:asciiTheme="majorHAnsi" w:hAnsiTheme="majorHAnsi"/>
          <w:sz w:val="28"/>
          <w:szCs w:val="28"/>
        </w:rPr>
        <w:t xml:space="preserve">es, e.g., </w:t>
      </w:r>
    </w:p>
    <w:p w14:paraId="0E728913" w14:textId="77777777" w:rsidR="00720038" w:rsidRPr="00050DF5" w:rsidRDefault="00B209CC" w:rsidP="002F4821">
      <w:pPr>
        <w:numPr>
          <w:ilvl w:val="0"/>
          <w:numId w:val="2"/>
        </w:numPr>
        <w:pBdr>
          <w:top w:val="nil"/>
          <w:left w:val="nil"/>
          <w:bottom w:val="nil"/>
          <w:right w:val="nil"/>
          <w:between w:val="nil"/>
        </w:pBdr>
        <w:spacing w:line="276" w:lineRule="auto"/>
        <w:jc w:val="both"/>
        <w:rPr>
          <w:rFonts w:asciiTheme="majorHAnsi" w:eastAsia="Calibri" w:hAnsiTheme="majorHAnsi" w:cs="Calibri"/>
        </w:rPr>
      </w:pPr>
      <w:r w:rsidRPr="00050DF5">
        <w:rPr>
          <w:rFonts w:asciiTheme="majorHAnsi" w:hAnsiTheme="majorHAnsi"/>
          <w:sz w:val="28"/>
          <w:szCs w:val="28"/>
        </w:rPr>
        <w:t>Non-medical use of drugs;</w:t>
      </w:r>
    </w:p>
    <w:p w14:paraId="5B014ED4" w14:textId="2FBA59C4" w:rsidR="00720038" w:rsidRPr="00050DF5" w:rsidRDefault="00B209CC" w:rsidP="002F4821">
      <w:pPr>
        <w:numPr>
          <w:ilvl w:val="0"/>
          <w:numId w:val="2"/>
        </w:numPr>
        <w:pBdr>
          <w:top w:val="nil"/>
          <w:left w:val="nil"/>
          <w:bottom w:val="nil"/>
          <w:right w:val="nil"/>
          <w:between w:val="nil"/>
        </w:pBdr>
        <w:spacing w:line="276" w:lineRule="auto"/>
        <w:jc w:val="both"/>
        <w:rPr>
          <w:rFonts w:asciiTheme="majorHAnsi" w:eastAsia="Calibri" w:hAnsiTheme="majorHAnsi" w:cs="Calibri"/>
        </w:rPr>
      </w:pPr>
      <w:r w:rsidRPr="00050DF5">
        <w:rPr>
          <w:rFonts w:asciiTheme="majorHAnsi" w:hAnsiTheme="majorHAnsi"/>
          <w:sz w:val="28"/>
          <w:szCs w:val="28"/>
        </w:rPr>
        <w:t xml:space="preserve">Possession of any quantity of drugs without </w:t>
      </w:r>
      <w:r w:rsidR="00637701">
        <w:rPr>
          <w:rFonts w:asciiTheme="majorHAnsi" w:hAnsiTheme="majorHAnsi"/>
          <w:sz w:val="28"/>
          <w:szCs w:val="28"/>
        </w:rPr>
        <w:t xml:space="preserve">the </w:t>
      </w:r>
      <w:r w:rsidRPr="00050DF5">
        <w:rPr>
          <w:rFonts w:asciiTheme="majorHAnsi" w:hAnsiTheme="majorHAnsi"/>
          <w:sz w:val="28"/>
          <w:szCs w:val="28"/>
        </w:rPr>
        <w:t>intent to sell; and</w:t>
      </w:r>
    </w:p>
    <w:p w14:paraId="5C3A0C4E" w14:textId="77777777" w:rsidR="00720038" w:rsidRPr="00050DF5" w:rsidRDefault="00B209CC" w:rsidP="002F4821">
      <w:pPr>
        <w:numPr>
          <w:ilvl w:val="0"/>
          <w:numId w:val="2"/>
        </w:numPr>
        <w:pBdr>
          <w:top w:val="nil"/>
          <w:left w:val="nil"/>
          <w:bottom w:val="nil"/>
          <w:right w:val="nil"/>
          <w:between w:val="nil"/>
        </w:pBdr>
        <w:spacing w:line="276" w:lineRule="auto"/>
        <w:jc w:val="both"/>
        <w:rPr>
          <w:rFonts w:asciiTheme="majorHAnsi" w:eastAsia="Calibri" w:hAnsiTheme="majorHAnsi" w:cs="Calibri"/>
        </w:rPr>
      </w:pPr>
      <w:r w:rsidRPr="00050DF5">
        <w:rPr>
          <w:rFonts w:asciiTheme="majorHAnsi" w:hAnsiTheme="majorHAnsi"/>
          <w:sz w:val="28"/>
          <w:szCs w:val="28"/>
        </w:rPr>
        <w:t>Social distribution of drugs within a limited social group (usually peers).</w:t>
      </w:r>
    </w:p>
    <w:p w14:paraId="39F6FEC1" w14:textId="11E76485" w:rsidR="00720038" w:rsidRDefault="00B209CC" w:rsidP="002F4821">
      <w:pPr>
        <w:pBdr>
          <w:top w:val="nil"/>
          <w:left w:val="nil"/>
          <w:bottom w:val="nil"/>
          <w:right w:val="nil"/>
          <w:between w:val="nil"/>
        </w:pBdr>
        <w:spacing w:line="276" w:lineRule="auto"/>
        <w:ind w:firstLine="720"/>
        <w:jc w:val="both"/>
        <w:rPr>
          <w:rFonts w:asciiTheme="majorHAnsi" w:hAnsiTheme="majorHAnsi"/>
          <w:sz w:val="28"/>
          <w:szCs w:val="28"/>
        </w:rPr>
      </w:pPr>
      <w:r w:rsidRPr="00050DF5">
        <w:rPr>
          <w:rFonts w:asciiTheme="majorHAnsi" w:hAnsiTheme="majorHAnsi"/>
          <w:sz w:val="28"/>
          <w:szCs w:val="28"/>
        </w:rPr>
        <w:t>The report cites real-life examples of egregious human rights violations resulting from criminalization.</w:t>
      </w:r>
    </w:p>
    <w:p w14:paraId="7507FAE2" w14:textId="43DBC496" w:rsidR="00F2090D" w:rsidRDefault="00F2090D" w:rsidP="002F4821">
      <w:pPr>
        <w:pBdr>
          <w:top w:val="nil"/>
          <w:left w:val="nil"/>
          <w:bottom w:val="nil"/>
          <w:right w:val="nil"/>
          <w:between w:val="nil"/>
        </w:pBdr>
        <w:spacing w:line="276" w:lineRule="auto"/>
        <w:ind w:firstLine="720"/>
        <w:jc w:val="both"/>
        <w:rPr>
          <w:rFonts w:asciiTheme="majorHAnsi" w:hAnsiTheme="majorHAnsi"/>
          <w:sz w:val="28"/>
          <w:szCs w:val="28"/>
        </w:rPr>
      </w:pPr>
    </w:p>
    <w:p w14:paraId="61117B11" w14:textId="77777777" w:rsidR="00F2090D" w:rsidRPr="00050DF5" w:rsidRDefault="00F2090D" w:rsidP="002F4821">
      <w:pPr>
        <w:pBdr>
          <w:top w:val="nil"/>
          <w:left w:val="nil"/>
          <w:bottom w:val="nil"/>
          <w:right w:val="nil"/>
          <w:between w:val="nil"/>
        </w:pBdr>
        <w:spacing w:line="276" w:lineRule="auto"/>
        <w:ind w:firstLine="720"/>
        <w:jc w:val="both"/>
        <w:rPr>
          <w:rFonts w:asciiTheme="majorHAnsi" w:eastAsia="Calibri" w:hAnsiTheme="majorHAnsi" w:cs="Calibri"/>
        </w:rPr>
      </w:pPr>
    </w:p>
    <w:p w14:paraId="5397F39A" w14:textId="77777777" w:rsidR="00720038" w:rsidRPr="00050DF5" w:rsidRDefault="00B209CC" w:rsidP="00050DF5">
      <w:pPr>
        <w:pBdr>
          <w:top w:val="nil"/>
          <w:left w:val="nil"/>
          <w:bottom w:val="nil"/>
          <w:right w:val="nil"/>
          <w:between w:val="nil"/>
        </w:pBdr>
        <w:spacing w:after="200" w:line="276" w:lineRule="auto"/>
        <w:jc w:val="both"/>
        <w:rPr>
          <w:rFonts w:asciiTheme="majorHAnsi" w:eastAsia="Calibri" w:hAnsiTheme="majorHAnsi" w:cs="Calibri"/>
          <w:b/>
          <w:color w:val="000000"/>
          <w:sz w:val="32"/>
          <w:szCs w:val="32"/>
        </w:rPr>
      </w:pPr>
      <w:r w:rsidRPr="00050DF5">
        <w:rPr>
          <w:rFonts w:asciiTheme="majorHAnsi" w:eastAsia="Calibri" w:hAnsiTheme="majorHAnsi" w:cs="Calibri"/>
          <w:b/>
          <w:color w:val="000000"/>
          <w:sz w:val="32"/>
          <w:szCs w:val="32"/>
        </w:rPr>
        <w:t>Findings</w:t>
      </w:r>
    </w:p>
    <w:p w14:paraId="07692B59" w14:textId="77777777" w:rsidR="00720038" w:rsidRPr="00050DF5" w:rsidRDefault="00B209CC" w:rsidP="00050DF5">
      <w:pPr>
        <w:pBdr>
          <w:top w:val="nil"/>
          <w:left w:val="nil"/>
          <w:bottom w:val="nil"/>
          <w:right w:val="nil"/>
          <w:between w:val="nil"/>
        </w:pBdr>
        <w:spacing w:after="200" w:line="276" w:lineRule="auto"/>
        <w:jc w:val="both"/>
        <w:rPr>
          <w:rFonts w:asciiTheme="majorHAnsi" w:eastAsia="Calibri" w:hAnsiTheme="majorHAnsi" w:cs="Calibri"/>
          <w:b/>
          <w:sz w:val="32"/>
          <w:szCs w:val="32"/>
        </w:rPr>
      </w:pPr>
      <w:r w:rsidRPr="00050DF5">
        <w:rPr>
          <w:rFonts w:asciiTheme="majorHAnsi" w:eastAsia="Calibri" w:hAnsiTheme="majorHAnsi" w:cs="Calibri"/>
          <w:b/>
          <w:sz w:val="32"/>
          <w:szCs w:val="32"/>
        </w:rPr>
        <w:t>Draconian Drug Laws</w:t>
      </w:r>
    </w:p>
    <w:p w14:paraId="68B0A4FC" w14:textId="7EA3A02B" w:rsidR="00720038" w:rsidRPr="00050DF5" w:rsidRDefault="00B209CC" w:rsidP="00050DF5">
      <w:pPr>
        <w:spacing w:line="276" w:lineRule="auto"/>
        <w:ind w:firstLine="851"/>
        <w:jc w:val="both"/>
        <w:rPr>
          <w:rFonts w:asciiTheme="majorHAnsi" w:hAnsiTheme="majorHAnsi"/>
          <w:sz w:val="28"/>
          <w:szCs w:val="28"/>
        </w:rPr>
      </w:pPr>
      <w:r w:rsidRPr="00050DF5">
        <w:rPr>
          <w:rFonts w:asciiTheme="majorHAnsi" w:hAnsiTheme="majorHAnsi"/>
          <w:sz w:val="28"/>
          <w:szCs w:val="28"/>
        </w:rPr>
        <w:t xml:space="preserve">In Ukraine, drug use-related behavior is seen as a criminal justice issue. Possession of drugs without </w:t>
      </w:r>
      <w:r w:rsidR="00637701">
        <w:rPr>
          <w:rFonts w:asciiTheme="majorHAnsi" w:hAnsiTheme="majorHAnsi"/>
          <w:sz w:val="28"/>
          <w:szCs w:val="28"/>
        </w:rPr>
        <w:t xml:space="preserve">the </w:t>
      </w:r>
      <w:r w:rsidRPr="00050DF5">
        <w:rPr>
          <w:rFonts w:asciiTheme="majorHAnsi" w:hAnsiTheme="majorHAnsi"/>
          <w:sz w:val="28"/>
          <w:szCs w:val="28"/>
        </w:rPr>
        <w:t>intent to sell is an administrative or criminal offen</w:t>
      </w:r>
      <w:r w:rsidR="007824FC">
        <w:rPr>
          <w:rFonts w:asciiTheme="majorHAnsi" w:hAnsiTheme="majorHAnsi"/>
          <w:sz w:val="28"/>
          <w:szCs w:val="28"/>
        </w:rPr>
        <w:t>c</w:t>
      </w:r>
      <w:r w:rsidRPr="00050DF5">
        <w:rPr>
          <w:rFonts w:asciiTheme="majorHAnsi" w:hAnsiTheme="majorHAnsi"/>
          <w:sz w:val="28"/>
          <w:szCs w:val="28"/>
        </w:rPr>
        <w:t>e, depending on the amount of drugs in possession.</w:t>
      </w:r>
    </w:p>
    <w:p w14:paraId="5BB64577" w14:textId="3E7AFC7C" w:rsidR="00720038" w:rsidRPr="00E879E4" w:rsidRDefault="00B209CC" w:rsidP="00050DF5">
      <w:pPr>
        <w:spacing w:line="276" w:lineRule="auto"/>
        <w:jc w:val="both"/>
        <w:rPr>
          <w:rFonts w:asciiTheme="majorHAnsi" w:hAnsiTheme="majorHAnsi"/>
          <w:sz w:val="28"/>
          <w:szCs w:val="28"/>
        </w:rPr>
      </w:pPr>
      <w:r w:rsidRPr="00050DF5">
        <w:rPr>
          <w:rFonts w:asciiTheme="majorHAnsi" w:hAnsiTheme="majorHAnsi"/>
          <w:sz w:val="28"/>
          <w:szCs w:val="28"/>
        </w:rPr>
        <w:tab/>
        <w:t xml:space="preserve">The Criminal Code </w:t>
      </w:r>
      <w:r w:rsidRPr="00E879E4">
        <w:rPr>
          <w:rFonts w:asciiTheme="majorHAnsi" w:hAnsiTheme="majorHAnsi"/>
          <w:sz w:val="28"/>
          <w:szCs w:val="28"/>
        </w:rPr>
        <w:t xml:space="preserve">of Ukraine (CCU) (Art 3(3)) defines criminality as well as its punishment and other criminal and legal consequences of the action. </w:t>
      </w:r>
      <w:r w:rsidR="00637701" w:rsidRPr="00E879E4">
        <w:rPr>
          <w:rFonts w:asciiTheme="majorHAnsi" w:hAnsiTheme="majorHAnsi"/>
          <w:sz w:val="28"/>
          <w:szCs w:val="28"/>
        </w:rPr>
        <w:t>For</w:t>
      </w:r>
      <w:r w:rsidRPr="00E879E4">
        <w:rPr>
          <w:rFonts w:asciiTheme="majorHAnsi" w:hAnsiTheme="majorHAnsi"/>
          <w:sz w:val="28"/>
          <w:szCs w:val="28"/>
        </w:rPr>
        <w:t xml:space="preserve"> criminal liability, the Ministry of Health (</w:t>
      </w:r>
      <w:proofErr w:type="spellStart"/>
      <w:r w:rsidRPr="00E879E4">
        <w:rPr>
          <w:rFonts w:asciiTheme="majorHAnsi" w:hAnsiTheme="majorHAnsi"/>
          <w:sz w:val="28"/>
          <w:szCs w:val="28"/>
        </w:rPr>
        <w:t>MoH</w:t>
      </w:r>
      <w:proofErr w:type="spellEnd"/>
      <w:r w:rsidRPr="00E879E4">
        <w:rPr>
          <w:rFonts w:asciiTheme="majorHAnsi" w:hAnsiTheme="majorHAnsi"/>
          <w:sz w:val="28"/>
          <w:szCs w:val="28"/>
        </w:rPr>
        <w:t>) Order of August 1, 2000</w:t>
      </w:r>
      <w:r w:rsidRPr="00E879E4">
        <w:rPr>
          <w:rFonts w:asciiTheme="majorHAnsi" w:hAnsiTheme="majorHAnsi"/>
          <w:sz w:val="28"/>
          <w:szCs w:val="28"/>
          <w:vertAlign w:val="superscript"/>
        </w:rPr>
        <w:footnoteReference w:id="1"/>
      </w:r>
      <w:r w:rsidRPr="00E879E4">
        <w:rPr>
          <w:rFonts w:asciiTheme="majorHAnsi" w:hAnsiTheme="majorHAnsi"/>
          <w:sz w:val="28"/>
          <w:szCs w:val="28"/>
        </w:rPr>
        <w:t xml:space="preserve">, serves to clarify what quantities of illegal drugs may be considered “small,” “large” and “extra-large” </w:t>
      </w:r>
      <w:r w:rsidRPr="00E879E4">
        <w:rPr>
          <w:rFonts w:asciiTheme="majorHAnsi" w:hAnsiTheme="majorHAnsi"/>
          <w:sz w:val="28"/>
          <w:szCs w:val="28"/>
        </w:rPr>
        <w:lastRenderedPageBreak/>
        <w:t xml:space="preserve">(threshold quantities). On July 29, 2010, the </w:t>
      </w:r>
      <w:proofErr w:type="spellStart"/>
      <w:r w:rsidRPr="00E879E4">
        <w:rPr>
          <w:rFonts w:asciiTheme="majorHAnsi" w:hAnsiTheme="majorHAnsi"/>
          <w:sz w:val="28"/>
          <w:szCs w:val="28"/>
        </w:rPr>
        <w:t>MoH</w:t>
      </w:r>
      <w:proofErr w:type="spellEnd"/>
      <w:r w:rsidRPr="00E879E4">
        <w:rPr>
          <w:rFonts w:asciiTheme="majorHAnsi" w:hAnsiTheme="majorHAnsi"/>
          <w:sz w:val="28"/>
          <w:szCs w:val="28"/>
        </w:rPr>
        <w:t xml:space="preserve"> adopted amendments to that Order</w:t>
      </w:r>
      <w:r w:rsidRPr="00E879E4">
        <w:rPr>
          <w:rFonts w:asciiTheme="majorHAnsi" w:hAnsiTheme="majorHAnsi"/>
          <w:sz w:val="28"/>
          <w:szCs w:val="28"/>
          <w:vertAlign w:val="superscript"/>
        </w:rPr>
        <w:footnoteReference w:id="2"/>
      </w:r>
      <w:r w:rsidRPr="00E879E4">
        <w:rPr>
          <w:rFonts w:asciiTheme="majorHAnsi" w:hAnsiTheme="majorHAnsi"/>
          <w:sz w:val="28"/>
          <w:szCs w:val="28"/>
        </w:rPr>
        <w:t xml:space="preserve"> that significantly reduced the legal threshold for “small,” “large,” and “extra-large” quantities of certain types of illegal drugs, including those most commonly used by people who use drugs (PWUD) in Ukraine. The threshold for criminal liability for possession of acetylated opium, one of the most widely used illegal injected drugs in Ukraine, for example, was reduced by a factor of 20. Anyone in possession of as little as 0.005 grams of acetylated opium or heroin faces criminal prosecution and a penalty of up to three years of incarceration. This quantity is so minute that it is approximately equivalent to the amount found in the residue of used syringes.</w:t>
      </w:r>
    </w:p>
    <w:p w14:paraId="7A93D1F9" w14:textId="035E3FD8" w:rsidR="002B4B9E" w:rsidRPr="00E879E4" w:rsidRDefault="00B209CC" w:rsidP="002B4B9E">
      <w:pPr>
        <w:spacing w:line="276" w:lineRule="auto"/>
        <w:ind w:firstLine="720"/>
        <w:jc w:val="both"/>
        <w:rPr>
          <w:rFonts w:asciiTheme="majorHAnsi" w:hAnsiTheme="majorHAnsi"/>
          <w:sz w:val="28"/>
          <w:szCs w:val="28"/>
        </w:rPr>
      </w:pPr>
      <w:r w:rsidRPr="00E879E4">
        <w:rPr>
          <w:rFonts w:asciiTheme="majorHAnsi" w:hAnsiTheme="majorHAnsi"/>
          <w:sz w:val="28"/>
          <w:szCs w:val="28"/>
        </w:rPr>
        <w:t>In 2022, the Code of Administrative Offen</w:t>
      </w:r>
      <w:r w:rsidR="007824FC">
        <w:rPr>
          <w:rFonts w:asciiTheme="majorHAnsi" w:hAnsiTheme="majorHAnsi"/>
          <w:sz w:val="28"/>
          <w:szCs w:val="28"/>
        </w:rPr>
        <w:t>c</w:t>
      </w:r>
      <w:r w:rsidR="009A2955">
        <w:rPr>
          <w:rFonts w:asciiTheme="majorHAnsi" w:hAnsiTheme="majorHAnsi"/>
          <w:sz w:val="28"/>
          <w:szCs w:val="28"/>
        </w:rPr>
        <w:t>es</w:t>
      </w:r>
      <w:r w:rsidRPr="00E879E4">
        <w:rPr>
          <w:rFonts w:asciiTheme="majorHAnsi" w:hAnsiTheme="majorHAnsi"/>
          <w:sz w:val="28"/>
          <w:szCs w:val="28"/>
          <w:vertAlign w:val="superscript"/>
        </w:rPr>
        <w:footnoteReference w:id="3"/>
      </w:r>
      <w:r w:rsidRPr="00E879E4">
        <w:rPr>
          <w:rFonts w:asciiTheme="majorHAnsi" w:hAnsiTheme="majorHAnsi"/>
          <w:sz w:val="28"/>
          <w:szCs w:val="28"/>
        </w:rPr>
        <w:t xml:space="preserve"> was amended. Its Article 44 now provides for a double fine from $22 to $45 or administrative arrest for up to 15 days for the illegal manufacture, purchase, possession, </w:t>
      </w:r>
      <w:r w:rsidR="001D2551" w:rsidRPr="00E879E4">
        <w:rPr>
          <w:rFonts w:asciiTheme="majorHAnsi" w:hAnsiTheme="majorHAnsi"/>
          <w:sz w:val="28"/>
          <w:szCs w:val="28"/>
        </w:rPr>
        <w:t xml:space="preserve">or </w:t>
      </w:r>
      <w:r w:rsidRPr="00E879E4">
        <w:rPr>
          <w:rFonts w:asciiTheme="majorHAnsi" w:hAnsiTheme="majorHAnsi"/>
          <w:sz w:val="28"/>
          <w:szCs w:val="28"/>
        </w:rPr>
        <w:t xml:space="preserve">transportation of </w:t>
      </w:r>
      <w:r w:rsidR="00FF2551" w:rsidRPr="00E879E4">
        <w:rPr>
          <w:rFonts w:asciiTheme="majorHAnsi" w:hAnsiTheme="majorHAnsi"/>
          <w:sz w:val="28"/>
          <w:szCs w:val="28"/>
        </w:rPr>
        <w:t xml:space="preserve">illegal drugs </w:t>
      </w:r>
      <w:r w:rsidRPr="00E879E4">
        <w:rPr>
          <w:rFonts w:asciiTheme="majorHAnsi" w:hAnsiTheme="majorHAnsi"/>
          <w:sz w:val="28"/>
          <w:szCs w:val="28"/>
        </w:rPr>
        <w:t xml:space="preserve">or psychotropic substances in small amounts without intent to sell. Moreover, this unjustified increase of responsibility allegedly facilitates </w:t>
      </w:r>
      <w:r w:rsidR="00637701" w:rsidRPr="00E879E4">
        <w:rPr>
          <w:rFonts w:asciiTheme="majorHAnsi" w:hAnsiTheme="majorHAnsi"/>
          <w:sz w:val="28"/>
          <w:szCs w:val="28"/>
        </w:rPr>
        <w:t xml:space="preserve">the </w:t>
      </w:r>
      <w:r w:rsidRPr="00E879E4">
        <w:rPr>
          <w:rFonts w:asciiTheme="majorHAnsi" w:hAnsiTheme="majorHAnsi"/>
          <w:sz w:val="28"/>
          <w:szCs w:val="28"/>
        </w:rPr>
        <w:t>"implementation of the decisions of the European Court of Human Rights.” As a result, both society and participants involved in public discussions were misled as to the purpose and content of the proposed changes.</w:t>
      </w:r>
    </w:p>
    <w:p w14:paraId="13EB454E" w14:textId="77777777" w:rsidR="00720038" w:rsidRPr="00E879E4" w:rsidRDefault="002B4B9E" w:rsidP="002B4B9E">
      <w:pPr>
        <w:spacing w:line="276" w:lineRule="auto"/>
        <w:ind w:firstLine="851"/>
        <w:jc w:val="both"/>
        <w:rPr>
          <w:rFonts w:asciiTheme="majorHAnsi" w:hAnsiTheme="majorHAnsi"/>
          <w:sz w:val="28"/>
          <w:szCs w:val="28"/>
        </w:rPr>
      </w:pPr>
      <w:r w:rsidRPr="00E879E4">
        <w:rPr>
          <w:rFonts w:asciiTheme="majorHAnsi" w:hAnsiTheme="majorHAnsi"/>
          <w:sz w:val="28"/>
          <w:szCs w:val="28"/>
        </w:rPr>
        <w:t>Under the criminal liability (Article 309 of the CCU</w:t>
      </w:r>
      <w:r w:rsidRPr="00E879E4">
        <w:rPr>
          <w:rFonts w:asciiTheme="majorHAnsi" w:hAnsiTheme="majorHAnsi"/>
          <w:sz w:val="28"/>
          <w:szCs w:val="28"/>
          <w:vertAlign w:val="superscript"/>
        </w:rPr>
        <w:footnoteReference w:id="4"/>
      </w:r>
      <w:r w:rsidRPr="00E879E4">
        <w:rPr>
          <w:rFonts w:asciiTheme="majorHAnsi" w:hAnsiTheme="majorHAnsi"/>
          <w:sz w:val="28"/>
          <w:szCs w:val="28"/>
        </w:rPr>
        <w:t xml:space="preserve">) a fine from $445 to $1,345 or correctional labor for up to two years, or arrest for up to six months, or restriction of freedom for up to five years are applied. </w:t>
      </w:r>
      <w:r w:rsidR="00B209CC" w:rsidRPr="00E879E4">
        <w:rPr>
          <w:rFonts w:asciiTheme="majorHAnsi" w:hAnsiTheme="majorHAnsi"/>
          <w:sz w:val="28"/>
          <w:szCs w:val="28"/>
        </w:rPr>
        <w:t xml:space="preserve">Similar activities involving </w:t>
      </w:r>
      <w:r w:rsidR="00FF2551" w:rsidRPr="00E879E4">
        <w:rPr>
          <w:rFonts w:asciiTheme="majorHAnsi" w:hAnsiTheme="majorHAnsi"/>
          <w:sz w:val="28"/>
          <w:szCs w:val="28"/>
        </w:rPr>
        <w:t>illegal drugs</w:t>
      </w:r>
      <w:r w:rsidR="00B209CC" w:rsidRPr="00E879E4">
        <w:rPr>
          <w:rFonts w:asciiTheme="majorHAnsi" w:hAnsiTheme="majorHAnsi"/>
          <w:sz w:val="28"/>
          <w:szCs w:val="28"/>
        </w:rPr>
        <w:t xml:space="preserve"> in large amounts: </w:t>
      </w:r>
      <w:r w:rsidRPr="00E879E4">
        <w:rPr>
          <w:rFonts w:asciiTheme="majorHAnsi" w:hAnsiTheme="majorHAnsi"/>
          <w:sz w:val="28"/>
          <w:szCs w:val="28"/>
        </w:rPr>
        <w:t>a</w:t>
      </w:r>
      <w:r w:rsidR="00B209CC" w:rsidRPr="00E879E4">
        <w:rPr>
          <w:rFonts w:asciiTheme="majorHAnsi" w:hAnsiTheme="majorHAnsi"/>
          <w:sz w:val="28"/>
          <w:szCs w:val="28"/>
        </w:rPr>
        <w:t xml:space="preserve"> fine from $910 to $2,276 or imprisonment for up to three years.</w:t>
      </w:r>
    </w:p>
    <w:p w14:paraId="43CE80F3" w14:textId="7A69BB33" w:rsidR="00720038" w:rsidRPr="00E879E4" w:rsidRDefault="00B209CC" w:rsidP="007E7044">
      <w:pPr>
        <w:spacing w:line="276" w:lineRule="auto"/>
        <w:ind w:firstLine="851"/>
        <w:jc w:val="both"/>
        <w:rPr>
          <w:rFonts w:asciiTheme="majorHAnsi" w:hAnsiTheme="majorHAnsi"/>
          <w:sz w:val="28"/>
          <w:szCs w:val="28"/>
        </w:rPr>
      </w:pPr>
      <w:r w:rsidRPr="00E879E4">
        <w:rPr>
          <w:rFonts w:asciiTheme="majorHAnsi" w:hAnsiTheme="majorHAnsi"/>
          <w:sz w:val="28"/>
          <w:szCs w:val="28"/>
        </w:rPr>
        <w:t>Based on official data, in 2021, 14,109</w:t>
      </w:r>
      <w:r w:rsidRPr="00E879E4">
        <w:rPr>
          <w:rFonts w:asciiTheme="majorHAnsi" w:hAnsiTheme="majorHAnsi"/>
          <w:sz w:val="28"/>
          <w:szCs w:val="28"/>
          <w:vertAlign w:val="superscript"/>
        </w:rPr>
        <w:footnoteReference w:id="5"/>
      </w:r>
      <w:r w:rsidRPr="00E879E4">
        <w:rPr>
          <w:rFonts w:asciiTheme="majorHAnsi" w:hAnsiTheme="majorHAnsi"/>
          <w:sz w:val="28"/>
          <w:szCs w:val="28"/>
        </w:rPr>
        <w:t xml:space="preserve"> offen</w:t>
      </w:r>
      <w:r w:rsidR="007824FC">
        <w:rPr>
          <w:rFonts w:asciiTheme="majorHAnsi" w:hAnsiTheme="majorHAnsi"/>
          <w:sz w:val="28"/>
          <w:szCs w:val="28"/>
        </w:rPr>
        <w:t>c</w:t>
      </w:r>
      <w:r w:rsidRPr="00E879E4">
        <w:rPr>
          <w:rFonts w:asciiTheme="majorHAnsi" w:hAnsiTheme="majorHAnsi"/>
          <w:sz w:val="28"/>
          <w:szCs w:val="28"/>
        </w:rPr>
        <w:t xml:space="preserve">es under Article 309 (CCU) were </w:t>
      </w:r>
      <w:r w:rsidR="0077187B" w:rsidRPr="00E879E4">
        <w:rPr>
          <w:rFonts w:asciiTheme="majorHAnsi" w:hAnsiTheme="majorHAnsi"/>
          <w:sz w:val="28"/>
          <w:szCs w:val="28"/>
        </w:rPr>
        <w:t>recorded. A</w:t>
      </w:r>
      <w:r w:rsidRPr="00E879E4">
        <w:rPr>
          <w:rFonts w:asciiTheme="majorHAnsi" w:hAnsiTheme="majorHAnsi"/>
          <w:sz w:val="28"/>
          <w:szCs w:val="28"/>
        </w:rPr>
        <w:t xml:space="preserve"> third of all punishments are fines, although, as of the time of the offen</w:t>
      </w:r>
      <w:r w:rsidR="007824FC">
        <w:rPr>
          <w:rFonts w:asciiTheme="majorHAnsi" w:hAnsiTheme="majorHAnsi"/>
          <w:sz w:val="28"/>
          <w:szCs w:val="28"/>
        </w:rPr>
        <w:t>c</w:t>
      </w:r>
      <w:r w:rsidRPr="00E879E4">
        <w:rPr>
          <w:rFonts w:asciiTheme="majorHAnsi" w:hAnsiTheme="majorHAnsi"/>
          <w:sz w:val="28"/>
          <w:szCs w:val="28"/>
        </w:rPr>
        <w:t xml:space="preserve">e, 80 percent of those convicted were unemployed, with no legal source of income. </w:t>
      </w:r>
      <w:r w:rsidR="007E7044" w:rsidRPr="00E879E4">
        <w:rPr>
          <w:rFonts w:asciiTheme="majorHAnsi" w:hAnsiTheme="majorHAnsi"/>
          <w:sz w:val="28"/>
          <w:szCs w:val="28"/>
        </w:rPr>
        <w:t>T</w:t>
      </w:r>
      <w:r w:rsidRPr="00E879E4">
        <w:rPr>
          <w:rFonts w:asciiTheme="majorHAnsi" w:hAnsiTheme="majorHAnsi"/>
          <w:sz w:val="28"/>
          <w:szCs w:val="28"/>
        </w:rPr>
        <w:t>he number of those convicted under Article 309 (CCU) in 2022 was 6,516</w:t>
      </w:r>
      <w:r w:rsidRPr="00E879E4">
        <w:rPr>
          <w:rFonts w:asciiTheme="majorHAnsi" w:hAnsiTheme="majorHAnsi"/>
          <w:sz w:val="28"/>
          <w:szCs w:val="28"/>
          <w:vertAlign w:val="superscript"/>
        </w:rPr>
        <w:footnoteReference w:id="6"/>
      </w:r>
      <w:r w:rsidRPr="00E879E4">
        <w:rPr>
          <w:rFonts w:asciiTheme="majorHAnsi" w:hAnsiTheme="majorHAnsi"/>
          <w:sz w:val="28"/>
          <w:szCs w:val="28"/>
        </w:rPr>
        <w:t xml:space="preserve"> (vs. 7,145</w:t>
      </w:r>
      <w:r w:rsidRPr="00E879E4">
        <w:rPr>
          <w:rFonts w:asciiTheme="majorHAnsi" w:hAnsiTheme="majorHAnsi"/>
          <w:sz w:val="28"/>
          <w:szCs w:val="28"/>
          <w:vertAlign w:val="superscript"/>
        </w:rPr>
        <w:footnoteReference w:id="7"/>
      </w:r>
      <w:r w:rsidRPr="00E879E4">
        <w:rPr>
          <w:rFonts w:asciiTheme="majorHAnsi" w:hAnsiTheme="majorHAnsi"/>
          <w:sz w:val="28"/>
          <w:szCs w:val="28"/>
        </w:rPr>
        <w:t xml:space="preserve"> in 2021). </w:t>
      </w:r>
    </w:p>
    <w:p w14:paraId="6435CC48" w14:textId="637147AE" w:rsidR="00720038" w:rsidRPr="00050DF5" w:rsidRDefault="00B209CC" w:rsidP="00050DF5">
      <w:pPr>
        <w:spacing w:line="276" w:lineRule="auto"/>
        <w:ind w:firstLine="851"/>
        <w:jc w:val="both"/>
        <w:rPr>
          <w:rFonts w:asciiTheme="majorHAnsi" w:hAnsiTheme="majorHAnsi"/>
          <w:sz w:val="28"/>
          <w:szCs w:val="28"/>
        </w:rPr>
      </w:pPr>
      <w:r w:rsidRPr="00E879E4">
        <w:rPr>
          <w:rFonts w:asciiTheme="majorHAnsi" w:hAnsiTheme="majorHAnsi"/>
          <w:sz w:val="28"/>
          <w:szCs w:val="28"/>
        </w:rPr>
        <w:t xml:space="preserve">There is currently no state drug strategy in Ukraine. The previous strategy for 2013-2020 contained provisions that would decriminalize </w:t>
      </w:r>
      <w:r w:rsidR="00F3103C" w:rsidRPr="00E879E4">
        <w:rPr>
          <w:rFonts w:asciiTheme="majorHAnsi" w:hAnsiTheme="majorHAnsi"/>
          <w:sz w:val="28"/>
          <w:szCs w:val="28"/>
        </w:rPr>
        <w:t>PWUD</w:t>
      </w:r>
      <w:r w:rsidRPr="00E879E4">
        <w:rPr>
          <w:rFonts w:asciiTheme="majorHAnsi" w:hAnsiTheme="majorHAnsi"/>
          <w:sz w:val="28"/>
          <w:szCs w:val="28"/>
        </w:rPr>
        <w:t xml:space="preserve">, but these ambitious </w:t>
      </w:r>
      <w:r w:rsidRPr="00050DF5">
        <w:rPr>
          <w:rFonts w:asciiTheme="majorHAnsi" w:hAnsiTheme="majorHAnsi"/>
          <w:sz w:val="28"/>
          <w:szCs w:val="28"/>
        </w:rPr>
        <w:lastRenderedPageBreak/>
        <w:t>plans have not been implemented.</w:t>
      </w:r>
      <w:r w:rsidRPr="00050DF5">
        <w:rPr>
          <w:rFonts w:asciiTheme="majorHAnsi" w:hAnsiTheme="majorHAnsi"/>
          <w:sz w:val="28"/>
          <w:szCs w:val="28"/>
          <w:vertAlign w:val="superscript"/>
        </w:rPr>
        <w:footnoteReference w:id="8"/>
      </w:r>
      <w:r w:rsidRPr="00050DF5">
        <w:rPr>
          <w:rFonts w:asciiTheme="majorHAnsi" w:hAnsiTheme="majorHAnsi"/>
          <w:sz w:val="28"/>
          <w:szCs w:val="28"/>
        </w:rPr>
        <w:t xml:space="preserve"> The punitive approach is fully transferred to the new draft CCU.</w:t>
      </w:r>
      <w:r w:rsidRPr="00050DF5">
        <w:rPr>
          <w:rFonts w:asciiTheme="majorHAnsi" w:hAnsiTheme="majorHAnsi"/>
          <w:sz w:val="28"/>
          <w:szCs w:val="28"/>
          <w:vertAlign w:val="superscript"/>
        </w:rPr>
        <w:footnoteReference w:id="9"/>
      </w:r>
    </w:p>
    <w:p w14:paraId="7EEAD678" w14:textId="77777777" w:rsidR="00720038" w:rsidRPr="00050DF5" w:rsidRDefault="00720038" w:rsidP="00050DF5">
      <w:pPr>
        <w:spacing w:line="276" w:lineRule="auto"/>
        <w:ind w:firstLine="851"/>
        <w:jc w:val="both"/>
        <w:rPr>
          <w:rFonts w:asciiTheme="majorHAnsi" w:hAnsiTheme="majorHAnsi"/>
          <w:sz w:val="28"/>
          <w:szCs w:val="28"/>
        </w:rPr>
      </w:pPr>
    </w:p>
    <w:p w14:paraId="1232C484" w14:textId="77777777" w:rsidR="00720038" w:rsidRPr="00050DF5" w:rsidRDefault="00B209CC" w:rsidP="00050DF5">
      <w:pPr>
        <w:spacing w:line="276" w:lineRule="auto"/>
        <w:ind w:firstLine="851"/>
        <w:jc w:val="both"/>
        <w:rPr>
          <w:rFonts w:asciiTheme="majorHAnsi" w:hAnsiTheme="majorHAnsi"/>
          <w:b/>
          <w:sz w:val="28"/>
          <w:szCs w:val="28"/>
        </w:rPr>
      </w:pPr>
      <w:r w:rsidRPr="00050DF5">
        <w:rPr>
          <w:rFonts w:asciiTheme="majorHAnsi" w:hAnsiTheme="majorHAnsi"/>
          <w:b/>
          <w:sz w:val="28"/>
          <w:szCs w:val="28"/>
        </w:rPr>
        <w:t>Unreasonably Broad Definition of the Offence of Trafficking</w:t>
      </w:r>
    </w:p>
    <w:p w14:paraId="40A9A670" w14:textId="77777777" w:rsidR="00720038" w:rsidRPr="00050DF5" w:rsidRDefault="00720038" w:rsidP="00050DF5">
      <w:pPr>
        <w:spacing w:line="276" w:lineRule="auto"/>
        <w:ind w:firstLine="851"/>
        <w:jc w:val="both"/>
        <w:rPr>
          <w:rFonts w:asciiTheme="majorHAnsi" w:hAnsiTheme="majorHAnsi"/>
          <w:sz w:val="28"/>
          <w:szCs w:val="28"/>
        </w:rPr>
      </w:pPr>
    </w:p>
    <w:p w14:paraId="4762F027" w14:textId="77777777" w:rsidR="00720038" w:rsidRPr="00050DF5" w:rsidRDefault="00B209CC" w:rsidP="00050DF5">
      <w:pPr>
        <w:spacing w:line="276" w:lineRule="auto"/>
        <w:ind w:firstLine="851"/>
        <w:jc w:val="both"/>
        <w:rPr>
          <w:rFonts w:asciiTheme="majorHAnsi" w:hAnsiTheme="majorHAnsi"/>
          <w:sz w:val="28"/>
          <w:szCs w:val="28"/>
        </w:rPr>
      </w:pPr>
      <w:r w:rsidRPr="00050DF5">
        <w:rPr>
          <w:rFonts w:asciiTheme="majorHAnsi" w:hAnsiTheme="majorHAnsi"/>
          <w:sz w:val="28"/>
          <w:szCs w:val="28"/>
        </w:rPr>
        <w:t xml:space="preserve">The sale of drugs and preparations is interpreted too broadly in Ukraine. Any alienation or delivery of drugs is considered drug trafficking, regardless of payment, purpose (earnings, gift), or regularity of activities involved. This entails prosecution for people who handle drugs in the context of drug use rather than those who sell drugs for the purpose of systematic enrichment. </w:t>
      </w:r>
    </w:p>
    <w:p w14:paraId="5E70006A" w14:textId="5C1E177B" w:rsidR="00720038" w:rsidRPr="00DB2A13" w:rsidRDefault="00B209CC" w:rsidP="00DB2A13">
      <w:pPr>
        <w:spacing w:line="276" w:lineRule="auto"/>
        <w:ind w:firstLine="851"/>
        <w:jc w:val="both"/>
        <w:rPr>
          <w:rFonts w:asciiTheme="majorHAnsi" w:hAnsiTheme="majorHAnsi"/>
          <w:sz w:val="28"/>
          <w:szCs w:val="28"/>
          <w:vertAlign w:val="superscript"/>
        </w:rPr>
      </w:pPr>
      <w:r w:rsidRPr="00050DF5">
        <w:rPr>
          <w:rFonts w:asciiTheme="majorHAnsi" w:hAnsiTheme="majorHAnsi"/>
          <w:sz w:val="28"/>
          <w:szCs w:val="28"/>
        </w:rPr>
        <w:t xml:space="preserve">The broad definition of the offence of trafficking provides for the unlimited mandate for police to frame </w:t>
      </w:r>
      <w:r w:rsidR="00C07210">
        <w:rPr>
          <w:rFonts w:asciiTheme="majorHAnsi" w:hAnsiTheme="majorHAnsi"/>
          <w:sz w:val="28"/>
          <w:szCs w:val="28"/>
        </w:rPr>
        <w:t>PWUD</w:t>
      </w:r>
      <w:r w:rsidRPr="00050DF5">
        <w:rPr>
          <w:rFonts w:asciiTheme="majorHAnsi" w:hAnsiTheme="majorHAnsi"/>
          <w:sz w:val="28"/>
          <w:szCs w:val="28"/>
        </w:rPr>
        <w:t xml:space="preserve"> as drug traffickers. The criminalization of PWUD creates a legal basis for human rights abuses by police.</w:t>
      </w:r>
      <w:r w:rsidR="00F56809">
        <w:rPr>
          <w:rFonts w:asciiTheme="majorHAnsi" w:hAnsiTheme="majorHAnsi"/>
          <w:sz w:val="28"/>
          <w:szCs w:val="28"/>
        </w:rPr>
        <w:t xml:space="preserve"> Based on the data</w:t>
      </w:r>
      <w:r w:rsidRPr="00050DF5">
        <w:rPr>
          <w:rFonts w:asciiTheme="majorHAnsi" w:hAnsiTheme="majorHAnsi"/>
          <w:sz w:val="28"/>
          <w:szCs w:val="28"/>
        </w:rPr>
        <w:t xml:space="preserve"> </w:t>
      </w:r>
      <w:r w:rsidR="00F56809">
        <w:rPr>
          <w:rFonts w:asciiTheme="majorHAnsi" w:hAnsiTheme="majorHAnsi"/>
          <w:sz w:val="28"/>
          <w:szCs w:val="28"/>
        </w:rPr>
        <w:t>of</w:t>
      </w:r>
      <w:r w:rsidRPr="00050DF5">
        <w:rPr>
          <w:rFonts w:asciiTheme="majorHAnsi" w:hAnsiTheme="majorHAnsi"/>
          <w:sz w:val="28"/>
          <w:szCs w:val="28"/>
        </w:rPr>
        <w:t xml:space="preserve"> one of the most extensive in-country systems for monitoring human rights violations among key communities vulnerable to HIV, i.e., </w:t>
      </w:r>
      <w:proofErr w:type="spellStart"/>
      <w:r w:rsidRPr="00050DF5">
        <w:rPr>
          <w:rFonts w:asciiTheme="majorHAnsi" w:hAnsiTheme="majorHAnsi"/>
          <w:sz w:val="28"/>
          <w:szCs w:val="28"/>
        </w:rPr>
        <w:t>REAct</w:t>
      </w:r>
      <w:proofErr w:type="spellEnd"/>
      <w:r w:rsidRPr="00050DF5">
        <w:rPr>
          <w:rFonts w:asciiTheme="majorHAnsi" w:hAnsiTheme="majorHAnsi"/>
          <w:sz w:val="28"/>
          <w:szCs w:val="28"/>
        </w:rPr>
        <w:t>,</w:t>
      </w:r>
      <w:r w:rsidRPr="00050DF5">
        <w:rPr>
          <w:rFonts w:asciiTheme="majorHAnsi" w:hAnsiTheme="majorHAnsi"/>
          <w:sz w:val="28"/>
          <w:szCs w:val="28"/>
          <w:vertAlign w:val="superscript"/>
        </w:rPr>
        <w:footnoteReference w:id="10"/>
      </w:r>
      <w:r w:rsidRPr="00050DF5">
        <w:rPr>
          <w:rFonts w:asciiTheme="majorHAnsi" w:hAnsiTheme="majorHAnsi"/>
          <w:sz w:val="28"/>
          <w:szCs w:val="28"/>
        </w:rPr>
        <w:t xml:space="preserve"> PWUD experience arbitrary and unlawful detention on the streets, blackmail and extortion, or use of force by police.</w:t>
      </w:r>
      <w:r w:rsidRPr="00050DF5">
        <w:rPr>
          <w:rFonts w:asciiTheme="majorHAnsi" w:hAnsiTheme="majorHAnsi"/>
          <w:sz w:val="28"/>
          <w:szCs w:val="28"/>
          <w:vertAlign w:val="superscript"/>
        </w:rPr>
        <w:footnoteReference w:id="11"/>
      </w:r>
      <w:r w:rsidR="00DB2A13">
        <w:rPr>
          <w:rFonts w:asciiTheme="majorHAnsi" w:hAnsiTheme="majorHAnsi"/>
          <w:sz w:val="28"/>
          <w:szCs w:val="28"/>
          <w:vertAlign w:val="superscript"/>
        </w:rPr>
        <w:t xml:space="preserve"> </w:t>
      </w:r>
      <w:r w:rsidRPr="00050DF5">
        <w:rPr>
          <w:rFonts w:asciiTheme="majorHAnsi" w:hAnsiTheme="majorHAnsi"/>
          <w:sz w:val="28"/>
          <w:szCs w:val="28"/>
        </w:rPr>
        <w:t xml:space="preserve">Below is just a real-life example of egregious human rights violations that </w:t>
      </w:r>
      <w:r w:rsidR="001A2B3E" w:rsidRPr="001D2551">
        <w:rPr>
          <w:rFonts w:asciiTheme="majorHAnsi" w:hAnsiTheme="majorHAnsi"/>
          <w:sz w:val="28"/>
          <w:szCs w:val="28"/>
          <w:lang w:val="en-CA"/>
        </w:rPr>
        <w:t>have</w:t>
      </w:r>
      <w:r w:rsidR="001A2B3E" w:rsidRPr="00050DF5">
        <w:rPr>
          <w:rFonts w:asciiTheme="majorHAnsi" w:hAnsiTheme="majorHAnsi"/>
          <w:sz w:val="28"/>
          <w:szCs w:val="28"/>
        </w:rPr>
        <w:t xml:space="preserve"> </w:t>
      </w:r>
      <w:r w:rsidRPr="00050DF5">
        <w:rPr>
          <w:rFonts w:asciiTheme="majorHAnsi" w:hAnsiTheme="majorHAnsi"/>
          <w:sz w:val="28"/>
          <w:szCs w:val="28"/>
        </w:rPr>
        <w:t>been documented in Ukraine:</w:t>
      </w:r>
    </w:p>
    <w:p w14:paraId="09CCD53A" w14:textId="66BE156C" w:rsidR="00720038" w:rsidRPr="00050DF5" w:rsidRDefault="00B209CC" w:rsidP="00050DF5">
      <w:pPr>
        <w:spacing w:line="276" w:lineRule="auto"/>
        <w:ind w:firstLine="851"/>
        <w:jc w:val="both"/>
        <w:rPr>
          <w:rFonts w:asciiTheme="majorHAnsi" w:hAnsiTheme="majorHAnsi"/>
          <w:i/>
          <w:sz w:val="28"/>
          <w:szCs w:val="28"/>
        </w:rPr>
      </w:pPr>
      <w:r w:rsidRPr="00050DF5">
        <w:rPr>
          <w:rFonts w:asciiTheme="majorHAnsi" w:hAnsiTheme="majorHAnsi"/>
          <w:i/>
          <w:sz w:val="28"/>
          <w:szCs w:val="28"/>
        </w:rPr>
        <w:t>A woman was detained by police on the street and taken to the police station. After establishing that she had been previously prosecuted for drug possession, she was asked to confess to re-committing a similar offen</w:t>
      </w:r>
      <w:r w:rsidR="007824FC">
        <w:rPr>
          <w:rFonts w:asciiTheme="majorHAnsi" w:hAnsiTheme="majorHAnsi"/>
          <w:i/>
          <w:sz w:val="28"/>
          <w:szCs w:val="28"/>
        </w:rPr>
        <w:t>c</w:t>
      </w:r>
      <w:r w:rsidRPr="00050DF5">
        <w:rPr>
          <w:rFonts w:asciiTheme="majorHAnsi" w:hAnsiTheme="majorHAnsi"/>
          <w:i/>
          <w:sz w:val="28"/>
          <w:szCs w:val="28"/>
        </w:rPr>
        <w:t>e, although she had no illicit substances on her. Once the woman refused to take the blame, the police took her to another room and gave her a severe beating.</w:t>
      </w:r>
    </w:p>
    <w:p w14:paraId="121CC912" w14:textId="700C9DDB" w:rsidR="00720038" w:rsidRDefault="001A2B3E" w:rsidP="00050DF5">
      <w:pPr>
        <w:tabs>
          <w:tab w:val="center" w:pos="4513"/>
          <w:tab w:val="right" w:pos="9026"/>
        </w:tabs>
        <w:spacing w:line="276" w:lineRule="auto"/>
        <w:ind w:firstLine="851"/>
        <w:jc w:val="both"/>
        <w:rPr>
          <w:rFonts w:asciiTheme="majorHAnsi" w:hAnsiTheme="majorHAnsi"/>
          <w:i/>
          <w:sz w:val="28"/>
          <w:szCs w:val="28"/>
        </w:rPr>
      </w:pPr>
      <w:r>
        <w:rPr>
          <w:rFonts w:asciiTheme="majorHAnsi" w:hAnsiTheme="majorHAnsi"/>
          <w:sz w:val="28"/>
          <w:szCs w:val="28"/>
        </w:rPr>
        <w:t>Police performance</w:t>
      </w:r>
      <w:r w:rsidR="00B209CC" w:rsidRPr="00050DF5">
        <w:rPr>
          <w:rFonts w:asciiTheme="majorHAnsi" w:hAnsiTheme="majorHAnsi"/>
          <w:sz w:val="28"/>
          <w:szCs w:val="28"/>
        </w:rPr>
        <w:t xml:space="preserve"> indicators</w:t>
      </w:r>
      <w:r>
        <w:rPr>
          <w:rFonts w:asciiTheme="majorHAnsi" w:hAnsiTheme="majorHAnsi"/>
          <w:sz w:val="28"/>
          <w:szCs w:val="28"/>
        </w:rPr>
        <w:t xml:space="preserve"> contribute to the excessive focus of police activities on people who use drugs rather than on wholesale drug traffickers</w:t>
      </w:r>
      <w:r w:rsidR="00B209CC" w:rsidRPr="00050DF5">
        <w:rPr>
          <w:rFonts w:asciiTheme="majorHAnsi" w:hAnsiTheme="majorHAnsi"/>
          <w:sz w:val="28"/>
          <w:szCs w:val="28"/>
        </w:rPr>
        <w:t xml:space="preserve">. </w:t>
      </w:r>
      <w:r>
        <w:rPr>
          <w:rFonts w:asciiTheme="majorHAnsi" w:hAnsiTheme="majorHAnsi"/>
          <w:sz w:val="28"/>
          <w:szCs w:val="28"/>
        </w:rPr>
        <w:t xml:space="preserve">Based on the system of police performance indicators, police officers must detect certain numbers of crimes of trafficking. The broad definition of drug trafficking offence </w:t>
      </w:r>
      <w:r w:rsidR="00B209CC" w:rsidRPr="00050DF5">
        <w:rPr>
          <w:rFonts w:asciiTheme="majorHAnsi" w:hAnsiTheme="majorHAnsi"/>
          <w:sz w:val="28"/>
          <w:szCs w:val="28"/>
        </w:rPr>
        <w:t>provokes police into framing up charges against PWUD</w:t>
      </w:r>
      <w:r>
        <w:rPr>
          <w:rFonts w:asciiTheme="majorHAnsi" w:hAnsiTheme="majorHAnsi"/>
          <w:sz w:val="28"/>
          <w:szCs w:val="28"/>
        </w:rPr>
        <w:t xml:space="preserve"> because it is much easier to frame a vulnerable person who uses drugs as a drug trafficker rather than to mount a laborious operation against the real wholesale drug trafficker</w:t>
      </w:r>
      <w:r w:rsidR="00B209CC" w:rsidRPr="00050DF5">
        <w:rPr>
          <w:rFonts w:asciiTheme="majorHAnsi" w:hAnsiTheme="majorHAnsi"/>
          <w:sz w:val="28"/>
          <w:szCs w:val="28"/>
        </w:rPr>
        <w:t>. Here is an example from ENPUD’s</w:t>
      </w:r>
      <w:r w:rsidR="007B3041">
        <w:rPr>
          <w:rStyle w:val="af1"/>
          <w:rFonts w:asciiTheme="majorHAnsi" w:hAnsiTheme="majorHAnsi"/>
          <w:sz w:val="28"/>
          <w:szCs w:val="28"/>
        </w:rPr>
        <w:footnoteReference w:id="12"/>
      </w:r>
      <w:r w:rsidR="00B209CC" w:rsidRPr="00050DF5">
        <w:rPr>
          <w:rFonts w:asciiTheme="majorHAnsi" w:hAnsiTheme="majorHAnsi"/>
          <w:sz w:val="28"/>
          <w:szCs w:val="28"/>
        </w:rPr>
        <w:t xml:space="preserve"> practice, </w:t>
      </w:r>
      <w:r w:rsidR="00B209CC" w:rsidRPr="00050DF5">
        <w:rPr>
          <w:rFonts w:asciiTheme="majorHAnsi" w:hAnsiTheme="majorHAnsi"/>
          <w:i/>
          <w:sz w:val="28"/>
          <w:szCs w:val="28"/>
        </w:rPr>
        <w:t xml:space="preserve">"A police operative spent three months working his way into </w:t>
      </w:r>
      <w:r w:rsidR="00B209CC" w:rsidRPr="00050DF5">
        <w:rPr>
          <w:rFonts w:asciiTheme="majorHAnsi" w:hAnsiTheme="majorHAnsi"/>
          <w:i/>
          <w:sz w:val="28"/>
          <w:szCs w:val="28"/>
        </w:rPr>
        <w:lastRenderedPageBreak/>
        <w:t xml:space="preserve">the confidence of an OST patient who was working as a social worker for a local HIV-service NGO. The operative, presenting himself as a drug addict with cancer, asked this person to get for him his pharmacy-bought </w:t>
      </w:r>
      <w:r>
        <w:rPr>
          <w:rFonts w:asciiTheme="majorHAnsi" w:hAnsiTheme="majorHAnsi"/>
          <w:i/>
          <w:sz w:val="28"/>
          <w:szCs w:val="28"/>
        </w:rPr>
        <w:t>drug-containing</w:t>
      </w:r>
      <w:r w:rsidR="00B209CC" w:rsidRPr="00050DF5">
        <w:rPr>
          <w:rFonts w:asciiTheme="majorHAnsi" w:hAnsiTheme="majorHAnsi"/>
          <w:i/>
          <w:sz w:val="28"/>
          <w:szCs w:val="28"/>
        </w:rPr>
        <w:t xml:space="preserve"> medication, the cost of which would be reimbursed by the operative against the sales slip. Now this man is facing eight years in prison.”</w:t>
      </w:r>
    </w:p>
    <w:p w14:paraId="755A7773" w14:textId="77777777" w:rsidR="000852D8" w:rsidRPr="00050DF5" w:rsidRDefault="000852D8" w:rsidP="00050DF5">
      <w:pPr>
        <w:tabs>
          <w:tab w:val="center" w:pos="4513"/>
          <w:tab w:val="right" w:pos="9026"/>
        </w:tabs>
        <w:spacing w:line="276" w:lineRule="auto"/>
        <w:ind w:firstLine="851"/>
        <w:jc w:val="both"/>
        <w:rPr>
          <w:rFonts w:asciiTheme="majorHAnsi" w:hAnsiTheme="majorHAnsi"/>
          <w:i/>
          <w:sz w:val="28"/>
          <w:szCs w:val="28"/>
        </w:rPr>
      </w:pPr>
    </w:p>
    <w:p w14:paraId="2AA574A9" w14:textId="77777777" w:rsidR="00720038" w:rsidRPr="00050DF5" w:rsidRDefault="00B209CC" w:rsidP="00050DF5">
      <w:pPr>
        <w:tabs>
          <w:tab w:val="center" w:pos="4513"/>
          <w:tab w:val="right" w:pos="9026"/>
        </w:tabs>
        <w:spacing w:line="276" w:lineRule="auto"/>
        <w:ind w:firstLine="851"/>
        <w:jc w:val="both"/>
        <w:rPr>
          <w:rFonts w:asciiTheme="majorHAnsi" w:hAnsiTheme="majorHAnsi"/>
          <w:b/>
          <w:sz w:val="28"/>
          <w:szCs w:val="28"/>
        </w:rPr>
      </w:pPr>
      <w:r w:rsidRPr="00050DF5">
        <w:rPr>
          <w:rFonts w:asciiTheme="majorHAnsi" w:hAnsiTheme="majorHAnsi"/>
          <w:b/>
          <w:sz w:val="28"/>
          <w:szCs w:val="28"/>
        </w:rPr>
        <w:t>Harmful impact of punitive criminal laws on drugs</w:t>
      </w:r>
    </w:p>
    <w:p w14:paraId="287930DE" w14:textId="77777777" w:rsidR="00720038" w:rsidRPr="00050DF5" w:rsidRDefault="00720038" w:rsidP="00050DF5">
      <w:pPr>
        <w:tabs>
          <w:tab w:val="center" w:pos="4513"/>
          <w:tab w:val="right" w:pos="9026"/>
        </w:tabs>
        <w:spacing w:line="276" w:lineRule="auto"/>
        <w:ind w:firstLine="851"/>
        <w:jc w:val="both"/>
        <w:rPr>
          <w:rFonts w:asciiTheme="majorHAnsi" w:hAnsiTheme="majorHAnsi"/>
          <w:i/>
          <w:sz w:val="28"/>
          <w:szCs w:val="28"/>
        </w:rPr>
      </w:pPr>
    </w:p>
    <w:p w14:paraId="4C547456" w14:textId="60637465" w:rsidR="00720038" w:rsidRPr="00050DF5" w:rsidRDefault="006916C0" w:rsidP="00050DF5">
      <w:pPr>
        <w:tabs>
          <w:tab w:val="center" w:pos="4513"/>
          <w:tab w:val="right" w:pos="9026"/>
        </w:tabs>
        <w:spacing w:line="276" w:lineRule="auto"/>
        <w:ind w:firstLine="851"/>
        <w:jc w:val="both"/>
        <w:rPr>
          <w:rFonts w:asciiTheme="majorHAnsi" w:hAnsiTheme="majorHAnsi"/>
          <w:sz w:val="28"/>
          <w:szCs w:val="28"/>
        </w:rPr>
      </w:pPr>
      <w:r>
        <w:rPr>
          <w:rFonts w:asciiTheme="majorHAnsi" w:hAnsiTheme="majorHAnsi"/>
          <w:sz w:val="28"/>
          <w:szCs w:val="28"/>
        </w:rPr>
        <w:t>P</w:t>
      </w:r>
      <w:r w:rsidR="00B209CC" w:rsidRPr="00050DF5">
        <w:rPr>
          <w:rFonts w:asciiTheme="majorHAnsi" w:hAnsiTheme="majorHAnsi"/>
          <w:sz w:val="28"/>
          <w:szCs w:val="28"/>
        </w:rPr>
        <w:t xml:space="preserve">unitive measures are associated with an increased risk of transmission of HIV, hepatitis, and TB. Fearful of criminal prosecution, PWUD are unable to fully access </w:t>
      </w:r>
      <w:r w:rsidR="00583BFB">
        <w:rPr>
          <w:rFonts w:asciiTheme="majorHAnsi" w:hAnsiTheme="majorHAnsi"/>
          <w:sz w:val="28"/>
          <w:szCs w:val="28"/>
        </w:rPr>
        <w:t>health</w:t>
      </w:r>
      <w:r w:rsidR="00B209CC" w:rsidRPr="00050DF5">
        <w:rPr>
          <w:rFonts w:asciiTheme="majorHAnsi" w:hAnsiTheme="majorHAnsi"/>
          <w:sz w:val="28"/>
          <w:szCs w:val="28"/>
        </w:rPr>
        <w:t xml:space="preserve"> or harm reduction services. The estimated number of people who inject drugs in Ukraine is around 300,000,</w:t>
      </w:r>
      <w:r w:rsidR="00B209CC" w:rsidRPr="00050DF5">
        <w:rPr>
          <w:rFonts w:asciiTheme="majorHAnsi" w:hAnsiTheme="majorHAnsi"/>
          <w:sz w:val="28"/>
          <w:szCs w:val="28"/>
          <w:vertAlign w:val="superscript"/>
        </w:rPr>
        <w:footnoteReference w:id="13"/>
      </w:r>
      <w:r w:rsidR="00B209CC" w:rsidRPr="00050DF5">
        <w:rPr>
          <w:rFonts w:asciiTheme="majorHAnsi" w:hAnsiTheme="majorHAnsi"/>
          <w:sz w:val="28"/>
          <w:szCs w:val="28"/>
        </w:rPr>
        <w:t xml:space="preserve"> whereas HIV prevalence has remained between 21% and 23% for the last 10 years. HIV prevalence among </w:t>
      </w:r>
      <w:r w:rsidR="001C577E">
        <w:rPr>
          <w:rFonts w:asciiTheme="majorHAnsi" w:hAnsiTheme="majorHAnsi"/>
          <w:sz w:val="28"/>
          <w:szCs w:val="28"/>
        </w:rPr>
        <w:t>prisoners</w:t>
      </w:r>
      <w:r w:rsidR="00B209CC" w:rsidRPr="00050DF5">
        <w:rPr>
          <w:rFonts w:asciiTheme="majorHAnsi" w:hAnsiTheme="majorHAnsi"/>
          <w:sz w:val="28"/>
          <w:szCs w:val="28"/>
        </w:rPr>
        <w:t xml:space="preserve"> also stands at a fairly high 8.9%.</w:t>
      </w:r>
      <w:r w:rsidR="00B209CC" w:rsidRPr="00050DF5">
        <w:rPr>
          <w:rFonts w:asciiTheme="majorHAnsi" w:hAnsiTheme="majorHAnsi"/>
          <w:sz w:val="28"/>
          <w:szCs w:val="28"/>
          <w:vertAlign w:val="superscript"/>
        </w:rPr>
        <w:footnoteReference w:id="14"/>
      </w:r>
    </w:p>
    <w:p w14:paraId="5EFFF037" w14:textId="106751B1" w:rsidR="00720038" w:rsidRPr="00746708" w:rsidRDefault="00B209CC" w:rsidP="00050DF5">
      <w:pPr>
        <w:tabs>
          <w:tab w:val="center" w:pos="4513"/>
          <w:tab w:val="right" w:pos="9026"/>
        </w:tabs>
        <w:spacing w:line="276" w:lineRule="auto"/>
        <w:ind w:firstLine="851"/>
        <w:jc w:val="both"/>
        <w:rPr>
          <w:rFonts w:asciiTheme="majorHAnsi" w:hAnsiTheme="majorHAnsi"/>
          <w:sz w:val="28"/>
          <w:szCs w:val="28"/>
          <w:vertAlign w:val="superscript"/>
        </w:rPr>
      </w:pPr>
      <w:r w:rsidRPr="00050DF5">
        <w:rPr>
          <w:rFonts w:asciiTheme="majorHAnsi" w:hAnsiTheme="majorHAnsi"/>
          <w:sz w:val="28"/>
          <w:szCs w:val="28"/>
        </w:rPr>
        <w:t xml:space="preserve">The full-scale war in Ukraine has exacerbated human rights abuses and police stigma against </w:t>
      </w:r>
      <w:r w:rsidR="00C07210">
        <w:rPr>
          <w:rFonts w:asciiTheme="majorHAnsi" w:hAnsiTheme="majorHAnsi"/>
          <w:sz w:val="28"/>
          <w:szCs w:val="28"/>
        </w:rPr>
        <w:t>PWUD</w:t>
      </w:r>
      <w:r w:rsidRPr="00050DF5">
        <w:rPr>
          <w:rFonts w:asciiTheme="majorHAnsi" w:hAnsiTheme="majorHAnsi"/>
          <w:sz w:val="28"/>
          <w:szCs w:val="28"/>
        </w:rPr>
        <w:t>.</w:t>
      </w:r>
      <w:r w:rsidRPr="00050DF5">
        <w:rPr>
          <w:rFonts w:asciiTheme="majorHAnsi" w:hAnsiTheme="majorHAnsi"/>
          <w:sz w:val="28"/>
          <w:szCs w:val="28"/>
          <w:vertAlign w:val="superscript"/>
        </w:rPr>
        <w:footnoteReference w:id="15"/>
      </w:r>
      <w:r w:rsidR="00746708">
        <w:rPr>
          <w:rFonts w:asciiTheme="majorHAnsi" w:hAnsiTheme="majorHAnsi"/>
          <w:sz w:val="28"/>
          <w:szCs w:val="28"/>
          <w:vertAlign w:val="superscript"/>
        </w:rPr>
        <w:t xml:space="preserve">, </w:t>
      </w:r>
      <w:r w:rsidR="00746708">
        <w:rPr>
          <w:rStyle w:val="af1"/>
          <w:rFonts w:asciiTheme="majorHAnsi" w:hAnsiTheme="majorHAnsi"/>
          <w:sz w:val="28"/>
          <w:szCs w:val="28"/>
        </w:rPr>
        <w:footnoteReference w:id="16"/>
      </w:r>
    </w:p>
    <w:p w14:paraId="1BAF5A2E" w14:textId="77777777" w:rsidR="000852D8" w:rsidRDefault="000852D8" w:rsidP="00050DF5">
      <w:pPr>
        <w:pBdr>
          <w:top w:val="nil"/>
          <w:left w:val="nil"/>
          <w:bottom w:val="nil"/>
          <w:right w:val="nil"/>
          <w:between w:val="nil"/>
        </w:pBdr>
        <w:spacing w:after="200" w:line="276" w:lineRule="auto"/>
        <w:jc w:val="both"/>
        <w:rPr>
          <w:rFonts w:asciiTheme="majorHAnsi" w:eastAsia="Calibri" w:hAnsiTheme="majorHAnsi" w:cs="Calibri"/>
          <w:b/>
          <w:color w:val="000000"/>
          <w:sz w:val="32"/>
          <w:szCs w:val="32"/>
        </w:rPr>
      </w:pPr>
    </w:p>
    <w:p w14:paraId="31235547" w14:textId="77777777" w:rsidR="00720038" w:rsidRPr="00050DF5" w:rsidRDefault="00B209CC" w:rsidP="00050DF5">
      <w:pPr>
        <w:pBdr>
          <w:top w:val="nil"/>
          <w:left w:val="nil"/>
          <w:bottom w:val="nil"/>
          <w:right w:val="nil"/>
          <w:between w:val="nil"/>
        </w:pBdr>
        <w:spacing w:after="200" w:line="276" w:lineRule="auto"/>
        <w:jc w:val="both"/>
        <w:rPr>
          <w:rFonts w:asciiTheme="majorHAnsi" w:eastAsia="Calibri" w:hAnsiTheme="majorHAnsi" w:cs="Calibri"/>
          <w:b/>
          <w:sz w:val="20"/>
          <w:szCs w:val="20"/>
        </w:rPr>
      </w:pPr>
      <w:r w:rsidRPr="00050DF5">
        <w:rPr>
          <w:rFonts w:asciiTheme="majorHAnsi" w:eastAsia="Calibri" w:hAnsiTheme="majorHAnsi" w:cs="Calibri"/>
          <w:b/>
          <w:color w:val="000000"/>
          <w:sz w:val="32"/>
          <w:szCs w:val="32"/>
        </w:rPr>
        <w:t>Recommendations</w:t>
      </w:r>
    </w:p>
    <w:p w14:paraId="338B51F8" w14:textId="77777777" w:rsidR="00720038" w:rsidRPr="00050DF5" w:rsidRDefault="00B209CC" w:rsidP="00050DF5">
      <w:pPr>
        <w:spacing w:after="200" w:line="276" w:lineRule="auto"/>
        <w:ind w:firstLine="720"/>
        <w:jc w:val="both"/>
        <w:rPr>
          <w:rFonts w:asciiTheme="majorHAnsi" w:hAnsiTheme="majorHAnsi"/>
          <w:sz w:val="28"/>
          <w:szCs w:val="28"/>
        </w:rPr>
      </w:pPr>
      <w:r w:rsidRPr="00050DF5">
        <w:rPr>
          <w:rFonts w:asciiTheme="majorHAnsi" w:hAnsiTheme="majorHAnsi"/>
          <w:sz w:val="28"/>
          <w:szCs w:val="28"/>
        </w:rPr>
        <w:t>In light of the above, we call on the UN High Commissioner for Human Rights to provide the following recommendations to Member States and stakeholders in her report:</w:t>
      </w:r>
    </w:p>
    <w:p w14:paraId="02D47462" w14:textId="54CD2E23" w:rsidR="00720038" w:rsidRPr="00050DF5" w:rsidRDefault="00B209CC" w:rsidP="00050DF5">
      <w:pPr>
        <w:spacing w:after="200" w:line="276" w:lineRule="auto"/>
        <w:ind w:firstLine="720"/>
        <w:jc w:val="both"/>
        <w:rPr>
          <w:rFonts w:asciiTheme="majorHAnsi" w:hAnsiTheme="majorHAnsi"/>
          <w:sz w:val="28"/>
          <w:szCs w:val="28"/>
        </w:rPr>
      </w:pPr>
      <w:r w:rsidRPr="00050DF5">
        <w:rPr>
          <w:rFonts w:asciiTheme="majorHAnsi" w:hAnsiTheme="majorHAnsi"/>
          <w:sz w:val="28"/>
          <w:szCs w:val="28"/>
        </w:rPr>
        <w:t>The imposition of penalties, particularly imprisonment, for drug use or possession is unwarranted. Essentially, no drug use activities should be punishable by criminal or administrative penalties. Less restrictive approaches to drug control need to be introduced, including decriminalization of possession without intent to sell, as well as the decriminalization o</w:t>
      </w:r>
      <w:r w:rsidR="003B76D7">
        <w:rPr>
          <w:rFonts w:asciiTheme="majorHAnsi" w:hAnsiTheme="majorHAnsi"/>
          <w:sz w:val="28"/>
          <w:szCs w:val="28"/>
        </w:rPr>
        <w:t xml:space="preserve">f social distribution of drugs </w:t>
      </w:r>
      <w:r w:rsidRPr="00050DF5">
        <w:rPr>
          <w:rFonts w:asciiTheme="majorHAnsi" w:hAnsiTheme="majorHAnsi"/>
          <w:sz w:val="28"/>
          <w:szCs w:val="28"/>
        </w:rPr>
        <w:t xml:space="preserve">without </w:t>
      </w:r>
      <w:r w:rsidR="001A2B3E">
        <w:rPr>
          <w:rFonts w:asciiTheme="majorHAnsi" w:hAnsiTheme="majorHAnsi"/>
          <w:sz w:val="28"/>
          <w:szCs w:val="28"/>
        </w:rPr>
        <w:t xml:space="preserve">the </w:t>
      </w:r>
      <w:r w:rsidRPr="00050DF5">
        <w:rPr>
          <w:rFonts w:asciiTheme="majorHAnsi" w:hAnsiTheme="majorHAnsi"/>
          <w:sz w:val="28"/>
          <w:szCs w:val="28"/>
        </w:rPr>
        <w:t>intent of systematic enrichment.</w:t>
      </w:r>
    </w:p>
    <w:p w14:paraId="1CABD164" w14:textId="77777777" w:rsidR="003B76D7" w:rsidRDefault="00B209CC" w:rsidP="00ED0B9F">
      <w:pPr>
        <w:spacing w:line="276" w:lineRule="auto"/>
        <w:ind w:firstLine="720"/>
        <w:jc w:val="both"/>
        <w:rPr>
          <w:rFonts w:asciiTheme="majorHAnsi" w:hAnsiTheme="majorHAnsi"/>
          <w:sz w:val="28"/>
          <w:szCs w:val="28"/>
        </w:rPr>
      </w:pPr>
      <w:r w:rsidRPr="00050DF5">
        <w:rPr>
          <w:rFonts w:asciiTheme="majorHAnsi" w:hAnsiTheme="majorHAnsi"/>
          <w:sz w:val="28"/>
          <w:szCs w:val="28"/>
        </w:rPr>
        <w:lastRenderedPageBreak/>
        <w:t xml:space="preserve">In order to avoid discrimination and disproportionality, the law must recognize the distinction between the circumstances of drug distribution depending on the context in which the transfer or delivery of drugs takes place. There is a difference between distributing limited quantities (e.g., for life purposes) to a small social group on the one hand, and large-scale trafficking for self-enrichment on the other. Only the latter behavior can justify the application of criminal law, especially harsh measures such as detention (whether pre-trial or as part of a sentence after conviction or plea of guilty), with due regard for other attendant circumstances. </w:t>
      </w:r>
    </w:p>
    <w:p w14:paraId="56E3642F" w14:textId="7ED28400" w:rsidR="003B76D7" w:rsidRDefault="00B209CC" w:rsidP="00ED0B9F">
      <w:pPr>
        <w:spacing w:line="276" w:lineRule="auto"/>
        <w:ind w:firstLine="720"/>
        <w:jc w:val="both"/>
        <w:rPr>
          <w:rFonts w:asciiTheme="majorHAnsi" w:hAnsiTheme="majorHAnsi"/>
          <w:sz w:val="28"/>
          <w:szCs w:val="28"/>
        </w:rPr>
      </w:pPr>
      <w:r w:rsidRPr="00050DF5">
        <w:rPr>
          <w:rFonts w:asciiTheme="majorHAnsi" w:hAnsiTheme="majorHAnsi"/>
          <w:sz w:val="28"/>
          <w:szCs w:val="28"/>
        </w:rPr>
        <w:t>To prevent the arbitrary and disproportionate use of penalties, especially detention by drug law enforcement agencies, prosecution</w:t>
      </w:r>
      <w:r w:rsidR="001A2B3E">
        <w:rPr>
          <w:rFonts w:asciiTheme="majorHAnsi" w:hAnsiTheme="majorHAnsi"/>
          <w:sz w:val="28"/>
          <w:szCs w:val="28"/>
        </w:rPr>
        <w:t>,</w:t>
      </w:r>
      <w:r w:rsidRPr="00050DF5">
        <w:rPr>
          <w:rFonts w:asciiTheme="majorHAnsi" w:hAnsiTheme="majorHAnsi"/>
          <w:sz w:val="28"/>
          <w:szCs w:val="28"/>
        </w:rPr>
        <w:t xml:space="preserve"> and sentencing, the legal definition of drug trafficking must clearly distinguish it from social distribution in the context of drug use. Such a definition may include the goal of systematic self-enrichment on a scale far </w:t>
      </w:r>
      <w:r w:rsidR="001A2B3E" w:rsidRPr="00050DF5">
        <w:rPr>
          <w:rFonts w:asciiTheme="majorHAnsi" w:hAnsiTheme="majorHAnsi"/>
          <w:sz w:val="28"/>
          <w:szCs w:val="28"/>
        </w:rPr>
        <w:t>more than</w:t>
      </w:r>
      <w:r w:rsidRPr="00050DF5">
        <w:rPr>
          <w:rFonts w:asciiTheme="majorHAnsi" w:hAnsiTheme="majorHAnsi"/>
          <w:sz w:val="28"/>
          <w:szCs w:val="28"/>
        </w:rPr>
        <w:t xml:space="preserve"> the basic needs o</w:t>
      </w:r>
      <w:r w:rsidR="003B76D7">
        <w:rPr>
          <w:rFonts w:asciiTheme="majorHAnsi" w:hAnsiTheme="majorHAnsi"/>
          <w:sz w:val="28"/>
          <w:szCs w:val="28"/>
        </w:rPr>
        <w:t>f the suspect and their family.</w:t>
      </w:r>
    </w:p>
    <w:p w14:paraId="2B818C8C" w14:textId="39211924" w:rsidR="00720038" w:rsidRPr="00050DF5" w:rsidRDefault="00B209CC" w:rsidP="00ED0B9F">
      <w:pPr>
        <w:spacing w:line="276" w:lineRule="auto"/>
        <w:ind w:firstLine="720"/>
        <w:jc w:val="both"/>
        <w:rPr>
          <w:rFonts w:asciiTheme="majorHAnsi" w:hAnsiTheme="majorHAnsi"/>
          <w:sz w:val="28"/>
          <w:szCs w:val="28"/>
        </w:rPr>
      </w:pPr>
      <w:r w:rsidRPr="00050DF5">
        <w:rPr>
          <w:rFonts w:asciiTheme="majorHAnsi" w:hAnsiTheme="majorHAnsi"/>
          <w:sz w:val="28"/>
          <w:szCs w:val="28"/>
        </w:rPr>
        <w:t>There is a need to reconsider approaches to the definition of threshold quantities for drug offen</w:t>
      </w:r>
      <w:r w:rsidR="007824FC">
        <w:rPr>
          <w:rFonts w:asciiTheme="majorHAnsi" w:hAnsiTheme="majorHAnsi"/>
          <w:sz w:val="28"/>
          <w:szCs w:val="28"/>
        </w:rPr>
        <w:t>c</w:t>
      </w:r>
      <w:r w:rsidRPr="00050DF5">
        <w:rPr>
          <w:rFonts w:asciiTheme="majorHAnsi" w:hAnsiTheme="majorHAnsi"/>
          <w:sz w:val="28"/>
          <w:szCs w:val="28"/>
        </w:rPr>
        <w:t xml:space="preserve">es used to define small or large quantities. To help establish such critical distinctions, the law may specify threshold quantities of substances, but only to indicate when law enforcement involvement, rather than other social and medical measures, </w:t>
      </w:r>
      <w:r w:rsidR="001A2B3E">
        <w:rPr>
          <w:rFonts w:asciiTheme="majorHAnsi" w:hAnsiTheme="majorHAnsi"/>
          <w:sz w:val="28"/>
          <w:szCs w:val="28"/>
        </w:rPr>
        <w:t>maybe</w:t>
      </w:r>
      <w:r w:rsidRPr="00050DF5">
        <w:rPr>
          <w:rFonts w:asciiTheme="majorHAnsi" w:hAnsiTheme="majorHAnsi"/>
          <w:sz w:val="28"/>
          <w:szCs w:val="28"/>
        </w:rPr>
        <w:t xml:space="preserve"> in the best public interest.</w:t>
      </w:r>
    </w:p>
    <w:sectPr w:rsidR="00720038" w:rsidRPr="00050DF5">
      <w:headerReference w:type="default" r:id="rId15"/>
      <w:pgSz w:w="11906" w:h="16838"/>
      <w:pgMar w:top="1701" w:right="1134" w:bottom="130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3456C" w16cex:dateUtc="2023-05-20T17:11:00Z"/>
  <w16cex:commentExtensible w16cex:durableId="2813459B" w16cex:dateUtc="2023-05-20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01904" w16cid:durableId="281342FC"/>
  <w16cid:commentId w16cid:paraId="2D390822" w16cid:durableId="2813456C"/>
  <w16cid:commentId w16cid:paraId="1688DBD1" w16cid:durableId="281342FD"/>
  <w16cid:commentId w16cid:paraId="7C9694D8" w16cid:durableId="281345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CC095" w14:textId="77777777" w:rsidR="00FA104F" w:rsidRDefault="00FA104F">
      <w:r>
        <w:separator/>
      </w:r>
    </w:p>
  </w:endnote>
  <w:endnote w:type="continuationSeparator" w:id="0">
    <w:p w14:paraId="61AD2025" w14:textId="77777777" w:rsidR="00FA104F" w:rsidRDefault="00FA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default"/>
    <w:sig w:usb0="00000000" w:usb1="00000000" w:usb2="00000009" w:usb3="00000000" w:csb0="2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A7E2" w14:textId="155E0A16" w:rsidR="00720038" w:rsidRDefault="00B209CC">
    <w:pPr>
      <w:widowControl w:val="0"/>
      <w:pBdr>
        <w:top w:val="nil"/>
        <w:left w:val="nil"/>
        <w:bottom w:val="nil"/>
        <w:right w:val="nil"/>
        <w:between w:val="nil"/>
      </w:pBdr>
      <w:tabs>
        <w:tab w:val="center" w:pos="4513"/>
        <w:tab w:val="right" w:pos="902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A0482">
      <w:rPr>
        <w:noProof/>
        <w:color w:val="000000"/>
        <w:sz w:val="20"/>
        <w:szCs w:val="20"/>
      </w:rPr>
      <w:t>3</w:t>
    </w:r>
    <w:r>
      <w:rPr>
        <w:color w:val="000000"/>
        <w:sz w:val="20"/>
        <w:szCs w:val="20"/>
      </w:rPr>
      <w:fldChar w:fldCharType="end"/>
    </w:r>
  </w:p>
  <w:p w14:paraId="245F3FF3" w14:textId="77777777" w:rsidR="00720038" w:rsidRDefault="0072003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D6F23" w14:textId="77777777" w:rsidR="00FA104F" w:rsidRDefault="00FA104F">
      <w:r>
        <w:separator/>
      </w:r>
    </w:p>
  </w:footnote>
  <w:footnote w:type="continuationSeparator" w:id="0">
    <w:p w14:paraId="34EB527F" w14:textId="77777777" w:rsidR="00FA104F" w:rsidRDefault="00FA104F">
      <w:r>
        <w:continuationSeparator/>
      </w:r>
    </w:p>
  </w:footnote>
  <w:footnote w:id="1">
    <w:p w14:paraId="51225097" w14:textId="27019CD8" w:rsidR="00720038" w:rsidRPr="00F2090D" w:rsidRDefault="00B209CC">
      <w:pPr>
        <w:rPr>
          <w:sz w:val="10"/>
          <w:szCs w:val="10"/>
        </w:rPr>
      </w:pPr>
      <w:r>
        <w:rPr>
          <w:vertAlign w:val="superscript"/>
        </w:rPr>
        <w:footnoteRef/>
      </w:r>
      <w:r>
        <w:rPr>
          <w:sz w:val="20"/>
          <w:szCs w:val="20"/>
        </w:rPr>
        <w:t xml:space="preserve"> </w:t>
      </w:r>
      <w:proofErr w:type="spellStart"/>
      <w:r>
        <w:rPr>
          <w:sz w:val="18"/>
          <w:szCs w:val="18"/>
        </w:rPr>
        <w:t>M</w:t>
      </w:r>
      <w:r w:rsidR="004856A3">
        <w:rPr>
          <w:sz w:val="18"/>
          <w:szCs w:val="18"/>
        </w:rPr>
        <w:t>oH</w:t>
      </w:r>
      <w:proofErr w:type="spellEnd"/>
      <w:r w:rsidR="004856A3">
        <w:rPr>
          <w:sz w:val="18"/>
          <w:szCs w:val="18"/>
        </w:rPr>
        <w:t xml:space="preserve"> of Ukraine </w:t>
      </w:r>
      <w:r>
        <w:rPr>
          <w:sz w:val="18"/>
          <w:szCs w:val="18"/>
        </w:rPr>
        <w:t xml:space="preserve">Order No. 188 of August 1, 2000 </w:t>
      </w:r>
      <w:r w:rsidR="00BB0B0D">
        <w:rPr>
          <w:sz w:val="18"/>
          <w:szCs w:val="18"/>
        </w:rPr>
        <w:t xml:space="preserve"> </w:t>
      </w:r>
      <w:hyperlink r:id="rId1" w:anchor="Text" w:history="1">
        <w:r w:rsidR="00F2090D" w:rsidRPr="001367D2">
          <w:rPr>
            <w:rStyle w:val="ab"/>
            <w:sz w:val="18"/>
            <w:szCs w:val="18"/>
          </w:rPr>
          <w:t>https://zakon.rada.gov.ua/laws/show/z0512-00#Text</w:t>
        </w:r>
      </w:hyperlink>
      <w:r w:rsidR="00F2090D" w:rsidRPr="00F2090D">
        <w:rPr>
          <w:sz w:val="18"/>
          <w:szCs w:val="18"/>
        </w:rPr>
        <w:t xml:space="preserve"> </w:t>
      </w:r>
    </w:p>
  </w:footnote>
  <w:footnote w:id="2">
    <w:p w14:paraId="2C7A9A0E" w14:textId="79F40286" w:rsidR="00720038" w:rsidRDefault="00B209CC">
      <w:pPr>
        <w:rPr>
          <w:sz w:val="20"/>
          <w:szCs w:val="20"/>
        </w:rPr>
      </w:pPr>
      <w:r>
        <w:rPr>
          <w:vertAlign w:val="superscript"/>
        </w:rPr>
        <w:footnoteRef/>
      </w:r>
      <w:r>
        <w:rPr>
          <w:sz w:val="20"/>
          <w:szCs w:val="20"/>
        </w:rPr>
        <w:t xml:space="preserve"> </w:t>
      </w:r>
      <w:proofErr w:type="spellStart"/>
      <w:r w:rsidR="004856A3">
        <w:rPr>
          <w:sz w:val="18"/>
          <w:szCs w:val="18"/>
        </w:rPr>
        <w:t>MoH</w:t>
      </w:r>
      <w:proofErr w:type="spellEnd"/>
      <w:r w:rsidR="004856A3">
        <w:rPr>
          <w:sz w:val="18"/>
          <w:szCs w:val="18"/>
        </w:rPr>
        <w:t xml:space="preserve"> of Ukraine Order </w:t>
      </w:r>
      <w:r w:rsidRPr="006D031B">
        <w:rPr>
          <w:sz w:val="18"/>
          <w:szCs w:val="18"/>
        </w:rPr>
        <w:t xml:space="preserve">No. 634 of July 29, 2010 </w:t>
      </w:r>
      <w:hyperlink r:id="rId2" w:history="1">
        <w:r w:rsidR="0077187B" w:rsidRPr="001367D2">
          <w:rPr>
            <w:rStyle w:val="ab"/>
            <w:sz w:val="18"/>
            <w:szCs w:val="18"/>
          </w:rPr>
          <w:t>https://zakon.rada.gov.ua/laws/show/z0900-10#Text</w:t>
        </w:r>
      </w:hyperlink>
      <w:r w:rsidR="0077187B">
        <w:rPr>
          <w:sz w:val="18"/>
          <w:szCs w:val="18"/>
        </w:rPr>
        <w:t xml:space="preserve"> </w:t>
      </w:r>
    </w:p>
  </w:footnote>
  <w:footnote w:id="3">
    <w:p w14:paraId="7674E5D2" w14:textId="77777777" w:rsidR="00720038" w:rsidRDefault="00B209CC">
      <w:pPr>
        <w:rPr>
          <w:sz w:val="20"/>
          <w:szCs w:val="20"/>
        </w:rPr>
      </w:pPr>
      <w:r>
        <w:rPr>
          <w:vertAlign w:val="superscript"/>
        </w:rPr>
        <w:footnoteRef/>
      </w:r>
      <w:r>
        <w:rPr>
          <w:sz w:val="20"/>
          <w:szCs w:val="20"/>
        </w:rPr>
        <w:t xml:space="preserve"> </w:t>
      </w:r>
      <w:hyperlink r:id="rId3">
        <w:r w:rsidRPr="009A2955">
          <w:rPr>
            <w:rStyle w:val="ab"/>
            <w:rFonts w:ascii="Calibri" w:eastAsia="Calibri" w:hAnsi="Calibri" w:cs="Calibri"/>
            <w:sz w:val="20"/>
            <w:szCs w:val="20"/>
          </w:rPr>
          <w:t>https://w1.c1.rada.gov.ua/pls/zweb2/webproc4_1?pf3511=69827</w:t>
        </w:r>
      </w:hyperlink>
      <w:r w:rsidRPr="000852D8">
        <w:rPr>
          <w:color w:val="1155CC"/>
          <w:sz w:val="22"/>
          <w:szCs w:val="28"/>
          <w:u w:val="single"/>
        </w:rPr>
        <w:t xml:space="preserve"> </w:t>
      </w:r>
    </w:p>
  </w:footnote>
  <w:footnote w:id="4">
    <w:p w14:paraId="7DA1A837" w14:textId="77777777" w:rsidR="002B4B9E" w:rsidRDefault="002B4B9E" w:rsidP="002B4B9E">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4" w:anchor="Text" w:history="1">
        <w:r w:rsidRPr="001367D2">
          <w:rPr>
            <w:rStyle w:val="ab"/>
            <w:rFonts w:ascii="Calibri" w:eastAsia="Calibri" w:hAnsi="Calibri" w:cs="Calibri"/>
            <w:sz w:val="20"/>
            <w:szCs w:val="20"/>
          </w:rPr>
          <w:t>https://zakon.rada.gov.ua/laws/show/2341-14/page13#Text</w:t>
        </w:r>
      </w:hyperlink>
      <w:r>
        <w:rPr>
          <w:rFonts w:ascii="Calibri" w:eastAsia="Calibri" w:hAnsi="Calibri" w:cs="Calibri"/>
          <w:sz w:val="20"/>
          <w:szCs w:val="20"/>
        </w:rPr>
        <w:t xml:space="preserve"> </w:t>
      </w:r>
    </w:p>
  </w:footnote>
  <w:footnote w:id="5">
    <w:p w14:paraId="3DBF3ACB" w14:textId="25F0AE31" w:rsidR="00720038" w:rsidRDefault="00B209CC">
      <w:pPr>
        <w:rPr>
          <w:rFonts w:ascii="Calibri" w:eastAsia="Calibri" w:hAnsi="Calibri" w:cs="Calibri"/>
          <w:sz w:val="20"/>
          <w:szCs w:val="20"/>
        </w:rPr>
      </w:pPr>
      <w:r>
        <w:rPr>
          <w:vertAlign w:val="superscript"/>
        </w:rPr>
        <w:footnoteRef/>
      </w:r>
      <w:r w:rsidR="009F080F">
        <w:t xml:space="preserve"> </w:t>
      </w:r>
      <w:hyperlink r:id="rId5">
        <w:r w:rsidR="009F080F">
          <w:rPr>
            <w:rFonts w:ascii="Calibri" w:eastAsia="Calibri" w:hAnsi="Calibri" w:cs="Calibri"/>
            <w:sz w:val="20"/>
            <w:szCs w:val="20"/>
          </w:rPr>
          <w:t>https://cmhmda.org.ua/wp-content/uploads/2023/01/zvit-shhodo-narkotychnoyi-ta-alkogolnoyi-sytuacziyi-v-ukrayini-2022.pdf</w:t>
        </w:r>
      </w:hyperlink>
      <w:r w:rsidR="009F080F">
        <w:rPr>
          <w:rFonts w:ascii="Calibri" w:eastAsia="Calibri" w:hAnsi="Calibri" w:cs="Calibri"/>
          <w:sz w:val="20"/>
          <w:szCs w:val="20"/>
        </w:rPr>
        <w:t xml:space="preserve">  </w:t>
      </w:r>
      <w:r w:rsidR="004856A3">
        <w:rPr>
          <w:rFonts w:ascii="Calibri" w:eastAsia="Calibri" w:hAnsi="Calibri" w:cs="Calibri"/>
          <w:sz w:val="20"/>
          <w:szCs w:val="20"/>
        </w:rPr>
        <w:t xml:space="preserve"> </w:t>
      </w:r>
      <w:r>
        <w:rPr>
          <w:rFonts w:ascii="Calibri" w:eastAsia="Calibri" w:hAnsi="Calibri" w:cs="Calibri"/>
          <w:sz w:val="20"/>
          <w:szCs w:val="20"/>
        </w:rPr>
        <w:t xml:space="preserve">   </w:t>
      </w:r>
    </w:p>
  </w:footnote>
  <w:footnote w:id="6">
    <w:p w14:paraId="6C3F5E7A" w14:textId="77777777"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6">
        <w:r>
          <w:rPr>
            <w:rFonts w:ascii="Calibri" w:eastAsia="Calibri" w:hAnsi="Calibri" w:cs="Calibri"/>
            <w:color w:val="1155CC"/>
            <w:sz w:val="20"/>
            <w:szCs w:val="20"/>
            <w:u w:val="single"/>
          </w:rPr>
          <w:t>https://supreme.court.gov.ua/userfiles/media/new_folder_for_uploads/supreme/ogliady/Stan_Pravosuddya_Criminal_2022.pdf?fbclid=IwAR0aQ0HZ1sixLo_7evXiBjYF_fEcLXjCzAeFpsN8aqSO2M6LaiC0kF0kQTM</w:t>
        </w:r>
      </w:hyperlink>
      <w:r>
        <w:rPr>
          <w:rFonts w:ascii="Calibri" w:eastAsia="Calibri" w:hAnsi="Calibri" w:cs="Calibri"/>
          <w:sz w:val="20"/>
          <w:szCs w:val="20"/>
        </w:rPr>
        <w:t xml:space="preserve"> </w:t>
      </w:r>
    </w:p>
  </w:footnote>
  <w:footnote w:id="7">
    <w:p w14:paraId="56185B44" w14:textId="77777777"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7">
        <w:r>
          <w:rPr>
            <w:rFonts w:ascii="Calibri" w:eastAsia="Calibri" w:hAnsi="Calibri" w:cs="Calibri"/>
            <w:color w:val="1155CC"/>
            <w:sz w:val="20"/>
            <w:szCs w:val="20"/>
            <w:u w:val="single"/>
          </w:rPr>
          <w:t>https://supreme.court.gov.ua/userfiles/media/new_folder_for_uploads/supreme/zvi/Analiz_zdisn_pravos_2021.pdf</w:t>
        </w:r>
      </w:hyperlink>
    </w:p>
  </w:footnote>
  <w:footnote w:id="8">
    <w:p w14:paraId="7F721DBC" w14:textId="29CAD205" w:rsidR="00720038" w:rsidRDefault="00B209CC">
      <w:pPr>
        <w:rPr>
          <w:sz w:val="20"/>
          <w:szCs w:val="20"/>
        </w:rPr>
      </w:pPr>
      <w:r>
        <w:rPr>
          <w:vertAlign w:val="superscript"/>
        </w:rPr>
        <w:footnoteRef/>
      </w:r>
      <w:r>
        <w:rPr>
          <w:sz w:val="20"/>
          <w:szCs w:val="20"/>
        </w:rPr>
        <w:t xml:space="preserve"> </w:t>
      </w:r>
      <w:hyperlink r:id="rId8" w:history="1">
        <w:r w:rsidR="0077187B" w:rsidRPr="001367D2">
          <w:rPr>
            <w:rStyle w:val="ab"/>
            <w:sz w:val="20"/>
            <w:szCs w:val="20"/>
          </w:rPr>
          <w:t xml:space="preserve">https://zakon.rada.gov.ua/laws/show/735-2013-%D1%80#Text  </w:t>
        </w:r>
      </w:hyperlink>
    </w:p>
  </w:footnote>
  <w:footnote w:id="9">
    <w:p w14:paraId="57EBB3ED" w14:textId="77777777"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9">
        <w:r>
          <w:rPr>
            <w:rFonts w:ascii="Calibri" w:eastAsia="Calibri" w:hAnsi="Calibri" w:cs="Calibri"/>
            <w:color w:val="1155CC"/>
            <w:sz w:val="20"/>
            <w:szCs w:val="20"/>
            <w:u w:val="single"/>
          </w:rPr>
          <w:t>https://newcriminalcode.org.ua/criminal-code</w:t>
        </w:r>
      </w:hyperlink>
      <w:r>
        <w:rPr>
          <w:rFonts w:ascii="Calibri" w:eastAsia="Calibri" w:hAnsi="Calibri" w:cs="Calibri"/>
          <w:sz w:val="20"/>
          <w:szCs w:val="20"/>
        </w:rPr>
        <w:t xml:space="preserve"> </w:t>
      </w:r>
    </w:p>
  </w:footnote>
  <w:footnote w:id="10">
    <w:p w14:paraId="0862640B" w14:textId="0DE52548"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0" w:history="1">
        <w:r w:rsidR="0077187B" w:rsidRPr="0077187B">
          <w:rPr>
            <w:rStyle w:val="ab"/>
            <w:rFonts w:asciiTheme="majorHAnsi" w:hAnsiTheme="majorHAnsi"/>
            <w:sz w:val="20"/>
            <w:szCs w:val="20"/>
          </w:rPr>
          <w:t>https://react-aph.org/en/statistic/ukraine-2022-year/?country_id=566</w:t>
        </w:r>
      </w:hyperlink>
      <w:r w:rsidR="0077187B">
        <w:t xml:space="preserve"> </w:t>
      </w:r>
    </w:p>
  </w:footnote>
  <w:footnote w:id="11">
    <w:p w14:paraId="41A49E69" w14:textId="3A5AF67D"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1" w:history="1">
        <w:r w:rsidR="0077187B" w:rsidRPr="0077187B">
          <w:rPr>
            <w:rStyle w:val="ab"/>
            <w:rFonts w:asciiTheme="majorHAnsi" w:hAnsiTheme="majorHAnsi"/>
            <w:sz w:val="20"/>
            <w:szCs w:val="20"/>
          </w:rPr>
          <w:t>https://react-aph.org/wp-content/uploads/2022/12/en_analitichnij-zvit-2021-react_red_21.12.2022.pdf</w:t>
        </w:r>
      </w:hyperlink>
      <w:r w:rsidR="0077187B">
        <w:t xml:space="preserve"> </w:t>
      </w:r>
    </w:p>
  </w:footnote>
  <w:footnote w:id="12">
    <w:p w14:paraId="2F10D1B2" w14:textId="00C8C70C" w:rsidR="007B3041" w:rsidRDefault="007B3041">
      <w:pPr>
        <w:pStyle w:val="af"/>
      </w:pPr>
      <w:bookmarkStart w:id="1" w:name="_heading=h.gjdgxs" w:colFirst="0" w:colLast="0"/>
      <w:bookmarkEnd w:id="1"/>
      <w:r>
        <w:rPr>
          <w:rStyle w:val="af1"/>
        </w:rPr>
        <w:footnoteRef/>
      </w:r>
      <w:r>
        <w:t xml:space="preserve"> </w:t>
      </w:r>
      <w:hyperlink r:id="rId12" w:history="1">
        <w:r w:rsidRPr="00BD0DC9">
          <w:rPr>
            <w:rStyle w:val="ab"/>
            <w:rFonts w:asciiTheme="majorHAnsi" w:hAnsiTheme="majorHAnsi"/>
          </w:rPr>
          <w:t>https://enpud.net/</w:t>
        </w:r>
      </w:hyperlink>
      <w:r>
        <w:t xml:space="preserve"> </w:t>
      </w:r>
    </w:p>
  </w:footnote>
  <w:footnote w:id="13">
    <w:p w14:paraId="635E069F" w14:textId="0FD23FB6"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3" w:history="1">
        <w:r w:rsidR="00BD0DC9" w:rsidRPr="001367D2">
          <w:rPr>
            <w:rStyle w:val="ab"/>
            <w:rFonts w:ascii="Calibri" w:eastAsia="Calibri" w:hAnsi="Calibri" w:cs="Calibri"/>
            <w:sz w:val="20"/>
            <w:szCs w:val="20"/>
          </w:rPr>
          <w:t>https://aph.org.ua/wp-content/uploads/2021/09/Size-estimation_2020_eng.pdf</w:t>
        </w:r>
      </w:hyperlink>
      <w:r w:rsidR="00BD0DC9">
        <w:rPr>
          <w:rFonts w:ascii="Calibri" w:eastAsia="Calibri" w:hAnsi="Calibri" w:cs="Calibri"/>
          <w:sz w:val="20"/>
          <w:szCs w:val="20"/>
        </w:rPr>
        <w:t xml:space="preserve"> </w:t>
      </w:r>
    </w:p>
  </w:footnote>
  <w:footnote w:id="14">
    <w:p w14:paraId="2930F1DB" w14:textId="54D2691D" w:rsidR="00720038" w:rsidRDefault="00B209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4">
        <w:r w:rsidR="00BD0DC9" w:rsidRPr="005401F6">
          <w:rPr>
            <w:rFonts w:asciiTheme="majorHAnsi" w:eastAsia="Calibri" w:hAnsiTheme="majorHAnsi" w:cs="Calibri"/>
            <w:sz w:val="20"/>
            <w:szCs w:val="20"/>
          </w:rPr>
          <w:t>https://phc.org.ua/sites/default/files/users/user90/HIV_in_UA_53_2022.pdf</w:t>
        </w:r>
      </w:hyperlink>
      <w:r w:rsidR="00BD0DC9">
        <w:rPr>
          <w:rFonts w:ascii="Calibri" w:eastAsia="Calibri" w:hAnsi="Calibri" w:cs="Calibri"/>
          <w:sz w:val="20"/>
          <w:szCs w:val="20"/>
        </w:rPr>
        <w:t xml:space="preserve"> </w:t>
      </w:r>
      <w:r w:rsidR="00BD0DC9">
        <w:rPr>
          <w:rFonts w:ascii="Calibri" w:eastAsia="Calibri" w:hAnsi="Calibri" w:cs="Calibri"/>
          <w:sz w:val="20"/>
          <w:szCs w:val="20"/>
        </w:rPr>
        <w:t xml:space="preserve">  </w:t>
      </w:r>
    </w:p>
  </w:footnote>
  <w:footnote w:id="15">
    <w:p w14:paraId="55BB2E35" w14:textId="77777777" w:rsidR="00720038" w:rsidRDefault="00B209CC">
      <w:pPr>
        <w:rPr>
          <w:sz w:val="20"/>
          <w:szCs w:val="20"/>
        </w:rPr>
      </w:pPr>
      <w:r>
        <w:rPr>
          <w:vertAlign w:val="superscript"/>
        </w:rPr>
        <w:footnoteRef/>
      </w:r>
      <w:r>
        <w:rPr>
          <w:sz w:val="20"/>
          <w:szCs w:val="20"/>
        </w:rPr>
        <w:t xml:space="preserve"> </w:t>
      </w:r>
      <w:hyperlink r:id="rId15">
        <w:r w:rsidRPr="005401F6">
          <w:rPr>
            <w:rFonts w:asciiTheme="majorHAnsi" w:eastAsia="Calibri" w:hAnsiTheme="majorHAnsi" w:cs="Calibri"/>
            <w:color w:val="1155CC"/>
            <w:sz w:val="20"/>
            <w:szCs w:val="20"/>
            <w:u w:val="single"/>
          </w:rPr>
          <w:t>https://www.facebook.com/PUD.Ukraine/posts/pfbid0aU9Hc1rhAoLDS3e5Ns5h4qAVaAQDKa1Q4FNJxv9hqMUNzJ9yVLkCXpjPRoV6Nk2Xl</w:t>
        </w:r>
      </w:hyperlink>
    </w:p>
  </w:footnote>
  <w:footnote w:id="16">
    <w:p w14:paraId="66B5BD8D" w14:textId="26B525A7" w:rsidR="00746708" w:rsidRDefault="00746708">
      <w:pPr>
        <w:pStyle w:val="af"/>
      </w:pPr>
      <w:r>
        <w:rPr>
          <w:rStyle w:val="af1"/>
        </w:rPr>
        <w:footnoteRef/>
      </w:r>
      <w:r>
        <w:t xml:space="preserve"> </w:t>
      </w:r>
      <w:hyperlink r:id="rId16" w:history="1">
        <w:r w:rsidRPr="005401F6">
          <w:rPr>
            <w:rStyle w:val="ab"/>
            <w:rFonts w:asciiTheme="majorHAnsi" w:hAnsiTheme="majorHAnsi"/>
          </w:rPr>
          <w:t>https://react-aph.org/wp-content/uploads/2022/10/react-system-in-ukraine-challenges-of-war.pdf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33D9" w14:textId="77777777" w:rsidR="00720038" w:rsidRDefault="00720038">
    <w:pPr>
      <w:pBdr>
        <w:top w:val="nil"/>
        <w:left w:val="nil"/>
        <w:bottom w:val="nil"/>
        <w:right w:val="nil"/>
        <w:between w:val="nil"/>
      </w:pBdr>
      <w:tabs>
        <w:tab w:val="center" w:pos="4513"/>
        <w:tab w:val="right" w:pos="9026"/>
      </w:tabs>
      <w:jc w:val="right"/>
      <w:rPr>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FE29" w14:textId="77777777" w:rsidR="00720038" w:rsidRDefault="00720038">
    <w:pPr>
      <w:pBdr>
        <w:top w:val="nil"/>
        <w:left w:val="nil"/>
        <w:bottom w:val="nil"/>
        <w:right w:val="nil"/>
        <w:between w:val="nil"/>
      </w:pBdr>
      <w:tabs>
        <w:tab w:val="center" w:pos="4513"/>
        <w:tab w:val="right" w:pos="9026"/>
      </w:tabs>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F14B0"/>
    <w:multiLevelType w:val="multilevel"/>
    <w:tmpl w:val="C8DAD75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D9267C"/>
    <w:multiLevelType w:val="multilevel"/>
    <w:tmpl w:val="314C7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38"/>
    <w:rsid w:val="00050DF5"/>
    <w:rsid w:val="000852D8"/>
    <w:rsid w:val="000A32BD"/>
    <w:rsid w:val="00105E81"/>
    <w:rsid w:val="00162879"/>
    <w:rsid w:val="00182B43"/>
    <w:rsid w:val="00194F77"/>
    <w:rsid w:val="001A2B3E"/>
    <w:rsid w:val="001C07E7"/>
    <w:rsid w:val="001C577E"/>
    <w:rsid w:val="001D2551"/>
    <w:rsid w:val="00272513"/>
    <w:rsid w:val="002B4B9E"/>
    <w:rsid w:val="002F4821"/>
    <w:rsid w:val="003575EA"/>
    <w:rsid w:val="003B76D7"/>
    <w:rsid w:val="003D234A"/>
    <w:rsid w:val="00465183"/>
    <w:rsid w:val="00472A90"/>
    <w:rsid w:val="004856A3"/>
    <w:rsid w:val="004F608C"/>
    <w:rsid w:val="00522AB9"/>
    <w:rsid w:val="00525B7E"/>
    <w:rsid w:val="005401F6"/>
    <w:rsid w:val="00583BFB"/>
    <w:rsid w:val="005B309E"/>
    <w:rsid w:val="00637701"/>
    <w:rsid w:val="006870E8"/>
    <w:rsid w:val="006916C0"/>
    <w:rsid w:val="00694800"/>
    <w:rsid w:val="006D031B"/>
    <w:rsid w:val="00720038"/>
    <w:rsid w:val="00746708"/>
    <w:rsid w:val="0077187B"/>
    <w:rsid w:val="007824FC"/>
    <w:rsid w:val="00785C2A"/>
    <w:rsid w:val="00797650"/>
    <w:rsid w:val="007B3041"/>
    <w:rsid w:val="007C4E22"/>
    <w:rsid w:val="007D2F42"/>
    <w:rsid w:val="007E7044"/>
    <w:rsid w:val="00807594"/>
    <w:rsid w:val="008565AB"/>
    <w:rsid w:val="008A164C"/>
    <w:rsid w:val="009249C9"/>
    <w:rsid w:val="00944ED0"/>
    <w:rsid w:val="009A0148"/>
    <w:rsid w:val="009A0482"/>
    <w:rsid w:val="009A2955"/>
    <w:rsid w:val="009F080F"/>
    <w:rsid w:val="00A41173"/>
    <w:rsid w:val="00AE05F5"/>
    <w:rsid w:val="00B209CC"/>
    <w:rsid w:val="00B21E88"/>
    <w:rsid w:val="00BA574D"/>
    <w:rsid w:val="00BB0B0D"/>
    <w:rsid w:val="00BC58E3"/>
    <w:rsid w:val="00BC60AE"/>
    <w:rsid w:val="00BD0DC9"/>
    <w:rsid w:val="00BF64E5"/>
    <w:rsid w:val="00C07210"/>
    <w:rsid w:val="00C567B3"/>
    <w:rsid w:val="00D324C9"/>
    <w:rsid w:val="00D57C52"/>
    <w:rsid w:val="00DB2A13"/>
    <w:rsid w:val="00DC4325"/>
    <w:rsid w:val="00E26FFE"/>
    <w:rsid w:val="00E879E4"/>
    <w:rsid w:val="00E93B38"/>
    <w:rsid w:val="00EB7081"/>
    <w:rsid w:val="00ED0B9F"/>
    <w:rsid w:val="00F2090D"/>
    <w:rsid w:val="00F3103C"/>
    <w:rsid w:val="00F33853"/>
    <w:rsid w:val="00F56809"/>
    <w:rsid w:val="00F939EE"/>
    <w:rsid w:val="00FA104F"/>
    <w:rsid w:val="00FF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1D07"/>
  <w15:docId w15:val="{24464D50-8C28-4521-9134-85259E52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before="100" w:after="100"/>
      <w:outlineLvl w:val="0"/>
    </w:pPr>
    <w:rPr>
      <w:b/>
      <w:sz w:val="48"/>
      <w:szCs w:val="48"/>
    </w:rPr>
  </w:style>
  <w:style w:type="paragraph" w:styleId="2">
    <w:name w:val="heading 2"/>
    <w:basedOn w:val="a"/>
    <w:next w:val="a"/>
    <w:pPr>
      <w:keepNext/>
      <w:keepLines/>
      <w:widowControl w:val="0"/>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widowControl w:val="0"/>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a4">
    <w:name w:val="Subtitle"/>
    <w:basedOn w:val="a"/>
    <w:next w:val="a"/>
    <w:pPr>
      <w:keepNext/>
      <w:keepLines/>
      <w:widowControl w:val="0"/>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rPr>
      <w:sz w:val="20"/>
      <w:szCs w:val="20"/>
    </w:rPr>
  </w:style>
  <w:style w:type="character" w:customStyle="1" w:styleId="a6">
    <w:name w:val="Текст примечания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3368F7"/>
    <w:rPr>
      <w:rFonts w:ascii="Segoe UI" w:hAnsi="Segoe UI" w:cs="Segoe UI"/>
      <w:sz w:val="18"/>
      <w:szCs w:val="18"/>
    </w:rPr>
  </w:style>
  <w:style w:type="character" w:customStyle="1" w:styleId="a9">
    <w:name w:val="Текст выноски Знак"/>
    <w:basedOn w:val="a0"/>
    <w:link w:val="a8"/>
    <w:uiPriority w:val="99"/>
    <w:semiHidden/>
    <w:rsid w:val="003368F7"/>
    <w:rPr>
      <w:rFonts w:ascii="Segoe UI" w:hAnsi="Segoe UI" w:cs="Segoe UI"/>
      <w:sz w:val="18"/>
      <w:szCs w:val="18"/>
    </w:rPr>
  </w:style>
  <w:style w:type="character" w:styleId="aa">
    <w:name w:val="Emphasis"/>
    <w:basedOn w:val="a0"/>
    <w:uiPriority w:val="20"/>
    <w:qFormat/>
    <w:rsid w:val="000475BF"/>
    <w:rPr>
      <w:i/>
      <w:iCs/>
    </w:rPr>
  </w:style>
  <w:style w:type="character" w:styleId="ab">
    <w:name w:val="Hyperlink"/>
    <w:basedOn w:val="a0"/>
    <w:uiPriority w:val="99"/>
    <w:unhideWhenUsed/>
    <w:rsid w:val="000852D8"/>
    <w:rPr>
      <w:color w:val="0000FF" w:themeColor="hyperlink"/>
      <w:u w:val="single"/>
    </w:rPr>
  </w:style>
  <w:style w:type="paragraph" w:styleId="ac">
    <w:name w:val="annotation subject"/>
    <w:basedOn w:val="a5"/>
    <w:next w:val="a5"/>
    <w:link w:val="ad"/>
    <w:uiPriority w:val="99"/>
    <w:semiHidden/>
    <w:unhideWhenUsed/>
    <w:rsid w:val="003575EA"/>
    <w:rPr>
      <w:b/>
      <w:bCs/>
    </w:rPr>
  </w:style>
  <w:style w:type="character" w:customStyle="1" w:styleId="ad">
    <w:name w:val="Тема примечания Знак"/>
    <w:basedOn w:val="a6"/>
    <w:link w:val="ac"/>
    <w:uiPriority w:val="99"/>
    <w:semiHidden/>
    <w:rsid w:val="003575EA"/>
    <w:rPr>
      <w:b/>
      <w:bCs/>
      <w:sz w:val="20"/>
      <w:szCs w:val="20"/>
    </w:rPr>
  </w:style>
  <w:style w:type="paragraph" w:styleId="ae">
    <w:name w:val="Revision"/>
    <w:hidden/>
    <w:uiPriority w:val="99"/>
    <w:semiHidden/>
    <w:rsid w:val="00637701"/>
  </w:style>
  <w:style w:type="paragraph" w:styleId="af">
    <w:name w:val="footnote text"/>
    <w:basedOn w:val="a"/>
    <w:link w:val="af0"/>
    <w:uiPriority w:val="99"/>
    <w:semiHidden/>
    <w:unhideWhenUsed/>
    <w:rsid w:val="007B3041"/>
    <w:rPr>
      <w:sz w:val="20"/>
      <w:szCs w:val="20"/>
    </w:rPr>
  </w:style>
  <w:style w:type="character" w:customStyle="1" w:styleId="af0">
    <w:name w:val="Текст сноски Знак"/>
    <w:basedOn w:val="a0"/>
    <w:link w:val="af"/>
    <w:uiPriority w:val="99"/>
    <w:semiHidden/>
    <w:rsid w:val="007B3041"/>
    <w:rPr>
      <w:sz w:val="20"/>
      <w:szCs w:val="20"/>
    </w:rPr>
  </w:style>
  <w:style w:type="character" w:styleId="af1">
    <w:name w:val="footnote reference"/>
    <w:basedOn w:val="a0"/>
    <w:uiPriority w:val="99"/>
    <w:semiHidden/>
    <w:unhideWhenUsed/>
    <w:rsid w:val="007B3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semchuk@aph.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735-2013-%D1%80#Text  " TargetMode="External"/><Relationship Id="rId13" Type="http://schemas.openxmlformats.org/officeDocument/2006/relationships/hyperlink" Target="https://aph.org.ua/wp-content/uploads/2021/09/Size-estimation_2020_eng.pdf" TargetMode="External"/><Relationship Id="rId3" Type="http://schemas.openxmlformats.org/officeDocument/2006/relationships/hyperlink" Target="https://w1.c1.rada.gov.ua/pls/zweb2/webproc4_1?pf3511=69827" TargetMode="External"/><Relationship Id="rId7" Type="http://schemas.openxmlformats.org/officeDocument/2006/relationships/hyperlink" Target="https://supreme.court.gov.ua/userfiles/media/new_folder_for_uploads/supreme/zvi/Analiz_zdisn_pravos_2021.pdf" TargetMode="External"/><Relationship Id="rId12" Type="http://schemas.openxmlformats.org/officeDocument/2006/relationships/hyperlink" Target="https://enpud.net/" TargetMode="External"/><Relationship Id="rId2" Type="http://schemas.openxmlformats.org/officeDocument/2006/relationships/hyperlink" Target="https://zakon.rada.gov.ua/laws/show/z0900-10#Text" TargetMode="External"/><Relationship Id="rId16" Type="http://schemas.openxmlformats.org/officeDocument/2006/relationships/hyperlink" Target="https://react-aph.org/wp-content/uploads/2022/10/react-system-in-ukraine-challenges-of-war.pdf" TargetMode="External"/><Relationship Id="rId1" Type="http://schemas.openxmlformats.org/officeDocument/2006/relationships/hyperlink" Target="https://zakon.rada.gov.ua/laws/show/z0512-00" TargetMode="External"/><Relationship Id="rId6" Type="http://schemas.openxmlformats.org/officeDocument/2006/relationships/hyperlink" Target="https://supreme.court.gov.ua/userfiles/media/new_folder_for_uploads/supreme/ogliady/Stan_Pravosuddya_Criminal_2022.pdf?fbclid=IwAR0aQ0HZ1sixLo_7evXiBjYF_fEcLXjCzAeFpsN8aqSO2M6LaiC0kF0kQTM" TargetMode="External"/><Relationship Id="rId11" Type="http://schemas.openxmlformats.org/officeDocument/2006/relationships/hyperlink" Target="https://react-aph.org/wp-content/uploads/2022/12/en_analitichnij-zvit-2021-react_red_21.12.2022.pdf" TargetMode="External"/><Relationship Id="rId5" Type="http://schemas.openxmlformats.org/officeDocument/2006/relationships/hyperlink" Target="https://cmhmda.org.ua/wp-content/uploads/2023/01/zvit-shhodo-narkotychnoyi-ta-alkogolnoyi-sytuacziyi-v-ukrayini-2022.pdf" TargetMode="External"/><Relationship Id="rId15" Type="http://schemas.openxmlformats.org/officeDocument/2006/relationships/hyperlink" Target="https://www.facebook.com/PUD.Ukraine/posts/pfbid0aU9Hc1rhAoLDS3e5Ns5h4qAVaAQDKa1Q4FNJxv9hqMUNzJ9yVLkCXpjPRoV6Nk2Xl" TargetMode="External"/><Relationship Id="rId10" Type="http://schemas.openxmlformats.org/officeDocument/2006/relationships/hyperlink" Target="https://react-aph.org/en/statistic/ukraine-2022-year/?country_id=566" TargetMode="External"/><Relationship Id="rId4" Type="http://schemas.openxmlformats.org/officeDocument/2006/relationships/hyperlink" Target="https://zakon.rada.gov.ua/laws/show/2341-14/page13" TargetMode="External"/><Relationship Id="rId9" Type="http://schemas.openxmlformats.org/officeDocument/2006/relationships/hyperlink" Target="https://newcriminalcode.org.ua/criminal-code" TargetMode="External"/><Relationship Id="rId14" Type="http://schemas.openxmlformats.org/officeDocument/2006/relationships/hyperlink" Target="https://phc.org.ua/sites/default/files/users/user90/HIV_in_UA_53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2x7mJ4GvGCY0ZE5+qyAJxvSzA==">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13D4C5-063B-4065-896B-228327CA5520}">
  <ds:schemaRefs>
    <ds:schemaRef ds:uri="http://schemas.openxmlformats.org/officeDocument/2006/bibliography"/>
  </ds:schemaRefs>
</ds:datastoreItem>
</file>

<file path=customXml/itemProps3.xml><?xml version="1.0" encoding="utf-8"?>
<ds:datastoreItem xmlns:ds="http://schemas.openxmlformats.org/officeDocument/2006/customXml" ds:itemID="{E5BCD30C-EC49-4668-B5AA-3566AF87CF04}"/>
</file>

<file path=customXml/itemProps4.xml><?xml version="1.0" encoding="utf-8"?>
<ds:datastoreItem xmlns:ds="http://schemas.openxmlformats.org/officeDocument/2006/customXml" ds:itemID="{3AB2B744-7EAB-4228-9E40-1CE59466C007}"/>
</file>

<file path=customXml/itemProps5.xml><?xml version="1.0" encoding="utf-8"?>
<ds:datastoreItem xmlns:ds="http://schemas.openxmlformats.org/officeDocument/2006/customXml" ds:itemID="{BB8A3D5C-81EC-4746-97C0-F7BC4CCBF5B1}"/>
</file>

<file path=docProps/app.xml><?xml version="1.0" encoding="utf-8"?>
<Properties xmlns="http://schemas.openxmlformats.org/officeDocument/2006/extended-properties" xmlns:vt="http://schemas.openxmlformats.org/officeDocument/2006/docPropsVTypes">
  <Template>Normal</Template>
  <TotalTime>163</TotalTime>
  <Pages>6</Pages>
  <Words>1594</Words>
  <Characters>8688</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Semchuk Nadiya</dc:creator>
  <cp:lastModifiedBy>Semchuk Nadiya</cp:lastModifiedBy>
  <cp:revision>83</cp:revision>
  <dcterms:created xsi:type="dcterms:W3CDTF">2023-05-17T16:53:00Z</dcterms:created>
  <dcterms:modified xsi:type="dcterms:W3CDTF">2023-05-21T08:56:00Z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1991c979d2ef1f808495c2a56f404641cf9d11a51ec9b65661a7a6732bd2d4cc</vt:lpwstr>
  </property>
  <property fmtid="{D5CDD505-2E9C-101B-9397-08002B2CF9AE}" pid="3" name="ContentTypeId">
    <vt:lpwstr>0x010100D3257166D5221D45AC4BE86DE2E261D0</vt:lpwstr>
  </property>
</Properties>
</file>