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5695" w:rsidRDefault="00000000">
      <w:pPr>
        <w:pBdr>
          <w:top w:val="nil"/>
          <w:left w:val="nil"/>
          <w:bottom w:val="nil"/>
          <w:right w:val="nil"/>
          <w:between w:val="nil"/>
        </w:pBdr>
        <w:jc w:val="center"/>
        <w:rPr>
          <w:rFonts w:ascii="Calibri" w:eastAsia="Calibri" w:hAnsi="Calibri" w:cs="Calibri"/>
          <w:b/>
          <w:color w:val="000000"/>
          <w:sz w:val="50"/>
          <w:szCs w:val="50"/>
        </w:rPr>
      </w:pPr>
      <w:r>
        <w:rPr>
          <w:noProof/>
        </w:rPr>
        <w:drawing>
          <wp:anchor distT="114300" distB="114300" distL="114300" distR="114300" simplePos="0" relativeHeight="251658240" behindDoc="0" locked="0" layoutInCell="1" hidden="0" allowOverlap="1">
            <wp:simplePos x="0" y="0"/>
            <wp:positionH relativeFrom="column">
              <wp:posOffset>1223010</wp:posOffset>
            </wp:positionH>
            <wp:positionV relativeFrom="paragraph">
              <wp:posOffset>109220</wp:posOffset>
            </wp:positionV>
            <wp:extent cx="3520440" cy="115062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520440" cy="1150620"/>
                    </a:xfrm>
                    <a:prstGeom prst="rect">
                      <a:avLst/>
                    </a:prstGeom>
                    <a:ln/>
                  </pic:spPr>
                </pic:pic>
              </a:graphicData>
            </a:graphic>
            <wp14:sizeRelH relativeFrom="margin">
              <wp14:pctWidth>0</wp14:pctWidth>
            </wp14:sizeRelH>
            <wp14:sizeRelV relativeFrom="margin">
              <wp14:pctHeight>0</wp14:pctHeight>
            </wp14:sizeRelV>
          </wp:anchor>
        </w:drawing>
      </w:r>
    </w:p>
    <w:p w:rsidR="00505695" w:rsidRDefault="00505695">
      <w:pPr>
        <w:pBdr>
          <w:top w:val="nil"/>
          <w:left w:val="nil"/>
          <w:bottom w:val="nil"/>
          <w:right w:val="nil"/>
          <w:between w:val="nil"/>
        </w:pBdr>
        <w:rPr>
          <w:rFonts w:ascii="Calibri" w:eastAsia="Calibri" w:hAnsi="Calibri" w:cs="Calibri"/>
          <w:b/>
          <w:i/>
          <w:color w:val="000000"/>
          <w:sz w:val="50"/>
          <w:szCs w:val="50"/>
        </w:rPr>
      </w:pPr>
    </w:p>
    <w:p w:rsidR="00505695" w:rsidRDefault="00505695">
      <w:pPr>
        <w:pBdr>
          <w:top w:val="nil"/>
          <w:left w:val="nil"/>
          <w:bottom w:val="nil"/>
          <w:right w:val="nil"/>
          <w:between w:val="nil"/>
        </w:pBdr>
        <w:jc w:val="both"/>
        <w:rPr>
          <w:rFonts w:ascii="Calibri" w:eastAsia="Calibri" w:hAnsi="Calibri" w:cs="Calibri"/>
          <w:b/>
          <w:color w:val="000000"/>
          <w:sz w:val="32"/>
          <w:szCs w:val="32"/>
        </w:rPr>
      </w:pPr>
    </w:p>
    <w:p w:rsidR="00505695" w:rsidRDefault="00505695">
      <w:pPr>
        <w:pBdr>
          <w:top w:val="nil"/>
          <w:left w:val="nil"/>
          <w:bottom w:val="nil"/>
          <w:right w:val="nil"/>
          <w:between w:val="nil"/>
        </w:pBdr>
        <w:jc w:val="center"/>
        <w:rPr>
          <w:rFonts w:ascii="Calibri" w:eastAsia="Calibri" w:hAnsi="Calibri" w:cs="Calibri"/>
          <w:b/>
          <w:color w:val="000000"/>
          <w:sz w:val="32"/>
          <w:szCs w:val="32"/>
        </w:rPr>
      </w:pPr>
    </w:p>
    <w:p w:rsidR="00505695" w:rsidRDefault="00505695">
      <w:pPr>
        <w:pBdr>
          <w:top w:val="nil"/>
          <w:left w:val="nil"/>
          <w:bottom w:val="nil"/>
          <w:right w:val="nil"/>
          <w:between w:val="nil"/>
        </w:pBdr>
        <w:jc w:val="both"/>
        <w:rPr>
          <w:rFonts w:ascii="Calibri" w:eastAsia="Calibri" w:hAnsi="Calibri" w:cs="Calibri"/>
          <w:b/>
          <w:color w:val="000000"/>
          <w:sz w:val="32"/>
          <w:szCs w:val="32"/>
        </w:rPr>
      </w:pPr>
    </w:p>
    <w:p w:rsidR="00505695" w:rsidRDefault="00505695">
      <w:pPr>
        <w:pBdr>
          <w:top w:val="nil"/>
          <w:left w:val="nil"/>
          <w:bottom w:val="nil"/>
          <w:right w:val="nil"/>
          <w:between w:val="nil"/>
        </w:pBdr>
        <w:jc w:val="both"/>
        <w:rPr>
          <w:rFonts w:ascii="Calibri" w:eastAsia="Calibri" w:hAnsi="Calibri" w:cs="Calibri"/>
          <w:b/>
          <w:color w:val="000000"/>
          <w:sz w:val="32"/>
          <w:szCs w:val="32"/>
        </w:rPr>
      </w:pPr>
    </w:p>
    <w:p w:rsidR="00505695" w:rsidRDefault="00505695">
      <w:pPr>
        <w:pBdr>
          <w:top w:val="nil"/>
          <w:left w:val="nil"/>
          <w:bottom w:val="nil"/>
          <w:right w:val="nil"/>
          <w:between w:val="nil"/>
        </w:pBdr>
        <w:jc w:val="both"/>
        <w:rPr>
          <w:rFonts w:ascii="Calibri" w:eastAsia="Calibri" w:hAnsi="Calibri" w:cs="Calibri"/>
          <w:b/>
          <w:color w:val="000000"/>
          <w:sz w:val="32"/>
          <w:szCs w:val="32"/>
        </w:rPr>
      </w:pPr>
    </w:p>
    <w:p w:rsidR="00505695" w:rsidRDefault="00000000">
      <w:pPr>
        <w:pBdr>
          <w:top w:val="nil"/>
          <w:left w:val="nil"/>
          <w:bottom w:val="nil"/>
          <w:right w:val="nil"/>
          <w:between w:val="nil"/>
        </w:pBdr>
        <w:jc w:val="both"/>
        <w:rPr>
          <w:rFonts w:ascii="Arial Nova" w:eastAsia="Calibri" w:hAnsi="Arial Nova" w:cs="Calibri"/>
          <w:b/>
          <w:color w:val="000000"/>
          <w:sz w:val="40"/>
          <w:szCs w:val="40"/>
        </w:rPr>
      </w:pPr>
      <w:r w:rsidRPr="00351FE8">
        <w:rPr>
          <w:rFonts w:ascii="Arial Nova" w:eastAsia="Calibri" w:hAnsi="Arial Nova" w:cs="Calibri"/>
          <w:b/>
          <w:color w:val="000000"/>
          <w:sz w:val="40"/>
          <w:szCs w:val="40"/>
        </w:rPr>
        <w:t>Submission to the United Nations High Commissioner for Human Rights</w:t>
      </w:r>
    </w:p>
    <w:p w:rsidR="00622ACF" w:rsidRPr="00351FE8" w:rsidRDefault="00622ACF">
      <w:pPr>
        <w:pBdr>
          <w:top w:val="nil"/>
          <w:left w:val="nil"/>
          <w:bottom w:val="nil"/>
          <w:right w:val="nil"/>
          <w:between w:val="nil"/>
        </w:pBdr>
        <w:jc w:val="both"/>
        <w:rPr>
          <w:rFonts w:ascii="Arial Nova" w:eastAsia="Calibri" w:hAnsi="Arial Nova" w:cs="Calibri"/>
          <w:b/>
          <w:color w:val="000000"/>
          <w:sz w:val="40"/>
          <w:szCs w:val="40"/>
        </w:rPr>
      </w:pPr>
    </w:p>
    <w:p w:rsidR="00505695" w:rsidRPr="00351FE8" w:rsidRDefault="00505695">
      <w:pPr>
        <w:pBdr>
          <w:top w:val="nil"/>
          <w:left w:val="nil"/>
          <w:bottom w:val="nil"/>
          <w:right w:val="nil"/>
          <w:between w:val="nil"/>
        </w:pBdr>
        <w:jc w:val="both"/>
        <w:rPr>
          <w:rFonts w:ascii="Arial Nova" w:eastAsia="Calibri" w:hAnsi="Arial Nova" w:cs="Calibri"/>
          <w:b/>
          <w:color w:val="000000"/>
          <w:sz w:val="32"/>
          <w:szCs w:val="32"/>
        </w:rPr>
      </w:pPr>
    </w:p>
    <w:p w:rsidR="00505695" w:rsidRPr="00351FE8" w:rsidRDefault="00EF40C2">
      <w:pPr>
        <w:pBdr>
          <w:top w:val="nil"/>
          <w:left w:val="nil"/>
          <w:bottom w:val="nil"/>
          <w:right w:val="nil"/>
          <w:between w:val="nil"/>
        </w:pBdr>
        <w:jc w:val="both"/>
        <w:rPr>
          <w:rFonts w:ascii="Arial Nova" w:eastAsia="Calibri" w:hAnsi="Arial Nova" w:cs="Calibri"/>
          <w:b/>
          <w:color w:val="000000"/>
          <w:sz w:val="36"/>
          <w:szCs w:val="36"/>
          <w:lang w:val="es-ES"/>
        </w:rPr>
      </w:pPr>
      <w:r>
        <w:rPr>
          <w:rFonts w:ascii="Arial Nova" w:eastAsia="Calibri" w:hAnsi="Arial Nova" w:cs="Calibri"/>
          <w:b/>
          <w:sz w:val="36"/>
          <w:szCs w:val="36"/>
          <w:lang w:val="es-ES"/>
        </w:rPr>
        <w:t>Sobre la vulneración de derechos que sufren</w:t>
      </w:r>
      <w:r w:rsidR="00622ACF" w:rsidRPr="00461E7F">
        <w:rPr>
          <w:rFonts w:ascii="Arial Nova" w:eastAsia="Calibri" w:hAnsi="Arial Nova" w:cs="Calibri"/>
          <w:b/>
          <w:sz w:val="36"/>
          <w:szCs w:val="36"/>
          <w:lang w:val="es-ES"/>
        </w:rPr>
        <w:t xml:space="preserve"> mujeres y personas de género diverso que usan drogas sobreviviendo</w:t>
      </w:r>
      <w:r>
        <w:rPr>
          <w:rFonts w:ascii="Arial Nova" w:eastAsia="Calibri" w:hAnsi="Arial Nova" w:cs="Calibri"/>
          <w:b/>
          <w:sz w:val="36"/>
          <w:szCs w:val="36"/>
          <w:lang w:val="es-ES"/>
        </w:rPr>
        <w:t xml:space="preserve"> </w:t>
      </w:r>
      <w:r w:rsidR="00622ACF" w:rsidRPr="00461E7F">
        <w:rPr>
          <w:rFonts w:ascii="Arial Nova" w:eastAsia="Calibri" w:hAnsi="Arial Nova" w:cs="Calibri"/>
          <w:b/>
          <w:sz w:val="36"/>
          <w:szCs w:val="36"/>
          <w:lang w:val="es-ES"/>
        </w:rPr>
        <w:t>múltiples situaciones de v</w:t>
      </w:r>
      <w:r w:rsidR="00823E89">
        <w:rPr>
          <w:rFonts w:ascii="Arial Nova" w:eastAsia="Calibri" w:hAnsi="Arial Nova" w:cs="Calibri"/>
          <w:b/>
          <w:sz w:val="36"/>
          <w:szCs w:val="36"/>
          <w:lang w:val="es-ES"/>
        </w:rPr>
        <w:t>iolencia y v</w:t>
      </w:r>
      <w:r w:rsidR="00622ACF" w:rsidRPr="00461E7F">
        <w:rPr>
          <w:rFonts w:ascii="Arial Nova" w:eastAsia="Calibri" w:hAnsi="Arial Nova" w:cs="Calibri"/>
          <w:b/>
          <w:sz w:val="36"/>
          <w:szCs w:val="36"/>
          <w:lang w:val="es-ES"/>
        </w:rPr>
        <w:t>ulnerabilidad.</w:t>
      </w:r>
    </w:p>
    <w:p w:rsidR="00505695" w:rsidRPr="00351FE8" w:rsidRDefault="00505695">
      <w:pPr>
        <w:pBdr>
          <w:top w:val="nil"/>
          <w:left w:val="nil"/>
          <w:bottom w:val="nil"/>
          <w:right w:val="nil"/>
          <w:between w:val="nil"/>
        </w:pBdr>
        <w:jc w:val="both"/>
        <w:rPr>
          <w:rFonts w:ascii="Calibri" w:eastAsia="Calibri" w:hAnsi="Calibri" w:cs="Calibri"/>
          <w:color w:val="000000"/>
          <w:lang w:val="es-ES"/>
        </w:rPr>
      </w:pPr>
    </w:p>
    <w:p w:rsidR="00505695" w:rsidRPr="00351FE8" w:rsidRDefault="00505695">
      <w:pPr>
        <w:pBdr>
          <w:top w:val="nil"/>
          <w:left w:val="nil"/>
          <w:bottom w:val="nil"/>
          <w:right w:val="nil"/>
          <w:between w:val="nil"/>
        </w:pBdr>
        <w:jc w:val="both"/>
        <w:rPr>
          <w:rFonts w:ascii="Calibri" w:eastAsia="Calibri" w:hAnsi="Calibri" w:cs="Calibri"/>
          <w:b/>
          <w:color w:val="000000"/>
          <w:sz w:val="32"/>
          <w:szCs w:val="32"/>
          <w:lang w:val="es-ES"/>
        </w:rPr>
      </w:pPr>
    </w:p>
    <w:p w:rsidR="00505695" w:rsidRPr="00662CB0" w:rsidRDefault="00000000">
      <w:pPr>
        <w:pBdr>
          <w:top w:val="nil"/>
          <w:left w:val="nil"/>
          <w:bottom w:val="nil"/>
          <w:right w:val="nil"/>
          <w:between w:val="nil"/>
        </w:pBdr>
        <w:jc w:val="both"/>
        <w:rPr>
          <w:rFonts w:ascii="Arial Nova" w:eastAsia="Calibri" w:hAnsi="Arial Nova" w:cs="Calibri"/>
          <w:b/>
          <w:color w:val="000000"/>
          <w:sz w:val="32"/>
          <w:szCs w:val="32"/>
          <w:lang w:val="es-ES"/>
        </w:rPr>
      </w:pPr>
      <w:r w:rsidRPr="00662CB0">
        <w:rPr>
          <w:rFonts w:ascii="Arial Nova" w:eastAsia="Calibri" w:hAnsi="Arial Nova" w:cs="Calibri"/>
          <w:b/>
          <w:color w:val="000000"/>
          <w:sz w:val="32"/>
          <w:szCs w:val="32"/>
          <w:lang w:val="es-ES"/>
        </w:rPr>
        <w:t>Mayo 202</w:t>
      </w:r>
      <w:r w:rsidRPr="00662CB0">
        <w:rPr>
          <w:rFonts w:ascii="Arial Nova" w:eastAsia="Calibri" w:hAnsi="Arial Nova" w:cs="Calibri"/>
          <w:b/>
          <w:sz w:val="32"/>
          <w:szCs w:val="32"/>
          <w:lang w:val="es-ES"/>
        </w:rPr>
        <w:t>3</w:t>
      </w:r>
    </w:p>
    <w:p w:rsidR="00505695" w:rsidRPr="00662CB0" w:rsidRDefault="00505695">
      <w:pPr>
        <w:pBdr>
          <w:top w:val="nil"/>
          <w:left w:val="nil"/>
          <w:bottom w:val="nil"/>
          <w:right w:val="nil"/>
          <w:between w:val="nil"/>
        </w:pBdr>
        <w:jc w:val="both"/>
        <w:rPr>
          <w:rFonts w:ascii="Arial Nova" w:eastAsia="Calibri" w:hAnsi="Arial Nova" w:cs="Calibri"/>
          <w:color w:val="000000"/>
          <w:lang w:val="es-ES"/>
        </w:rPr>
      </w:pPr>
    </w:p>
    <w:p w:rsidR="00505695" w:rsidRPr="00662CB0" w:rsidRDefault="00505695">
      <w:pPr>
        <w:pBdr>
          <w:top w:val="nil"/>
          <w:left w:val="nil"/>
          <w:bottom w:val="nil"/>
          <w:right w:val="nil"/>
          <w:between w:val="nil"/>
        </w:pBdr>
        <w:jc w:val="both"/>
        <w:rPr>
          <w:rFonts w:ascii="Arial Nova" w:eastAsia="Calibri" w:hAnsi="Arial Nova" w:cs="Calibri"/>
          <w:color w:val="000000"/>
          <w:lang w:val="es-ES"/>
        </w:rPr>
      </w:pPr>
    </w:p>
    <w:p w:rsidR="00505695" w:rsidRPr="00662CB0" w:rsidRDefault="00000000">
      <w:pPr>
        <w:pBdr>
          <w:top w:val="nil"/>
          <w:left w:val="nil"/>
          <w:bottom w:val="nil"/>
          <w:right w:val="nil"/>
          <w:between w:val="nil"/>
        </w:pBdr>
        <w:jc w:val="both"/>
        <w:rPr>
          <w:rFonts w:ascii="Arial Nova" w:eastAsia="Calibri" w:hAnsi="Arial Nova" w:cs="Calibri"/>
          <w:b/>
          <w:color w:val="000000"/>
          <w:lang w:val="es-ES"/>
        </w:rPr>
      </w:pPr>
      <w:r w:rsidRPr="00662CB0">
        <w:rPr>
          <w:rFonts w:ascii="Arial Nova" w:eastAsia="Calibri" w:hAnsi="Arial Nova" w:cs="Calibri"/>
          <w:b/>
          <w:lang w:val="es-ES"/>
        </w:rPr>
        <w:t>Organización remitente</w:t>
      </w:r>
      <w:r w:rsidRPr="00662CB0">
        <w:rPr>
          <w:rFonts w:ascii="Arial Nova" w:eastAsia="Calibri" w:hAnsi="Arial Nova" w:cs="Calibri"/>
          <w:b/>
          <w:color w:val="000000"/>
          <w:lang w:val="es-ES"/>
        </w:rPr>
        <w:t xml:space="preserve">: </w:t>
      </w:r>
      <w:proofErr w:type="spellStart"/>
      <w:r w:rsidRPr="00662CB0">
        <w:rPr>
          <w:rFonts w:ascii="Arial Nova" w:eastAsia="Calibri" w:hAnsi="Arial Nova" w:cs="Calibri"/>
          <w:b/>
          <w:color w:val="000000"/>
          <w:lang w:val="es-ES"/>
        </w:rPr>
        <w:t>Metzineres</w:t>
      </w:r>
      <w:proofErr w:type="spellEnd"/>
    </w:p>
    <w:p w:rsidR="0039670B" w:rsidRPr="00662CB0" w:rsidRDefault="0039670B">
      <w:pPr>
        <w:pBdr>
          <w:top w:val="nil"/>
          <w:left w:val="nil"/>
          <w:bottom w:val="nil"/>
          <w:right w:val="nil"/>
          <w:between w:val="nil"/>
        </w:pBdr>
        <w:jc w:val="both"/>
        <w:rPr>
          <w:rFonts w:ascii="Arial Nova" w:eastAsia="Calibri" w:hAnsi="Arial Nova" w:cs="Calibri"/>
          <w:lang w:val="es-ES"/>
        </w:rPr>
      </w:pPr>
    </w:p>
    <w:p w:rsidR="0039670B" w:rsidRPr="00662CB0" w:rsidRDefault="0039670B">
      <w:pPr>
        <w:pBdr>
          <w:top w:val="nil"/>
          <w:left w:val="nil"/>
          <w:bottom w:val="nil"/>
          <w:right w:val="nil"/>
          <w:between w:val="nil"/>
        </w:pBdr>
        <w:jc w:val="both"/>
        <w:rPr>
          <w:rFonts w:ascii="Arial Nova" w:eastAsia="Arial Nova" w:hAnsi="Arial Nova" w:cs="Arial Nova"/>
          <w:lang w:val="es-ES"/>
        </w:rPr>
      </w:pPr>
      <w:proofErr w:type="spellStart"/>
      <w:r w:rsidRPr="00662CB0">
        <w:rPr>
          <w:rFonts w:ascii="Arial Nova" w:eastAsia="Arial Nova" w:hAnsi="Arial Nova" w:cs="Arial Nova"/>
          <w:lang w:val="es-ES"/>
        </w:rPr>
        <w:t>Metzineres</w:t>
      </w:r>
      <w:proofErr w:type="spellEnd"/>
      <w:r w:rsidRPr="00662CB0">
        <w:rPr>
          <w:rFonts w:ascii="Arial Nova" w:eastAsia="Arial Nova" w:hAnsi="Arial Nova" w:cs="Arial Nova"/>
          <w:lang w:val="es-ES"/>
        </w:rPr>
        <w:t xml:space="preserve"> es una cooperativa sin ánimo de lucro </w:t>
      </w:r>
      <w:r w:rsidR="00AB1F63" w:rsidRPr="00662CB0">
        <w:rPr>
          <w:rFonts w:ascii="Arial Nova" w:eastAsia="Arial Nova" w:hAnsi="Arial Nova" w:cs="Arial Nova"/>
          <w:lang w:val="es-ES"/>
        </w:rPr>
        <w:t xml:space="preserve">con sede en Barcelona, España, </w:t>
      </w:r>
      <w:r w:rsidRPr="00662CB0">
        <w:rPr>
          <w:rFonts w:ascii="Arial Nova" w:eastAsia="Arial Nova" w:hAnsi="Arial Nova" w:cs="Arial Nova"/>
          <w:lang w:val="es-ES"/>
        </w:rPr>
        <w:t>que despliega entornos de cobijo exclusivos para mujeres y personas de género diverso que usan drogas, sobreviviendo múltiples situaciones de vulnerabilidad y violencia. Desde una perspectiva feminista interseccional, de reducción daños y derechos humanos, actualmente cuenta con más de 4</w:t>
      </w:r>
      <w:r w:rsidR="006A12AC">
        <w:rPr>
          <w:rFonts w:ascii="Arial Nova" w:eastAsia="Arial Nova" w:hAnsi="Arial Nova" w:cs="Arial Nova"/>
          <w:lang w:val="es-ES"/>
        </w:rPr>
        <w:t>40</w:t>
      </w:r>
      <w:r w:rsidRPr="00662CB0">
        <w:rPr>
          <w:rFonts w:ascii="Arial Nova" w:eastAsia="Arial Nova" w:hAnsi="Arial Nova" w:cs="Arial Nova"/>
          <w:lang w:val="es-ES"/>
        </w:rPr>
        <w:t xml:space="preserve"> participantes, de más de 20 nacionalidades diferentes y de edades comprendidas entre los 18 y los 75 años.</w:t>
      </w:r>
    </w:p>
    <w:p w:rsidR="00505695" w:rsidRPr="00662CB0" w:rsidRDefault="00505695">
      <w:pPr>
        <w:rPr>
          <w:rFonts w:ascii="Arial Nova" w:eastAsia="Calibri" w:hAnsi="Arial Nova" w:cs="Calibri"/>
          <w:color w:val="000000"/>
          <w:lang w:val="es-ES"/>
        </w:rPr>
      </w:pPr>
    </w:p>
    <w:p w:rsidR="00505695" w:rsidRPr="00662CB0" w:rsidRDefault="00505695">
      <w:pPr>
        <w:pBdr>
          <w:top w:val="nil"/>
          <w:left w:val="nil"/>
          <w:bottom w:val="nil"/>
          <w:right w:val="nil"/>
          <w:between w:val="nil"/>
        </w:pBdr>
        <w:jc w:val="both"/>
        <w:rPr>
          <w:rFonts w:ascii="Arial Nova" w:eastAsia="Calibri" w:hAnsi="Arial Nova" w:cs="Calibri"/>
          <w:color w:val="000000"/>
          <w:lang w:val="es-ES"/>
        </w:rPr>
      </w:pPr>
    </w:p>
    <w:p w:rsidR="00505695" w:rsidRPr="00662CB0" w:rsidRDefault="00000000">
      <w:pPr>
        <w:pBdr>
          <w:top w:val="nil"/>
          <w:left w:val="nil"/>
          <w:bottom w:val="nil"/>
          <w:right w:val="nil"/>
          <w:between w:val="nil"/>
        </w:pBdr>
        <w:jc w:val="both"/>
        <w:rPr>
          <w:rFonts w:ascii="Arial Nova" w:eastAsia="Calibri" w:hAnsi="Arial Nova" w:cs="Calibri"/>
          <w:highlight w:val="yellow"/>
          <w:lang w:val="es-ES"/>
        </w:rPr>
      </w:pPr>
      <w:r w:rsidRPr="00662CB0">
        <w:rPr>
          <w:rFonts w:ascii="Arial Nova" w:eastAsia="Calibri" w:hAnsi="Arial Nova" w:cs="Calibri"/>
          <w:b/>
          <w:lang w:val="es-ES"/>
        </w:rPr>
        <w:t>Palabras</w:t>
      </w:r>
      <w:r w:rsidRPr="00662CB0">
        <w:rPr>
          <w:rFonts w:ascii="Arial Nova" w:eastAsia="Calibri" w:hAnsi="Arial Nova" w:cs="Calibri"/>
          <w:b/>
          <w:color w:val="000000"/>
          <w:lang w:val="es-ES"/>
        </w:rPr>
        <w:t xml:space="preserve">: </w:t>
      </w:r>
      <w:r w:rsidRPr="00662CB0">
        <w:rPr>
          <w:rFonts w:ascii="Arial Nova" w:eastAsia="Calibri" w:hAnsi="Arial Nova" w:cs="Calibri"/>
          <w:lang w:val="es-ES"/>
        </w:rPr>
        <w:t>1.</w:t>
      </w:r>
      <w:r w:rsidR="00A67B4E">
        <w:rPr>
          <w:rFonts w:ascii="Arial Nova" w:eastAsia="Calibri" w:hAnsi="Arial Nova" w:cs="Calibri"/>
          <w:lang w:val="es-ES"/>
        </w:rPr>
        <w:t>5</w:t>
      </w:r>
      <w:r w:rsidR="008E7B54">
        <w:rPr>
          <w:rFonts w:ascii="Arial Nova" w:eastAsia="Calibri" w:hAnsi="Arial Nova" w:cs="Calibri"/>
          <w:lang w:val="es-ES"/>
        </w:rPr>
        <w:t>08</w:t>
      </w:r>
    </w:p>
    <w:p w:rsidR="00505695" w:rsidRPr="00662CB0" w:rsidRDefault="00505695">
      <w:pPr>
        <w:pBdr>
          <w:top w:val="nil"/>
          <w:left w:val="nil"/>
          <w:bottom w:val="nil"/>
          <w:right w:val="nil"/>
          <w:between w:val="nil"/>
        </w:pBdr>
        <w:jc w:val="both"/>
        <w:rPr>
          <w:rFonts w:ascii="Arial Nova" w:eastAsia="Calibri" w:hAnsi="Arial Nova" w:cs="Calibri"/>
          <w:color w:val="000000"/>
          <w:lang w:val="es-ES"/>
        </w:rPr>
      </w:pPr>
    </w:p>
    <w:p w:rsidR="00505695" w:rsidRPr="00662CB0" w:rsidRDefault="00505695">
      <w:pPr>
        <w:pBdr>
          <w:top w:val="nil"/>
          <w:left w:val="nil"/>
          <w:bottom w:val="nil"/>
          <w:right w:val="nil"/>
          <w:between w:val="nil"/>
        </w:pBdr>
        <w:jc w:val="both"/>
        <w:rPr>
          <w:rFonts w:ascii="Arial Nova" w:eastAsia="Calibri" w:hAnsi="Arial Nova" w:cs="Calibri"/>
          <w:color w:val="000000"/>
          <w:lang w:val="es-ES"/>
        </w:rPr>
      </w:pPr>
    </w:p>
    <w:p w:rsidR="0039670B" w:rsidRDefault="00000000">
      <w:pPr>
        <w:pBdr>
          <w:top w:val="nil"/>
          <w:left w:val="nil"/>
          <w:bottom w:val="nil"/>
          <w:right w:val="nil"/>
          <w:between w:val="nil"/>
        </w:pBdr>
        <w:jc w:val="both"/>
        <w:rPr>
          <w:rFonts w:ascii="Arial Nova" w:eastAsia="Calibri" w:hAnsi="Arial Nova" w:cs="Calibri"/>
          <w:b/>
          <w:lang w:val="es-ES"/>
        </w:rPr>
      </w:pPr>
      <w:r w:rsidRPr="00662CB0">
        <w:rPr>
          <w:rFonts w:ascii="Arial Nova" w:eastAsia="Calibri" w:hAnsi="Arial Nova" w:cs="Calibri"/>
          <w:b/>
          <w:lang w:val="es-ES"/>
        </w:rPr>
        <w:t>Datos de contacto:</w:t>
      </w:r>
    </w:p>
    <w:p w:rsidR="001753BE" w:rsidRDefault="001753BE">
      <w:pPr>
        <w:pBdr>
          <w:top w:val="nil"/>
          <w:left w:val="nil"/>
          <w:bottom w:val="nil"/>
          <w:right w:val="nil"/>
          <w:between w:val="nil"/>
        </w:pBdr>
        <w:jc w:val="both"/>
        <w:rPr>
          <w:rFonts w:ascii="Arial Nova" w:eastAsia="Calibri" w:hAnsi="Arial Nova" w:cs="Calibri"/>
          <w:b/>
          <w:lang w:val="es-ES"/>
        </w:rPr>
      </w:pPr>
    </w:p>
    <w:p w:rsidR="001753BE" w:rsidRDefault="001753BE">
      <w:pPr>
        <w:pBdr>
          <w:top w:val="nil"/>
          <w:left w:val="nil"/>
          <w:bottom w:val="nil"/>
          <w:right w:val="nil"/>
          <w:between w:val="nil"/>
        </w:pBdr>
        <w:jc w:val="both"/>
        <w:rPr>
          <w:rFonts w:ascii="Arial Nova" w:eastAsia="Calibri" w:hAnsi="Arial Nova" w:cs="Calibri"/>
          <w:bCs/>
          <w:lang w:val="es-ES"/>
        </w:rPr>
      </w:pPr>
      <w:proofErr w:type="spellStart"/>
      <w:r w:rsidRPr="001753BE">
        <w:rPr>
          <w:rFonts w:ascii="Arial Nova" w:eastAsia="Calibri" w:hAnsi="Arial Nova" w:cs="Calibri"/>
          <w:bCs/>
          <w:lang w:val="es-ES"/>
        </w:rPr>
        <w:t>M</w:t>
      </w:r>
      <w:r>
        <w:rPr>
          <w:rFonts w:ascii="Arial Nova" w:eastAsia="Calibri" w:hAnsi="Arial Nova" w:cs="Calibri"/>
          <w:bCs/>
          <w:lang w:val="es-ES"/>
        </w:rPr>
        <w:t>etzineres</w:t>
      </w:r>
      <w:proofErr w:type="spellEnd"/>
    </w:p>
    <w:p w:rsidR="001753BE" w:rsidRDefault="001753BE">
      <w:pPr>
        <w:pBdr>
          <w:top w:val="nil"/>
          <w:left w:val="nil"/>
          <w:bottom w:val="nil"/>
          <w:right w:val="nil"/>
          <w:between w:val="nil"/>
        </w:pBdr>
        <w:jc w:val="both"/>
        <w:rPr>
          <w:rFonts w:ascii="Arial Nova" w:eastAsia="Calibri" w:hAnsi="Arial Nova" w:cs="Calibri"/>
          <w:bCs/>
          <w:lang w:val="es-ES"/>
        </w:rPr>
      </w:pPr>
      <w:r>
        <w:rPr>
          <w:rFonts w:ascii="Arial Nova" w:eastAsia="Calibri" w:hAnsi="Arial Nova" w:cs="Calibri"/>
          <w:bCs/>
          <w:lang w:val="es-ES"/>
        </w:rPr>
        <w:t>Calle Joaquim Costa 3, 4-1, 08001, Barcelona</w:t>
      </w:r>
    </w:p>
    <w:p w:rsidR="00505695" w:rsidRPr="006D50D3" w:rsidRDefault="00000000">
      <w:pPr>
        <w:pBdr>
          <w:top w:val="nil"/>
          <w:left w:val="nil"/>
          <w:bottom w:val="nil"/>
          <w:right w:val="nil"/>
          <w:between w:val="nil"/>
        </w:pBdr>
        <w:jc w:val="both"/>
        <w:rPr>
          <w:rFonts w:ascii="Arial Nova" w:eastAsia="Calibri" w:hAnsi="Arial Nova" w:cs="Calibri"/>
          <w:bCs/>
          <w:lang w:val="es-ES"/>
        </w:rPr>
      </w:pPr>
      <w:hyperlink r:id="rId10" w:history="1">
        <w:r w:rsidR="001753BE" w:rsidRPr="001753BE">
          <w:rPr>
            <w:rStyle w:val="Hipervnculo"/>
            <w:rFonts w:ascii="Arial Nova" w:eastAsia="Calibri" w:hAnsi="Arial Nova" w:cs="Calibri"/>
            <w:bCs/>
            <w:lang w:val="es-ES"/>
          </w:rPr>
          <w:t>marta.valldaura@metzineres.org</w:t>
        </w:r>
      </w:hyperlink>
      <w:r w:rsidR="001753BE" w:rsidRPr="001753BE">
        <w:rPr>
          <w:rFonts w:ascii="Arial Nova" w:eastAsia="Calibri" w:hAnsi="Arial Nova" w:cs="Calibri"/>
          <w:bCs/>
          <w:lang w:val="es-ES"/>
        </w:rPr>
        <w:t xml:space="preserve"> / </w:t>
      </w:r>
      <w:hyperlink r:id="rId11" w:history="1">
        <w:r w:rsidR="001753BE" w:rsidRPr="00BD5976">
          <w:rPr>
            <w:rStyle w:val="Hipervnculo"/>
            <w:rFonts w:ascii="Arial Nova" w:eastAsia="Calibri" w:hAnsi="Arial Nova" w:cs="Calibri"/>
            <w:bCs/>
            <w:lang w:val="es-ES"/>
          </w:rPr>
          <w:t>aura.roig@metzineres.org</w:t>
        </w:r>
      </w:hyperlink>
    </w:p>
    <w:p w:rsidR="00505695" w:rsidRPr="001A3577" w:rsidRDefault="00000000" w:rsidP="002E7D0D">
      <w:pPr>
        <w:pStyle w:val="Prrafodelista"/>
        <w:numPr>
          <w:ilvl w:val="0"/>
          <w:numId w:val="3"/>
        </w:numPr>
        <w:pBdr>
          <w:top w:val="nil"/>
          <w:left w:val="nil"/>
          <w:bottom w:val="nil"/>
          <w:right w:val="nil"/>
          <w:between w:val="nil"/>
        </w:pBdr>
        <w:spacing w:after="200" w:line="276" w:lineRule="auto"/>
        <w:jc w:val="both"/>
        <w:rPr>
          <w:rFonts w:ascii="Arial Nova" w:eastAsia="Calibri" w:hAnsi="Arial Nova" w:cs="Calibri"/>
          <w:b/>
          <w:color w:val="000000"/>
          <w:lang w:val="es-ES"/>
        </w:rPr>
      </w:pPr>
      <w:r w:rsidRPr="001A3577">
        <w:rPr>
          <w:rFonts w:ascii="Arial Nova" w:eastAsia="Calibri" w:hAnsi="Arial Nova" w:cs="Calibri"/>
          <w:b/>
          <w:color w:val="000000"/>
          <w:lang w:val="es-ES"/>
        </w:rPr>
        <w:lastRenderedPageBreak/>
        <w:t>Introduc</w:t>
      </w:r>
      <w:r w:rsidRPr="001A3577">
        <w:rPr>
          <w:rFonts w:ascii="Arial Nova" w:eastAsia="Calibri" w:hAnsi="Arial Nova" w:cs="Calibri"/>
          <w:b/>
          <w:lang w:val="es-ES"/>
        </w:rPr>
        <w:t>ción</w:t>
      </w:r>
    </w:p>
    <w:p w:rsidR="007311EE" w:rsidRDefault="007C00E3" w:rsidP="00B411AB">
      <w:pPr>
        <w:spacing w:after="200" w:line="276" w:lineRule="auto"/>
        <w:jc w:val="both"/>
        <w:rPr>
          <w:rFonts w:ascii="Arial Nova" w:eastAsia="Arial Nova" w:hAnsi="Arial Nova" w:cs="Arial Nova"/>
          <w:lang w:val="es-ES"/>
        </w:rPr>
      </w:pPr>
      <w:r>
        <w:rPr>
          <w:rFonts w:ascii="Arial Nova" w:eastAsia="Arial Nova" w:hAnsi="Arial Nova" w:cs="Arial Nova"/>
          <w:lang w:val="es-ES"/>
        </w:rPr>
        <w:t xml:space="preserve">El presente informe </w:t>
      </w:r>
      <w:r w:rsidRPr="007C00E3">
        <w:rPr>
          <w:rFonts w:ascii="Arial Nova" w:eastAsia="Arial Nova" w:hAnsi="Arial Nova" w:cs="Arial Nova"/>
          <w:lang w:val="es-ES"/>
        </w:rPr>
        <w:t xml:space="preserve">analiza las </w:t>
      </w:r>
      <w:r w:rsidRPr="007C00E3">
        <w:rPr>
          <w:rFonts w:ascii="Arial Nova" w:eastAsia="Arial Nova" w:hAnsi="Arial Nova" w:cs="Arial Nova"/>
          <w:color w:val="000000"/>
          <w:lang w:val="es-ES"/>
        </w:rPr>
        <w:t xml:space="preserve">múltiples discriminaciones y vulneraciones de derechos que </w:t>
      </w:r>
      <w:r w:rsidR="00AB1F63">
        <w:rPr>
          <w:rFonts w:ascii="Arial Nova" w:eastAsia="Arial Nova" w:hAnsi="Arial Nova" w:cs="Arial Nova"/>
          <w:lang w:val="es-ES"/>
        </w:rPr>
        <w:t>sufren</w:t>
      </w:r>
      <w:r>
        <w:rPr>
          <w:rFonts w:ascii="Arial Nova" w:eastAsia="Arial Nova" w:hAnsi="Arial Nova" w:cs="Arial Nova"/>
          <w:lang w:val="es-ES"/>
        </w:rPr>
        <w:t xml:space="preserve"> </w:t>
      </w:r>
      <w:r w:rsidR="00AB1F63">
        <w:rPr>
          <w:rFonts w:ascii="Arial Nova" w:eastAsia="Arial Nova" w:hAnsi="Arial Nova" w:cs="Arial Nova"/>
          <w:lang w:val="es-ES"/>
        </w:rPr>
        <w:t xml:space="preserve">las mujeres y personas de género diverso que usan drogas sobreviviendo múltiples e interconectadas situaciones de vulnerabilidad en España: </w:t>
      </w:r>
      <w:r w:rsidR="00AB1F63" w:rsidRPr="007C00E3">
        <w:rPr>
          <w:rFonts w:ascii="Arial Nova" w:eastAsia="Arial Nova" w:hAnsi="Arial Nova" w:cs="Arial Nova"/>
          <w:color w:val="000000"/>
          <w:lang w:val="es-ES"/>
        </w:rPr>
        <w:t xml:space="preserve">sinhogarismo, trabajo sexual o sexo por supervivencia, experiencia migratoria y/o situación administrativa irregular, </w:t>
      </w:r>
      <w:r w:rsidR="00AB1F63" w:rsidRPr="007C00E3">
        <w:rPr>
          <w:rFonts w:ascii="Arial Nova" w:eastAsia="Arial Nova" w:hAnsi="Arial Nova" w:cs="Arial Nova"/>
          <w:lang w:val="es-ES"/>
        </w:rPr>
        <w:t>malestares</w:t>
      </w:r>
      <w:r w:rsidR="00AB1F63" w:rsidRPr="007C00E3">
        <w:rPr>
          <w:rFonts w:ascii="Arial Nova" w:eastAsia="Arial Nova" w:hAnsi="Arial Nova" w:cs="Arial Nova"/>
          <w:color w:val="000000"/>
          <w:lang w:val="es-ES"/>
        </w:rPr>
        <w:t xml:space="preserve"> de salud mental, violencias, </w:t>
      </w:r>
      <w:r w:rsidR="00AB1F63" w:rsidRPr="007C00E3">
        <w:rPr>
          <w:rFonts w:ascii="Arial Nova" w:eastAsia="Arial Nova" w:hAnsi="Arial Nova" w:cs="Arial Nova"/>
          <w:lang w:val="es-ES"/>
        </w:rPr>
        <w:t>criminalización</w:t>
      </w:r>
      <w:r w:rsidR="00AB1F63" w:rsidRPr="007C00E3">
        <w:rPr>
          <w:rFonts w:ascii="Arial Nova" w:eastAsia="Arial Nova" w:hAnsi="Arial Nova" w:cs="Arial Nova"/>
          <w:color w:val="000000"/>
          <w:lang w:val="es-ES"/>
        </w:rPr>
        <w:t>, etc</w:t>
      </w:r>
      <w:r w:rsidR="00AB1F63">
        <w:rPr>
          <w:rFonts w:ascii="Arial Nova" w:eastAsia="Arial Nova" w:hAnsi="Arial Nova" w:cs="Arial Nova"/>
          <w:color w:val="000000"/>
          <w:lang w:val="es-ES"/>
        </w:rPr>
        <w:t xml:space="preserve">. Difícilmente </w:t>
      </w:r>
      <w:r w:rsidR="00AB1F63" w:rsidRPr="0039670B">
        <w:rPr>
          <w:rFonts w:ascii="Arial Nova" w:eastAsia="Arial Nova" w:hAnsi="Arial Nova" w:cs="Arial Nova"/>
          <w:color w:val="000000"/>
          <w:lang w:val="es-ES"/>
        </w:rPr>
        <w:t>entran o se adhieren a los sistemas de atención sociosanitaria y se ven excluidas de los servicios especializados en drogas, así como de la red de atención a las violencias machistas</w:t>
      </w:r>
      <w:r w:rsidR="00AB1F63">
        <w:rPr>
          <w:rFonts w:ascii="Arial Nova" w:eastAsia="Arial Nova" w:hAnsi="Arial Nova" w:cs="Arial Nova"/>
          <w:lang w:val="es-ES"/>
        </w:rPr>
        <w:t xml:space="preserve">. </w:t>
      </w:r>
    </w:p>
    <w:p w:rsidR="00844DA5" w:rsidRPr="00AB1F63" w:rsidRDefault="00AB1F63" w:rsidP="00B411AB">
      <w:pPr>
        <w:spacing w:after="200" w:line="276" w:lineRule="auto"/>
        <w:jc w:val="both"/>
        <w:rPr>
          <w:rFonts w:ascii="Arial Nova" w:eastAsia="Arial Nova" w:hAnsi="Arial Nova" w:cs="Arial Nova"/>
          <w:color w:val="000000"/>
          <w:lang w:val="es-ES"/>
        </w:rPr>
      </w:pPr>
      <w:r w:rsidRPr="00AB1F63">
        <w:rPr>
          <w:rFonts w:ascii="Arial Nova" w:eastAsia="Arial Nova" w:hAnsi="Arial Nova" w:cs="Arial Nova"/>
          <w:lang w:val="es-ES"/>
        </w:rPr>
        <w:t xml:space="preserve">Prejuicio, estigma y discriminación derivan en </w:t>
      </w:r>
      <w:r w:rsidRPr="00AB1F63">
        <w:rPr>
          <w:rFonts w:ascii="Arial Nova" w:eastAsia="Arial Nova" w:hAnsi="Arial Nova" w:cs="Arial Nova"/>
          <w:color w:val="000000"/>
          <w:lang w:val="es-ES"/>
        </w:rPr>
        <w:t>una vulneración sistemática de sus derechos.</w:t>
      </w:r>
    </w:p>
    <w:p w:rsidR="008D2AD9" w:rsidRPr="00844DA5" w:rsidRDefault="00351FE8" w:rsidP="00844DA5">
      <w:pPr>
        <w:pStyle w:val="Prrafodelista"/>
        <w:numPr>
          <w:ilvl w:val="0"/>
          <w:numId w:val="3"/>
        </w:numPr>
        <w:spacing w:after="200" w:line="276" w:lineRule="auto"/>
        <w:jc w:val="both"/>
        <w:rPr>
          <w:rFonts w:ascii="Arial Nova" w:eastAsia="Calibri" w:hAnsi="Arial Nova" w:cs="Calibri"/>
          <w:b/>
          <w:lang w:val="es-ES"/>
        </w:rPr>
      </w:pPr>
      <w:r w:rsidRPr="00844DA5">
        <w:rPr>
          <w:rFonts w:ascii="Arial Nova" w:eastAsia="Calibri" w:hAnsi="Arial Nova" w:cs="Calibri"/>
          <w:b/>
          <w:lang w:val="es-ES"/>
        </w:rPr>
        <w:t xml:space="preserve">Discriminación en el acceso a la </w:t>
      </w:r>
      <w:r w:rsidR="008D2AD9" w:rsidRPr="00844DA5">
        <w:rPr>
          <w:rFonts w:ascii="Arial Nova" w:eastAsia="Calibri" w:hAnsi="Arial Nova" w:cs="Calibri"/>
          <w:b/>
          <w:lang w:val="es-ES"/>
        </w:rPr>
        <w:t>salud</w:t>
      </w:r>
    </w:p>
    <w:p w:rsidR="008D2AD9" w:rsidRDefault="008D2AD9" w:rsidP="008D2AD9">
      <w:pPr>
        <w:spacing w:after="200" w:line="276" w:lineRule="auto"/>
        <w:jc w:val="both"/>
        <w:rPr>
          <w:rFonts w:ascii="Arial Nova" w:eastAsia="Calibri" w:hAnsi="Arial Nova" w:cs="Calibri"/>
          <w:b/>
          <w:lang w:val="es-ES"/>
        </w:rPr>
      </w:pPr>
      <w:r w:rsidRPr="008D2AD9">
        <w:rPr>
          <w:rFonts w:ascii="Arial Nova" w:eastAsia="Arial Nova" w:hAnsi="Arial Nova" w:cs="Arial Nova"/>
          <w:u w:val="single"/>
          <w:lang w:val="es-ES"/>
        </w:rPr>
        <w:t xml:space="preserve">Acceso a servicios de atención y tratamiento </w:t>
      </w:r>
    </w:p>
    <w:p w:rsidR="00112CE8" w:rsidRPr="00112CE8" w:rsidRDefault="00112CE8" w:rsidP="000A48D7">
      <w:pPr>
        <w:spacing w:after="200" w:line="276" w:lineRule="auto"/>
        <w:jc w:val="both"/>
        <w:rPr>
          <w:rFonts w:ascii="Arial Nova" w:eastAsia="Arial Nova" w:hAnsi="Arial Nova" w:cs="Arial Nova"/>
          <w:lang w:val="es-ES"/>
        </w:rPr>
      </w:pPr>
      <w:r w:rsidRPr="00112CE8">
        <w:rPr>
          <w:rFonts w:ascii="Arial Nova" w:eastAsia="Arial Nova" w:hAnsi="Arial Nova" w:cs="Arial Nova"/>
          <w:lang w:val="es-ES"/>
        </w:rPr>
        <w:t xml:space="preserve">El uso de drogas por parte de las mujeres es una de las realidades más estigmatizadas, que provoca rechazo social y está fuertemente penalizado. Las mujeres que usan drogas son consideradas incapaces para el cuidado tanto hacia ellas mismas como hacia sus comunidades, inhabilitadas como madres y criminalizadas. Esto les genera sentimiento de vergüenza y culpa. Además, la reproducción de estos estereotipos por parte de profesionales implicados en la atención, así como de la población en general constituye una de las principales barreras de acceso y adherencia a redes de atención y tratamiento, así como a otras ayudas sociales (UNAD, 2023). Esto deja a estas mujeres en una situación de desamparo y desprotección. Aún más grave en el caso de las poblaciones LGTBQ+. </w:t>
      </w:r>
    </w:p>
    <w:p w:rsidR="008D2AD9" w:rsidRDefault="008D2AD9" w:rsidP="008D2AD9">
      <w:pPr>
        <w:spacing w:after="200" w:line="276" w:lineRule="auto"/>
        <w:jc w:val="both"/>
        <w:rPr>
          <w:rFonts w:ascii="Arial Nova" w:eastAsia="Arial Nova" w:hAnsi="Arial Nova" w:cs="Arial Nova"/>
          <w:lang w:val="es-ES"/>
        </w:rPr>
      </w:pPr>
      <w:r w:rsidRPr="008D2AD9">
        <w:rPr>
          <w:rFonts w:ascii="Arial Nova" w:eastAsia="Arial Nova" w:hAnsi="Arial Nova" w:cs="Arial Nova"/>
          <w:lang w:val="es-ES"/>
        </w:rPr>
        <w:t xml:space="preserve">En lo que se refiere al acceso a servicios especializados en drogodependencias, las mujeres representan sólo un 13% de las personas que acceden a los centros de reducción de daños en Cataluña (Subdirección General de Drogodependencias, 2022). Esto se debe a los esfuerzos de las mujeres por evitar ser identificadas como personas que usan drogas debido a las graves consecuencias que esto puede tener: pérdida de custodia de sus criaturas, rechazo por parte de sus comunidades, asedio policial, entre otras. </w:t>
      </w:r>
    </w:p>
    <w:p w:rsidR="008D2AD9" w:rsidRDefault="008D2AD9" w:rsidP="008D2AD9">
      <w:pPr>
        <w:spacing w:after="200" w:line="276" w:lineRule="auto"/>
        <w:jc w:val="both"/>
        <w:rPr>
          <w:rFonts w:ascii="Arial Nova" w:eastAsia="Arial Nova" w:hAnsi="Arial Nova" w:cs="Arial Nova"/>
          <w:lang w:val="es-ES"/>
        </w:rPr>
      </w:pPr>
      <w:r w:rsidRPr="008D2AD9">
        <w:rPr>
          <w:rFonts w:ascii="Arial Nova" w:eastAsia="Arial Nova" w:hAnsi="Arial Nova" w:cs="Arial Nova"/>
          <w:u w:val="single"/>
          <w:lang w:val="es-ES"/>
        </w:rPr>
        <w:t xml:space="preserve">Acceso a la salud sexual y reproductiva </w:t>
      </w:r>
    </w:p>
    <w:p w:rsidR="008D2AD9" w:rsidRDefault="008D2AD9" w:rsidP="008D2AD9">
      <w:pPr>
        <w:spacing w:after="200" w:line="276" w:lineRule="auto"/>
        <w:jc w:val="both"/>
        <w:rPr>
          <w:rFonts w:ascii="Arial Nova" w:eastAsia="Arial Nova" w:hAnsi="Arial Nova" w:cs="Arial Nova"/>
          <w:lang w:val="es-ES"/>
        </w:rPr>
      </w:pPr>
      <w:r w:rsidRPr="008D2AD9">
        <w:rPr>
          <w:rFonts w:ascii="Arial Nova" w:eastAsia="Arial Nova" w:hAnsi="Arial Nova" w:cs="Arial Nova"/>
          <w:color w:val="000000"/>
          <w:lang w:val="es-ES"/>
        </w:rPr>
        <w:t xml:space="preserve">A pesar de que cada vez existen más estudios científicos que apuntan a que los factores sociales externos no relacionados con el </w:t>
      </w:r>
      <w:r w:rsidR="006A12AC">
        <w:rPr>
          <w:rFonts w:ascii="Arial Nova" w:eastAsia="Arial Nova" w:hAnsi="Arial Nova" w:cs="Arial Nova"/>
          <w:color w:val="000000"/>
          <w:lang w:val="es-ES"/>
        </w:rPr>
        <w:t xml:space="preserve">consumo </w:t>
      </w:r>
      <w:r w:rsidRPr="008D2AD9">
        <w:rPr>
          <w:rFonts w:ascii="Arial Nova" w:eastAsia="Arial Nova" w:hAnsi="Arial Nova" w:cs="Arial Nova"/>
          <w:color w:val="000000"/>
          <w:lang w:val="es-ES"/>
        </w:rPr>
        <w:t>tienen un mayor impacto en la salud neonatal que la propia exposición a las sustancias durante el embarazo</w:t>
      </w:r>
      <w:r w:rsidR="00513798">
        <w:rPr>
          <w:rStyle w:val="Refdenotaalpie"/>
          <w:rFonts w:ascii="Arial Nova" w:eastAsia="Arial Nova" w:hAnsi="Arial Nova" w:cs="Arial Nova"/>
          <w:color w:val="000000"/>
          <w:lang w:val="es-ES"/>
        </w:rPr>
        <w:footnoteReference w:id="1"/>
      </w:r>
      <w:r w:rsidR="00513798">
        <w:rPr>
          <w:rFonts w:ascii="Arial Nova" w:eastAsia="Arial Nova" w:hAnsi="Arial Nova" w:cs="Arial Nova"/>
          <w:color w:val="000000"/>
          <w:lang w:val="es-ES"/>
        </w:rPr>
        <w:t>,</w:t>
      </w:r>
      <w:r w:rsidRPr="008D2AD9">
        <w:rPr>
          <w:rFonts w:ascii="Arial Nova" w:eastAsia="Arial Nova" w:hAnsi="Arial Nova" w:cs="Arial Nova"/>
          <w:color w:val="000000"/>
          <w:lang w:val="es-ES"/>
        </w:rPr>
        <w:t xml:space="preserve"> en España </w:t>
      </w:r>
      <w:r w:rsidR="003E455C">
        <w:rPr>
          <w:rFonts w:ascii="Arial Nova" w:eastAsia="Arial Nova" w:hAnsi="Arial Nova" w:cs="Arial Nova"/>
          <w:color w:val="000000"/>
          <w:lang w:val="es-ES"/>
        </w:rPr>
        <w:t xml:space="preserve">el uso de drogas sigue </w:t>
      </w:r>
      <w:r w:rsidR="007311EE">
        <w:rPr>
          <w:rFonts w:ascii="Arial Nova" w:eastAsia="Arial Nova" w:hAnsi="Arial Nova" w:cs="Arial Nova"/>
          <w:color w:val="000000"/>
          <w:lang w:val="es-ES"/>
        </w:rPr>
        <w:t>considerándose</w:t>
      </w:r>
      <w:r w:rsidR="003E455C">
        <w:rPr>
          <w:rFonts w:ascii="Arial Nova" w:eastAsia="Arial Nova" w:hAnsi="Arial Nova" w:cs="Arial Nova"/>
          <w:color w:val="000000"/>
          <w:lang w:val="es-ES"/>
        </w:rPr>
        <w:t>, en muchas ocasiones,</w:t>
      </w:r>
      <w:r w:rsidR="00390355">
        <w:rPr>
          <w:rFonts w:ascii="Arial Nova" w:eastAsia="Arial Nova" w:hAnsi="Arial Nova" w:cs="Arial Nova"/>
          <w:color w:val="000000"/>
          <w:lang w:val="es-ES"/>
        </w:rPr>
        <w:t xml:space="preserve"> </w:t>
      </w:r>
      <w:r w:rsidR="007311EE">
        <w:rPr>
          <w:rFonts w:ascii="Arial Nova" w:eastAsia="Arial Nova" w:hAnsi="Arial Nova" w:cs="Arial Nova"/>
          <w:color w:val="000000"/>
          <w:lang w:val="es-ES"/>
        </w:rPr>
        <w:t xml:space="preserve">maltrato fetal y es </w:t>
      </w:r>
      <w:r w:rsidRPr="008D2AD9">
        <w:rPr>
          <w:rFonts w:ascii="Arial Nova" w:eastAsia="Arial Nova" w:hAnsi="Arial Nova" w:cs="Arial Nova"/>
          <w:color w:val="000000"/>
          <w:lang w:val="es-ES"/>
        </w:rPr>
        <w:t>causa directa de retirada de custodia por parte de la administración</w:t>
      </w:r>
      <w:r w:rsidR="00390355">
        <w:rPr>
          <w:rFonts w:ascii="Arial Nova" w:eastAsia="Arial Nova" w:hAnsi="Arial Nova" w:cs="Arial Nova"/>
          <w:color w:val="000000"/>
          <w:lang w:val="es-ES"/>
        </w:rPr>
        <w:t>.</w:t>
      </w:r>
    </w:p>
    <w:p w:rsidR="008D2AD9" w:rsidRDefault="008D2AD9" w:rsidP="008D2AD9">
      <w:pPr>
        <w:spacing w:after="200" w:line="276" w:lineRule="auto"/>
        <w:jc w:val="both"/>
        <w:rPr>
          <w:rFonts w:ascii="Arial Nova" w:eastAsia="Arial Nova" w:hAnsi="Arial Nova" w:cs="Arial Nova"/>
          <w:lang w:val="es-ES"/>
        </w:rPr>
      </w:pPr>
      <w:r w:rsidRPr="008D2AD9">
        <w:rPr>
          <w:rFonts w:ascii="Arial Nova" w:eastAsia="Arial Nova" w:hAnsi="Arial Nova" w:cs="Arial Nova"/>
          <w:lang w:val="es-ES"/>
        </w:rPr>
        <w:lastRenderedPageBreak/>
        <w:t xml:space="preserve">Los recursos de acompañamiento y tratamiento para mujeres que usan drogas durante el embarazo son muy limitados y en ningún caso incorporan la perspectiva de reducción de daños. Se insiste en la Interrupción Voluntaria del Embarazo como única opción recomendable. Las que acceden a servicios de atención se encuentran con una falta de información específica y libre de prejuicios sobre el impacto del consumo en ellas y sus criaturas, también por parte del personal médico y sanitario sobre el uso de sustancias. </w:t>
      </w:r>
    </w:p>
    <w:p w:rsidR="002C4BD0" w:rsidRDefault="008D2AD9" w:rsidP="00BE3ADB">
      <w:pPr>
        <w:spacing w:after="200" w:line="276" w:lineRule="auto"/>
        <w:jc w:val="both"/>
        <w:rPr>
          <w:rFonts w:ascii="Arial Nova" w:eastAsia="Calibri" w:hAnsi="Arial Nova" w:cs="Calibri"/>
          <w:lang w:val="es-ES"/>
        </w:rPr>
      </w:pPr>
      <w:r w:rsidRPr="00351FE8">
        <w:rPr>
          <w:rFonts w:ascii="Arial Nova" w:eastAsia="Calibri" w:hAnsi="Arial Nova" w:cs="Calibri"/>
          <w:lang w:val="es-ES"/>
        </w:rPr>
        <w:t xml:space="preserve">El miedo a la retirada de la custodia o la implicación en procedimientos judiciales, así como el estigma que soportan embarazadas y madres que usan drogas, hace que no accedan ni a tratamiento relacionado con el consumo ni a la atención prenatal rutinaria. Eso supone un mayor riesgo tanto para su propia salud, como la del feto. </w:t>
      </w:r>
    </w:p>
    <w:p w:rsidR="00BE3ADB" w:rsidRDefault="00BE3ADB" w:rsidP="00BE3ADB">
      <w:pPr>
        <w:spacing w:after="200" w:line="276" w:lineRule="auto"/>
        <w:jc w:val="both"/>
        <w:rPr>
          <w:rFonts w:ascii="Arial Nova" w:eastAsia="Calibri" w:hAnsi="Arial Nova" w:cs="Calibri"/>
          <w:lang w:val="es-ES"/>
        </w:rPr>
      </w:pPr>
      <w:r w:rsidRPr="00BE3ADB">
        <w:rPr>
          <w:rFonts w:ascii="Arial Nova" w:eastAsia="Arial Nova" w:hAnsi="Arial Nova" w:cs="Arial Nova"/>
          <w:color w:val="000000"/>
          <w:u w:val="single"/>
          <w:lang w:val="es-ES"/>
        </w:rPr>
        <w:t>Atención a la salud mental</w:t>
      </w:r>
    </w:p>
    <w:p w:rsidR="00BE3ADB" w:rsidRDefault="00BE3ADB">
      <w:pPr>
        <w:spacing w:after="200" w:line="276" w:lineRule="auto"/>
        <w:jc w:val="both"/>
        <w:rPr>
          <w:rFonts w:ascii="Arial Nova" w:eastAsia="Arial Nova" w:hAnsi="Arial Nova" w:cs="Arial Nova"/>
          <w:lang w:val="es-ES"/>
        </w:rPr>
      </w:pPr>
      <w:r w:rsidRPr="00BE3ADB">
        <w:rPr>
          <w:rFonts w:ascii="Arial Nova" w:eastAsia="Arial Nova" w:hAnsi="Arial Nova" w:cs="Arial Nova"/>
          <w:lang w:val="es-ES"/>
        </w:rPr>
        <w:t xml:space="preserve">Mujeres </w:t>
      </w:r>
      <w:r w:rsidR="00BF40F1">
        <w:rPr>
          <w:rFonts w:ascii="Arial Nova" w:eastAsia="Arial Nova" w:hAnsi="Arial Nova" w:cs="Arial Nova"/>
          <w:lang w:val="es-ES"/>
        </w:rPr>
        <w:t xml:space="preserve">y personas de género diverso </w:t>
      </w:r>
      <w:r w:rsidRPr="00BE3ADB">
        <w:rPr>
          <w:rFonts w:ascii="Arial Nova" w:eastAsia="Arial Nova" w:hAnsi="Arial Nova" w:cs="Arial Nova"/>
          <w:lang w:val="es-ES"/>
        </w:rPr>
        <w:t xml:space="preserve">que se encuentran en situación de sinhogarismo tienen muchas más probabilidades de presentar problemas de salud mental que aquellas que cuentan con una situación residencial estable (FACIAM, 2022). Entre las participantes de </w:t>
      </w:r>
      <w:proofErr w:type="spellStart"/>
      <w:r w:rsidRPr="00BE3ADB">
        <w:rPr>
          <w:rFonts w:ascii="Arial Nova" w:eastAsia="Arial Nova" w:hAnsi="Arial Nova" w:cs="Arial Nova"/>
          <w:lang w:val="es-ES"/>
        </w:rPr>
        <w:t>Metzineres</w:t>
      </w:r>
      <w:proofErr w:type="spellEnd"/>
      <w:r w:rsidRPr="00BE3ADB">
        <w:rPr>
          <w:rFonts w:ascii="Arial Nova" w:eastAsia="Arial Nova" w:hAnsi="Arial Nova" w:cs="Arial Nova"/>
          <w:lang w:val="es-ES"/>
        </w:rPr>
        <w:t xml:space="preserve">, cerca de un 74% tiene algún diagnóstico de salud mental. </w:t>
      </w:r>
    </w:p>
    <w:p w:rsidR="002C4BD0" w:rsidRPr="00BE3ADB" w:rsidRDefault="00D26321">
      <w:pPr>
        <w:spacing w:after="200" w:line="276" w:lineRule="auto"/>
        <w:jc w:val="both"/>
        <w:rPr>
          <w:rFonts w:ascii="Arial Nova" w:eastAsia="Calibri" w:hAnsi="Arial Nova" w:cs="Calibri"/>
          <w:lang w:val="es-ES"/>
        </w:rPr>
      </w:pPr>
      <w:r>
        <w:rPr>
          <w:rFonts w:ascii="Arial Nova" w:eastAsia="Arial Nova" w:hAnsi="Arial Nova" w:cs="Arial Nova"/>
          <w:lang w:val="es-ES"/>
        </w:rPr>
        <w:t>A pesar de ello,</w:t>
      </w:r>
      <w:r w:rsidR="002C4BD0" w:rsidRPr="00BE3ADB">
        <w:rPr>
          <w:rFonts w:ascii="Arial Nova" w:eastAsia="Arial Nova" w:hAnsi="Arial Nova" w:cs="Arial Nova"/>
          <w:lang w:val="es-ES"/>
        </w:rPr>
        <w:t xml:space="preserve"> las personas que usan drogas con malestares de salud mental que están en situación de sinhogarismo</w:t>
      </w:r>
      <w:r>
        <w:rPr>
          <w:rFonts w:ascii="Arial Nova" w:eastAsia="Arial Nova" w:hAnsi="Arial Nova" w:cs="Arial Nova"/>
          <w:lang w:val="es-ES"/>
        </w:rPr>
        <w:t xml:space="preserve"> se encuentran con un desamparo absoluto. </w:t>
      </w:r>
      <w:r w:rsidR="002C4BD0" w:rsidRPr="00BE3ADB">
        <w:rPr>
          <w:rFonts w:ascii="Arial Nova" w:eastAsia="Arial Nova" w:hAnsi="Arial Nova" w:cs="Arial Nova"/>
          <w:lang w:val="es-ES"/>
        </w:rPr>
        <w:t>Las respuestas institucionales son prácticamente nulas</w:t>
      </w:r>
      <w:r w:rsidR="002F02F7">
        <w:rPr>
          <w:rFonts w:ascii="Arial Nova" w:eastAsia="Arial Nova" w:hAnsi="Arial Nova" w:cs="Arial Nova"/>
          <w:lang w:val="es-ES"/>
        </w:rPr>
        <w:t xml:space="preserve"> y l</w:t>
      </w:r>
      <w:r w:rsidR="002C4BD0" w:rsidRPr="00BE3ADB">
        <w:rPr>
          <w:rFonts w:ascii="Arial Nova" w:eastAsia="Arial Nova" w:hAnsi="Arial Nova" w:cs="Arial Nova"/>
          <w:lang w:val="es-ES"/>
        </w:rPr>
        <w:t>os servicios específicos para acompañar estas situaciones son del todo insuficientes</w:t>
      </w:r>
      <w:r w:rsidR="002C4BD0">
        <w:rPr>
          <w:rFonts w:ascii="Arial Nova" w:eastAsia="Arial Nova" w:hAnsi="Arial Nova" w:cs="Arial Nova"/>
          <w:lang w:val="es-ES"/>
        </w:rPr>
        <w:t>.</w:t>
      </w:r>
    </w:p>
    <w:p w:rsidR="00EC7267" w:rsidRDefault="00351FE8" w:rsidP="00844DA5">
      <w:pPr>
        <w:pStyle w:val="Prrafodelista"/>
        <w:numPr>
          <w:ilvl w:val="0"/>
          <w:numId w:val="3"/>
        </w:numPr>
        <w:spacing w:after="200" w:line="276" w:lineRule="auto"/>
        <w:jc w:val="both"/>
        <w:rPr>
          <w:rFonts w:ascii="Arial Nova" w:eastAsia="Calibri" w:hAnsi="Arial Nova" w:cs="Calibri"/>
          <w:b/>
          <w:bCs/>
          <w:lang w:val="es-ES"/>
        </w:rPr>
      </w:pPr>
      <w:r w:rsidRPr="00351FE8">
        <w:rPr>
          <w:rFonts w:ascii="Arial Nova" w:eastAsia="Calibri" w:hAnsi="Arial Nova" w:cs="Calibri"/>
          <w:b/>
          <w:bCs/>
          <w:lang w:val="es-ES"/>
        </w:rPr>
        <w:t xml:space="preserve">Discriminación en el acceso a la red de </w:t>
      </w:r>
      <w:r w:rsidR="00BE3ADB">
        <w:rPr>
          <w:rFonts w:ascii="Arial Nova" w:eastAsia="Calibri" w:hAnsi="Arial Nova" w:cs="Calibri"/>
          <w:b/>
          <w:bCs/>
          <w:lang w:val="es-ES"/>
        </w:rPr>
        <w:t xml:space="preserve">atención a la </w:t>
      </w:r>
      <w:r w:rsidRPr="00351FE8">
        <w:rPr>
          <w:rFonts w:ascii="Arial Nova" w:eastAsia="Calibri" w:hAnsi="Arial Nova" w:cs="Calibri"/>
          <w:b/>
          <w:bCs/>
          <w:lang w:val="es-ES"/>
        </w:rPr>
        <w:t>violencia de género</w:t>
      </w:r>
      <w:r w:rsidR="00BE3ADB">
        <w:rPr>
          <w:rFonts w:ascii="Arial Nova" w:eastAsia="Calibri" w:hAnsi="Arial Nova" w:cs="Calibri"/>
          <w:b/>
          <w:bCs/>
          <w:lang w:val="es-ES"/>
        </w:rPr>
        <w:t>.</w:t>
      </w:r>
    </w:p>
    <w:p w:rsidR="00EC7267" w:rsidRDefault="00EC7267" w:rsidP="00EC7267">
      <w:pPr>
        <w:spacing w:after="200" w:line="276" w:lineRule="auto"/>
        <w:jc w:val="both"/>
        <w:rPr>
          <w:rFonts w:ascii="Arial Nova" w:eastAsia="Calibri" w:hAnsi="Arial Nova" w:cs="Calibri"/>
          <w:b/>
          <w:bCs/>
          <w:lang w:val="es-ES"/>
        </w:rPr>
      </w:pPr>
      <w:r w:rsidRPr="00EC7267">
        <w:rPr>
          <w:rFonts w:ascii="Arial Nova" w:eastAsia="Arial Nova" w:hAnsi="Arial Nova" w:cs="Arial Nova"/>
          <w:lang w:val="es-ES"/>
        </w:rPr>
        <w:t>Violencia y problemas relacionados con uso de drogas son factores fuertemente interrelacionados en las mujeres y personas de género diverso. Las que usan drogas ilegales tienen hasta 6 veces más probabilidades de padecer violencia machista que la población general (Generalitat de Catalunya, 2009). A pesar de estos datos, más de un 54% de profesionales reconoce no tener conocimientos sobre la intersección entre uso de drogas y violencia de género y solo un 24% incorpora la perspectiva de género a sus actuaciones (</w:t>
      </w:r>
      <w:proofErr w:type="spellStart"/>
      <w:r w:rsidRPr="00EC7267">
        <w:rPr>
          <w:rFonts w:ascii="Arial Nova" w:eastAsia="Arial Nova" w:hAnsi="Arial Nova" w:cs="Arial Nova"/>
          <w:lang w:val="es-ES"/>
        </w:rPr>
        <w:t>Interleave</w:t>
      </w:r>
      <w:proofErr w:type="spellEnd"/>
      <w:r w:rsidRPr="00EC7267">
        <w:rPr>
          <w:rFonts w:ascii="Arial Nova" w:eastAsia="Arial Nova" w:hAnsi="Arial Nova" w:cs="Arial Nova"/>
          <w:lang w:val="es-ES"/>
        </w:rPr>
        <w:t xml:space="preserve">, 2022). </w:t>
      </w:r>
    </w:p>
    <w:p w:rsidR="000374B3" w:rsidRDefault="00662CB0" w:rsidP="00EC7267">
      <w:pPr>
        <w:spacing w:after="200" w:line="276" w:lineRule="auto"/>
        <w:jc w:val="both"/>
        <w:rPr>
          <w:rFonts w:ascii="Arial Nova" w:eastAsia="Arial Nova" w:hAnsi="Arial Nova" w:cs="Arial Nova"/>
          <w:lang w:val="es-ES"/>
        </w:rPr>
      </w:pPr>
      <w:r w:rsidRPr="00662CB0">
        <w:rPr>
          <w:rFonts w:ascii="Arial Nova" w:eastAsia="Arial Nova" w:hAnsi="Arial Nova" w:cs="Arial Nova"/>
          <w:lang w:val="es-ES"/>
        </w:rPr>
        <w:t xml:space="preserve">El porcentaje de </w:t>
      </w:r>
      <w:proofErr w:type="spellStart"/>
      <w:r w:rsidRPr="00662CB0">
        <w:rPr>
          <w:rFonts w:ascii="Arial Nova" w:eastAsia="Arial Nova" w:hAnsi="Arial Nova" w:cs="Arial Nova"/>
          <w:lang w:val="es-ES"/>
        </w:rPr>
        <w:t>infradenuncia</w:t>
      </w:r>
      <w:proofErr w:type="spellEnd"/>
      <w:r w:rsidRPr="00662CB0">
        <w:rPr>
          <w:rFonts w:ascii="Arial Nova" w:eastAsia="Arial Nova" w:hAnsi="Arial Nova" w:cs="Arial Nova"/>
          <w:lang w:val="es-ES"/>
        </w:rPr>
        <w:t xml:space="preserve"> de situaciones de violencia en España </w:t>
      </w:r>
      <w:r w:rsidR="00BF40F1">
        <w:rPr>
          <w:rFonts w:ascii="Arial Nova" w:eastAsia="Arial Nova" w:hAnsi="Arial Nova" w:cs="Arial Nova"/>
          <w:lang w:val="es-ES"/>
        </w:rPr>
        <w:t>es</w:t>
      </w:r>
      <w:r w:rsidRPr="00662CB0">
        <w:rPr>
          <w:rFonts w:ascii="Arial Nova" w:eastAsia="Arial Nova" w:hAnsi="Arial Nova" w:cs="Arial Nova"/>
          <w:lang w:val="es-ES"/>
        </w:rPr>
        <w:t xml:space="preserve"> muy elevado</w:t>
      </w:r>
      <w:r w:rsidRPr="00662CB0">
        <w:rPr>
          <w:rFonts w:ascii="Arial Nova" w:eastAsia="Arial Nova" w:hAnsi="Arial Nova" w:cs="Arial Nova"/>
          <w:vertAlign w:val="superscript"/>
          <w:lang w:val="es-ES"/>
        </w:rPr>
        <w:footnoteReference w:id="2"/>
      </w:r>
      <w:r w:rsidRPr="00662CB0">
        <w:rPr>
          <w:rFonts w:ascii="Arial Nova" w:eastAsia="Arial Nova" w:hAnsi="Arial Nova" w:cs="Arial Nova"/>
          <w:lang w:val="es-ES"/>
        </w:rPr>
        <w:t xml:space="preserve">. De las mujeres o personas de género diverso </w:t>
      </w:r>
      <w:r w:rsidR="00BA7CA3">
        <w:rPr>
          <w:rFonts w:ascii="Arial Nova" w:eastAsia="Arial Nova" w:hAnsi="Arial Nova" w:cs="Arial Nova"/>
          <w:lang w:val="es-ES"/>
        </w:rPr>
        <w:t xml:space="preserve">usuarias de drogas </w:t>
      </w:r>
      <w:r w:rsidRPr="00662CB0">
        <w:rPr>
          <w:rFonts w:ascii="Arial Nova" w:eastAsia="Arial Nova" w:hAnsi="Arial Nova" w:cs="Arial Nova"/>
          <w:lang w:val="es-ES"/>
        </w:rPr>
        <w:t xml:space="preserve">de </w:t>
      </w:r>
      <w:proofErr w:type="spellStart"/>
      <w:r w:rsidRPr="00662CB0">
        <w:rPr>
          <w:rFonts w:ascii="Arial Nova" w:eastAsia="Arial Nova" w:hAnsi="Arial Nova" w:cs="Arial Nova"/>
          <w:lang w:val="es-ES"/>
        </w:rPr>
        <w:t>Metzineres</w:t>
      </w:r>
      <w:proofErr w:type="spellEnd"/>
      <w:r w:rsidRPr="00662CB0">
        <w:rPr>
          <w:rFonts w:ascii="Arial Nova" w:eastAsia="Arial Nova" w:hAnsi="Arial Nova" w:cs="Arial Nova"/>
          <w:lang w:val="es-ES"/>
        </w:rPr>
        <w:t xml:space="preserve"> que han sufrido violencias sexuales, la gran mayoría no quiere denunciar la situación</w:t>
      </w:r>
      <w:r>
        <w:rPr>
          <w:rFonts w:ascii="Arial Nova" w:eastAsia="Arial Nova" w:hAnsi="Arial Nova" w:cs="Arial Nova"/>
          <w:lang w:val="es-ES"/>
        </w:rPr>
        <w:t xml:space="preserve"> y refiere falta de confianza en los operadores institucionales. E</w:t>
      </w:r>
      <w:r w:rsidR="002C4BD0" w:rsidRPr="00EC7267">
        <w:rPr>
          <w:rFonts w:ascii="Arial Nova" w:eastAsia="Arial Nova" w:hAnsi="Arial Nova" w:cs="Arial Nova"/>
          <w:lang w:val="es-ES"/>
        </w:rPr>
        <w:t>l estigma y criminalización que sufren hace</w:t>
      </w:r>
      <w:r>
        <w:rPr>
          <w:rFonts w:ascii="Arial Nova" w:eastAsia="Arial Nova" w:hAnsi="Arial Nova" w:cs="Arial Nova"/>
          <w:lang w:val="es-ES"/>
        </w:rPr>
        <w:t>n</w:t>
      </w:r>
      <w:r w:rsidR="002C4BD0" w:rsidRPr="00EC7267">
        <w:rPr>
          <w:rFonts w:ascii="Arial Nova" w:eastAsia="Arial Nova" w:hAnsi="Arial Nova" w:cs="Arial Nova"/>
          <w:lang w:val="es-ES"/>
        </w:rPr>
        <w:t xml:space="preserve"> que sus relatos sean muchas veces deslegitimados por parte de los operadores sanitarios, </w:t>
      </w:r>
      <w:r w:rsidR="002C4BD0" w:rsidRPr="00EC7267">
        <w:rPr>
          <w:rFonts w:ascii="Arial Nova" w:eastAsia="Arial Nova" w:hAnsi="Arial Nova" w:cs="Arial Nova"/>
          <w:lang w:val="es-ES"/>
        </w:rPr>
        <w:lastRenderedPageBreak/>
        <w:t xml:space="preserve">sociales, policiales y judiciales, aumentando situaciones de revictimización y desalentando la denuncia de estas situaciones. </w:t>
      </w:r>
    </w:p>
    <w:p w:rsidR="00ED6AAE" w:rsidRDefault="00B34A33" w:rsidP="00EC7267">
      <w:pPr>
        <w:spacing w:after="200" w:line="276" w:lineRule="auto"/>
        <w:jc w:val="both"/>
        <w:rPr>
          <w:rFonts w:ascii="Arial Nova" w:eastAsia="Calibri" w:hAnsi="Arial Nova" w:cs="Calibri"/>
          <w:b/>
          <w:bCs/>
          <w:lang w:val="es-ES"/>
        </w:rPr>
      </w:pPr>
      <w:r>
        <w:rPr>
          <w:rFonts w:ascii="Arial Nova" w:eastAsia="Arial Nova" w:hAnsi="Arial Nova" w:cs="Arial Nova"/>
          <w:lang w:val="es-ES"/>
        </w:rPr>
        <w:t>E</w:t>
      </w:r>
      <w:r w:rsidR="00310B80">
        <w:rPr>
          <w:rFonts w:ascii="Arial Nova" w:eastAsia="Arial Nova" w:hAnsi="Arial Nova" w:cs="Arial Nova"/>
          <w:lang w:val="es-ES"/>
        </w:rPr>
        <w:t>l</w:t>
      </w:r>
      <w:r w:rsidR="00EC7267" w:rsidRPr="00D5016C">
        <w:rPr>
          <w:rFonts w:ascii="Arial Nova" w:eastAsia="Arial Nova" w:hAnsi="Arial Nova" w:cs="Arial Nova"/>
          <w:lang w:val="es-ES"/>
        </w:rPr>
        <w:t xml:space="preserve"> </w:t>
      </w:r>
      <w:r w:rsidR="00EC7267" w:rsidRPr="00EC7267">
        <w:rPr>
          <w:rFonts w:ascii="Arial Nova" w:eastAsia="Arial Nova" w:hAnsi="Arial Nova" w:cs="Arial Nova"/>
          <w:lang w:val="es-ES"/>
        </w:rPr>
        <w:t>uso de drogas es uno de los factores excluyentes para acceder a los recursos habitacionales de protección</w:t>
      </w:r>
      <w:r w:rsidR="00310B80">
        <w:rPr>
          <w:rFonts w:ascii="Arial Nova" w:eastAsia="Arial Nova" w:hAnsi="Arial Nova" w:cs="Arial Nova"/>
          <w:lang w:val="es-ES"/>
        </w:rPr>
        <w:t xml:space="preserve"> y</w:t>
      </w:r>
      <w:r w:rsidR="00EC7267" w:rsidRPr="00EC7267">
        <w:rPr>
          <w:rFonts w:ascii="Arial Nova" w:eastAsia="Arial Nova" w:hAnsi="Arial Nova" w:cs="Arial Nova"/>
          <w:lang w:val="es-ES"/>
        </w:rPr>
        <w:t xml:space="preserve"> uno de los principales </w:t>
      </w:r>
      <w:r w:rsidR="00310B80">
        <w:rPr>
          <w:rFonts w:ascii="Arial Nova" w:eastAsia="Arial Nova" w:hAnsi="Arial Nova" w:cs="Arial Nova"/>
          <w:lang w:val="es-ES"/>
        </w:rPr>
        <w:t>motivos</w:t>
      </w:r>
      <w:r w:rsidR="00EC7267" w:rsidRPr="00EC7267">
        <w:rPr>
          <w:rFonts w:ascii="Arial Nova" w:eastAsia="Arial Nova" w:hAnsi="Arial Nova" w:cs="Arial Nova"/>
          <w:lang w:val="es-ES"/>
        </w:rPr>
        <w:t xml:space="preserve"> de expulsión. Aquellas mujeres que buscan recursos en la red general de servicios sociales o incluso dentro de la red de atención a las drogodependencias, se encuentran que estos recursos están muy masculinizados, viéndose expuestas en ocasiones a compartir los espacios con sus agresores. </w:t>
      </w:r>
      <w:r w:rsidR="00F429EE">
        <w:rPr>
          <w:rFonts w:ascii="Arial Nova" w:eastAsia="Arial Nova" w:hAnsi="Arial Nova" w:cs="Arial Nova"/>
          <w:lang w:val="es-ES"/>
        </w:rPr>
        <w:t>E</w:t>
      </w:r>
      <w:r w:rsidR="00EC7267" w:rsidRPr="00EC7267">
        <w:rPr>
          <w:rFonts w:ascii="Arial Nova" w:eastAsia="Arial Nova" w:hAnsi="Arial Nova" w:cs="Arial Nova"/>
          <w:lang w:val="es-ES"/>
        </w:rPr>
        <w:t xml:space="preserve">xisten muy pocos recursos residenciales exclusivos para mujeres y los que existen </w:t>
      </w:r>
      <w:r w:rsidR="00F63FF5">
        <w:rPr>
          <w:rFonts w:ascii="Arial Nova" w:eastAsia="Arial Nova" w:hAnsi="Arial Nova" w:cs="Arial Nova"/>
          <w:lang w:val="es-ES"/>
        </w:rPr>
        <w:t>no</w:t>
      </w:r>
      <w:r w:rsidR="00EC7267" w:rsidRPr="00EC7267">
        <w:rPr>
          <w:rFonts w:ascii="Arial Nova" w:eastAsia="Arial Nova" w:hAnsi="Arial Nova" w:cs="Arial Nova"/>
          <w:lang w:val="es-ES"/>
        </w:rPr>
        <w:t xml:space="preserve"> incorporan la perspectiva en reducción de daños. </w:t>
      </w:r>
    </w:p>
    <w:p w:rsidR="00C74591" w:rsidRDefault="00C74591" w:rsidP="00844DA5">
      <w:pPr>
        <w:pStyle w:val="Prrafodelista"/>
        <w:numPr>
          <w:ilvl w:val="0"/>
          <w:numId w:val="3"/>
        </w:numPr>
        <w:spacing w:after="200" w:line="276" w:lineRule="auto"/>
        <w:jc w:val="both"/>
        <w:rPr>
          <w:rFonts w:ascii="Arial Nova" w:eastAsia="Calibri" w:hAnsi="Arial Nova" w:cs="Calibri"/>
          <w:b/>
          <w:bCs/>
          <w:lang w:val="es-ES"/>
        </w:rPr>
      </w:pPr>
      <w:r>
        <w:rPr>
          <w:rFonts w:ascii="Arial Nova" w:eastAsia="Calibri" w:hAnsi="Arial Nova" w:cs="Calibri"/>
          <w:b/>
          <w:bCs/>
          <w:lang w:val="es-ES"/>
        </w:rPr>
        <w:t>Criminalización</w:t>
      </w:r>
    </w:p>
    <w:p w:rsidR="00C74591" w:rsidRDefault="00C74591" w:rsidP="00C74591">
      <w:pPr>
        <w:spacing w:after="200" w:line="276" w:lineRule="auto"/>
        <w:jc w:val="both"/>
        <w:rPr>
          <w:rFonts w:ascii="Arial Nova" w:eastAsia="Calibri" w:hAnsi="Arial Nova" w:cs="Calibri"/>
          <w:b/>
          <w:bCs/>
          <w:lang w:val="es-ES"/>
        </w:rPr>
      </w:pPr>
      <w:r w:rsidRPr="00ED6AAE">
        <w:rPr>
          <w:rFonts w:ascii="Arial Nova" w:eastAsia="Arial Nova" w:hAnsi="Arial Nova" w:cs="Arial Nova"/>
          <w:color w:val="000000"/>
          <w:lang w:val="es-ES"/>
        </w:rPr>
        <w:t>A pesar de representar un porcentaje muy inferior al de los hombres, España sigue siendo uno de los países de Europa con mayores porcentajes de mujeres encarceladas (SPACE, 2021). La mayoría de mujeres encarceladas en España en 2022 lo fueron por delitos económicos o por delitos contra la salud pública (CGPJ, 2022). El endurecimiento de las penas en los delitos cometidos principalmente por mujeres, como los delitos económicos leves, así como la feminización de la pobreza, tienen un impacto significativo en el encarcelamiento de las mujeres.</w:t>
      </w:r>
    </w:p>
    <w:p w:rsidR="00C74591" w:rsidRPr="00C10E9E" w:rsidRDefault="00C74591" w:rsidP="00C74591">
      <w:pPr>
        <w:spacing w:after="200" w:line="276" w:lineRule="auto"/>
        <w:jc w:val="both"/>
        <w:rPr>
          <w:rFonts w:ascii="Arial Nova" w:eastAsia="Calibri" w:hAnsi="Arial Nova" w:cs="Calibri"/>
          <w:b/>
          <w:bCs/>
          <w:lang w:val="es-ES"/>
        </w:rPr>
      </w:pPr>
      <w:r w:rsidRPr="00ED6AAE">
        <w:rPr>
          <w:rFonts w:ascii="Arial Nova" w:eastAsia="Arial Nova" w:hAnsi="Arial Nova" w:cs="Arial Nova"/>
          <w:color w:val="000000"/>
          <w:lang w:val="es-ES"/>
        </w:rPr>
        <w:t xml:space="preserve">Si observamos los datos de </w:t>
      </w:r>
      <w:proofErr w:type="spellStart"/>
      <w:r w:rsidRPr="00ED6AAE">
        <w:rPr>
          <w:rFonts w:ascii="Arial Nova" w:eastAsia="Arial Nova" w:hAnsi="Arial Nova" w:cs="Arial Nova"/>
          <w:color w:val="000000"/>
          <w:lang w:val="es-ES"/>
        </w:rPr>
        <w:t>Metzineres</w:t>
      </w:r>
      <w:proofErr w:type="spellEnd"/>
      <w:r w:rsidRPr="00ED6AAE">
        <w:rPr>
          <w:rFonts w:ascii="Arial Nova" w:eastAsia="Arial Nova" w:hAnsi="Arial Nova" w:cs="Arial Nova"/>
          <w:color w:val="000000"/>
          <w:lang w:val="es-ES"/>
        </w:rPr>
        <w:t>, vemos que de las 4</w:t>
      </w:r>
      <w:r w:rsidR="006A12AC">
        <w:rPr>
          <w:rFonts w:ascii="Arial Nova" w:eastAsia="Arial Nova" w:hAnsi="Arial Nova" w:cs="Arial Nova"/>
          <w:color w:val="000000"/>
          <w:lang w:val="es-ES"/>
        </w:rPr>
        <w:t>43</w:t>
      </w:r>
      <w:r w:rsidRPr="00ED6AAE">
        <w:rPr>
          <w:rFonts w:ascii="Arial Nova" w:eastAsia="Arial Nova" w:hAnsi="Arial Nova" w:cs="Arial Nova"/>
          <w:color w:val="000000"/>
          <w:lang w:val="es-ES"/>
        </w:rPr>
        <w:t xml:space="preserve"> mujeres </w:t>
      </w:r>
      <w:r>
        <w:rPr>
          <w:rFonts w:ascii="Arial Nova" w:eastAsia="Arial Nova" w:hAnsi="Arial Nova" w:cs="Arial Nova"/>
          <w:color w:val="000000"/>
          <w:lang w:val="es-ES"/>
        </w:rPr>
        <w:t xml:space="preserve">y personas de género diverso </w:t>
      </w:r>
      <w:r w:rsidRPr="00ED6AAE">
        <w:rPr>
          <w:rFonts w:ascii="Arial Nova" w:eastAsia="Arial Nova" w:hAnsi="Arial Nova" w:cs="Arial Nova"/>
          <w:color w:val="000000"/>
          <w:lang w:val="es-ES"/>
        </w:rPr>
        <w:t>que participan actualmente en el proyecto, al menos el 3</w:t>
      </w:r>
      <w:r>
        <w:rPr>
          <w:rFonts w:ascii="Arial Nova" w:eastAsia="Arial Nova" w:hAnsi="Arial Nova" w:cs="Arial Nova"/>
          <w:color w:val="000000"/>
          <w:lang w:val="es-ES"/>
        </w:rPr>
        <w:t>3</w:t>
      </w:r>
      <w:r w:rsidRPr="00ED6AAE">
        <w:rPr>
          <w:rFonts w:ascii="Arial Nova" w:eastAsia="Arial Nova" w:hAnsi="Arial Nova" w:cs="Arial Nova"/>
          <w:color w:val="000000"/>
          <w:lang w:val="es-ES"/>
        </w:rPr>
        <w:t>% están o han estado en prisión en algún momento de su vida. Muchas de estas mujeres han entrado y salido de prisión varias veces</w:t>
      </w:r>
      <w:r w:rsidR="00C10E9E">
        <w:rPr>
          <w:rFonts w:ascii="Arial Nova" w:eastAsia="Arial Nova" w:hAnsi="Arial Nova" w:cs="Arial Nova"/>
          <w:color w:val="000000"/>
          <w:lang w:val="es-ES"/>
        </w:rPr>
        <w:t>.</w:t>
      </w:r>
      <w:r>
        <w:rPr>
          <w:rFonts w:ascii="Arial Nova" w:eastAsia="Calibri" w:hAnsi="Arial Nova" w:cs="Calibri"/>
          <w:b/>
          <w:bCs/>
          <w:lang w:val="es-ES"/>
        </w:rPr>
        <w:t xml:space="preserve"> </w:t>
      </w:r>
      <w:r w:rsidRPr="00ED6AAE">
        <w:rPr>
          <w:rFonts w:ascii="Arial Nova" w:eastAsia="Arial Nova" w:hAnsi="Arial Nova" w:cs="Arial Nova"/>
          <w:color w:val="000000"/>
          <w:lang w:val="es-ES"/>
        </w:rPr>
        <w:t>Tras analizar sus circunstancias, se observa que la mayoría de e</w:t>
      </w:r>
      <w:r>
        <w:rPr>
          <w:rFonts w:ascii="Arial Nova" w:eastAsia="Arial Nova" w:hAnsi="Arial Nova" w:cs="Arial Nova"/>
          <w:color w:val="000000"/>
          <w:lang w:val="es-ES"/>
        </w:rPr>
        <w:t xml:space="preserve">llas </w:t>
      </w:r>
      <w:r w:rsidRPr="00ED6AAE">
        <w:rPr>
          <w:rFonts w:ascii="Arial Nova" w:eastAsia="Arial Nova" w:hAnsi="Arial Nova" w:cs="Arial Nova"/>
          <w:color w:val="000000"/>
          <w:lang w:val="es-ES"/>
        </w:rPr>
        <w:t xml:space="preserve">se ven afectadas por múltiples situaciones de vulnerabilidad: </w:t>
      </w:r>
      <w:r w:rsidR="00C10E9E">
        <w:rPr>
          <w:rFonts w:ascii="Arial Nova" w:eastAsia="Arial Nova" w:hAnsi="Arial Nova" w:cs="Arial Nova"/>
          <w:color w:val="000000"/>
          <w:lang w:val="es-ES"/>
        </w:rPr>
        <w:t>falta de ingresos económicos</w:t>
      </w:r>
      <w:r w:rsidRPr="00ED6AAE">
        <w:rPr>
          <w:rFonts w:ascii="Arial Nova" w:eastAsia="Arial Nova" w:hAnsi="Arial Nova" w:cs="Arial Nova"/>
          <w:color w:val="000000"/>
          <w:lang w:val="es-ES"/>
        </w:rPr>
        <w:t xml:space="preserve">; situación administrativa irregular; </w:t>
      </w:r>
      <w:r w:rsidR="00C10E9E">
        <w:rPr>
          <w:rFonts w:ascii="Arial Nova" w:eastAsia="Arial Nova" w:hAnsi="Arial Nova" w:cs="Arial Nova"/>
          <w:color w:val="000000"/>
          <w:lang w:val="es-ES"/>
        </w:rPr>
        <w:t>carecen de</w:t>
      </w:r>
      <w:r w:rsidRPr="00ED6AAE">
        <w:rPr>
          <w:rFonts w:ascii="Arial Nova" w:eastAsia="Arial Nova" w:hAnsi="Arial Nova" w:cs="Arial Nova"/>
          <w:color w:val="000000"/>
          <w:lang w:val="es-ES"/>
        </w:rPr>
        <w:t xml:space="preserve"> experiencia laboral y/o formación; situación de sinhogarismo; han sobrevivido a múltiples </w:t>
      </w:r>
      <w:r w:rsidR="00F90CD3">
        <w:rPr>
          <w:rFonts w:ascii="Arial Nova" w:eastAsia="Arial Nova" w:hAnsi="Arial Nova" w:cs="Arial Nova"/>
          <w:color w:val="000000"/>
          <w:lang w:val="es-ES"/>
        </w:rPr>
        <w:t>violencias</w:t>
      </w:r>
      <w:r w:rsidR="00225F1D">
        <w:rPr>
          <w:rFonts w:ascii="Arial Nova" w:eastAsia="Arial Nova" w:hAnsi="Arial Nova" w:cs="Arial Nova"/>
          <w:color w:val="000000"/>
          <w:lang w:val="es-ES"/>
        </w:rPr>
        <w:t xml:space="preserve">; </w:t>
      </w:r>
      <w:r w:rsidRPr="00ED6AAE">
        <w:rPr>
          <w:rFonts w:ascii="Arial Nova" w:eastAsia="Arial Nova" w:hAnsi="Arial Nova" w:cs="Arial Nova"/>
          <w:color w:val="000000"/>
          <w:lang w:val="es-ES"/>
        </w:rPr>
        <w:t xml:space="preserve">lidian con problemas de salud mental y/o tienen problemas relacionados con el </w:t>
      </w:r>
      <w:r w:rsidR="00F90CD3">
        <w:rPr>
          <w:rFonts w:ascii="Arial Nova" w:eastAsia="Arial Nova" w:hAnsi="Arial Nova" w:cs="Arial Nova"/>
          <w:color w:val="000000"/>
          <w:lang w:val="es-ES"/>
        </w:rPr>
        <w:t>uso</w:t>
      </w:r>
      <w:r w:rsidRPr="00ED6AAE">
        <w:rPr>
          <w:rFonts w:ascii="Arial Nova" w:eastAsia="Arial Nova" w:hAnsi="Arial Nova" w:cs="Arial Nova"/>
          <w:color w:val="000000"/>
          <w:lang w:val="es-ES"/>
        </w:rPr>
        <w:t xml:space="preserve"> de drogas.</w:t>
      </w:r>
      <w:r w:rsidR="00D5016C">
        <w:rPr>
          <w:rFonts w:ascii="Arial Nova" w:eastAsia="Arial Nova" w:hAnsi="Arial Nova" w:cs="Arial Nova"/>
          <w:color w:val="000000"/>
          <w:lang w:val="es-ES"/>
        </w:rPr>
        <w:t xml:space="preserve"> </w:t>
      </w:r>
    </w:p>
    <w:p w:rsidR="0077435C" w:rsidRPr="0077435C" w:rsidRDefault="0077435C" w:rsidP="00C74591">
      <w:pPr>
        <w:spacing w:after="200" w:line="276" w:lineRule="auto"/>
        <w:jc w:val="both"/>
        <w:rPr>
          <w:rFonts w:ascii="Arial Nova" w:eastAsia="Calibri" w:hAnsi="Arial Nova" w:cs="Calibri"/>
          <w:lang w:val="es-ES"/>
        </w:rPr>
      </w:pPr>
      <w:r w:rsidRPr="00351FE8">
        <w:rPr>
          <w:rFonts w:ascii="Arial Nova" w:eastAsia="Calibri" w:hAnsi="Arial Nova" w:cs="Calibri"/>
          <w:lang w:val="es-ES"/>
        </w:rPr>
        <w:t xml:space="preserve">Debido a las realidades y estructuras de vida de estas mujeres, a menudo no tienen acceso a la información relativa a los procedimientos judiciales en los que son parte como investigadas y/o acusadas, provocando una entorne indefensión. </w:t>
      </w:r>
    </w:p>
    <w:p w:rsidR="00FE4891" w:rsidRDefault="00C10E9E" w:rsidP="00FE4891">
      <w:pPr>
        <w:spacing w:after="200" w:line="276" w:lineRule="auto"/>
        <w:jc w:val="both"/>
        <w:rPr>
          <w:rFonts w:ascii="Arial Nova" w:eastAsia="Arial Nova" w:hAnsi="Arial Nova" w:cs="Arial Nova"/>
          <w:color w:val="000000"/>
          <w:lang w:val="es-ES"/>
        </w:rPr>
      </w:pPr>
      <w:r>
        <w:rPr>
          <w:rFonts w:ascii="Arial Nova" w:eastAsia="Arial Nova" w:hAnsi="Arial Nova" w:cs="Arial Nova"/>
          <w:color w:val="000000"/>
          <w:lang w:val="es-ES"/>
        </w:rPr>
        <w:t>A</w:t>
      </w:r>
      <w:r w:rsidR="00C74591">
        <w:rPr>
          <w:rFonts w:ascii="Arial Nova" w:eastAsia="Arial Nova" w:hAnsi="Arial Nova" w:cs="Arial Nova"/>
          <w:color w:val="000000"/>
          <w:lang w:val="es-ES"/>
        </w:rPr>
        <w:t>quellas que ejercen el trabajo sexual no ven reconocidos sus derechos ni cuentan con mecanismos de reclamación en caso de vulneración. Esto</w:t>
      </w:r>
      <w:r w:rsidR="00C74591" w:rsidRPr="00C74591">
        <w:rPr>
          <w:rFonts w:ascii="Arial Nova" w:eastAsia="DejaVu Sans" w:hAnsi="Arial Nova" w:cs="Arial"/>
          <w:color w:val="000000"/>
          <w:lang w:val="es-ES" w:eastAsia="zh-CN" w:bidi="hi-IN"/>
        </w:rPr>
        <w:t xml:space="preserve"> conduce a la precarización del trabajo sexual y a la estigmatización de las mujeres que lo ejercen. Esta situación se agrava en aquellas mujeres que se encuentran en situación administrativa irregular, que están excluidas del sistema de protección social.</w:t>
      </w:r>
    </w:p>
    <w:p w:rsidR="00E51C7D" w:rsidRPr="00FE4891" w:rsidRDefault="00C74591" w:rsidP="00FE4891">
      <w:pPr>
        <w:spacing w:after="200" w:line="276" w:lineRule="auto"/>
        <w:jc w:val="both"/>
        <w:rPr>
          <w:rFonts w:ascii="Arial Nova" w:eastAsia="Arial Nova" w:hAnsi="Arial Nova" w:cs="Arial Nova"/>
          <w:color w:val="000000"/>
          <w:lang w:val="es-ES"/>
        </w:rPr>
      </w:pPr>
      <w:r w:rsidRPr="00C74591">
        <w:rPr>
          <w:rFonts w:ascii="Arial Nova" w:eastAsia="OpenSymbol" w:hAnsi="Arial Nova" w:cs="OpenSymbol"/>
          <w:color w:val="000000"/>
          <w:lang w:val="es-ES" w:eastAsia="zh-CN" w:bidi="hi-IN"/>
        </w:rPr>
        <w:t>Existen además diversas normas administrativas que sancionan la oferta y solicitud de servicios sexuales en espacios públicos</w:t>
      </w:r>
      <w:r w:rsidRPr="00C74591">
        <w:rPr>
          <w:rFonts w:ascii="Arial Nova" w:eastAsia="OpenSymbol" w:hAnsi="Arial Nova" w:cs="OpenSymbol"/>
          <w:color w:val="000000"/>
          <w:vertAlign w:val="superscript"/>
          <w:lang w:val="es-ES" w:eastAsia="zh-CN" w:bidi="hi-IN"/>
        </w:rPr>
        <w:footnoteReference w:id="3"/>
      </w:r>
      <w:r w:rsidRPr="00C74591">
        <w:rPr>
          <w:rFonts w:ascii="Arial Nova" w:eastAsia="OpenSymbol" w:hAnsi="Arial Nova" w:cs="OpenSymbol"/>
          <w:color w:val="000000"/>
          <w:lang w:val="es-ES" w:eastAsia="zh-CN" w:bidi="hi-IN"/>
        </w:rPr>
        <w:t xml:space="preserve">, criminalizando determinadas formas de oferta y </w:t>
      </w:r>
      <w:r w:rsidRPr="00C74591">
        <w:rPr>
          <w:rFonts w:ascii="Arial Nova" w:eastAsia="OpenSymbol" w:hAnsi="Arial Nova" w:cs="OpenSymbol"/>
          <w:color w:val="000000"/>
          <w:lang w:val="es-ES" w:eastAsia="zh-CN" w:bidi="hi-IN"/>
        </w:rPr>
        <w:lastRenderedPageBreak/>
        <w:t xml:space="preserve">demanda de servicios sexuales, y afectando de manera desproporcionada a los colectivos que se encuentran en situación de vulnerabilidad. </w:t>
      </w:r>
    </w:p>
    <w:p w:rsidR="00ED6AAE" w:rsidRPr="00ED6AAE" w:rsidRDefault="00ED6AAE" w:rsidP="00ED6AAE">
      <w:pPr>
        <w:pBdr>
          <w:top w:val="nil"/>
          <w:left w:val="nil"/>
          <w:bottom w:val="nil"/>
          <w:right w:val="nil"/>
          <w:between w:val="nil"/>
        </w:pBdr>
        <w:jc w:val="both"/>
        <w:rPr>
          <w:rFonts w:ascii="Arial Nova" w:eastAsia="Arial Nova" w:hAnsi="Arial Nova" w:cs="Arial Nova"/>
          <w:color w:val="000000"/>
          <w:lang w:val="es-ES"/>
        </w:rPr>
      </w:pPr>
    </w:p>
    <w:p w:rsidR="00505695" w:rsidRPr="0003084D" w:rsidRDefault="00000000" w:rsidP="00844DA5">
      <w:pPr>
        <w:numPr>
          <w:ilvl w:val="0"/>
          <w:numId w:val="3"/>
        </w:numPr>
        <w:spacing w:after="200" w:line="276" w:lineRule="auto"/>
        <w:jc w:val="both"/>
        <w:rPr>
          <w:rFonts w:ascii="Arial Nova" w:eastAsia="Calibri" w:hAnsi="Arial Nova" w:cs="Calibri"/>
          <w:b/>
          <w:lang w:val="es-ES"/>
        </w:rPr>
      </w:pPr>
      <w:r w:rsidRPr="0003084D">
        <w:rPr>
          <w:rFonts w:ascii="Arial Nova" w:eastAsia="Calibri" w:hAnsi="Arial Nova" w:cs="Calibri"/>
          <w:b/>
          <w:lang w:val="es-ES"/>
        </w:rPr>
        <w:t>Recomendaciones</w:t>
      </w:r>
    </w:p>
    <w:p w:rsidR="00505695" w:rsidRPr="00351FE8" w:rsidRDefault="00000000">
      <w:pPr>
        <w:spacing w:after="200" w:line="276" w:lineRule="auto"/>
        <w:jc w:val="both"/>
        <w:rPr>
          <w:rFonts w:ascii="Arial Nova" w:eastAsia="Calibri" w:hAnsi="Arial Nova" w:cs="Calibri"/>
          <w:lang w:val="es-ES"/>
        </w:rPr>
      </w:pPr>
      <w:r w:rsidRPr="00351FE8">
        <w:rPr>
          <w:rFonts w:ascii="Arial Nova" w:eastAsia="Calibri" w:hAnsi="Arial Nova" w:cs="Calibri"/>
          <w:lang w:val="es-ES"/>
        </w:rPr>
        <w:t xml:space="preserve">En vista de lo anterior, instamos al OHCHR a proporcionar en su informe las siguientes recomendaciones a los Estados miembros y partes interesadas: </w:t>
      </w:r>
    </w:p>
    <w:p w:rsidR="00341B93" w:rsidRPr="00341B93" w:rsidRDefault="00341B93" w:rsidP="00341B93">
      <w:pPr>
        <w:pStyle w:val="Prrafodelista"/>
        <w:numPr>
          <w:ilvl w:val="0"/>
          <w:numId w:val="4"/>
        </w:numPr>
        <w:suppressAutoHyphens/>
        <w:spacing w:line="276" w:lineRule="auto"/>
        <w:ind w:right="282"/>
        <w:jc w:val="both"/>
        <w:rPr>
          <w:rFonts w:ascii="Arial Nova" w:eastAsia="Arial Nova" w:hAnsi="Arial Nova" w:cs="Arial Nova"/>
          <w:lang w:val="es-ES"/>
        </w:rPr>
      </w:pPr>
      <w:r w:rsidRPr="00341B93">
        <w:rPr>
          <w:rFonts w:ascii="Arial Nova" w:eastAsia="Arial Nova" w:hAnsi="Arial Nova" w:cs="Arial Nova"/>
          <w:lang w:val="es-ES"/>
        </w:rPr>
        <w:t xml:space="preserve">Garantizar la participación de las mujeres que usan drogas en el diseño, la implementación, el monitoreo y la evaluación de las políticas y prácticas que condicionan su existencia. </w:t>
      </w:r>
    </w:p>
    <w:p w:rsidR="00341B93" w:rsidRDefault="00341B93" w:rsidP="00341B93">
      <w:pPr>
        <w:pStyle w:val="Prrafodelista"/>
        <w:numPr>
          <w:ilvl w:val="0"/>
          <w:numId w:val="4"/>
        </w:numPr>
        <w:suppressAutoHyphens/>
        <w:spacing w:line="276" w:lineRule="auto"/>
        <w:ind w:right="282"/>
        <w:jc w:val="both"/>
        <w:rPr>
          <w:rFonts w:ascii="Arial Nova" w:eastAsia="Arial Nova" w:hAnsi="Arial Nova" w:cs="Arial Nova"/>
          <w:lang w:val="es-ES"/>
        </w:rPr>
      </w:pPr>
      <w:r w:rsidRPr="00341B93">
        <w:rPr>
          <w:rFonts w:ascii="Arial Nova" w:eastAsia="Arial Nova" w:hAnsi="Arial Nova" w:cs="Arial Nova"/>
          <w:lang w:val="es-ES"/>
        </w:rPr>
        <w:t>Eliminar el uso de drogas como elemento de exclusión a los servicios de protección, y en especial a los recursos de acogida para mujeres sobreviviendo a violencias</w:t>
      </w:r>
      <w:r>
        <w:rPr>
          <w:rFonts w:ascii="Arial Nova" w:eastAsia="Arial Nova" w:hAnsi="Arial Nova" w:cs="Arial Nova"/>
          <w:lang w:val="es-ES"/>
        </w:rPr>
        <w:t>.</w:t>
      </w:r>
    </w:p>
    <w:p w:rsidR="00CA19D8" w:rsidRPr="00341B93" w:rsidRDefault="00CA19D8" w:rsidP="00341B93">
      <w:pPr>
        <w:pStyle w:val="Prrafodelista"/>
        <w:numPr>
          <w:ilvl w:val="0"/>
          <w:numId w:val="4"/>
        </w:numPr>
        <w:suppressAutoHyphens/>
        <w:spacing w:line="276" w:lineRule="auto"/>
        <w:ind w:right="282"/>
        <w:jc w:val="both"/>
        <w:rPr>
          <w:rFonts w:ascii="Arial Nova" w:eastAsia="Arial Nova" w:hAnsi="Arial Nova" w:cs="Arial Nova"/>
          <w:lang w:val="es-ES"/>
        </w:rPr>
      </w:pPr>
      <w:r>
        <w:rPr>
          <w:rFonts w:ascii="Arial Nova" w:eastAsia="Arial Nova" w:hAnsi="Arial Nova" w:cs="Arial Nova"/>
          <w:lang w:val="es-ES"/>
        </w:rPr>
        <w:t>Garantizar sistemas de protección y denuncia para las mujeres y personas de género diverso que usan drogas sobreviviendo violencia machista.</w:t>
      </w:r>
    </w:p>
    <w:p w:rsidR="00341B93" w:rsidRPr="00341B93" w:rsidRDefault="00341B93" w:rsidP="00341B93">
      <w:pPr>
        <w:pStyle w:val="Prrafodelista"/>
        <w:numPr>
          <w:ilvl w:val="0"/>
          <w:numId w:val="4"/>
        </w:numPr>
        <w:suppressAutoHyphens/>
        <w:spacing w:line="276" w:lineRule="auto"/>
        <w:ind w:right="282"/>
        <w:jc w:val="both"/>
        <w:rPr>
          <w:rFonts w:ascii="Arial Nova" w:eastAsia="Arial Nova" w:hAnsi="Arial Nova" w:cs="Arial Nova"/>
          <w:lang w:val="es-ES"/>
        </w:rPr>
      </w:pPr>
      <w:r w:rsidRPr="00341B93">
        <w:rPr>
          <w:rFonts w:ascii="Arial Nova" w:eastAsia="Arial Nova" w:hAnsi="Arial Nova" w:cs="Arial Nova"/>
          <w:lang w:val="es-ES"/>
        </w:rPr>
        <w:t>Derogar la Ley de Extranjería</w:t>
      </w:r>
      <w:r w:rsidR="00112CE8">
        <w:rPr>
          <w:rFonts w:ascii="Arial Nova" w:eastAsia="Arial Nova" w:hAnsi="Arial Nova" w:cs="Arial Nova"/>
          <w:lang w:val="es-ES"/>
        </w:rPr>
        <w:t>.</w:t>
      </w:r>
    </w:p>
    <w:p w:rsidR="00341B93" w:rsidRPr="00341B93" w:rsidRDefault="00341B93" w:rsidP="00341B93">
      <w:pPr>
        <w:pStyle w:val="Prrafodelista"/>
        <w:numPr>
          <w:ilvl w:val="0"/>
          <w:numId w:val="4"/>
        </w:numPr>
        <w:suppressAutoHyphens/>
        <w:spacing w:line="276" w:lineRule="auto"/>
        <w:ind w:right="282"/>
        <w:jc w:val="both"/>
        <w:rPr>
          <w:rFonts w:ascii="Arial Nova" w:eastAsia="Arial Nova" w:hAnsi="Arial Nova" w:cs="Arial Nova"/>
          <w:lang w:val="es-ES"/>
        </w:rPr>
      </w:pPr>
      <w:r w:rsidRPr="00341B93">
        <w:rPr>
          <w:rFonts w:ascii="Arial Nova" w:eastAsia="Arial Nova" w:hAnsi="Arial Nova" w:cs="Arial Nova"/>
          <w:lang w:val="es-ES"/>
        </w:rPr>
        <w:t>Reconocer los derechos sociales y laborales de las trabajadoras sexuales</w:t>
      </w:r>
      <w:r>
        <w:rPr>
          <w:rFonts w:ascii="Arial Nova" w:eastAsia="Arial Nova" w:hAnsi="Arial Nova" w:cs="Arial Nova"/>
          <w:lang w:val="es-ES"/>
        </w:rPr>
        <w:t>.</w:t>
      </w:r>
    </w:p>
    <w:p w:rsidR="00341B93" w:rsidRPr="00341B93" w:rsidRDefault="00341B93" w:rsidP="00341B93">
      <w:pPr>
        <w:pStyle w:val="Prrafodelista"/>
        <w:numPr>
          <w:ilvl w:val="0"/>
          <w:numId w:val="4"/>
        </w:numPr>
        <w:suppressAutoHyphens/>
        <w:spacing w:line="276" w:lineRule="auto"/>
        <w:ind w:right="282"/>
        <w:jc w:val="both"/>
        <w:rPr>
          <w:rFonts w:ascii="Arial Nova" w:eastAsia="Arial Nova" w:hAnsi="Arial Nova" w:cs="Arial Nova"/>
          <w:lang w:val="es-ES"/>
        </w:rPr>
      </w:pPr>
      <w:r w:rsidRPr="00341B93">
        <w:rPr>
          <w:rFonts w:ascii="Arial Nova" w:eastAsia="Arial Nova" w:hAnsi="Arial Nova" w:cs="Arial Nova"/>
          <w:lang w:val="es-ES"/>
        </w:rPr>
        <w:t>Incorporar la perspectiva de género y la reducción de daños en todas las redes de atención</w:t>
      </w:r>
      <w:r>
        <w:rPr>
          <w:rFonts w:ascii="Arial Nova" w:eastAsia="Arial Nova" w:hAnsi="Arial Nova" w:cs="Arial Nova"/>
          <w:lang w:val="es-ES"/>
        </w:rPr>
        <w:t>.</w:t>
      </w:r>
    </w:p>
    <w:p w:rsidR="00341B93" w:rsidRPr="00341B93" w:rsidRDefault="00341B93" w:rsidP="00341B93">
      <w:pPr>
        <w:pStyle w:val="Prrafodelista"/>
        <w:numPr>
          <w:ilvl w:val="0"/>
          <w:numId w:val="4"/>
        </w:numPr>
        <w:suppressAutoHyphens/>
        <w:spacing w:line="276" w:lineRule="auto"/>
        <w:ind w:right="282"/>
        <w:jc w:val="both"/>
        <w:rPr>
          <w:rFonts w:ascii="Arial Nova" w:eastAsia="Arial Nova" w:hAnsi="Arial Nova" w:cs="Arial Nova"/>
          <w:lang w:val="es-ES"/>
        </w:rPr>
      </w:pPr>
      <w:r w:rsidRPr="00341B93">
        <w:rPr>
          <w:rFonts w:ascii="Arial Nova" w:eastAsia="Arial Nova" w:hAnsi="Arial Nova" w:cs="Arial Nova"/>
          <w:lang w:val="es-ES"/>
        </w:rPr>
        <w:t>Acabar con la criminalización de las personas que usan drogas, y en particular de las mujeres y personas de género diverso</w:t>
      </w:r>
      <w:r>
        <w:rPr>
          <w:rFonts w:ascii="Arial Nova" w:eastAsia="Arial Nova" w:hAnsi="Arial Nova" w:cs="Arial Nova"/>
          <w:lang w:val="es-ES"/>
        </w:rPr>
        <w:t>.</w:t>
      </w:r>
    </w:p>
    <w:p w:rsidR="00341B93" w:rsidRPr="00341B93" w:rsidRDefault="00341B93" w:rsidP="00341B93">
      <w:pPr>
        <w:pStyle w:val="Prrafodelista"/>
        <w:numPr>
          <w:ilvl w:val="0"/>
          <w:numId w:val="4"/>
        </w:numPr>
        <w:suppressAutoHyphens/>
        <w:spacing w:line="276" w:lineRule="auto"/>
        <w:ind w:right="282"/>
        <w:jc w:val="both"/>
        <w:rPr>
          <w:rFonts w:ascii="Arial Nova" w:eastAsia="Arial Nova" w:hAnsi="Arial Nova" w:cs="Arial Nova"/>
          <w:lang w:val="es-ES"/>
        </w:rPr>
      </w:pPr>
      <w:r w:rsidRPr="00341B93">
        <w:rPr>
          <w:rFonts w:ascii="Arial Nova" w:eastAsia="Arial Nova" w:hAnsi="Arial Nova" w:cs="Arial Nova"/>
          <w:lang w:val="es-ES"/>
        </w:rPr>
        <w:t xml:space="preserve">Reconocer la </w:t>
      </w:r>
      <w:proofErr w:type="spellStart"/>
      <w:r w:rsidRPr="00341B93">
        <w:rPr>
          <w:rFonts w:ascii="Arial Nova" w:eastAsia="Arial Nova" w:hAnsi="Arial Nova" w:cs="Arial Nova"/>
          <w:lang w:val="es-ES"/>
        </w:rPr>
        <w:t>drogofobia</w:t>
      </w:r>
      <w:proofErr w:type="spellEnd"/>
      <w:r w:rsidRPr="00341B93">
        <w:rPr>
          <w:rFonts w:ascii="Arial Nova" w:eastAsia="Arial Nova" w:hAnsi="Arial Nova" w:cs="Arial Nova"/>
          <w:lang w:val="es-ES"/>
        </w:rPr>
        <w:t xml:space="preserve"> o estigma hacia las personas que usan drogas como forma de discriminación.  </w:t>
      </w:r>
    </w:p>
    <w:p w:rsidR="00AD284E" w:rsidRPr="00D26321" w:rsidRDefault="00AD284E" w:rsidP="00F429EE">
      <w:pPr>
        <w:spacing w:after="200" w:line="276" w:lineRule="auto"/>
        <w:jc w:val="both"/>
        <w:rPr>
          <w:rFonts w:ascii="Arial Nova" w:eastAsia="Calibri" w:hAnsi="Arial Nova" w:cs="Calibri"/>
          <w:lang w:val="es-ES"/>
        </w:rPr>
      </w:pPr>
    </w:p>
    <w:p w:rsidR="00505695" w:rsidRPr="00351FE8" w:rsidRDefault="00000000">
      <w:pPr>
        <w:pBdr>
          <w:top w:val="nil"/>
          <w:left w:val="nil"/>
          <w:bottom w:val="nil"/>
          <w:right w:val="nil"/>
          <w:between w:val="nil"/>
        </w:pBdr>
        <w:spacing w:after="200" w:line="276" w:lineRule="auto"/>
        <w:jc w:val="both"/>
        <w:rPr>
          <w:rFonts w:ascii="Arial Nova" w:eastAsia="Calibri" w:hAnsi="Arial Nova" w:cs="Calibri"/>
          <w:lang w:val="es-ES"/>
        </w:rPr>
      </w:pPr>
      <w:r w:rsidRPr="00351FE8">
        <w:rPr>
          <w:rFonts w:ascii="Arial Nova" w:eastAsia="Calibri" w:hAnsi="Arial Nova" w:cs="Calibri"/>
          <w:b/>
          <w:lang w:val="es-ES"/>
        </w:rPr>
        <w:t>REFERENCIAS</w:t>
      </w:r>
      <w:r w:rsidRPr="00351FE8">
        <w:rPr>
          <w:rFonts w:ascii="Arial Nova" w:eastAsia="Calibri" w:hAnsi="Arial Nova" w:cs="Calibri"/>
          <w:lang w:val="es-ES"/>
        </w:rPr>
        <w:t>:</w:t>
      </w:r>
    </w:p>
    <w:p w:rsidR="000A48D7" w:rsidRPr="000A48D7" w:rsidRDefault="000A48D7" w:rsidP="000A48D7">
      <w:pPr>
        <w:rPr>
          <w:rFonts w:ascii="Arial Nova" w:eastAsia="Arial Nova" w:hAnsi="Arial Nova" w:cs="Arial Nova"/>
          <w:sz w:val="22"/>
          <w:szCs w:val="22"/>
          <w:lang w:val="es-ES"/>
        </w:rPr>
      </w:pPr>
      <w:r w:rsidRPr="000A48D7">
        <w:rPr>
          <w:rFonts w:ascii="Arial Nova" w:eastAsia="Arial Nova" w:hAnsi="Arial Nova" w:cs="Arial Nova"/>
          <w:sz w:val="22"/>
          <w:szCs w:val="22"/>
          <w:lang w:val="es-ES"/>
        </w:rPr>
        <w:t xml:space="preserve">UNAD (2023, 1 marzo). “UNAD alerta de que la estigmatización de personas con adicciones supone una barrera para que puedan acceder a tratamientos”. En </w:t>
      </w:r>
    </w:p>
    <w:p w:rsidR="000A48D7" w:rsidRPr="000A48D7" w:rsidRDefault="00000000" w:rsidP="000A48D7">
      <w:pPr>
        <w:rPr>
          <w:rFonts w:ascii="Arial Nova" w:eastAsia="Arial Nova" w:hAnsi="Arial Nova" w:cs="Arial Nova"/>
          <w:color w:val="365F91" w:themeColor="accent1" w:themeShade="BF"/>
          <w:sz w:val="22"/>
          <w:szCs w:val="22"/>
          <w:u w:val="single"/>
          <w:lang w:val="es-ES"/>
        </w:rPr>
      </w:pPr>
      <w:hyperlink r:id="rId12" w:history="1">
        <w:r w:rsidR="000A48D7" w:rsidRPr="000A48D7">
          <w:rPr>
            <w:rFonts w:ascii="Arial Nova" w:eastAsia="Arial Nova" w:hAnsi="Arial Nova" w:cs="Arial Nova"/>
            <w:color w:val="365F91" w:themeColor="accent1" w:themeShade="BF"/>
            <w:sz w:val="22"/>
            <w:szCs w:val="22"/>
            <w:u w:val="single"/>
            <w:lang w:val="es-ES"/>
          </w:rPr>
          <w:t>https://www.unad.org/actualidad/2840/unad-alerta-de-que-la-estigmatizacion-de-personas-con-adicciones-supone-una-barrera-para-que-puedan-acceder-a-tratamientos/</w:t>
        </w:r>
      </w:hyperlink>
    </w:p>
    <w:p w:rsidR="000A48D7" w:rsidRPr="000A48D7" w:rsidRDefault="000A48D7" w:rsidP="000A48D7">
      <w:pPr>
        <w:rPr>
          <w:rFonts w:ascii="Arial Nova" w:eastAsia="Arial Nova" w:hAnsi="Arial Nova" w:cs="Arial Nova"/>
          <w:sz w:val="22"/>
          <w:szCs w:val="22"/>
          <w:u w:val="single"/>
          <w:lang w:val="es-ES"/>
        </w:rPr>
      </w:pPr>
    </w:p>
    <w:p w:rsidR="00DC5C90" w:rsidRPr="00DC5C90" w:rsidRDefault="00000000" w:rsidP="00DC5C90">
      <w:pPr>
        <w:pBdr>
          <w:top w:val="nil"/>
          <w:left w:val="nil"/>
          <w:bottom w:val="nil"/>
          <w:right w:val="nil"/>
          <w:between w:val="nil"/>
        </w:pBdr>
        <w:spacing w:after="200" w:line="276" w:lineRule="auto"/>
        <w:rPr>
          <w:rFonts w:ascii="Arial Nova" w:eastAsia="Calibri" w:hAnsi="Arial Nova" w:cs="Calibri"/>
          <w:color w:val="1155CC"/>
          <w:sz w:val="22"/>
          <w:szCs w:val="22"/>
          <w:u w:val="single"/>
          <w:lang w:val="es-ES"/>
        </w:rPr>
      </w:pPr>
      <w:r w:rsidRPr="0003084D">
        <w:rPr>
          <w:rFonts w:ascii="Arial Nova" w:eastAsia="Calibri" w:hAnsi="Arial Nova" w:cs="Calibri"/>
          <w:sz w:val="22"/>
          <w:szCs w:val="22"/>
          <w:lang w:val="es-ES"/>
        </w:rPr>
        <w:t xml:space="preserve">Subdirección General de Drogodependencias (2022, junio). Informe de actividad asistencial: Servicios de Reducción de Daños año 2021. En: </w:t>
      </w:r>
      <w:hyperlink r:id="rId13">
        <w:r w:rsidRPr="00513798">
          <w:rPr>
            <w:rFonts w:ascii="Arial Nova" w:eastAsia="Calibri" w:hAnsi="Arial Nova" w:cs="Calibri"/>
            <w:color w:val="365F91" w:themeColor="accent1" w:themeShade="BF"/>
            <w:sz w:val="22"/>
            <w:szCs w:val="22"/>
            <w:u w:val="single"/>
            <w:lang w:val="es-ES"/>
          </w:rPr>
          <w:t>https://drogues.gencat.cat/web/.content/minisite/drogues/professionals/observatori/2022/SERVEIS-DE-REDUCCIO-DE-DANYS-2021_OK.pdf</w:t>
        </w:r>
      </w:hyperlink>
    </w:p>
    <w:p w:rsidR="00DC5C90" w:rsidRDefault="0003084D" w:rsidP="00DC5C90">
      <w:pPr>
        <w:pBdr>
          <w:top w:val="nil"/>
          <w:left w:val="nil"/>
          <w:bottom w:val="nil"/>
          <w:right w:val="nil"/>
          <w:between w:val="nil"/>
        </w:pBdr>
        <w:spacing w:after="200" w:line="276" w:lineRule="auto"/>
        <w:rPr>
          <w:rFonts w:ascii="Arial Nova" w:eastAsia="Calibri" w:hAnsi="Arial Nova" w:cs="Calibri"/>
          <w:color w:val="1155CC"/>
          <w:sz w:val="22"/>
          <w:szCs w:val="22"/>
          <w:u w:val="single"/>
        </w:rPr>
      </w:pPr>
      <w:r w:rsidRPr="0003084D">
        <w:rPr>
          <w:rFonts w:ascii="Arial Nova" w:eastAsia="Carlito" w:hAnsi="Arial Nova" w:cs="Carlito"/>
          <w:sz w:val="22"/>
          <w:szCs w:val="22"/>
          <w:lang w:val="es-ES"/>
        </w:rPr>
        <w:lastRenderedPageBreak/>
        <w:t xml:space="preserve">FACIAM (2022), “Las caras del sinhogarismo: cada vez hay más jóvenes y más mujeres, y crecen los problemas de salud mental”. </w:t>
      </w:r>
      <w:r w:rsidRPr="0003084D">
        <w:rPr>
          <w:rFonts w:ascii="Arial Nova" w:eastAsia="Carlito" w:hAnsi="Arial Nova" w:cs="Carlito"/>
          <w:sz w:val="22"/>
          <w:szCs w:val="22"/>
          <w:lang w:val="en-US"/>
        </w:rPr>
        <w:t>URL:</w:t>
      </w:r>
      <w:r w:rsidRPr="0003084D">
        <w:rPr>
          <w:rFonts w:ascii="Arial Nova" w:eastAsia="Carlito" w:hAnsi="Arial Nova" w:cs="Carlito"/>
          <w:color w:val="365F91" w:themeColor="accent1" w:themeShade="BF"/>
          <w:sz w:val="22"/>
          <w:szCs w:val="22"/>
          <w:lang w:val="en-US"/>
        </w:rPr>
        <w:t xml:space="preserve"> </w:t>
      </w:r>
      <w:hyperlink r:id="rId14" w:history="1">
        <w:r w:rsidRPr="0003084D">
          <w:rPr>
            <w:rFonts w:ascii="Arial Nova" w:eastAsia="Carlito" w:hAnsi="Arial Nova" w:cs="Carlito"/>
            <w:color w:val="365F91" w:themeColor="accent1" w:themeShade="BF"/>
            <w:sz w:val="22"/>
            <w:szCs w:val="22"/>
            <w:u w:val="single"/>
            <w:lang w:val="en-US"/>
          </w:rPr>
          <w:t>https://faciam.org/2022/10/27/las-caras-del-sinhogarismo-cada-vez-hay-mas-jovenes-y-mas-mujeres-y-crecen-los-problemas-de-salud-mental/</w:t>
        </w:r>
      </w:hyperlink>
    </w:p>
    <w:p w:rsidR="00DC5C90" w:rsidRDefault="00513798" w:rsidP="00DC5C90">
      <w:pPr>
        <w:pBdr>
          <w:top w:val="nil"/>
          <w:left w:val="nil"/>
          <w:bottom w:val="nil"/>
          <w:right w:val="nil"/>
          <w:between w:val="nil"/>
        </w:pBdr>
        <w:spacing w:after="200" w:line="276" w:lineRule="auto"/>
        <w:rPr>
          <w:rFonts w:ascii="Arial Nova" w:eastAsia="Arial" w:hAnsi="Arial Nova" w:cs="Arial"/>
          <w:color w:val="365F91" w:themeColor="accent1" w:themeShade="BF"/>
          <w:sz w:val="22"/>
          <w:szCs w:val="22"/>
          <w:u w:val="single"/>
          <w:lang w:val="ca-ES"/>
        </w:rPr>
      </w:pPr>
      <w:proofErr w:type="spellStart"/>
      <w:r w:rsidRPr="00513798">
        <w:rPr>
          <w:rFonts w:ascii="Arial Nova" w:eastAsia="Arial" w:hAnsi="Arial Nova" w:cs="Arial"/>
          <w:sz w:val="22"/>
          <w:szCs w:val="22"/>
          <w:lang w:val="en-US"/>
        </w:rPr>
        <w:t>Generalitat</w:t>
      </w:r>
      <w:proofErr w:type="spellEnd"/>
      <w:r w:rsidRPr="00513798">
        <w:rPr>
          <w:rFonts w:ascii="Arial Nova" w:eastAsia="Arial" w:hAnsi="Arial Nova" w:cs="Arial"/>
          <w:sz w:val="22"/>
          <w:szCs w:val="22"/>
          <w:lang w:val="en-US"/>
        </w:rPr>
        <w:t xml:space="preserve"> de Catalunya (2009, </w:t>
      </w:r>
      <w:proofErr w:type="spellStart"/>
      <w:r w:rsidRPr="00513798">
        <w:rPr>
          <w:rFonts w:ascii="Arial Nova" w:eastAsia="Arial" w:hAnsi="Arial Nova" w:cs="Arial"/>
          <w:sz w:val="22"/>
          <w:szCs w:val="22"/>
          <w:lang w:val="en-US"/>
        </w:rPr>
        <w:t>Desembre</w:t>
      </w:r>
      <w:proofErr w:type="spellEnd"/>
      <w:r w:rsidRPr="00513798">
        <w:rPr>
          <w:rFonts w:ascii="Arial Nova" w:eastAsia="Arial" w:hAnsi="Arial Nova" w:cs="Arial"/>
          <w:sz w:val="22"/>
          <w:szCs w:val="22"/>
          <w:lang w:val="en-US"/>
        </w:rPr>
        <w:t xml:space="preserve">). </w:t>
      </w:r>
      <w:r w:rsidRPr="00513798">
        <w:rPr>
          <w:rFonts w:ascii="Arial Nova" w:eastAsia="Arial" w:hAnsi="Arial Nova" w:cs="Arial"/>
          <w:sz w:val="22"/>
          <w:szCs w:val="22"/>
          <w:lang w:val="ca-ES"/>
        </w:rPr>
        <w:t xml:space="preserve">“Protocol per a l’abordatge de la violència masclista en l’àmbit de la salut a Catalunya. Dossier 4 Document operatiu de drogodependències”. En </w:t>
      </w:r>
      <w:hyperlink r:id="rId15" w:history="1">
        <w:r w:rsidRPr="00513798">
          <w:rPr>
            <w:rFonts w:ascii="Arial Nova" w:eastAsia="Arial" w:hAnsi="Arial Nova" w:cs="Arial"/>
            <w:color w:val="365F91" w:themeColor="accent1" w:themeShade="BF"/>
            <w:sz w:val="22"/>
            <w:szCs w:val="22"/>
            <w:u w:val="single"/>
            <w:lang w:val="ca-ES"/>
          </w:rPr>
          <w:t>https://salutweb.gencat.cat/web/.content/_ambits-actuacio/Linies-dactuacio/Serveis-sanitaris/Altres-models-anteriors-datencio-sanitaria/Abordatge-de-la-violencia-masclista/abordatge.pdf</w:t>
        </w:r>
      </w:hyperlink>
    </w:p>
    <w:p w:rsidR="0013070D" w:rsidRDefault="00DC5C90" w:rsidP="0013070D">
      <w:pPr>
        <w:pBdr>
          <w:top w:val="nil"/>
          <w:left w:val="nil"/>
          <w:bottom w:val="nil"/>
          <w:right w:val="nil"/>
          <w:between w:val="nil"/>
        </w:pBdr>
        <w:spacing w:after="200" w:line="276" w:lineRule="auto"/>
        <w:rPr>
          <w:rFonts w:ascii="Arial Nova" w:eastAsia="Arial" w:hAnsi="Arial Nova" w:cs="Arial"/>
          <w:color w:val="365F91" w:themeColor="accent1" w:themeShade="BF"/>
          <w:sz w:val="22"/>
          <w:szCs w:val="22"/>
          <w:u w:val="single"/>
          <w:lang w:val="ca-ES"/>
        </w:rPr>
      </w:pPr>
      <w:r w:rsidRPr="00DC5C90">
        <w:rPr>
          <w:rFonts w:ascii="Arial Nova" w:eastAsia="Arial" w:hAnsi="Arial Nova" w:cs="Arial"/>
          <w:sz w:val="22"/>
          <w:szCs w:val="22"/>
          <w:lang w:val="en-US"/>
        </w:rPr>
        <w:t xml:space="preserve">Interleave Research Report (2022). “Woman who Use Drugs Facing Gender-Based Violence in Europe.” En </w:t>
      </w:r>
      <w:hyperlink r:id="rId16" w:history="1">
        <w:r w:rsidRPr="00DC5C90">
          <w:rPr>
            <w:rFonts w:ascii="Arial Nova" w:eastAsia="Arial" w:hAnsi="Arial Nova" w:cs="Arial"/>
            <w:color w:val="365F91" w:themeColor="accent1" w:themeShade="BF"/>
            <w:sz w:val="22"/>
            <w:szCs w:val="22"/>
            <w:u w:val="single"/>
            <w:lang w:val="en-US"/>
          </w:rPr>
          <w:t>https://interleave.org/wp-content/uploads/2022/09/INTERLEAVE-RESEARCH-REPORT_FINAL_30_08_2022.pdf</w:t>
        </w:r>
      </w:hyperlink>
    </w:p>
    <w:p w:rsidR="0013070D" w:rsidRDefault="00DC5C90" w:rsidP="0013070D">
      <w:pPr>
        <w:pBdr>
          <w:top w:val="nil"/>
          <w:left w:val="nil"/>
          <w:bottom w:val="nil"/>
          <w:right w:val="nil"/>
          <w:between w:val="nil"/>
        </w:pBdr>
        <w:spacing w:after="200" w:line="276" w:lineRule="auto"/>
        <w:rPr>
          <w:rFonts w:ascii="Arial Nova" w:eastAsia="Arial" w:hAnsi="Arial Nova" w:cs="Arial"/>
          <w:color w:val="365F91" w:themeColor="accent1" w:themeShade="BF"/>
          <w:sz w:val="22"/>
          <w:szCs w:val="22"/>
          <w:u w:val="single"/>
          <w:lang w:val="ca-ES"/>
        </w:rPr>
      </w:pPr>
      <w:r w:rsidRPr="00DC5C90">
        <w:rPr>
          <w:rFonts w:ascii="Arial Nova" w:eastAsia="Arial Nova" w:hAnsi="Arial Nova" w:cs="Arial Nova"/>
          <w:color w:val="000000"/>
          <w:sz w:val="22"/>
          <w:szCs w:val="22"/>
          <w:lang w:val="en-US"/>
        </w:rPr>
        <w:t xml:space="preserve">Council of Europe Annual Penal Statistics (2021, December). </w:t>
      </w:r>
      <w:r w:rsidRPr="00DC5C90">
        <w:rPr>
          <w:rFonts w:ascii="Arial Nova" w:eastAsia="Arial Nova" w:hAnsi="Arial Nova" w:cs="Arial Nova"/>
          <w:color w:val="000000"/>
          <w:sz w:val="22"/>
          <w:szCs w:val="22"/>
          <w:lang w:val="fr-BE"/>
        </w:rPr>
        <w:t xml:space="preserve">Prison populations – SPACE I. Pag. 4. </w:t>
      </w:r>
      <w:r w:rsidRPr="00DC5C90">
        <w:rPr>
          <w:rFonts w:ascii="Arial Nova" w:eastAsia="Arial Nova" w:hAnsi="Arial Nova" w:cs="Arial Nova"/>
          <w:color w:val="000000"/>
          <w:sz w:val="22"/>
          <w:szCs w:val="22"/>
          <w:lang w:val="es-ES"/>
        </w:rPr>
        <w:t xml:space="preserve">En </w:t>
      </w:r>
      <w:r w:rsidRPr="00DC5C90">
        <w:rPr>
          <w:rFonts w:ascii="Arial Nova" w:eastAsia="Arial Nova" w:hAnsi="Arial Nova" w:cs="Arial Nova"/>
          <w:color w:val="365F91" w:themeColor="accent1" w:themeShade="BF"/>
          <w:sz w:val="22"/>
          <w:szCs w:val="22"/>
          <w:lang w:val="es-ES"/>
        </w:rPr>
        <w:t xml:space="preserve"> </w:t>
      </w:r>
      <w:hyperlink r:id="rId17">
        <w:r w:rsidRPr="00DC5C90">
          <w:rPr>
            <w:rFonts w:ascii="Arial Nova" w:eastAsia="Arial Nova" w:hAnsi="Arial Nova" w:cs="Arial Nova"/>
            <w:color w:val="365F91" w:themeColor="accent1" w:themeShade="BF"/>
            <w:sz w:val="22"/>
            <w:szCs w:val="22"/>
            <w:u w:val="single"/>
            <w:lang w:val="es-ES"/>
          </w:rPr>
          <w:t>https://wp.unil.ch/space/files/2022/12/SPACE-I_2021_FinalReport.pdf</w:t>
        </w:r>
      </w:hyperlink>
    </w:p>
    <w:p w:rsidR="00505695" w:rsidRPr="0013070D" w:rsidRDefault="00000000" w:rsidP="0013070D">
      <w:pPr>
        <w:pBdr>
          <w:top w:val="nil"/>
          <w:left w:val="nil"/>
          <w:bottom w:val="nil"/>
          <w:right w:val="nil"/>
          <w:between w:val="nil"/>
        </w:pBdr>
        <w:spacing w:after="200" w:line="276" w:lineRule="auto"/>
        <w:rPr>
          <w:rFonts w:ascii="Arial Nova" w:eastAsia="Arial" w:hAnsi="Arial Nova" w:cs="Arial"/>
          <w:color w:val="365F91" w:themeColor="accent1" w:themeShade="BF"/>
          <w:sz w:val="20"/>
          <w:szCs w:val="20"/>
          <w:u w:val="single"/>
          <w:lang w:val="ca-ES"/>
        </w:rPr>
      </w:pPr>
      <w:r w:rsidRPr="0013070D">
        <w:rPr>
          <w:rFonts w:ascii="Arial Nova" w:eastAsia="Calibri" w:hAnsi="Arial Nova" w:cs="Calibri"/>
          <w:sz w:val="22"/>
          <w:szCs w:val="22"/>
          <w:lang w:val="es-ES"/>
        </w:rPr>
        <w:t xml:space="preserve">Consejo General del Poder Judicial (CGPJ, 2022). Estadística penitenciaria - 2022. En: </w:t>
      </w:r>
      <w:hyperlink r:id="rId18">
        <w:r w:rsidRPr="0013070D">
          <w:rPr>
            <w:rFonts w:ascii="Arial Nova" w:eastAsia="Calibri" w:hAnsi="Arial Nova" w:cs="Calibri"/>
            <w:color w:val="365F91" w:themeColor="accent1" w:themeShade="BF"/>
            <w:sz w:val="22"/>
            <w:szCs w:val="22"/>
            <w:u w:val="single"/>
            <w:lang w:val="es-ES"/>
          </w:rPr>
          <w:t>https://www.poderjudicial.es/cgpj/es/Temas/Estadistica-Judicial/Estadistica-por-temas/Datos-penales--civiles-y-laborales/Cumplimiento-de-penas/Estadistica-de-la-Poblacion-Reclusa/</w:t>
        </w:r>
      </w:hyperlink>
    </w:p>
    <w:sectPr w:rsidR="00505695" w:rsidRPr="0013070D" w:rsidSect="008827B3">
      <w:headerReference w:type="default" r:id="rId19"/>
      <w:footerReference w:type="default" r:id="rId20"/>
      <w:pgSz w:w="11906" w:h="16838"/>
      <w:pgMar w:top="1701" w:right="1134" w:bottom="1304" w:left="1134"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69AB" w:rsidRDefault="003A69AB">
      <w:r>
        <w:separator/>
      </w:r>
    </w:p>
  </w:endnote>
  <w:endnote w:type="continuationSeparator" w:id="0">
    <w:p w:rsidR="003A69AB" w:rsidRDefault="003A6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ova">
    <w:altName w:val="Arial"/>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DejaVu Sans">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OpenSymbol">
    <w:altName w:val="Calibri"/>
    <w:panose1 w:val="00000000000000000000"/>
    <w:charset w:val="00"/>
    <w:family w:val="roman"/>
    <w:notTrueType/>
    <w:pitch w:val="default"/>
  </w:font>
  <w:font w:name="Carlit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ova" w:hAnsi="Arial Nova"/>
        <w:sz w:val="20"/>
        <w:szCs w:val="20"/>
      </w:rPr>
      <w:id w:val="714924717"/>
      <w:docPartObj>
        <w:docPartGallery w:val="Page Numbers (Bottom of Page)"/>
        <w:docPartUnique/>
      </w:docPartObj>
    </w:sdtPr>
    <w:sdtContent>
      <w:p w:rsidR="003B7D65" w:rsidRPr="003B7D65" w:rsidRDefault="003B7D65">
        <w:pPr>
          <w:pStyle w:val="Piedepgina"/>
          <w:jc w:val="right"/>
          <w:rPr>
            <w:rFonts w:ascii="Arial Nova" w:hAnsi="Arial Nova"/>
            <w:sz w:val="20"/>
            <w:szCs w:val="20"/>
          </w:rPr>
        </w:pPr>
        <w:r w:rsidRPr="003B7D65">
          <w:rPr>
            <w:rFonts w:ascii="Arial Nova" w:hAnsi="Arial Nova"/>
            <w:sz w:val="20"/>
            <w:szCs w:val="20"/>
          </w:rPr>
          <w:fldChar w:fldCharType="begin"/>
        </w:r>
        <w:r w:rsidRPr="003B7D65">
          <w:rPr>
            <w:rFonts w:ascii="Arial Nova" w:hAnsi="Arial Nova"/>
            <w:sz w:val="20"/>
            <w:szCs w:val="20"/>
          </w:rPr>
          <w:instrText>PAGE   \* MERGEFORMAT</w:instrText>
        </w:r>
        <w:r w:rsidRPr="003B7D65">
          <w:rPr>
            <w:rFonts w:ascii="Arial Nova" w:hAnsi="Arial Nova"/>
            <w:sz w:val="20"/>
            <w:szCs w:val="20"/>
          </w:rPr>
          <w:fldChar w:fldCharType="separate"/>
        </w:r>
        <w:r w:rsidRPr="003B7D65">
          <w:rPr>
            <w:rFonts w:ascii="Arial Nova" w:hAnsi="Arial Nova"/>
            <w:sz w:val="20"/>
            <w:szCs w:val="20"/>
            <w:lang w:val="es-ES"/>
          </w:rPr>
          <w:t>2</w:t>
        </w:r>
        <w:r w:rsidRPr="003B7D65">
          <w:rPr>
            <w:rFonts w:ascii="Arial Nova" w:hAnsi="Arial Nova"/>
            <w:sz w:val="20"/>
            <w:szCs w:val="20"/>
          </w:rPr>
          <w:fldChar w:fldCharType="end"/>
        </w:r>
      </w:p>
    </w:sdtContent>
  </w:sdt>
  <w:p w:rsidR="003B7D65" w:rsidRPr="003B7D65" w:rsidRDefault="003B7D65">
    <w:pPr>
      <w:pStyle w:val="Piedepgina"/>
      <w:rPr>
        <w:rFonts w:ascii="Arial Nova" w:hAnsi="Arial Nov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69AB" w:rsidRDefault="003A69AB">
      <w:r>
        <w:separator/>
      </w:r>
    </w:p>
  </w:footnote>
  <w:footnote w:type="continuationSeparator" w:id="0">
    <w:p w:rsidR="003A69AB" w:rsidRDefault="003A69AB">
      <w:r>
        <w:continuationSeparator/>
      </w:r>
    </w:p>
  </w:footnote>
  <w:footnote w:id="1">
    <w:p w:rsidR="00513798" w:rsidRPr="00513798" w:rsidRDefault="00513798" w:rsidP="00513798">
      <w:pPr>
        <w:pBdr>
          <w:top w:val="nil"/>
          <w:left w:val="nil"/>
          <w:bottom w:val="nil"/>
          <w:right w:val="nil"/>
          <w:between w:val="nil"/>
        </w:pBdr>
        <w:spacing w:after="200" w:line="276" w:lineRule="auto"/>
        <w:jc w:val="both"/>
        <w:rPr>
          <w:rFonts w:ascii="Arial Nova" w:eastAsia="Arial Nova" w:hAnsi="Arial Nova" w:cs="Arial Nova"/>
          <w:sz w:val="20"/>
          <w:szCs w:val="20"/>
          <w:lang w:val="en-US"/>
        </w:rPr>
      </w:pPr>
      <w:r>
        <w:rPr>
          <w:rStyle w:val="Refdenotaalpie"/>
        </w:rPr>
        <w:footnoteRef/>
      </w:r>
      <w:r w:rsidRPr="00513798">
        <w:rPr>
          <w:lang w:val="en-US"/>
        </w:rPr>
        <w:t xml:space="preserve"> </w:t>
      </w:r>
      <w:r w:rsidRPr="00C10E9E">
        <w:rPr>
          <w:rFonts w:ascii="Arial Nova" w:hAnsi="Arial Nova"/>
          <w:sz w:val="20"/>
          <w:szCs w:val="20"/>
          <w:lang w:val="es-ES"/>
        </w:rPr>
        <w:t xml:space="preserve">Entre otros, </w:t>
      </w:r>
      <w:r w:rsidRPr="00C10E9E">
        <w:rPr>
          <w:rFonts w:ascii="Arial Nova" w:eastAsia="Arial Nova" w:hAnsi="Arial Nova" w:cs="Arial Nova"/>
          <w:sz w:val="20"/>
          <w:szCs w:val="20"/>
          <w:lang w:val="es-ES"/>
        </w:rPr>
        <w:t>Informe de</w:t>
      </w:r>
      <w:r>
        <w:rPr>
          <w:rFonts w:ascii="Arial Nova" w:eastAsia="Arial Nova" w:hAnsi="Arial Nova" w:cs="Arial Nova"/>
          <w:sz w:val="20"/>
          <w:szCs w:val="20"/>
          <w:lang w:val="en-US"/>
        </w:rPr>
        <w:t xml:space="preserve"> Pregnant Justice</w:t>
      </w:r>
      <w:r w:rsidRPr="00513798">
        <w:rPr>
          <w:rFonts w:ascii="Arial Nova" w:eastAsia="Arial Nova" w:hAnsi="Arial Nova" w:cs="Arial Nova"/>
          <w:sz w:val="20"/>
          <w:szCs w:val="20"/>
          <w:lang w:val="en-US"/>
        </w:rPr>
        <w:t xml:space="preserve"> “Prenatal Drug and Alcohol Exposure: Science Refutes Media Hype and Enduring Myths”. En: </w:t>
      </w:r>
      <w:hyperlink r:id="rId1" w:history="1">
        <w:r w:rsidRPr="00513798">
          <w:rPr>
            <w:rStyle w:val="Hipervnculo"/>
            <w:rFonts w:ascii="Arial Nova" w:eastAsia="Arial Nova" w:hAnsi="Arial Nova" w:cs="Arial Nova"/>
            <w:color w:val="365F91" w:themeColor="accent1" w:themeShade="BF"/>
            <w:sz w:val="20"/>
            <w:szCs w:val="20"/>
            <w:lang w:val="en-US"/>
          </w:rPr>
          <w:t>https://www.pregnancyjusticeus.org/category/pregnancy-and-drug-and-alcohol-use/</w:t>
        </w:r>
      </w:hyperlink>
    </w:p>
    <w:p w:rsidR="00513798" w:rsidRPr="00513798" w:rsidRDefault="00513798">
      <w:pPr>
        <w:pStyle w:val="Textonotapie"/>
        <w:rPr>
          <w:lang w:val="es-ES"/>
        </w:rPr>
      </w:pPr>
    </w:p>
  </w:footnote>
  <w:footnote w:id="2">
    <w:p w:rsidR="00662CB0" w:rsidRPr="00662CB0" w:rsidRDefault="00662CB0" w:rsidP="00662CB0">
      <w:pPr>
        <w:pBdr>
          <w:top w:val="nil"/>
          <w:left w:val="nil"/>
          <w:bottom w:val="nil"/>
          <w:right w:val="nil"/>
          <w:between w:val="nil"/>
        </w:pBdr>
        <w:rPr>
          <w:rFonts w:ascii="Arial Nova" w:eastAsia="Arial Nova" w:hAnsi="Arial Nova" w:cs="Arial Nova"/>
          <w:color w:val="000000"/>
          <w:sz w:val="20"/>
          <w:szCs w:val="20"/>
          <w:lang w:val="es-ES"/>
        </w:rPr>
      </w:pPr>
      <w:r>
        <w:rPr>
          <w:vertAlign w:val="superscript"/>
        </w:rPr>
        <w:footnoteRef/>
      </w:r>
      <w:r w:rsidRPr="00662CB0">
        <w:rPr>
          <w:rFonts w:ascii="Arial Nova" w:eastAsia="Arial Nova" w:hAnsi="Arial Nova" w:cs="Arial Nova"/>
          <w:color w:val="000000"/>
          <w:sz w:val="20"/>
          <w:szCs w:val="20"/>
          <w:lang w:val="es-ES"/>
        </w:rPr>
        <w:t xml:space="preserve"> </w:t>
      </w:r>
      <w:r>
        <w:rPr>
          <w:rFonts w:ascii="Arial Nova" w:eastAsia="Arial Nova" w:hAnsi="Arial Nova" w:cs="Arial Nova"/>
          <w:color w:val="000000"/>
          <w:sz w:val="20"/>
          <w:szCs w:val="20"/>
          <w:lang w:val="es-ES"/>
        </w:rPr>
        <w:t>Véase m</w:t>
      </w:r>
      <w:r w:rsidRPr="00662CB0">
        <w:rPr>
          <w:rFonts w:ascii="Arial Nova" w:eastAsia="Arial Nova" w:hAnsi="Arial Nova" w:cs="Arial Nova"/>
          <w:color w:val="000000"/>
          <w:sz w:val="20"/>
          <w:szCs w:val="20"/>
          <w:lang w:val="es-ES"/>
        </w:rPr>
        <w:t xml:space="preserve">acroencuesta de violencia contra la mujer (2019) de la Delegación del Gobierno contra la violencia de Género, Pág. 167. URL: </w:t>
      </w:r>
      <w:r w:rsidR="00000000">
        <w:fldChar w:fldCharType="begin"/>
      </w:r>
      <w:r w:rsidR="00000000" w:rsidRPr="00EF40C2">
        <w:rPr>
          <w:lang w:val="es-ES"/>
        </w:rPr>
        <w:instrText>HYPERLINK "https://observatorioviolencia.org/wpcontent/uploads/Macroencuesta2019_Estudio_completo.pdf" \h</w:instrText>
      </w:r>
      <w:r w:rsidR="00000000">
        <w:fldChar w:fldCharType="separate"/>
      </w:r>
      <w:r w:rsidRPr="00662CB0">
        <w:rPr>
          <w:rFonts w:ascii="Arial Nova" w:eastAsia="Arial Nova" w:hAnsi="Arial Nova" w:cs="Arial Nova"/>
          <w:color w:val="000080"/>
          <w:sz w:val="20"/>
          <w:szCs w:val="20"/>
          <w:u w:val="single"/>
          <w:lang w:val="es-ES"/>
        </w:rPr>
        <w:t>https://observatorioviolencia.org/wpcontent/uploads/Macroencuesta2019_Estudio_completo.pdf</w:t>
      </w:r>
      <w:r w:rsidR="00000000">
        <w:rPr>
          <w:rFonts w:ascii="Arial Nova" w:eastAsia="Arial Nova" w:hAnsi="Arial Nova" w:cs="Arial Nova"/>
          <w:color w:val="000080"/>
          <w:sz w:val="20"/>
          <w:szCs w:val="20"/>
          <w:u w:val="single"/>
          <w:lang w:val="es-ES"/>
        </w:rPr>
        <w:fldChar w:fldCharType="end"/>
      </w:r>
    </w:p>
    <w:p w:rsidR="00662CB0" w:rsidRPr="00662CB0" w:rsidRDefault="00662CB0" w:rsidP="00662CB0">
      <w:pPr>
        <w:pBdr>
          <w:top w:val="nil"/>
          <w:left w:val="nil"/>
          <w:bottom w:val="nil"/>
          <w:right w:val="nil"/>
          <w:between w:val="nil"/>
        </w:pBdr>
        <w:rPr>
          <w:color w:val="000000"/>
          <w:sz w:val="20"/>
          <w:szCs w:val="20"/>
          <w:lang w:val="es-ES"/>
        </w:rPr>
      </w:pPr>
    </w:p>
  </w:footnote>
  <w:footnote w:id="3">
    <w:p w:rsidR="00C74591" w:rsidRPr="00C74591" w:rsidRDefault="00C74591" w:rsidP="00C74591">
      <w:pPr>
        <w:pStyle w:val="Textonotapie"/>
        <w:rPr>
          <w:rFonts w:ascii="Arial Nova" w:hAnsi="Arial Nova"/>
          <w:lang w:val="es-ES"/>
        </w:rPr>
      </w:pPr>
      <w:r w:rsidRPr="00BF093C">
        <w:rPr>
          <w:rStyle w:val="Refdenotaalpie"/>
          <w:rFonts w:ascii="Arial Nova" w:hAnsi="Arial Nova"/>
        </w:rPr>
        <w:footnoteRef/>
      </w:r>
      <w:r w:rsidRPr="00C74591">
        <w:rPr>
          <w:rFonts w:ascii="Arial Nova" w:hAnsi="Arial Nova"/>
          <w:lang w:val="es-ES"/>
        </w:rPr>
        <w:t xml:space="preserve"> </w:t>
      </w:r>
      <w:r>
        <w:rPr>
          <w:rFonts w:ascii="Arial Nova" w:hAnsi="Arial Nova"/>
          <w:lang w:val="es-ES"/>
        </w:rPr>
        <w:t>Entre otros, a</w:t>
      </w:r>
      <w:r w:rsidRPr="00BF093C">
        <w:rPr>
          <w:rFonts w:ascii="Arial Nova" w:hAnsi="Arial Nova"/>
          <w:lang w:val="es-ES"/>
        </w:rPr>
        <w:t>rtículo 36. 11</w:t>
      </w:r>
      <w:r w:rsidRPr="00C74591">
        <w:rPr>
          <w:rFonts w:ascii="Arial Nova" w:hAnsi="Arial Nova"/>
          <w:lang w:val="es-ES"/>
        </w:rPr>
        <w:t xml:space="preserve"> de la </w:t>
      </w:r>
      <w:r w:rsidRPr="00BF093C">
        <w:rPr>
          <w:rFonts w:ascii="Arial Nova" w:hAnsi="Arial Nova"/>
          <w:lang w:val="es-ES"/>
        </w:rPr>
        <w:t>Ley Orgánica 4/2015, de 30 de marzo, de Protección de la Seguridad Ciudadana</w:t>
      </w:r>
      <w:r>
        <w:rPr>
          <w:rFonts w:ascii="Arial Nova" w:hAnsi="Arial Nova"/>
          <w:lang w:val="es-ES"/>
        </w:rPr>
        <w:t xml:space="preserve">; artículo 39 de la Ordenanza de medidas para fomentar y garantizar la convivencia ciudadana en el espacio público de Barcelona; o, Ordenanzas similares de municipios catalanes como Badalona, Castelldefels, Girona, Lleida, o españoles, como Valencia, Málaga o Granada.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5695" w:rsidRDefault="00505695">
    <w:pPr>
      <w:pBdr>
        <w:top w:val="nil"/>
        <w:left w:val="nil"/>
        <w:bottom w:val="nil"/>
        <w:right w:val="nil"/>
        <w:between w:val="nil"/>
      </w:pBdr>
      <w:tabs>
        <w:tab w:val="center" w:pos="4513"/>
        <w:tab w:val="right" w:pos="9026"/>
      </w:tabs>
      <w:jc w:val="right"/>
      <w:rPr>
        <w:i/>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35F56"/>
    <w:multiLevelType w:val="multilevel"/>
    <w:tmpl w:val="B1326A8E"/>
    <w:lvl w:ilvl="0">
      <w:start w:val="1"/>
      <w:numFmt w:val="lowerLetter"/>
      <w:lvlText w:val="%1)"/>
      <w:lvlJc w:val="left"/>
      <w:pPr>
        <w:ind w:left="425" w:hanging="360"/>
      </w:pPr>
      <w:rPr>
        <w:rFonts w:ascii="Arial Nova" w:eastAsia="Calibri" w:hAnsi="Arial Nova" w:cs="Calibri"/>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C3062C"/>
    <w:multiLevelType w:val="hybridMultilevel"/>
    <w:tmpl w:val="432ECF66"/>
    <w:lvl w:ilvl="0" w:tplc="30CA16EE">
      <w:start w:val="1"/>
      <w:numFmt w:val="lowerLetter"/>
      <w:lvlText w:val="%1)"/>
      <w:lvlJc w:val="left"/>
      <w:pPr>
        <w:ind w:left="644" w:hanging="360"/>
      </w:pPr>
      <w:rPr>
        <w:rFonts w:ascii="Arial Nova" w:eastAsia="Arial Nova" w:hAnsi="Arial Nova" w:cs="Arial Nova"/>
      </w:rPr>
    </w:lvl>
    <w:lvl w:ilvl="1" w:tplc="040A0003">
      <w:start w:val="1"/>
      <w:numFmt w:val="bullet"/>
      <w:lvlText w:val="o"/>
      <w:lvlJc w:val="left"/>
      <w:pPr>
        <w:ind w:left="1364" w:hanging="360"/>
      </w:pPr>
      <w:rPr>
        <w:rFonts w:ascii="Courier New" w:hAnsi="Courier New" w:cs="Courier New" w:hint="default"/>
      </w:rPr>
    </w:lvl>
    <w:lvl w:ilvl="2" w:tplc="040A0005">
      <w:start w:val="1"/>
      <w:numFmt w:val="bullet"/>
      <w:lvlText w:val=""/>
      <w:lvlJc w:val="left"/>
      <w:pPr>
        <w:ind w:left="2084" w:hanging="360"/>
      </w:pPr>
      <w:rPr>
        <w:rFonts w:ascii="Wingdings" w:hAnsi="Wingdings" w:hint="default"/>
      </w:rPr>
    </w:lvl>
    <w:lvl w:ilvl="3" w:tplc="040A0001">
      <w:start w:val="1"/>
      <w:numFmt w:val="bullet"/>
      <w:lvlText w:val=""/>
      <w:lvlJc w:val="left"/>
      <w:pPr>
        <w:ind w:left="2804" w:hanging="360"/>
      </w:pPr>
      <w:rPr>
        <w:rFonts w:ascii="Symbol" w:hAnsi="Symbol" w:hint="default"/>
      </w:rPr>
    </w:lvl>
    <w:lvl w:ilvl="4" w:tplc="040A0003">
      <w:start w:val="1"/>
      <w:numFmt w:val="bullet"/>
      <w:lvlText w:val="o"/>
      <w:lvlJc w:val="left"/>
      <w:pPr>
        <w:ind w:left="3524" w:hanging="360"/>
      </w:pPr>
      <w:rPr>
        <w:rFonts w:ascii="Courier New" w:hAnsi="Courier New" w:cs="Courier New" w:hint="default"/>
      </w:rPr>
    </w:lvl>
    <w:lvl w:ilvl="5" w:tplc="040A0005">
      <w:start w:val="1"/>
      <w:numFmt w:val="bullet"/>
      <w:lvlText w:val=""/>
      <w:lvlJc w:val="left"/>
      <w:pPr>
        <w:ind w:left="4244" w:hanging="360"/>
      </w:pPr>
      <w:rPr>
        <w:rFonts w:ascii="Wingdings" w:hAnsi="Wingdings" w:hint="default"/>
      </w:rPr>
    </w:lvl>
    <w:lvl w:ilvl="6" w:tplc="040A0001">
      <w:start w:val="1"/>
      <w:numFmt w:val="bullet"/>
      <w:lvlText w:val=""/>
      <w:lvlJc w:val="left"/>
      <w:pPr>
        <w:ind w:left="4964" w:hanging="360"/>
      </w:pPr>
      <w:rPr>
        <w:rFonts w:ascii="Symbol" w:hAnsi="Symbol" w:hint="default"/>
      </w:rPr>
    </w:lvl>
    <w:lvl w:ilvl="7" w:tplc="040A0003">
      <w:start w:val="1"/>
      <w:numFmt w:val="bullet"/>
      <w:lvlText w:val="o"/>
      <w:lvlJc w:val="left"/>
      <w:pPr>
        <w:ind w:left="5684" w:hanging="360"/>
      </w:pPr>
      <w:rPr>
        <w:rFonts w:ascii="Courier New" w:hAnsi="Courier New" w:cs="Courier New" w:hint="default"/>
      </w:rPr>
    </w:lvl>
    <w:lvl w:ilvl="8" w:tplc="040A0005">
      <w:start w:val="1"/>
      <w:numFmt w:val="bullet"/>
      <w:lvlText w:val=""/>
      <w:lvlJc w:val="left"/>
      <w:pPr>
        <w:ind w:left="6404" w:hanging="360"/>
      </w:pPr>
      <w:rPr>
        <w:rFonts w:ascii="Wingdings" w:hAnsi="Wingdings" w:hint="default"/>
      </w:rPr>
    </w:lvl>
  </w:abstractNum>
  <w:abstractNum w:abstractNumId="2" w15:restartNumberingAfterBreak="0">
    <w:nsid w:val="1C564562"/>
    <w:multiLevelType w:val="multilevel"/>
    <w:tmpl w:val="F6ACD0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4B7050A"/>
    <w:multiLevelType w:val="hybridMultilevel"/>
    <w:tmpl w:val="0422CE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138833277">
    <w:abstractNumId w:val="0"/>
  </w:num>
  <w:num w:numId="2" w16cid:durableId="1114835176">
    <w:abstractNumId w:val="2"/>
  </w:num>
  <w:num w:numId="3" w16cid:durableId="581793733">
    <w:abstractNumId w:val="3"/>
  </w:num>
  <w:num w:numId="4" w16cid:durableId="2076465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695"/>
    <w:rsid w:val="00007A40"/>
    <w:rsid w:val="0003084D"/>
    <w:rsid w:val="000374B3"/>
    <w:rsid w:val="0008434D"/>
    <w:rsid w:val="000A48D7"/>
    <w:rsid w:val="00112CE8"/>
    <w:rsid w:val="00120CBD"/>
    <w:rsid w:val="0013070D"/>
    <w:rsid w:val="001753BE"/>
    <w:rsid w:val="001805C4"/>
    <w:rsid w:val="001A3577"/>
    <w:rsid w:val="00225F1D"/>
    <w:rsid w:val="0024544C"/>
    <w:rsid w:val="002C4BD0"/>
    <w:rsid w:val="002E38FC"/>
    <w:rsid w:val="002E7D0D"/>
    <w:rsid w:val="002F02F7"/>
    <w:rsid w:val="00310B80"/>
    <w:rsid w:val="00341B93"/>
    <w:rsid w:val="00351FE8"/>
    <w:rsid w:val="00390355"/>
    <w:rsid w:val="0039670B"/>
    <w:rsid w:val="003A69AB"/>
    <w:rsid w:val="003B7D65"/>
    <w:rsid w:val="003E455C"/>
    <w:rsid w:val="00461E7F"/>
    <w:rsid w:val="00505695"/>
    <w:rsid w:val="00513798"/>
    <w:rsid w:val="005B72FD"/>
    <w:rsid w:val="005C693F"/>
    <w:rsid w:val="005F55BA"/>
    <w:rsid w:val="00622ACF"/>
    <w:rsid w:val="00636AAA"/>
    <w:rsid w:val="00662CB0"/>
    <w:rsid w:val="00663881"/>
    <w:rsid w:val="006A12AC"/>
    <w:rsid w:val="006D50D3"/>
    <w:rsid w:val="006F4CCD"/>
    <w:rsid w:val="007311EE"/>
    <w:rsid w:val="0077435C"/>
    <w:rsid w:val="007816E9"/>
    <w:rsid w:val="007C00E3"/>
    <w:rsid w:val="007D72A1"/>
    <w:rsid w:val="00823E89"/>
    <w:rsid w:val="00844DA5"/>
    <w:rsid w:val="00857DC3"/>
    <w:rsid w:val="008827B3"/>
    <w:rsid w:val="008D2AD9"/>
    <w:rsid w:val="008E54AB"/>
    <w:rsid w:val="008E7B54"/>
    <w:rsid w:val="00913455"/>
    <w:rsid w:val="00943CB8"/>
    <w:rsid w:val="009D0202"/>
    <w:rsid w:val="00A67B4E"/>
    <w:rsid w:val="00A71D2C"/>
    <w:rsid w:val="00A91289"/>
    <w:rsid w:val="00AB1F63"/>
    <w:rsid w:val="00AD284E"/>
    <w:rsid w:val="00B34A33"/>
    <w:rsid w:val="00B411AB"/>
    <w:rsid w:val="00B522A7"/>
    <w:rsid w:val="00B82454"/>
    <w:rsid w:val="00BA7CA3"/>
    <w:rsid w:val="00BC6AB9"/>
    <w:rsid w:val="00BE3ADB"/>
    <w:rsid w:val="00BF40F1"/>
    <w:rsid w:val="00C10E9E"/>
    <w:rsid w:val="00C74591"/>
    <w:rsid w:val="00C77D8A"/>
    <w:rsid w:val="00CA054F"/>
    <w:rsid w:val="00CA19D8"/>
    <w:rsid w:val="00CF1D0B"/>
    <w:rsid w:val="00D26321"/>
    <w:rsid w:val="00D5016C"/>
    <w:rsid w:val="00DC5C90"/>
    <w:rsid w:val="00DC7C2F"/>
    <w:rsid w:val="00E51C7D"/>
    <w:rsid w:val="00EC7267"/>
    <w:rsid w:val="00ED6AAE"/>
    <w:rsid w:val="00EF40C2"/>
    <w:rsid w:val="00F429EE"/>
    <w:rsid w:val="00F63FF5"/>
    <w:rsid w:val="00F72031"/>
    <w:rsid w:val="00F90CD3"/>
    <w:rsid w:val="00FE48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26137"/>
  <w15:docId w15:val="{28F0AFEA-F31A-43F7-A4E3-E7CC7118A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8DF"/>
  </w:style>
  <w:style w:type="paragraph" w:styleId="Ttulo1">
    <w:name w:val="heading 1"/>
    <w:basedOn w:val="Normal"/>
    <w:next w:val="Normal"/>
    <w:uiPriority w:val="9"/>
    <w:qFormat/>
    <w:pPr>
      <w:spacing w:before="100" w:after="100"/>
      <w:outlineLvl w:val="0"/>
    </w:pPr>
    <w:rPr>
      <w:b/>
      <w:sz w:val="48"/>
      <w:szCs w:val="48"/>
    </w:rPr>
  </w:style>
  <w:style w:type="paragraph" w:styleId="Ttulo2">
    <w:name w:val="heading 2"/>
    <w:basedOn w:val="Normal"/>
    <w:next w:val="Normal"/>
    <w:uiPriority w:val="9"/>
    <w:semiHidden/>
    <w:unhideWhenUsed/>
    <w:qFormat/>
    <w:pPr>
      <w:keepNext/>
      <w:keepLines/>
      <w:widowControl w:val="0"/>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widowControl w:val="0"/>
      <w:spacing w:before="480" w:after="120"/>
    </w:pPr>
    <w:rPr>
      <w:b/>
      <w:sz w:val="72"/>
      <w:szCs w:val="72"/>
    </w:rPr>
  </w:style>
  <w:style w:type="paragraph" w:styleId="Subttulo">
    <w:name w:val="Subtitle"/>
    <w:basedOn w:val="Normal"/>
    <w:next w:val="Normal"/>
    <w:uiPriority w:val="11"/>
    <w:qFormat/>
    <w:pPr>
      <w:keepNext/>
      <w:keepLines/>
      <w:widowControl w:val="0"/>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D70CAA"/>
    <w:pPr>
      <w:widowControl w:val="0"/>
      <w:tabs>
        <w:tab w:val="center" w:pos="4513"/>
        <w:tab w:val="right" w:pos="9026"/>
      </w:tabs>
    </w:pPr>
  </w:style>
  <w:style w:type="character" w:customStyle="1" w:styleId="EncabezadoCar">
    <w:name w:val="Encabezado Car"/>
    <w:basedOn w:val="Fuentedeprrafopredeter"/>
    <w:link w:val="Encabezado"/>
    <w:uiPriority w:val="99"/>
    <w:rsid w:val="00D70CAA"/>
  </w:style>
  <w:style w:type="paragraph" w:styleId="Piedepgina">
    <w:name w:val="footer"/>
    <w:basedOn w:val="Normal"/>
    <w:link w:val="PiedepginaCar"/>
    <w:uiPriority w:val="99"/>
    <w:unhideWhenUsed/>
    <w:rsid w:val="00D70CAA"/>
    <w:pPr>
      <w:widowControl w:val="0"/>
      <w:tabs>
        <w:tab w:val="center" w:pos="4513"/>
        <w:tab w:val="right" w:pos="9026"/>
      </w:tabs>
    </w:pPr>
  </w:style>
  <w:style w:type="character" w:customStyle="1" w:styleId="PiedepginaCar">
    <w:name w:val="Pie de página Car"/>
    <w:basedOn w:val="Fuentedeprrafopredeter"/>
    <w:link w:val="Piedepgina"/>
    <w:uiPriority w:val="99"/>
    <w:rsid w:val="00D70CAA"/>
  </w:style>
  <w:style w:type="paragraph" w:styleId="Textonotapie">
    <w:name w:val="footnote text"/>
    <w:basedOn w:val="Normal"/>
    <w:link w:val="TextonotapieCar"/>
    <w:uiPriority w:val="99"/>
    <w:unhideWhenUsed/>
    <w:rsid w:val="00D30D22"/>
    <w:pPr>
      <w:widowControl w:val="0"/>
    </w:pPr>
    <w:rPr>
      <w:sz w:val="20"/>
      <w:szCs w:val="20"/>
    </w:rPr>
  </w:style>
  <w:style w:type="character" w:customStyle="1" w:styleId="TextonotapieCar">
    <w:name w:val="Texto nota pie Car"/>
    <w:basedOn w:val="Fuentedeprrafopredeter"/>
    <w:link w:val="Textonotapie"/>
    <w:uiPriority w:val="99"/>
    <w:rsid w:val="00D30D22"/>
    <w:rPr>
      <w:sz w:val="20"/>
      <w:szCs w:val="20"/>
    </w:rPr>
  </w:style>
  <w:style w:type="paragraph" w:styleId="Textonotaalfinal">
    <w:name w:val="endnote text"/>
    <w:basedOn w:val="Normal"/>
    <w:link w:val="TextonotaalfinalCar"/>
    <w:uiPriority w:val="99"/>
    <w:unhideWhenUsed/>
    <w:rsid w:val="00D30D22"/>
    <w:pPr>
      <w:widowControl w:val="0"/>
    </w:pPr>
    <w:rPr>
      <w:sz w:val="20"/>
      <w:szCs w:val="20"/>
    </w:rPr>
  </w:style>
  <w:style w:type="character" w:customStyle="1" w:styleId="TextonotaalfinalCar">
    <w:name w:val="Texto nota al final Car"/>
    <w:basedOn w:val="Fuentedeprrafopredeter"/>
    <w:link w:val="Textonotaalfinal"/>
    <w:uiPriority w:val="99"/>
    <w:rsid w:val="00D30D22"/>
    <w:rPr>
      <w:sz w:val="20"/>
      <w:szCs w:val="20"/>
    </w:rPr>
  </w:style>
  <w:style w:type="character" w:styleId="Refdenotaalpie">
    <w:name w:val="footnote reference"/>
    <w:basedOn w:val="Fuentedeprrafopredeter"/>
    <w:uiPriority w:val="99"/>
    <w:semiHidden/>
    <w:unhideWhenUsed/>
    <w:rsid w:val="00D30D22"/>
    <w:rPr>
      <w:vertAlign w:val="superscript"/>
    </w:rPr>
  </w:style>
  <w:style w:type="character" w:styleId="Refdenotaalfinal">
    <w:name w:val="endnote reference"/>
    <w:basedOn w:val="Fuentedeprrafopredeter"/>
    <w:uiPriority w:val="99"/>
    <w:unhideWhenUsed/>
    <w:rsid w:val="00D30D22"/>
    <w:rPr>
      <w:vertAlign w:val="superscript"/>
    </w:rPr>
  </w:style>
  <w:style w:type="character" w:styleId="Hipervnculo">
    <w:name w:val="Hyperlink"/>
    <w:basedOn w:val="Fuentedeprrafopredeter"/>
    <w:uiPriority w:val="99"/>
    <w:unhideWhenUsed/>
    <w:rsid w:val="00D845E3"/>
    <w:rPr>
      <w:color w:val="0000FF"/>
      <w:u w:val="single"/>
    </w:rPr>
  </w:style>
  <w:style w:type="character" w:styleId="Mencinsinresolver">
    <w:name w:val="Unresolved Mention"/>
    <w:basedOn w:val="Fuentedeprrafopredeter"/>
    <w:uiPriority w:val="99"/>
    <w:semiHidden/>
    <w:unhideWhenUsed/>
    <w:rsid w:val="00D845E3"/>
    <w:rPr>
      <w:color w:val="605E5C"/>
      <w:shd w:val="clear" w:color="auto" w:fill="E1DFDD"/>
    </w:rPr>
  </w:style>
  <w:style w:type="paragraph" w:styleId="Textodeglobo">
    <w:name w:val="Balloon Text"/>
    <w:basedOn w:val="Normal"/>
    <w:link w:val="TextodegloboCar"/>
    <w:uiPriority w:val="99"/>
    <w:semiHidden/>
    <w:unhideWhenUsed/>
    <w:rsid w:val="0055029C"/>
    <w:rPr>
      <w:sz w:val="18"/>
      <w:szCs w:val="18"/>
    </w:rPr>
  </w:style>
  <w:style w:type="character" w:customStyle="1" w:styleId="TextodegloboCar">
    <w:name w:val="Texto de globo Car"/>
    <w:basedOn w:val="Fuentedeprrafopredeter"/>
    <w:link w:val="Textodeglobo"/>
    <w:uiPriority w:val="99"/>
    <w:semiHidden/>
    <w:rsid w:val="0055029C"/>
    <w:rPr>
      <w:sz w:val="18"/>
      <w:szCs w:val="18"/>
    </w:rPr>
  </w:style>
  <w:style w:type="paragraph" w:styleId="Prrafodelista">
    <w:name w:val="List Paragraph"/>
    <w:basedOn w:val="Normal"/>
    <w:uiPriority w:val="34"/>
    <w:qFormat/>
    <w:rsid w:val="00470440"/>
    <w:pPr>
      <w:ind w:left="720"/>
      <w:contextualSpacing/>
    </w:pPr>
  </w:style>
  <w:style w:type="character" w:customStyle="1" w:styleId="normaltextrun">
    <w:name w:val="normaltextrun"/>
    <w:basedOn w:val="Fuentedeprrafopredeter"/>
    <w:rsid w:val="00C94491"/>
  </w:style>
  <w:style w:type="character" w:customStyle="1" w:styleId="superscript">
    <w:name w:val="superscript"/>
    <w:basedOn w:val="Fuentedeprrafopredeter"/>
    <w:rsid w:val="00C94491"/>
  </w:style>
  <w:style w:type="character" w:styleId="Hipervnculovisitado">
    <w:name w:val="FollowedHyperlink"/>
    <w:basedOn w:val="Fuentedeprrafopredeter"/>
    <w:uiPriority w:val="99"/>
    <w:semiHidden/>
    <w:unhideWhenUsed/>
    <w:rsid w:val="00D13ED4"/>
    <w:rPr>
      <w:color w:val="800080" w:themeColor="followedHyperlink"/>
      <w:u w:val="single"/>
    </w:rPr>
  </w:style>
  <w:style w:type="character" w:styleId="Refdecomentario">
    <w:name w:val="annotation reference"/>
    <w:basedOn w:val="Fuentedeprrafopredeter"/>
    <w:uiPriority w:val="99"/>
    <w:semiHidden/>
    <w:unhideWhenUsed/>
    <w:rsid w:val="00902F96"/>
    <w:rPr>
      <w:sz w:val="16"/>
      <w:szCs w:val="16"/>
    </w:rPr>
  </w:style>
  <w:style w:type="paragraph" w:styleId="Textocomentario">
    <w:name w:val="annotation text"/>
    <w:basedOn w:val="Normal"/>
    <w:link w:val="TextocomentarioCar"/>
    <w:uiPriority w:val="99"/>
    <w:semiHidden/>
    <w:unhideWhenUsed/>
    <w:rsid w:val="00902F96"/>
    <w:rPr>
      <w:sz w:val="20"/>
      <w:szCs w:val="20"/>
    </w:rPr>
  </w:style>
  <w:style w:type="character" w:customStyle="1" w:styleId="TextocomentarioCar">
    <w:name w:val="Texto comentario Car"/>
    <w:basedOn w:val="Fuentedeprrafopredeter"/>
    <w:link w:val="Textocomentario"/>
    <w:uiPriority w:val="99"/>
    <w:semiHidden/>
    <w:rsid w:val="00902F96"/>
    <w:rPr>
      <w:sz w:val="20"/>
      <w:szCs w:val="20"/>
    </w:rPr>
  </w:style>
  <w:style w:type="paragraph" w:styleId="Asuntodelcomentario">
    <w:name w:val="annotation subject"/>
    <w:basedOn w:val="Textocomentario"/>
    <w:next w:val="Textocomentario"/>
    <w:link w:val="AsuntodelcomentarioCar"/>
    <w:uiPriority w:val="99"/>
    <w:semiHidden/>
    <w:unhideWhenUsed/>
    <w:rsid w:val="00902F96"/>
    <w:rPr>
      <w:b/>
      <w:bCs/>
    </w:rPr>
  </w:style>
  <w:style w:type="character" w:customStyle="1" w:styleId="AsuntodelcomentarioCar">
    <w:name w:val="Asunto del comentario Car"/>
    <w:basedOn w:val="TextocomentarioCar"/>
    <w:link w:val="Asuntodelcomentario"/>
    <w:uiPriority w:val="99"/>
    <w:semiHidden/>
    <w:rsid w:val="00902F96"/>
    <w:rPr>
      <w:b/>
      <w:bCs/>
      <w:sz w:val="20"/>
      <w:szCs w:val="20"/>
    </w:rPr>
  </w:style>
  <w:style w:type="paragraph" w:styleId="NormalWeb">
    <w:name w:val="Normal (Web)"/>
    <w:basedOn w:val="Normal"/>
    <w:uiPriority w:val="99"/>
    <w:unhideWhenUsed/>
    <w:rsid w:val="00DA00AB"/>
    <w:pPr>
      <w:spacing w:before="100" w:beforeAutospacing="1" w:after="100" w:afterAutospacing="1"/>
    </w:pPr>
    <w:rPr>
      <w:rFonts w:ascii="Calibri" w:eastAsiaTheme="minorEastAsia" w:hAnsi="Calibri" w:cs="Calibri"/>
      <w:sz w:val="22"/>
      <w:szCs w:val="22"/>
    </w:rPr>
  </w:style>
  <w:style w:type="character" w:customStyle="1" w:styleId="findhit">
    <w:name w:val="findhit"/>
    <w:basedOn w:val="Fuentedeprrafopredeter"/>
    <w:rsid w:val="00F708DF"/>
  </w:style>
  <w:style w:type="paragraph" w:customStyle="1" w:styleId="SingleTxtG">
    <w:name w:val="_ Single Txt_G"/>
    <w:basedOn w:val="Normal"/>
    <w:link w:val="SingleTxtGChar"/>
    <w:rsid w:val="00384330"/>
    <w:pPr>
      <w:suppressAutoHyphens/>
      <w:spacing w:after="120" w:line="240" w:lineRule="atLeast"/>
      <w:ind w:left="1134" w:right="1134"/>
      <w:jc w:val="both"/>
    </w:pPr>
    <w:rPr>
      <w:sz w:val="20"/>
      <w:szCs w:val="20"/>
      <w:lang w:eastAsia="en-US"/>
    </w:rPr>
  </w:style>
  <w:style w:type="character" w:customStyle="1" w:styleId="SingleTxtGChar">
    <w:name w:val="_ Single Txt_G Char"/>
    <w:link w:val="SingleTxtG"/>
    <w:rsid w:val="00384330"/>
    <w:rPr>
      <w:sz w:val="20"/>
      <w:szCs w:val="20"/>
      <w:lang w:eastAsia="en-US"/>
    </w:rPr>
  </w:style>
  <w:style w:type="paragraph" w:styleId="Revisin">
    <w:name w:val="Revision"/>
    <w:hidden/>
    <w:uiPriority w:val="99"/>
    <w:semiHidden/>
    <w:rsid w:val="00F85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936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rogues.gencat.cat/web/.content/minisite/drogues/professionals/observatori/2022/SERVEIS-DE-REDUCCIO-DE-DANYS-2021_OK.pdf" TargetMode="External"/><Relationship Id="rId18" Type="http://schemas.openxmlformats.org/officeDocument/2006/relationships/hyperlink" Target="https://www.poderjudicial.es/cgpj/es/Temas/Estadistica-Judicial/Estadistica-por-temas/Datos-penales--civiles-y-laborales/Cumplimiento-de-penas/Estadistica-de-la-Poblacion-Reclusa/"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unad.org/actualidad/2840/unad-alerta-de-que-la-estigmatizacion-de-personas-con-adicciones-supone-una-barrera-para-que-puedan-acceder-a-tratamientos/" TargetMode="External"/><Relationship Id="rId17" Type="http://schemas.openxmlformats.org/officeDocument/2006/relationships/hyperlink" Target="https://wp.unil.ch/space/files/2022/12/SPACE-I_2021_FinalReport.pdf" TargetMode="Externa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https://interleave.org/wp-content/uploads/2022/09/INTERLEAVE-RESEARCH-REPORT_FINAL_30_08_2022.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ura.roig@metzineres.org"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s://salutweb.gencat.cat/web/.content/_ambits-actuacio/Linies-dactuacio/Serveis-sanitaris/Altres-models-anteriors-datencio-sanitaria/Abordatge-de-la-violencia-masclista/abordatge.pdf" TargetMode="External"/><Relationship Id="rId23" Type="http://schemas.openxmlformats.org/officeDocument/2006/relationships/customXml" Target="../customXml/item3.xml"/><Relationship Id="rId10" Type="http://schemas.openxmlformats.org/officeDocument/2006/relationships/hyperlink" Target="mailto:marta.valldaura@metzineres.org"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faciam.org/2022/10/27/las-caras-del-sinhogarismo-cada-vez-hay-mas-jovenes-y-mas-mujeres-y-crecen-los-problemas-de-salud-menta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pregnancyjusticeus.org/category/pregnancy-and-drug-and-alcohol-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bol45XlHz4n0nx0PDLvoOZik2g==">CgMxLjA4AHIhMW9ZcGxLejJLdWhpVjRWZFRVWF9nV251V0RiYjNMRHgw</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8" ma:contentTypeDescription="Create a new document." ma:contentTypeScope="" ma:versionID="4900c56d6cc844023b5a704a191eaaa0">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db267e4a8e7b5b4ae8d56018296bc408"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Contributorsname" minOccurs="0"/>
                <xsd:element ref="ns2:Catetory" minOccurs="0"/>
                <xsd:element ref="ns2:Doctype"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Contributorsname" ma:index="21" nillable="true" ma:displayName="Contributor" ma:description="Who submitted this document?" ma:format="Dropdown" ma:internalName="Contributorsname">
      <xsd:simpleType>
        <xsd:restriction base="dms:Text">
          <xsd:maxLength value="255"/>
        </xsd:restriction>
      </xsd:simpleType>
    </xsd:element>
    <xsd:element name="Catetory" ma:index="22" nillable="true" ma:displayName="Category" ma:description="The contributor belongs to Member states, NHRIs, UN entities, CSOs, Academia, Individuals, or others?" ma:format="Dropdown" ma:internalName="Catetory">
      <xsd:simpleType>
        <xsd:union memberTypes="dms:Text">
          <xsd:simpleType>
            <xsd:restriction base="dms:Choice">
              <xsd:enumeration value="Member States"/>
              <xsd:enumeration value="NHRIs"/>
              <xsd:enumeration value="UN entities"/>
              <xsd:enumeration value="CSOs"/>
              <xsd:enumeration value="Academia"/>
              <xsd:enumeration value="Individuals"/>
            </xsd:restriction>
          </xsd:simpleType>
        </xsd:union>
      </xsd:simpleType>
    </xsd:element>
    <xsd:element name="Doctype" ma:index="23" nillable="true" ma:displayName="Doc type" ma:default="input" ma:description="Specify the document type (optional)" ma:format="Dropdown" ma:internalName="Doctype">
      <xsd:simpleType>
        <xsd:union memberTypes="dms:Text">
          <xsd:simpleType>
            <xsd:restriction base="dms:Choice">
              <xsd:enumeration value="input"/>
              <xsd:enumeration value="input I"/>
              <xsd:enumeration value="input II"/>
              <xsd:enumeration value="input III"/>
              <xsd:enumeration value="cover letter"/>
              <xsd:enumeration value="note verbale"/>
              <xsd:enumeration value="annex"/>
              <xsd:enumeration value="annex I"/>
              <xsd:enumeration value="annex II"/>
              <xsd:enumeration value="annex III"/>
              <xsd:enumeration value="French translation"/>
              <xsd:enumeration value="Spanish translation"/>
              <xsd:enumeration value="Arabic translation"/>
              <xsd:enumeration value="Russian translation"/>
              <xsd:enumeration value="Chinese translation"/>
            </xsd:restriction>
          </xsd:simpleType>
        </xsd:union>
      </xsd:simpleType>
    </xsd:element>
    <xsd:element name="Language" ma:index="24" nillable="true" ma:displayName="Language" ma:default="English" ma:description="Document language" ma:format="Dropdown" ma:internalName="Language">
      <xsd:simpleType>
        <xsd:union memberTypes="dms:Text">
          <xsd:simpleType>
            <xsd:restriction base="dms:Choice">
              <xsd:enumeration value="English"/>
              <xsd:enumeration value="French"/>
              <xsd:enumeration value="Spanish"/>
              <xsd:enumeration value="Arabic"/>
              <xsd:enumeration value="Russian"/>
              <xsd:enumeration value="Chinese"/>
              <xsd:enumeration value="Choice 7"/>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c8192cb1-67bb-4ce5-82db-0b25b399d117">
      <Terms xmlns="http://schemas.microsoft.com/office/infopath/2007/PartnerControls"/>
    </lcf76f155ced4ddcb4097134ff3c332f>
    <TaxCatchAll xmlns="985ec44e-1bab-4c0b-9df0-6ba128686fc9" xsi:nil="true"/>
    <Contributorsname xmlns="c8192cb1-67bb-4ce5-82db-0b25b399d117" xsi:nil="true"/>
    <Doctype xmlns="c8192cb1-67bb-4ce5-82db-0b25b399d117">input</Doctype>
    <Catetory xmlns="c8192cb1-67bb-4ce5-82db-0b25b399d117" xsi:nil="true"/>
    <Language xmlns="c8192cb1-67bb-4ce5-82db-0b25b399d117">English</Language>
  </documentManagement>
</p:properties>
</file>

<file path=customXml/itemProps1.xml><?xml version="1.0" encoding="utf-8"?>
<ds:datastoreItem xmlns:ds="http://schemas.openxmlformats.org/officeDocument/2006/customXml" ds:itemID="{91EF30AA-C913-4701-916F-367F5294D36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1EF7CE12-17EB-4354-9D6F-33D29732A2BF}"/>
</file>

<file path=customXml/itemProps4.xml><?xml version="1.0" encoding="utf-8"?>
<ds:datastoreItem xmlns:ds="http://schemas.openxmlformats.org/officeDocument/2006/customXml" ds:itemID="{E0E78D08-C248-4AB4-889A-8EB96EFF2DEE}"/>
</file>

<file path=customXml/itemProps5.xml><?xml version="1.0" encoding="utf-8"?>
<ds:datastoreItem xmlns:ds="http://schemas.openxmlformats.org/officeDocument/2006/customXml" ds:itemID="{FFB734DD-2BAF-4CB7-9115-29C39AC80230}"/>
</file>

<file path=docProps/app.xml><?xml version="1.0" encoding="utf-8"?>
<Properties xmlns="http://schemas.openxmlformats.org/officeDocument/2006/extended-properties" xmlns:vt="http://schemas.openxmlformats.org/officeDocument/2006/docPropsVTypes">
  <Template>Normal</Template>
  <TotalTime>224</TotalTime>
  <Pages>6</Pages>
  <Words>2005</Words>
  <Characters>11031</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dc:creator>
  <cp:lastModifiedBy>LLUIS VALLDAURA</cp:lastModifiedBy>
  <cp:revision>73</cp:revision>
  <dcterms:created xsi:type="dcterms:W3CDTF">2023-05-18T14:34:00Z</dcterms:created>
  <dcterms:modified xsi:type="dcterms:W3CDTF">2023-05-21T13:43:00Z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0x010100D3257166D5221D45AC4BE86DE2E261D0</vt:lpwstr>
  </property>
</Properties>
</file>