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Информация Российской Федерации в связи с обращением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Управления Верховного комиссара ООН по правам человека в связи с подготовкой доклада во исполнение резолюции 52/24 Совета ООН по правам человека «Вклад Совета по правам человека в отношении последствий наркополитики для прав человека»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Российская Федерация, изучив запрос Управления Верховного комиссара ООН по правам человека (УВКПЧ), хотела бы сообщить следующее.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Стратегическими целями Стратегии государственной антинаркотической политики Российской Федерации на период до 2030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являются сокращение незаконного оборота и доступности наркотиков для их незаконного потребления; снижение тяжести последствий незаконного потребления наркотиков </w:t>
        <w:br w:type="textWrapping"/>
        <w:t xml:space="preserve">и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Реализация этого документа содействует построению общества, свободного от наркотиков, для того, чтобы все граждане России могли сохранять здоровье </w:t>
        <w:br w:type="textWrapping"/>
        <w:t xml:space="preserve">и достоинство и жить в условиях мира, безопасности и процветания. Таким образом, в антинаркотическом контексте обеспечивается право на жизнь, свободу </w:t>
        <w:br w:type="textWrapping"/>
        <w:t xml:space="preserve">и безопасность, право на наивысший достижимый уровень физического </w:t>
        <w:br w:type="textWrapping"/>
        <w:t xml:space="preserve">и психического здоровья, отсутствие дискриминации.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4"/>
          <w:tab w:val="right" w:leader="none" w:pos="6300"/>
          <w:tab w:val="right" w:leader="none" w:pos="7333"/>
          <w:tab w:val="right" w:leader="none" w:pos="9292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Согласно проводимому ежегодно Г</w:t>
        <w:tab/>
        <w:t xml:space="preserve">осударственным антинаркотическим комитетом обзору хода реализации наркополитики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отмечаются следующие трудности с обеспечением прав человека при решении всех аспектов мировой проблемы наркотиков и борьбе с ней.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4"/>
          <w:tab w:val="right" w:leader="none" w:pos="6300"/>
          <w:tab w:val="right" w:leader="none" w:pos="7333"/>
          <w:tab w:val="right" w:leader="none" w:pos="9292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7"/>
        </w:tabs>
        <w:spacing w:after="119" w:before="0" w:line="328" w:lineRule="auto"/>
        <w:ind w:left="20" w:right="2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сфере профилактики наркомании и продвижения здорового образа жизни среди детей и молодежи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9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Росмолодежь, Минпросвещения и МВД России совместно с общественными объединениями, волонтерскими движениями, религиозными организациями </w:t>
        <w:br w:type="textWrapping"/>
        <w:t xml:space="preserve">и СМИ на регулярной основе проводят мероприятия, направленные на формирование в обществе осознанного негативного отношения к незаконному потреблению наркотиков и участию в их незаконном обороте. Эффективность этих усилий подрывается активно ведущейся в соцсетях и СМИ пропагандистской работой сторонников либеральных подходов к наркопотреблению вплоть до призывов вывести эти вредные вещества из-под всех запретов.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9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Опираясь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нарколиберальную риторику,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власти некоторых государств </w:t>
        <w:br w:type="textWrapping"/>
        <w:t xml:space="preserve">в различных регионах мира принимают решения о начале культивирования каннабиса, разрешении его выращивания для личного потребления, изъятии из национального уголовного законодательства санкций за обладание наркотическими веществами не для продажи и т.п. Такие меры вызывают серьезную озабоченность, так как они не только являются грубым нарушением трех антинаркотических конвенций ООН, но и создают угрозы для соблюдения прав человека, прежде всего фундаментального права на жизнь, права на наивысший достижимый уровень физического и психического здоровья и другие. Негативные последствия таких решений представлены во Всемирном докладе о наркотиках 2022 г. Управления ООН по наркотикам и преступности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и ежегодном докладе Международного комитета по контролю над наркотиками за 2022 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Помимо вреда таких инициатив для здоровья и безопасности населения легализовавших каннабис стран, в докладах отмечается, что вследствие вывода каннабиса из-под запрета и агрессивного маркетинга продуктов на его основе отмечается тенденция снижения восприятия связанных с наркопотреблением рисков, особенно среди детей и молодежи, по всему миру.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9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Легализация рекреационного потребления наркотиков противоречит статье 33 Конвенции о правах ребенка в части обязательств государств-участников принимать все необходимые меры, включая законодательные, административные и социальные, а также меры в области образования, чтобы защитить детей от незаконного употребления наркотических средств и психотропных веществ.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0" w:before="0" w:line="48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Эта пагубная тенденция подтверждается данными проведенных в России социологических опросов, согласно которым основной причиной распространения наркомании за последний год названа моральная деградация общества </w:t>
        <w:br w:type="textWrapping"/>
        <w:t xml:space="preserve">и вседозволенность (18,8%). В то же время факторами, удерживающими от злоупотребления наркотиками, названы осознанное отрицательное отношение </w:t>
        <w:br w:type="textWrapping"/>
        <w:t xml:space="preserve">к их потреблению (34,6%) и страх ранней смерти (12%). В итогах опросов в числе наиболее часто используемых указаны именно наркотики каннабисной группы, </w:t>
        <w:br w:type="textWrapping"/>
        <w:t xml:space="preserve">а также синтетические вещества.</w:t>
      </w:r>
    </w:p>
    <w:bookmarkStart w:colFirst="0" w:colLast="0" w:name="gjdgxs" w:id="0"/>
    <w:bookmarkEnd w:id="0"/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</w:tabs>
        <w:spacing w:after="116" w:before="0" w:line="320" w:lineRule="auto"/>
        <w:ind w:left="20" w:right="2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сфере пресечения незаконного оборота наркотиков и их доступности для населения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2"/>
        </w:tabs>
        <w:spacing w:after="0" w:before="0" w:line="475" w:lineRule="auto"/>
        <w:ind w:left="0" w:right="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1). Наркоситуация в России осложняется масштабным использованием транснациональными преступными группировками современных IT-технологий (сети «Интернет», включая мессенджер Telegram, социальные сети и сервисы ВКонтакте, Одноклассники, криптовалюты) для незаконного распространения наркотиков, вербовки наркокурьеров и закладчиков наркотиков, расчетов за наркотики и распространения пронаркотического контента. </w:t>
        <w:br w:type="textWrapping"/>
        <w:t xml:space="preserve">В 2022 г. правоохранительными органами зарегистрировано </w:t>
        <w:br w:type="textWrapping"/>
        <w:t xml:space="preserve">82 тыс. 661 наркопреступление, совершенное с использованием IT-технологий, из них 61 тыс. 294 деяния связаны со сбытом наркотиков.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5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Имеют место факты использования интернет-магазинов по продаже наркотиков для призывов к совершению деструктивных действий экстремистской и террористической направленности. Все это создает серьезные риски для обеспечения прав граждан на безопасность.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5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рамках противодействия новым тенденциям в России установлен запрет на распространение в СМИ, а также в информационно-телекоммуникационных сетях сведений о новых потенциально опасных веществах и наркосодержащих растениях (Федеральный закон от 1 мая 2019 г. № 89-ФЗ «О внесении изменений </w:t>
        <w:br w:type="textWrapping"/>
        <w:t xml:space="preserve">в статью 4 Закона Российской Федерации «О средствах массовой информации» </w:t>
        <w:br w:type="textWrapping"/>
        <w:t xml:space="preserve">и статью 7 Федерального закона «О рекламе»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1" w:before="0" w:line="479" w:lineRule="auto"/>
        <w:ind w:left="0" w:right="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ab/>
        <w:t xml:space="preserve">2). В последние годы наметилась тенденция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увеличения незаконного распространения на территории России метадона,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особенно в Северо- Западном и Центральном федеральных округах, граничащих со странами, где допускается опиоидная заместительная терапия в рамках программ сокращения вреда. Потребление метадона стало причиной каждого пятого отравления (21,6%) в стране в 2022 г. Отмечается тенденция сращивания метадонового и героинового трафиков внутри страны. Одним из факторов, способствующих отравлению данным наркотиком, является употребление его на фоне развивающейся полинаркомании.</w:t>
      </w:r>
    </w:p>
    <w:bookmarkStart w:colFirst="0" w:colLast="0" w:name="30j0zll" w:id="1"/>
    <w:bookmarkEnd w:id="1"/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</w:tabs>
        <w:spacing w:after="183" w:before="0" w:line="240" w:lineRule="auto"/>
        <w:ind w:left="20" w:right="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сфере лечения наркомании и ресоциализации наркозависимых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5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медицинских организациях государственной и муниципальной систем здравоохранения обеспечивается высокий уровень современной доказательной наркологической помощи, которую государство гарантированно оказывает всем больным наркоманией на бесплатной основе и при наличии их информированного добровольного согласия (в соответствии со статьей 54 Федерального закона от 8 января 1998 г. № 3-Ф3 «О наркотических средствах и психотропных веществах»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5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Ключевая роль отводится реализации механизма правового побуждения наркопотребителей к прохождению профилактических, лечебных и реабилитационных процедур. Осужденные, имеющие наркологические заболевания, направляются для прохождения лечения в одно из девяти специализированных лечебно-исправительных учреждений уголовно-исполнительной системы, восемь из них предназначены для лечения мужчин с синдромами зависимости от психоактивных веществ и алкоголизма и одно – для лечения женщин.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1" w:before="0" w:line="48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Важная роль отводится развитию системы социальной реабилитации больных наркоманией и ресоциализации бывших наркопотребителей. В 2022 г. Минздрав России и Минтруд России определены в качестве органов, уполномоченных осуществлять координацию в сфере медицинской и социальной реабилитации больных наркоманией.</w:t>
      </w:r>
    </w:p>
    <w:bookmarkStart w:colFirst="0" w:colLast="0" w:name="1fob9te" w:id="2"/>
    <w:bookmarkEnd w:id="2"/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9"/>
        </w:tabs>
        <w:spacing w:after="125" w:before="0" w:line="331" w:lineRule="auto"/>
        <w:ind w:left="20" w:right="2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сфере повышения доступности наркосодержащих лекарственных препаратов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2020 г. Правительством Российской Федерации утвержден «План мероприятий «дорожная карта» повышения качества и доступности паллиативной медицинской помощи до 2024 г.»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, который направлен на повышение качества жизни пациентов, нуждающихся в оказании паллиативной медицинской помощи </w:t>
        <w:br w:type="textWrapping"/>
        <w:t xml:space="preserve">и ее доступности.</w:t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sz w:val="27"/>
          <w:szCs w:val="27"/>
        </w:rPr>
      </w:pPr>
      <w:bookmarkStart w:colFirst="0" w:colLast="0" w:name="_3znysh7" w:id="4"/>
      <w:bookmarkEnd w:id="4"/>
      <w:r w:rsidDel="00000000" w:rsidR="00000000" w:rsidRPr="00000000">
        <w:rPr>
          <w:color w:val="000000"/>
          <w:sz w:val="27"/>
          <w:szCs w:val="27"/>
          <w:rtl w:val="0"/>
        </w:rPr>
        <w:t xml:space="preserve">Комплексный подход к решению данного вопроса помог сделать мощный рывок в преодолении проблемы недостаточной доступности обезболивания опиоидными анальгетиками. Устранены или минимизированы правовые </w:t>
        <w:br w:type="textWrapping"/>
        <w:t xml:space="preserve">и регуляторные барьеры, начиная с федерального до ведомственного уровня. Обеспечено дополнительное федеральное финансирование для предоставления пациентам обезболивающих на безвозмездной основе. В каждом регионе страны выстроена система администрирования всех этапов оказания паллиативной медицинской помощи. Усилия России на этом направлении отмечены </w:t>
        <w:br w:type="textWrapping"/>
        <w:t xml:space="preserve">в специальном приложении по тематике доступности наркотиков к ежегодному докладу </w:t>
      </w:r>
      <w:bookmarkStart w:colFirst="0" w:colLast="0" w:name="2et92p0" w:id="3"/>
      <w:bookmarkEnd w:id="3"/>
      <w:r w:rsidDel="00000000" w:rsidR="00000000" w:rsidRPr="00000000">
        <w:rPr>
          <w:sz w:val="27"/>
          <w:szCs w:val="27"/>
          <w:rtl w:val="0"/>
        </w:rPr>
        <w:t xml:space="preserve">МККН</w:t>
      </w:r>
      <w:r w:rsidDel="00000000" w:rsidR="00000000" w:rsidRPr="00000000">
        <w:rPr>
          <w:sz w:val="27"/>
          <w:szCs w:val="27"/>
          <w:vertAlign w:val="superscript"/>
        </w:rPr>
        <w:footnoteReference w:customMarkFollows="0" w:id="7"/>
      </w:r>
      <w:r w:rsidDel="00000000" w:rsidR="00000000" w:rsidRPr="00000000">
        <w:rPr>
          <w:sz w:val="27"/>
          <w:szCs w:val="27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418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0">
      <w:pPr>
        <w:spacing w:line="170" w:lineRule="auto"/>
        <w:ind w:left="20" w:firstLine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hyperlink r:id="rId1">
        <w:r w:rsidDel="00000000" w:rsidR="00000000" w:rsidRPr="00000000">
          <w:rPr>
            <w:color w:val="000080"/>
            <w:u w:val="single"/>
            <w:rtl w:val="0"/>
          </w:rPr>
          <w:t xml:space="preserve">http://kremlin.ru/acts/news/64480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1">
      <w:pPr>
        <w:spacing w:line="170" w:lineRule="auto"/>
        <w:ind w:left="20" w:firstLine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vertAlign w:val="baseline"/>
          <w:rtl w:val="0"/>
        </w:rPr>
        <w:t xml:space="preserve">Ь»р5://гак.мвд.рф/мониторинг-наркоситуации/выдержки-из-докладов-о-наркоситуации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22">
      <w:pPr>
        <w:spacing w:line="17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hyperlink r:id="rId2">
        <w:r w:rsidDel="00000000" w:rsidR="00000000" w:rsidRPr="00000000">
          <w:rPr>
            <w:color w:val="000080"/>
            <w:u w:val="single"/>
            <w:rtl w:val="0"/>
          </w:rPr>
          <w:t xml:space="preserve">https://www.unodc.org/unodc/data-and-analvsis/world-drug-report-2022.html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3">
      <w:pPr>
        <w:spacing w:line="17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hyperlink r:id="rId3">
        <w:r w:rsidDel="00000000" w:rsidR="00000000" w:rsidRPr="00000000">
          <w:rPr>
            <w:color w:val="000080"/>
            <w:u w:val="single"/>
            <w:rtl w:val="0"/>
          </w:rPr>
          <w:t xml:space="preserve">https://www.incb.org/documents/Publications/AnnualReports/AR2022/Annual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vertAlign w:val="baseline"/>
          <w:rtl w:val="0"/>
        </w:rPr>
        <w:t xml:space="preserve"> Report/E INC В 2022 1 eng.pdf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4">
      <w:pPr>
        <w:spacing w:line="234" w:lineRule="auto"/>
        <w:ind w:left="20" w:firstLine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hyperlink r:id="rId4">
        <w:r w:rsidDel="00000000" w:rsidR="00000000" w:rsidRPr="00000000">
          <w:rPr>
            <w:color w:val="000080"/>
            <w:u w:val="single"/>
            <w:rtl w:val="0"/>
          </w:rPr>
          <w:t xml:space="preserve">http://publication.pravo.gov.ru/Document/View/OOQ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vertAlign w:val="baseline"/>
          <w:rtl w:val="0"/>
        </w:rPr>
        <w:t xml:space="preserve"> 1201905010033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25">
      <w:pPr>
        <w:spacing w:line="234" w:lineRule="auto"/>
        <w:ind w:left="20" w:firstLine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hyperlink r:id="rId5">
        <w:r w:rsidDel="00000000" w:rsidR="00000000" w:rsidRPr="00000000">
          <w:rPr>
            <w:color w:val="000080"/>
            <w:u w:val="single"/>
            <w:rtl w:val="0"/>
          </w:rPr>
          <w:t xml:space="preserve">http://pravo.gov.ru/proxv/ips/?docbodv=&amp;nd</w:t>
        </w:r>
      </w:hyperlink>
      <w:hyperlink r:id="rId6">
        <w:r w:rsidDel="00000000" w:rsidR="00000000" w:rsidRPr="00000000">
          <w:rPr>
            <w:color w:val="000080"/>
            <w:u w:val="single"/>
            <w:vertAlign w:val="superscript"/>
            <w:rtl w:val="0"/>
          </w:rPr>
          <w:t xml:space="preserve">=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vertAlign w:val="baseline"/>
          <w:rtl w:val="0"/>
        </w:rPr>
        <w:t xml:space="preserve"> 102050997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6">
      <w:pPr>
        <w:spacing w:line="238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00080"/>
            <w:u w:val="single"/>
            <w:rtl w:val="0"/>
          </w:rPr>
          <w:t xml:space="preserve">https://docs.cntd.ru/document/565476564</w:t>
        </w:r>
      </w:hyperlink>
      <w:r w:rsidDel="00000000" w:rsidR="00000000" w:rsidRPr="00000000">
        <w:rPr>
          <w:rtl w:val="0"/>
        </w:rPr>
        <w:t xml:space="preserve">.</w:t>
      </w:r>
    </w:p>
  </w:footnote>
  <w:footnote w:id="7">
    <w:p w:rsidR="00000000" w:rsidDel="00000000" w:rsidP="00000000" w:rsidRDefault="00000000" w:rsidRPr="00000000" w14:paraId="00000027">
      <w:pPr>
        <w:spacing w:line="238" w:lineRule="auto"/>
        <w:ind w:right="20"/>
        <w:jc w:val="both"/>
        <w:rPr>
          <w:rFonts w:ascii="Courier New" w:cs="Courier New" w:eastAsia="Courier New" w:hAnsi="Courier New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hyperlink r:id="rId8">
        <w:r w:rsidDel="00000000" w:rsidR="00000000" w:rsidRPr="00000000">
          <w:rPr>
            <w:color w:val="000080"/>
            <w:u w:val="single"/>
            <w:rtl w:val="0"/>
          </w:rPr>
          <w:t xml:space="preserve">https://www.incb.org/documents/Publications/AnnualReports/AR2022/Supplement/E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INCB 2022 1 Supp 1 eng,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pdf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kremlin.ru/acts/news/64480" TargetMode="External"/><Relationship Id="rId2" Type="http://schemas.openxmlformats.org/officeDocument/2006/relationships/hyperlink" Target="https://www.unodc.org/unodc/data-and-analvsis/world-drug-report-2022.html" TargetMode="External"/><Relationship Id="rId3" Type="http://schemas.openxmlformats.org/officeDocument/2006/relationships/hyperlink" Target="https://www.incb.org/documents/Publications/AnnualReports/AR2022/Annual" TargetMode="External"/><Relationship Id="rId4" Type="http://schemas.openxmlformats.org/officeDocument/2006/relationships/hyperlink" Target="http://publication.pravo.gov.ru/Document/View/OOQ" TargetMode="External"/><Relationship Id="rId5" Type="http://schemas.openxmlformats.org/officeDocument/2006/relationships/hyperlink" Target="http://pravo.gov.ru/proxv/ips/?docbodv=&amp;nd=" TargetMode="External"/><Relationship Id="rId6" Type="http://schemas.openxmlformats.org/officeDocument/2006/relationships/hyperlink" Target="http://pravo.gov.ru/proxv/ips/?docbodv=&amp;nd=" TargetMode="External"/><Relationship Id="rId7" Type="http://schemas.openxmlformats.org/officeDocument/2006/relationships/hyperlink" Target="https://docs.cntd.ru/document/565476564" TargetMode="External"/><Relationship Id="rId8" Type="http://schemas.openxmlformats.org/officeDocument/2006/relationships/hyperlink" Target="https://www.incb.org/documents/Publications/AnnualReports/AR2022/Supplement/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8" ma:contentTypeDescription="Create a new document." ma:contentTypeScope="" ma:versionID="4900c56d6cc844023b5a704a191eaaa0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db267e4a8e7b5b4ae8d56018296bc408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ntributorsname" minOccurs="0"/>
                <xsd:element ref="ns2:Catetory" minOccurs="0"/>
                <xsd:element ref="ns2:Doctyp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ibutorsname" ma:index="21" nillable="true" ma:displayName="Contributor" ma:description="Who submitted this document?" ma:format="Dropdown" ma:internalName="Contributorsname">
      <xsd:simpleType>
        <xsd:restriction base="dms:Text">
          <xsd:maxLength value="255"/>
        </xsd:restriction>
      </xsd:simpleType>
    </xsd:element>
    <xsd:element name="Catetory" ma:index="22" nillable="true" ma:displayName="Category" ma:description="The contributor belongs to Member states, NHRIs, UN entities, CSOs, Academia, Individuals, or others?" ma:format="Dropdown" ma:internalName="Catetory">
      <xsd:simpleType>
        <xsd:union memberTypes="dms:Text">
          <xsd:simpleType>
            <xsd:restriction base="dms:Choice">
              <xsd:enumeration value="Member 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23" nillable="true" ma:displayName="Doc type" ma:default="input" ma:description="Specify the document type (optional)" ma:format="Dropdown" ma:internalName="Doctype">
      <xsd:simpleType>
        <xsd:union memberTypes="dms:Text">
          <xsd:simpleType>
            <xsd:restriction base="dms:Choice">
              <xsd:enumeration value="input"/>
              <xsd:enumeration value="input I"/>
              <xsd:enumeration value="input II"/>
              <xsd:enumeration value="input III"/>
              <xsd:enumeration value="cover letter"/>
              <xsd:enumeration value="note verbale"/>
              <xsd:enumeration value="annex"/>
              <xsd:enumeration value="annex I"/>
              <xsd:enumeration value="annex II"/>
              <xsd:enumeration value="annex III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Language" ma:index="24" nillable="true" ma:displayName="Language" ma:default="English" ma:description="Document language" ma:format="Dropdown" ma:internalName="Language">
      <xsd:simpleType>
        <xsd:union memberTypes="dms:Text">
          <xsd:simpleType>
            <xsd:restriction base="dms:Choice">
              <xsd:enumeration value="English"/>
              <xsd:enumeration value="French"/>
              <xsd:enumeration value="Spanish"/>
              <xsd:enumeration value="Arabic"/>
              <xsd:enumeration value="Russian"/>
              <xsd:enumeration value="Chinese"/>
              <xsd:enumeration value="Choice 7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60BFB-1398-401A-8901-693E38A0CDA4}"/>
</file>

<file path=customXml/itemProps2.xml><?xml version="1.0" encoding="utf-8"?>
<ds:datastoreItem xmlns:ds="http://schemas.openxmlformats.org/officeDocument/2006/customXml" ds:itemID="{0642A4B6-258E-45B4-8D84-81317E0EEF6B}"/>
</file>