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B4EE" w14:textId="6502E9D9" w:rsidR="00D46A54" w:rsidRPr="00FA314A" w:rsidRDefault="00D46A54" w:rsidP="00D46A54">
      <w:pPr>
        <w:pBdr>
          <w:top w:val="nil"/>
          <w:left w:val="nil"/>
          <w:bottom w:val="nil"/>
          <w:right w:val="nil"/>
          <w:between w:val="nil"/>
        </w:pBdr>
        <w:spacing w:after="200" w:line="276" w:lineRule="auto"/>
        <w:jc w:val="both"/>
        <w:rPr>
          <w:rFonts w:ascii="Times" w:hAnsi="Times" w:cs="Calibri"/>
          <w:b/>
          <w:bCs/>
          <w:color w:val="000000"/>
          <w:sz w:val="36"/>
          <w:szCs w:val="36"/>
        </w:rPr>
      </w:pPr>
      <w:r w:rsidRPr="00FA314A">
        <w:rPr>
          <w:rFonts w:ascii="Times" w:hAnsi="Times" w:cs="Calibri"/>
          <w:b/>
          <w:bCs/>
          <w:color w:val="000000"/>
          <w:sz w:val="36"/>
          <w:szCs w:val="36"/>
        </w:rPr>
        <w:t>Introduction</w:t>
      </w:r>
    </w:p>
    <w:p w14:paraId="1ACCFC86" w14:textId="31627461" w:rsidR="004378FD" w:rsidRDefault="00EB6B24" w:rsidP="00D46A54">
      <w:pPr>
        <w:pBdr>
          <w:top w:val="nil"/>
          <w:left w:val="nil"/>
          <w:bottom w:val="nil"/>
          <w:right w:val="nil"/>
          <w:between w:val="nil"/>
        </w:pBdr>
        <w:spacing w:after="200" w:line="276" w:lineRule="auto"/>
        <w:jc w:val="both"/>
      </w:pPr>
      <w:r>
        <w:t>I</w:t>
      </w:r>
      <w:r w:rsidR="004378FD">
        <w:t>n its resolution 42/22</w:t>
      </w:r>
      <w:r w:rsidR="004378FD">
        <w:rPr>
          <w:rStyle w:val="FootnoteReference"/>
          <w:rFonts w:ascii="Times" w:hAnsi="Times" w:cs="Calibri"/>
          <w:color w:val="000000"/>
        </w:rPr>
        <w:footnoteReference w:id="1"/>
      </w:r>
      <w:r w:rsidR="004378FD">
        <w:rPr>
          <w:rFonts w:ascii="Times" w:hAnsi="Times" w:cs="Calibri"/>
          <w:color w:val="000000"/>
        </w:rPr>
        <w:t>,</w:t>
      </w:r>
      <w:r w:rsidR="004378FD">
        <w:t xml:space="preserve"> the Human Rights Council requested </w:t>
      </w:r>
      <w:r>
        <w:t>the</w:t>
      </w:r>
      <w:r w:rsidR="004378FD">
        <w:t xml:space="preserve"> Working Group on Arbitrary Detention to prepare a study on arbitrary detention relating to drug policies to ensure that upholding the prohibition thereon is included as part of an effective criminal justice response to drug-related crimes.</w:t>
      </w:r>
    </w:p>
    <w:p w14:paraId="48F20EFC" w14:textId="35E13CAC" w:rsidR="004378FD" w:rsidRDefault="004378FD" w:rsidP="004378FD">
      <w:pPr>
        <w:pBdr>
          <w:top w:val="nil"/>
          <w:left w:val="nil"/>
          <w:bottom w:val="nil"/>
          <w:right w:val="nil"/>
          <w:between w:val="nil"/>
        </w:pBdr>
        <w:spacing w:after="200" w:line="276" w:lineRule="auto"/>
        <w:jc w:val="both"/>
      </w:pPr>
      <w:r>
        <w:t xml:space="preserve">In February 2020, a questionnaire was sent to States and other stakeholders. A briefing on the study </w:t>
      </w:r>
      <w:proofErr w:type="gramStart"/>
      <w:r>
        <w:t>was given</w:t>
      </w:r>
      <w:proofErr w:type="gramEnd"/>
      <w:r>
        <w:t xml:space="preserve"> at the sixty-third session of the Commission on Narcotic Dru</w:t>
      </w:r>
      <w:bookmarkStart w:id="0" w:name="_GoBack"/>
      <w:bookmarkEnd w:id="0"/>
      <w:r>
        <w:t xml:space="preserve">gs, and consultations were held with the United Nations Office on Drugs and Crime, the International Narcotics Control Board and other stakeholders. Furthermore, from 4 to 5 March 2021, the Working Group held a virtual expert consultation. The report was presented to the Human Rights Council on 18 May 2021. </w:t>
      </w:r>
    </w:p>
    <w:p w14:paraId="6E82D9FB" w14:textId="7D0BCE30" w:rsidR="004378FD" w:rsidRPr="00D46A54" w:rsidRDefault="004378FD" w:rsidP="004378FD">
      <w:pPr>
        <w:pBdr>
          <w:top w:val="nil"/>
          <w:left w:val="nil"/>
          <w:bottom w:val="nil"/>
          <w:right w:val="nil"/>
          <w:between w:val="nil"/>
        </w:pBdr>
        <w:spacing w:after="200" w:line="276" w:lineRule="auto"/>
        <w:jc w:val="both"/>
        <w:rPr>
          <w:rFonts w:ascii="Times" w:hAnsi="Times" w:cs="Calibri"/>
          <w:color w:val="000000"/>
        </w:rPr>
      </w:pPr>
      <w:r w:rsidRPr="00D46A54">
        <w:rPr>
          <w:rFonts w:ascii="Times" w:hAnsi="Times" w:cs="Calibri"/>
          <w:color w:val="000000"/>
        </w:rPr>
        <w:t>This submission provides a concise summary of the study on arbitrary detention and drug policies prepared submitted by the Working Group to the Human Rights Council</w:t>
      </w:r>
      <w:r>
        <w:rPr>
          <w:rFonts w:ascii="Times" w:hAnsi="Times" w:cs="Calibri"/>
          <w:color w:val="000000"/>
        </w:rPr>
        <w:t xml:space="preserve">. </w:t>
      </w:r>
      <w:r w:rsidRPr="00D46A54">
        <w:rPr>
          <w:rFonts w:ascii="Times" w:hAnsi="Times" w:cs="Calibri"/>
          <w:color w:val="000000"/>
        </w:rPr>
        <w:t xml:space="preserve">The complete </w:t>
      </w:r>
      <w:r>
        <w:rPr>
          <w:rFonts w:ascii="Times" w:hAnsi="Times" w:cs="Calibri"/>
          <w:color w:val="000000"/>
        </w:rPr>
        <w:t>study can be found at the website of the Working Group</w:t>
      </w:r>
      <w:r>
        <w:rPr>
          <w:rStyle w:val="FootnoteReference"/>
          <w:rFonts w:ascii="Times" w:hAnsi="Times" w:cs="Calibri"/>
          <w:color w:val="000000"/>
        </w:rPr>
        <w:footnoteReference w:id="2"/>
      </w:r>
      <w:r>
        <w:rPr>
          <w:rFonts w:ascii="Times" w:hAnsi="Times" w:cs="Calibri"/>
          <w:color w:val="000000"/>
        </w:rPr>
        <w:t xml:space="preserve">. </w:t>
      </w:r>
    </w:p>
    <w:p w14:paraId="1BE93468" w14:textId="0CAB22F0" w:rsidR="004378FD" w:rsidRPr="00FA314A" w:rsidRDefault="004378FD" w:rsidP="00D46A54">
      <w:pPr>
        <w:pBdr>
          <w:top w:val="nil"/>
          <w:left w:val="nil"/>
          <w:bottom w:val="nil"/>
          <w:right w:val="nil"/>
          <w:between w:val="nil"/>
        </w:pBdr>
        <w:spacing w:after="200" w:line="276" w:lineRule="auto"/>
        <w:jc w:val="both"/>
        <w:rPr>
          <w:b/>
          <w:bCs/>
          <w:sz w:val="36"/>
          <w:szCs w:val="36"/>
        </w:rPr>
      </w:pPr>
      <w:r w:rsidRPr="00FA314A">
        <w:rPr>
          <w:b/>
          <w:bCs/>
          <w:sz w:val="36"/>
          <w:szCs w:val="36"/>
        </w:rPr>
        <w:t>Summary of the study of the Working Group</w:t>
      </w:r>
    </w:p>
    <w:p w14:paraId="1EF525D6" w14:textId="7C1A9A2A" w:rsidR="004378FD" w:rsidRDefault="00D7771A" w:rsidP="00D46A54">
      <w:pPr>
        <w:pBdr>
          <w:top w:val="nil"/>
          <w:left w:val="nil"/>
          <w:bottom w:val="nil"/>
          <w:right w:val="nil"/>
          <w:between w:val="nil"/>
        </w:pBdr>
        <w:spacing w:after="200" w:line="276" w:lineRule="auto"/>
        <w:jc w:val="both"/>
      </w:pPr>
      <w:r w:rsidRPr="00D7771A">
        <w:rPr>
          <w:i/>
          <w:iCs/>
        </w:rPr>
        <w:t xml:space="preserve">The Working Group emphasizes that the absolute prohibition of arbitrary deprivation of liberty and the safeguards to prevent such instances apply to everyone, including those who </w:t>
      </w:r>
      <w:proofErr w:type="gramStart"/>
      <w:r w:rsidRPr="00D7771A">
        <w:rPr>
          <w:i/>
          <w:iCs/>
        </w:rPr>
        <w:t>are arrested, detained or charged with drug-related offences and those undergoing rehabilitation for drug dependence, in accordance with international human rights obligations</w:t>
      </w:r>
      <w:proofErr w:type="gramEnd"/>
      <w:r w:rsidRPr="00D7771A">
        <w:rPr>
          <w:i/>
          <w:iCs/>
        </w:rPr>
        <w:t>. There is a need for all drug policies to serve a necessary, proportionate and legitimate aim. Imprisonment for drug-related offences should be a last resort and in principle should be used only for serious offences, with diversion or a decision not to prosecute used most often for lesser offences</w:t>
      </w:r>
      <w:r>
        <w:t>.</w:t>
      </w:r>
    </w:p>
    <w:p w14:paraId="2914D5A7" w14:textId="31E92A6D" w:rsidR="00D7771A" w:rsidRPr="00FA314A" w:rsidRDefault="00D7771A" w:rsidP="00D46A54">
      <w:pPr>
        <w:pBdr>
          <w:top w:val="nil"/>
          <w:left w:val="nil"/>
          <w:bottom w:val="nil"/>
          <w:right w:val="nil"/>
          <w:between w:val="nil"/>
        </w:pBdr>
        <w:spacing w:after="200" w:line="276" w:lineRule="auto"/>
        <w:jc w:val="both"/>
        <w:rPr>
          <w:b/>
          <w:bCs/>
        </w:rPr>
      </w:pPr>
      <w:r w:rsidRPr="00FA314A">
        <w:rPr>
          <w:b/>
          <w:bCs/>
        </w:rPr>
        <w:t>Human rights violations resulting in arbitrary detention for drug related offences</w:t>
      </w:r>
    </w:p>
    <w:p w14:paraId="1712C042" w14:textId="77777777" w:rsidR="00FA314A" w:rsidRDefault="00D7771A" w:rsidP="00D7771A">
      <w:pPr>
        <w:pBdr>
          <w:top w:val="nil"/>
          <w:left w:val="nil"/>
          <w:bottom w:val="nil"/>
          <w:right w:val="nil"/>
          <w:between w:val="nil"/>
        </w:pBdr>
        <w:spacing w:after="200" w:line="276" w:lineRule="auto"/>
        <w:jc w:val="both"/>
      </w:pPr>
      <w:r w:rsidRPr="00D7771A">
        <w:rPr>
          <w:i/>
          <w:iCs/>
        </w:rPr>
        <w:t>The so-called war on drugs has resulted in a large and disproportionate increase in detention and imprisonment for drug-related offences. Some States have gone well beyond what is required by the international drug control treaties in terms of criminalization and associated penalties, while others have demonstrated excessive zeal in applying the criminalization provisions of those treaties. These disproportionate actions have frequently resulted in widespread human rights violations leading to increased arbitrary detention</w:t>
      </w:r>
      <w:r>
        <w:t xml:space="preserve">. </w:t>
      </w:r>
      <w:r w:rsidR="00FA314A">
        <w:t xml:space="preserve"> </w:t>
      </w:r>
    </w:p>
    <w:p w14:paraId="6042E2EB" w14:textId="5BE5B9B8" w:rsidR="000313D6" w:rsidRDefault="00FA314A" w:rsidP="00D7771A">
      <w:pPr>
        <w:pBdr>
          <w:top w:val="nil"/>
          <w:left w:val="nil"/>
          <w:bottom w:val="nil"/>
          <w:right w:val="nil"/>
          <w:between w:val="nil"/>
        </w:pBdr>
        <w:spacing w:after="200" w:line="276" w:lineRule="auto"/>
        <w:jc w:val="both"/>
      </w:pPr>
      <w:r>
        <w:t>In particular, t</w:t>
      </w:r>
      <w:r w:rsidR="00D7771A">
        <w:t>he working group has expressed concern over the following practices:</w:t>
      </w:r>
    </w:p>
    <w:p w14:paraId="78C33D58" w14:textId="2BEE514A" w:rsidR="00D7771A" w:rsidRDefault="00D7771A" w:rsidP="00D7771A">
      <w:pPr>
        <w:pStyle w:val="ListParagraph"/>
        <w:numPr>
          <w:ilvl w:val="0"/>
          <w:numId w:val="27"/>
        </w:numPr>
        <w:pBdr>
          <w:top w:val="nil"/>
          <w:left w:val="nil"/>
          <w:bottom w:val="nil"/>
          <w:right w:val="nil"/>
          <w:between w:val="nil"/>
        </w:pBdr>
        <w:spacing w:after="200" w:line="276" w:lineRule="auto"/>
        <w:jc w:val="both"/>
      </w:pPr>
      <w:r>
        <w:t>Interrogation of suspects when under the influence of drugs</w:t>
      </w:r>
    </w:p>
    <w:p w14:paraId="5D996892" w14:textId="184E096E" w:rsidR="00D7771A" w:rsidRDefault="00D7771A" w:rsidP="00D7771A">
      <w:pPr>
        <w:pStyle w:val="ListParagraph"/>
        <w:numPr>
          <w:ilvl w:val="0"/>
          <w:numId w:val="27"/>
        </w:numPr>
        <w:pBdr>
          <w:top w:val="nil"/>
          <w:left w:val="nil"/>
          <w:bottom w:val="nil"/>
          <w:right w:val="nil"/>
          <w:between w:val="nil"/>
        </w:pBdr>
        <w:spacing w:after="200" w:line="276" w:lineRule="auto"/>
        <w:jc w:val="both"/>
      </w:pPr>
      <w:r>
        <w:t>Drug testing without consent or judicial warrant, and stop and frisk</w:t>
      </w:r>
    </w:p>
    <w:p w14:paraId="3364F54F" w14:textId="1BB6EA1E" w:rsidR="00D7771A" w:rsidRDefault="00D7771A" w:rsidP="00D7771A">
      <w:pPr>
        <w:pStyle w:val="ListParagraph"/>
        <w:numPr>
          <w:ilvl w:val="0"/>
          <w:numId w:val="27"/>
        </w:numPr>
        <w:pBdr>
          <w:top w:val="nil"/>
          <w:left w:val="nil"/>
          <w:bottom w:val="nil"/>
          <w:right w:val="nil"/>
          <w:between w:val="nil"/>
        </w:pBdr>
        <w:spacing w:after="200" w:line="276" w:lineRule="auto"/>
        <w:jc w:val="both"/>
      </w:pPr>
      <w:r>
        <w:t>Failure to register or promptly bring arrested persons before a judge</w:t>
      </w:r>
    </w:p>
    <w:p w14:paraId="4268D2B6" w14:textId="648B4A0D" w:rsidR="00D7771A" w:rsidRDefault="00D7771A" w:rsidP="00D7771A">
      <w:pPr>
        <w:pStyle w:val="ListParagraph"/>
        <w:numPr>
          <w:ilvl w:val="0"/>
          <w:numId w:val="27"/>
        </w:numPr>
        <w:pBdr>
          <w:top w:val="nil"/>
          <w:left w:val="nil"/>
          <w:bottom w:val="nil"/>
          <w:right w:val="nil"/>
          <w:between w:val="nil"/>
        </w:pBdr>
        <w:spacing w:after="200" w:line="276" w:lineRule="auto"/>
        <w:jc w:val="both"/>
      </w:pPr>
      <w:r>
        <w:lastRenderedPageBreak/>
        <w:t>Pretrial detention for drug-related offences, particularly with regards to its over-use.</w:t>
      </w:r>
    </w:p>
    <w:p w14:paraId="1EFD59A9" w14:textId="69368407" w:rsidR="00D7771A" w:rsidRDefault="00D7771A" w:rsidP="00D7771A">
      <w:pPr>
        <w:pStyle w:val="ListParagraph"/>
        <w:numPr>
          <w:ilvl w:val="0"/>
          <w:numId w:val="27"/>
        </w:numPr>
        <w:pBdr>
          <w:top w:val="nil"/>
          <w:left w:val="nil"/>
          <w:bottom w:val="nil"/>
          <w:right w:val="nil"/>
          <w:between w:val="nil"/>
        </w:pBdr>
        <w:spacing w:after="200" w:line="276" w:lineRule="auto"/>
        <w:jc w:val="both"/>
      </w:pPr>
      <w:r>
        <w:t>Torture or ill-treatment of persons who have been arrested for drug-related offences</w:t>
      </w:r>
    </w:p>
    <w:p w14:paraId="5BBAD7A7" w14:textId="5AE53AA4" w:rsidR="00D7771A" w:rsidRDefault="00D7771A" w:rsidP="00D7771A">
      <w:pPr>
        <w:pStyle w:val="ListParagraph"/>
        <w:numPr>
          <w:ilvl w:val="0"/>
          <w:numId w:val="27"/>
        </w:numPr>
        <w:pBdr>
          <w:top w:val="nil"/>
          <w:left w:val="nil"/>
          <w:bottom w:val="nil"/>
          <w:right w:val="nil"/>
          <w:between w:val="nil"/>
        </w:pBdr>
        <w:spacing w:after="200" w:line="276" w:lineRule="auto"/>
        <w:jc w:val="both"/>
      </w:pPr>
      <w:r>
        <w:t>Lack of observance of fair trial guarantees, including with regards to drug courts and to military and other special courts</w:t>
      </w:r>
    </w:p>
    <w:p w14:paraId="3BEB732D" w14:textId="76C51565" w:rsidR="00D7771A" w:rsidRDefault="00D7771A" w:rsidP="00D7771A">
      <w:pPr>
        <w:pStyle w:val="ListParagraph"/>
        <w:numPr>
          <w:ilvl w:val="0"/>
          <w:numId w:val="27"/>
        </w:numPr>
        <w:pBdr>
          <w:top w:val="nil"/>
          <w:left w:val="nil"/>
          <w:bottom w:val="nil"/>
          <w:right w:val="nil"/>
          <w:between w:val="nil"/>
        </w:pBdr>
        <w:spacing w:after="200" w:line="276" w:lineRule="auto"/>
        <w:jc w:val="both"/>
      </w:pPr>
      <w:r>
        <w:t>Disproportionate sentencing for drug offences</w:t>
      </w:r>
    </w:p>
    <w:p w14:paraId="0C7B87E9" w14:textId="5CB9F391" w:rsidR="00D7771A" w:rsidRDefault="00D7771A" w:rsidP="00D7771A">
      <w:pPr>
        <w:pStyle w:val="ListParagraph"/>
        <w:numPr>
          <w:ilvl w:val="0"/>
          <w:numId w:val="27"/>
        </w:numPr>
        <w:pBdr>
          <w:top w:val="nil"/>
          <w:left w:val="nil"/>
          <w:bottom w:val="nil"/>
          <w:right w:val="nil"/>
          <w:between w:val="nil"/>
        </w:pBdr>
        <w:spacing w:after="200" w:line="276" w:lineRule="auto"/>
        <w:jc w:val="both"/>
      </w:pPr>
      <w:r>
        <w:t>Use of death penalty for drug offences</w:t>
      </w:r>
    </w:p>
    <w:p w14:paraId="7D42BAC9" w14:textId="0B0C5551" w:rsidR="00D7771A" w:rsidRDefault="00D7771A" w:rsidP="00D7771A">
      <w:pPr>
        <w:pStyle w:val="ListParagraph"/>
        <w:numPr>
          <w:ilvl w:val="0"/>
          <w:numId w:val="27"/>
        </w:numPr>
        <w:pBdr>
          <w:top w:val="nil"/>
          <w:left w:val="nil"/>
          <w:bottom w:val="nil"/>
          <w:right w:val="nil"/>
          <w:between w:val="nil"/>
        </w:pBdr>
        <w:spacing w:after="200" w:line="276" w:lineRule="auto"/>
        <w:jc w:val="both"/>
      </w:pPr>
      <w:r>
        <w:t xml:space="preserve">Ban on suspended sentence, parole, pardon and amnesty for persons convicted for drug-related </w:t>
      </w:r>
      <w:r w:rsidR="00FA314A">
        <w:t>offences</w:t>
      </w:r>
    </w:p>
    <w:p w14:paraId="56715EB1" w14:textId="4B9477EF" w:rsidR="00FA314A" w:rsidRPr="00EB6B24" w:rsidRDefault="00FA314A" w:rsidP="00FA314A">
      <w:pPr>
        <w:pBdr>
          <w:top w:val="nil"/>
          <w:left w:val="nil"/>
          <w:bottom w:val="nil"/>
          <w:right w:val="nil"/>
          <w:between w:val="nil"/>
        </w:pBdr>
        <w:spacing w:after="200" w:line="276" w:lineRule="auto"/>
        <w:jc w:val="both"/>
        <w:rPr>
          <w:i/>
          <w:iCs/>
        </w:rPr>
      </w:pPr>
      <w:r w:rsidRPr="00EB6B24">
        <w:rPr>
          <w:i/>
          <w:iCs/>
        </w:rPr>
        <w:t>The Working Group has noted that, in some States, human rights defenders, journalists, political opponents and other critics of the Government are subject to drug charges as a means of suppressing or controlling their exercise of freedom of opinion and expression.</w:t>
      </w:r>
    </w:p>
    <w:p w14:paraId="70C1D3A0" w14:textId="252E4DC3" w:rsidR="00FA314A" w:rsidRDefault="00FA314A" w:rsidP="00FA314A">
      <w:pPr>
        <w:pBdr>
          <w:top w:val="nil"/>
          <w:left w:val="nil"/>
          <w:bottom w:val="nil"/>
          <w:right w:val="nil"/>
          <w:between w:val="nil"/>
        </w:pBdr>
        <w:spacing w:after="200" w:line="276" w:lineRule="auto"/>
        <w:jc w:val="both"/>
        <w:rPr>
          <w:b/>
          <w:bCs/>
        </w:rPr>
      </w:pPr>
      <w:r w:rsidRPr="00FA314A">
        <w:rPr>
          <w:b/>
          <w:bCs/>
        </w:rPr>
        <w:t>Discriminatory drug control measures directed at specific groups</w:t>
      </w:r>
    </w:p>
    <w:p w14:paraId="069A7A13" w14:textId="7114100D" w:rsidR="00FA314A" w:rsidRPr="00EB6B24" w:rsidRDefault="00FA314A" w:rsidP="00FA314A">
      <w:pPr>
        <w:pBdr>
          <w:top w:val="nil"/>
          <w:left w:val="nil"/>
          <w:bottom w:val="nil"/>
          <w:right w:val="nil"/>
          <w:between w:val="nil"/>
        </w:pBdr>
        <w:spacing w:after="200" w:line="276" w:lineRule="auto"/>
        <w:jc w:val="both"/>
        <w:rPr>
          <w:i/>
          <w:iCs/>
        </w:rPr>
      </w:pPr>
      <w:r w:rsidRPr="00EB6B24">
        <w:rPr>
          <w:i/>
          <w:iCs/>
        </w:rPr>
        <w:t xml:space="preserve">The war on drugs may be understood to a significant extent as a war on people. Its impact is often greatest on those who are poor, but also frequently overlaps with discrimination in law enforcement directed at vulnerable groups. This has been referred to as the intersectionality of different forms of discrimination, which reinforces disadvantage. The Working Group has observed that criminalization of drug use facilitates the deployment of the criminal justice system against drug users in a discriminatory way, with law enforcement officers often targeting members of vulnerable and marginalized groups. </w:t>
      </w:r>
    </w:p>
    <w:p w14:paraId="50C83452" w14:textId="6B2BA617" w:rsidR="00FA314A" w:rsidRDefault="00FA314A" w:rsidP="00FA314A">
      <w:pPr>
        <w:pBdr>
          <w:top w:val="nil"/>
          <w:left w:val="nil"/>
          <w:bottom w:val="nil"/>
          <w:right w:val="nil"/>
          <w:between w:val="nil"/>
        </w:pBdr>
        <w:spacing w:after="200" w:line="276" w:lineRule="auto"/>
        <w:jc w:val="both"/>
      </w:pPr>
      <w:r>
        <w:t>In particular, the Working Group expressed concern over the following groups:</w:t>
      </w:r>
    </w:p>
    <w:p w14:paraId="178ADA57" w14:textId="167DDE1D" w:rsidR="00FA314A" w:rsidRDefault="00FA314A" w:rsidP="00FA314A">
      <w:pPr>
        <w:pStyle w:val="ListParagraph"/>
        <w:numPr>
          <w:ilvl w:val="0"/>
          <w:numId w:val="28"/>
        </w:numPr>
        <w:pBdr>
          <w:top w:val="nil"/>
          <w:left w:val="nil"/>
          <w:bottom w:val="nil"/>
          <w:right w:val="nil"/>
          <w:between w:val="nil"/>
        </w:pBdr>
        <w:spacing w:after="200" w:line="276" w:lineRule="auto"/>
        <w:jc w:val="both"/>
      </w:pPr>
      <w:r>
        <w:t>Ethnic and racial minorities, including people of African descent</w:t>
      </w:r>
    </w:p>
    <w:p w14:paraId="3FC74249" w14:textId="34ABD4D6" w:rsidR="00FA314A" w:rsidRDefault="00FA314A" w:rsidP="00FA314A">
      <w:pPr>
        <w:pStyle w:val="ListParagraph"/>
        <w:numPr>
          <w:ilvl w:val="0"/>
          <w:numId w:val="28"/>
        </w:numPr>
        <w:pBdr>
          <w:top w:val="nil"/>
          <w:left w:val="nil"/>
          <w:bottom w:val="nil"/>
          <w:right w:val="nil"/>
          <w:between w:val="nil"/>
        </w:pBdr>
        <w:spacing w:after="200" w:line="276" w:lineRule="auto"/>
        <w:jc w:val="both"/>
      </w:pPr>
      <w:r>
        <w:t>Indigenous peoples</w:t>
      </w:r>
    </w:p>
    <w:p w14:paraId="037FA9F3" w14:textId="1CE56451" w:rsidR="00FA314A" w:rsidRDefault="00FA314A" w:rsidP="00FA314A">
      <w:pPr>
        <w:pStyle w:val="ListParagraph"/>
        <w:numPr>
          <w:ilvl w:val="0"/>
          <w:numId w:val="28"/>
        </w:numPr>
        <w:pBdr>
          <w:top w:val="nil"/>
          <w:left w:val="nil"/>
          <w:bottom w:val="nil"/>
          <w:right w:val="nil"/>
          <w:between w:val="nil"/>
        </w:pBdr>
        <w:spacing w:after="200" w:line="276" w:lineRule="auto"/>
        <w:jc w:val="both"/>
      </w:pPr>
      <w:r>
        <w:t>Migrants</w:t>
      </w:r>
    </w:p>
    <w:p w14:paraId="4CC8907B" w14:textId="774C1058" w:rsidR="00FA314A" w:rsidRDefault="00FA314A" w:rsidP="00FA314A">
      <w:pPr>
        <w:pStyle w:val="ListParagraph"/>
        <w:numPr>
          <w:ilvl w:val="0"/>
          <w:numId w:val="28"/>
        </w:numPr>
        <w:pBdr>
          <w:top w:val="nil"/>
          <w:left w:val="nil"/>
          <w:bottom w:val="nil"/>
          <w:right w:val="nil"/>
          <w:between w:val="nil"/>
        </w:pBdr>
        <w:spacing w:after="200" w:line="276" w:lineRule="auto"/>
        <w:jc w:val="both"/>
      </w:pPr>
      <w:r>
        <w:t>Women</w:t>
      </w:r>
    </w:p>
    <w:p w14:paraId="159653E5" w14:textId="0B249ED9" w:rsidR="00FA314A" w:rsidRDefault="00FA314A" w:rsidP="00FA314A">
      <w:pPr>
        <w:pStyle w:val="ListParagraph"/>
        <w:numPr>
          <w:ilvl w:val="0"/>
          <w:numId w:val="28"/>
        </w:numPr>
        <w:pBdr>
          <w:top w:val="nil"/>
          <w:left w:val="nil"/>
          <w:bottom w:val="nil"/>
          <w:right w:val="nil"/>
          <w:between w:val="nil"/>
        </w:pBdr>
        <w:spacing w:after="200" w:line="276" w:lineRule="auto"/>
        <w:jc w:val="both"/>
      </w:pPr>
      <w:r>
        <w:t>Lesbian, gay, bisexual, transgender, and intersex persons</w:t>
      </w:r>
    </w:p>
    <w:p w14:paraId="5C7C8FF3" w14:textId="7781D7E3" w:rsidR="00FA314A" w:rsidRDefault="00FA314A" w:rsidP="00FA314A">
      <w:pPr>
        <w:pStyle w:val="ListParagraph"/>
        <w:numPr>
          <w:ilvl w:val="0"/>
          <w:numId w:val="28"/>
        </w:numPr>
        <w:pBdr>
          <w:top w:val="nil"/>
          <w:left w:val="nil"/>
          <w:bottom w:val="nil"/>
          <w:right w:val="nil"/>
          <w:between w:val="nil"/>
        </w:pBdr>
        <w:spacing w:after="200" w:line="276" w:lineRule="auto"/>
        <w:jc w:val="both"/>
      </w:pPr>
      <w:r>
        <w:t>Victims of human trafficking</w:t>
      </w:r>
    </w:p>
    <w:p w14:paraId="0FEFCFE7" w14:textId="20531263" w:rsidR="00FA314A" w:rsidRDefault="00FA314A" w:rsidP="00FA314A">
      <w:pPr>
        <w:pStyle w:val="ListParagraph"/>
        <w:numPr>
          <w:ilvl w:val="0"/>
          <w:numId w:val="28"/>
        </w:numPr>
        <w:pBdr>
          <w:top w:val="nil"/>
          <w:left w:val="nil"/>
          <w:bottom w:val="nil"/>
          <w:right w:val="nil"/>
          <w:between w:val="nil"/>
        </w:pBdr>
        <w:spacing w:after="200" w:line="276" w:lineRule="auto"/>
        <w:jc w:val="both"/>
      </w:pPr>
      <w:r>
        <w:t>Children who use drugs or commit drug-related offences</w:t>
      </w:r>
    </w:p>
    <w:p w14:paraId="2EF1BC79" w14:textId="1E9CD394" w:rsidR="00FA314A" w:rsidRDefault="007B39A4" w:rsidP="007B39A4">
      <w:pPr>
        <w:pBdr>
          <w:top w:val="nil"/>
          <w:left w:val="nil"/>
          <w:bottom w:val="nil"/>
          <w:right w:val="nil"/>
          <w:between w:val="nil"/>
        </w:pBdr>
        <w:spacing w:after="200" w:line="276" w:lineRule="auto"/>
        <w:jc w:val="both"/>
        <w:rPr>
          <w:b/>
          <w:bCs/>
        </w:rPr>
      </w:pPr>
      <w:r w:rsidRPr="007B39A4">
        <w:rPr>
          <w:b/>
          <w:bCs/>
        </w:rPr>
        <w:t>Health care for drug users in detention</w:t>
      </w:r>
    </w:p>
    <w:p w14:paraId="27E47187" w14:textId="3C8AACDC" w:rsidR="007B39A4" w:rsidRPr="00EB6B24" w:rsidRDefault="007B39A4" w:rsidP="007B39A4">
      <w:pPr>
        <w:pBdr>
          <w:top w:val="nil"/>
          <w:left w:val="nil"/>
          <w:bottom w:val="nil"/>
          <w:right w:val="nil"/>
          <w:between w:val="nil"/>
        </w:pBdr>
        <w:spacing w:after="200" w:line="276" w:lineRule="auto"/>
        <w:jc w:val="both"/>
        <w:rPr>
          <w:i/>
          <w:iCs/>
        </w:rPr>
      </w:pPr>
      <w:r w:rsidRPr="00EB6B24">
        <w:rPr>
          <w:i/>
          <w:iCs/>
        </w:rPr>
        <w:t>Worldwide, 20 per cent of persons who are incarcerated use drugs, compared to 5.3 per cent among the general population</w:t>
      </w:r>
      <w:r w:rsidR="00EB6B24">
        <w:rPr>
          <w:rStyle w:val="FootnoteReference"/>
          <w:i/>
          <w:iCs/>
        </w:rPr>
        <w:footnoteReference w:id="3"/>
      </w:r>
      <w:r w:rsidRPr="00EB6B24">
        <w:rPr>
          <w:i/>
          <w:iCs/>
        </w:rPr>
        <w:t>. There are several adverse consequences of high levels of drug use in prisons, including on the health and safety of inmates, the security of prison staff and security and discipline in the prison.</w:t>
      </w:r>
    </w:p>
    <w:p w14:paraId="31FEBF67" w14:textId="18F91D44" w:rsidR="007B39A4" w:rsidRPr="00EB6B24" w:rsidRDefault="007B39A4" w:rsidP="007B39A4">
      <w:pPr>
        <w:pBdr>
          <w:top w:val="nil"/>
          <w:left w:val="nil"/>
          <w:bottom w:val="nil"/>
          <w:right w:val="nil"/>
          <w:between w:val="nil"/>
        </w:pBdr>
        <w:spacing w:after="200" w:line="276" w:lineRule="auto"/>
        <w:jc w:val="both"/>
        <w:rPr>
          <w:i/>
          <w:iCs/>
        </w:rPr>
      </w:pPr>
      <w:r w:rsidRPr="00EB6B24">
        <w:rPr>
          <w:i/>
          <w:iCs/>
        </w:rPr>
        <w:t xml:space="preserve">The Working Group has addressed the issue of inadequate or non-existent health care for persons in detention. The Committee on Economic, Social and Cultural Rights, the Committee on the Rights of the Child and the Special Rapporteur on the right of everyone to the enjoyment of the highest </w:t>
      </w:r>
      <w:r w:rsidRPr="00EB6B24">
        <w:rPr>
          <w:i/>
          <w:iCs/>
        </w:rPr>
        <w:lastRenderedPageBreak/>
        <w:t>attainable standard of physical and mental health have stated that harm reduction services are essential for persons who are drug dependent.</w:t>
      </w:r>
    </w:p>
    <w:p w14:paraId="09C06681" w14:textId="1F2B8D89" w:rsidR="007B39A4" w:rsidRPr="00EB6B24" w:rsidRDefault="007B39A4" w:rsidP="007B39A4">
      <w:pPr>
        <w:pBdr>
          <w:top w:val="nil"/>
          <w:left w:val="nil"/>
          <w:bottom w:val="nil"/>
          <w:right w:val="nil"/>
          <w:between w:val="nil"/>
        </w:pBdr>
        <w:spacing w:after="200" w:line="276" w:lineRule="auto"/>
        <w:jc w:val="both"/>
        <w:rPr>
          <w:i/>
          <w:iCs/>
        </w:rPr>
      </w:pPr>
      <w:r w:rsidRPr="00EB6B24">
        <w:rPr>
          <w:i/>
          <w:iCs/>
        </w:rPr>
        <w:t>In 2021, only 56 States provided opioid substitution therapy in prisons, and when provided, it may be available only in a limited number of prisons or in male prisons only. For needle and syringe programmes, the situation was worse, with only 11 countries providing such programmes</w:t>
      </w:r>
    </w:p>
    <w:p w14:paraId="4A92F5D7" w14:textId="2352EEE6" w:rsidR="007B39A4" w:rsidRDefault="007B39A4" w:rsidP="007B39A4">
      <w:pPr>
        <w:pBdr>
          <w:top w:val="nil"/>
          <w:left w:val="nil"/>
          <w:bottom w:val="nil"/>
          <w:right w:val="nil"/>
          <w:between w:val="nil"/>
        </w:pBdr>
        <w:spacing w:after="200" w:line="276" w:lineRule="auto"/>
        <w:jc w:val="both"/>
        <w:rPr>
          <w:b/>
          <w:bCs/>
        </w:rPr>
      </w:pPr>
      <w:r w:rsidRPr="007B39A4">
        <w:rPr>
          <w:b/>
          <w:bCs/>
        </w:rPr>
        <w:t>Compulsory treatment of drug users</w:t>
      </w:r>
    </w:p>
    <w:p w14:paraId="0D3F4648" w14:textId="55045620" w:rsidR="007B39A4" w:rsidRPr="00EB6B24" w:rsidRDefault="007B39A4" w:rsidP="007B39A4">
      <w:pPr>
        <w:pBdr>
          <w:top w:val="nil"/>
          <w:left w:val="nil"/>
          <w:bottom w:val="nil"/>
          <w:right w:val="nil"/>
          <w:between w:val="nil"/>
        </w:pBdr>
        <w:spacing w:after="200" w:line="276" w:lineRule="auto"/>
        <w:jc w:val="both"/>
        <w:rPr>
          <w:i/>
          <w:iCs/>
        </w:rPr>
      </w:pPr>
      <w:r w:rsidRPr="00EB6B24">
        <w:rPr>
          <w:i/>
          <w:iCs/>
        </w:rPr>
        <w:t>The Working Group considers that the threat of imprisonment should not be used as a coercive tool to incentivize people into drug treatment. While some defendants, when given a choice, have refused drug treatment and accepted a prison sentence as an outcome, the measure of coercion involved in such a choice is too great and is an unacceptable infringement on the right to choose one’s treatment freely, to refuse treatment or to discontinue it at any time. Courts should also not order compulsory or forced drug treatment. Drug treatment should always be voluntary, based on informed consent, and left exclusively to health professionals. There should be no court supervision or monitoring of the process, which should rest exclusively with trained medical professionals.</w:t>
      </w:r>
    </w:p>
    <w:p w14:paraId="62F2BF71" w14:textId="41504EAB" w:rsidR="007B39A4" w:rsidRDefault="007B39A4" w:rsidP="007B39A4">
      <w:pPr>
        <w:pBdr>
          <w:top w:val="nil"/>
          <w:left w:val="nil"/>
          <w:bottom w:val="nil"/>
          <w:right w:val="nil"/>
          <w:between w:val="nil"/>
        </w:pBdr>
        <w:spacing w:after="200" w:line="276" w:lineRule="auto"/>
        <w:jc w:val="both"/>
      </w:pPr>
      <w:r>
        <w:t>In particular, the Working Group has expressed concern about the following situations.</w:t>
      </w:r>
    </w:p>
    <w:p w14:paraId="7F2D3A04" w14:textId="6905F723" w:rsidR="007B39A4" w:rsidRDefault="007B39A4" w:rsidP="007B39A4">
      <w:pPr>
        <w:pStyle w:val="ListParagraph"/>
        <w:numPr>
          <w:ilvl w:val="0"/>
          <w:numId w:val="29"/>
        </w:numPr>
        <w:pBdr>
          <w:top w:val="nil"/>
          <w:left w:val="nil"/>
          <w:bottom w:val="nil"/>
          <w:right w:val="nil"/>
          <w:between w:val="nil"/>
        </w:pBdr>
        <w:spacing w:after="200" w:line="276" w:lineRule="auto"/>
        <w:jc w:val="both"/>
      </w:pPr>
      <w:r w:rsidRPr="00257D29">
        <w:rPr>
          <w:u w:val="single"/>
        </w:rPr>
        <w:t>State-run compulsory drug detention centres</w:t>
      </w:r>
      <w:r>
        <w:t xml:space="preserve">. </w:t>
      </w:r>
      <w:r w:rsidRPr="007B39A4">
        <w:t>Arbitrary detention may occur when people who use or are suspected of using drugs are confined against their will in compulsory drug detention centres</w:t>
      </w:r>
      <w:r>
        <w:t>.</w:t>
      </w:r>
      <w:r w:rsidR="00257D29">
        <w:t xml:space="preserve"> These are sometimes linked to little or no legal </w:t>
      </w:r>
      <w:r w:rsidR="00EB6B24">
        <w:t xml:space="preserve">due </w:t>
      </w:r>
      <w:r w:rsidR="00257D29">
        <w:t>process, lack of evidence-based treatment, and torture or ill-treatment, amongst other rights violations.</w:t>
      </w:r>
    </w:p>
    <w:p w14:paraId="6ECCB544" w14:textId="774066A2" w:rsidR="007B39A4" w:rsidRDefault="00257D29" w:rsidP="007B39A4">
      <w:pPr>
        <w:pStyle w:val="ListParagraph"/>
        <w:numPr>
          <w:ilvl w:val="0"/>
          <w:numId w:val="29"/>
        </w:numPr>
        <w:pBdr>
          <w:top w:val="nil"/>
          <w:left w:val="nil"/>
          <w:bottom w:val="nil"/>
          <w:right w:val="nil"/>
          <w:between w:val="nil"/>
        </w:pBdr>
        <w:spacing w:after="200" w:line="276" w:lineRule="auto"/>
        <w:jc w:val="both"/>
      </w:pPr>
      <w:r w:rsidRPr="00257D29">
        <w:rPr>
          <w:u w:val="single"/>
        </w:rPr>
        <w:t>Private drug treatment centres</w:t>
      </w:r>
      <w:r>
        <w:rPr>
          <w:b/>
          <w:bCs/>
        </w:rPr>
        <w:t xml:space="preserve">. </w:t>
      </w:r>
      <w:r w:rsidRPr="00257D29">
        <w:t>Reports</w:t>
      </w:r>
      <w:r>
        <w:rPr>
          <w:b/>
          <w:bCs/>
        </w:rPr>
        <w:t xml:space="preserve"> </w:t>
      </w:r>
      <w:r w:rsidRPr="00257D29">
        <w:t>show</w:t>
      </w:r>
      <w:r>
        <w:t xml:space="preserve"> that in some countries people who use drugs </w:t>
      </w:r>
      <w:r w:rsidR="00EB6B24">
        <w:t xml:space="preserve">are interned into private drug treatment centres </w:t>
      </w:r>
      <w:r>
        <w:t>against their will</w:t>
      </w:r>
      <w:r w:rsidR="00EB6B24">
        <w:t>,</w:t>
      </w:r>
      <w:r>
        <w:t xml:space="preserve"> </w:t>
      </w:r>
      <w:r w:rsidR="00EB6B24">
        <w:t xml:space="preserve">as </w:t>
      </w:r>
      <w:r>
        <w:t xml:space="preserve">they </w:t>
      </w:r>
      <w:r w:rsidR="00EB6B24">
        <w:t xml:space="preserve">are </w:t>
      </w:r>
      <w:r>
        <w:t>brought in by law enforcement officials, family members, or centres’ staff. Private treatment centres have been linked to serious human rights violations related to lack of evidence-based treatment, physical violence, humiliation, harsh discipline, and cruel punishments.</w:t>
      </w:r>
      <w:r w:rsidRPr="00257D29">
        <w:t xml:space="preserve"> </w:t>
      </w:r>
    </w:p>
    <w:p w14:paraId="47339A80" w14:textId="6A75AB96" w:rsidR="00257D29" w:rsidRDefault="00257D29" w:rsidP="00B93003">
      <w:pPr>
        <w:pStyle w:val="ListParagraph"/>
        <w:numPr>
          <w:ilvl w:val="0"/>
          <w:numId w:val="29"/>
        </w:numPr>
        <w:pBdr>
          <w:top w:val="nil"/>
          <w:left w:val="nil"/>
          <w:bottom w:val="nil"/>
          <w:right w:val="nil"/>
          <w:between w:val="nil"/>
        </w:pBdr>
        <w:spacing w:after="200" w:line="276" w:lineRule="auto"/>
        <w:jc w:val="both"/>
      </w:pPr>
      <w:r>
        <w:rPr>
          <w:u w:val="single"/>
        </w:rPr>
        <w:t>Compulsory treatment based on administrative or criminal law</w:t>
      </w:r>
      <w:r>
        <w:t xml:space="preserve">. </w:t>
      </w:r>
      <w:r w:rsidR="00B93003" w:rsidRPr="00EB6B24">
        <w:rPr>
          <w:i/>
          <w:iCs/>
        </w:rPr>
        <w:t>The Working Group has expressed concern at administrative detention “imposed as a means of controlling people who use drugs, especially when such detentions are framed as health interventions”. Detention for drug use or dependence alone could never be “justified, adequate, necessary and proportional” to the aim of protecting the health or life of the drug user or of others in the community</w:t>
      </w:r>
      <w:r w:rsidR="00EB6B24" w:rsidRPr="00EB6B24">
        <w:rPr>
          <w:rStyle w:val="FootnoteReference"/>
          <w:i/>
          <w:iCs/>
        </w:rPr>
        <w:footnoteReference w:id="4"/>
      </w:r>
      <w:r w:rsidR="00B93003" w:rsidRPr="00EB6B24">
        <w:rPr>
          <w:i/>
          <w:iCs/>
        </w:rPr>
        <w:t xml:space="preserve">. Courts should not be involved in mandating or supervising drug treatment, </w:t>
      </w:r>
      <w:r w:rsidR="00EB6B24">
        <w:rPr>
          <w:i/>
          <w:iCs/>
        </w:rPr>
        <w:t xml:space="preserve">which </w:t>
      </w:r>
      <w:r w:rsidR="00B93003" w:rsidRPr="00EB6B24">
        <w:rPr>
          <w:i/>
          <w:iCs/>
        </w:rPr>
        <w:t>should be left exclusively to health professionals.</w:t>
      </w:r>
    </w:p>
    <w:p w14:paraId="677E3CDE" w14:textId="02700EF9" w:rsidR="00B93003" w:rsidRPr="00B93003" w:rsidRDefault="00B93003" w:rsidP="00B93003">
      <w:pPr>
        <w:pBdr>
          <w:top w:val="nil"/>
          <w:left w:val="nil"/>
          <w:bottom w:val="nil"/>
          <w:right w:val="nil"/>
          <w:between w:val="nil"/>
        </w:pBdr>
        <w:spacing w:after="200" w:line="276" w:lineRule="auto"/>
        <w:jc w:val="both"/>
        <w:rPr>
          <w:b/>
          <w:bCs/>
        </w:rPr>
      </w:pPr>
      <w:r w:rsidRPr="00B93003">
        <w:rPr>
          <w:b/>
          <w:bCs/>
        </w:rPr>
        <w:t>Minor drug offences and decriminalization</w:t>
      </w:r>
    </w:p>
    <w:p w14:paraId="0ED35393" w14:textId="5E6F7CDE" w:rsidR="00566B64" w:rsidRPr="00566B64" w:rsidRDefault="00566B64" w:rsidP="00B93003">
      <w:pPr>
        <w:pBdr>
          <w:top w:val="nil"/>
          <w:left w:val="nil"/>
          <w:bottom w:val="nil"/>
          <w:right w:val="nil"/>
          <w:between w:val="nil"/>
        </w:pBdr>
        <w:spacing w:after="200" w:line="276" w:lineRule="auto"/>
        <w:jc w:val="both"/>
        <w:rPr>
          <w:u w:val="single"/>
        </w:rPr>
      </w:pPr>
      <w:r w:rsidRPr="00566B64">
        <w:rPr>
          <w:u w:val="single"/>
        </w:rPr>
        <w:t>Diversion</w:t>
      </w:r>
    </w:p>
    <w:p w14:paraId="5A62E9BE" w14:textId="13BE83CF" w:rsidR="00566B64" w:rsidRPr="00EB6B24" w:rsidRDefault="00566B64" w:rsidP="00B93003">
      <w:pPr>
        <w:pBdr>
          <w:top w:val="nil"/>
          <w:left w:val="nil"/>
          <w:bottom w:val="nil"/>
          <w:right w:val="nil"/>
          <w:between w:val="nil"/>
        </w:pBdr>
        <w:spacing w:after="200" w:line="276" w:lineRule="auto"/>
        <w:jc w:val="both"/>
        <w:rPr>
          <w:i/>
          <w:iCs/>
        </w:rPr>
      </w:pPr>
      <w:r w:rsidRPr="00EB6B24">
        <w:rPr>
          <w:i/>
          <w:iCs/>
        </w:rPr>
        <w:t xml:space="preserve">The United Nations Convention against Illicit Traffic in Narcotic Drugs and Psychotropic Substances of 1988 provides that, in appropriate cases of a minor nature, the Parties may provide, as alternatives to conviction or punishment, measure such as treatment and aftercare when the offender is a drug abuser (art. 3 (4) (c)). </w:t>
      </w:r>
    </w:p>
    <w:p w14:paraId="291D8EC7" w14:textId="5B9FBAC3" w:rsidR="00B93003" w:rsidRDefault="00566B64" w:rsidP="00B93003">
      <w:pPr>
        <w:pBdr>
          <w:top w:val="nil"/>
          <w:left w:val="nil"/>
          <w:bottom w:val="nil"/>
          <w:right w:val="nil"/>
          <w:between w:val="nil"/>
        </w:pBdr>
        <w:spacing w:after="200" w:line="276" w:lineRule="auto"/>
        <w:jc w:val="both"/>
      </w:pPr>
      <w:r>
        <w:t xml:space="preserve">Our study collates a number of examples of </w:t>
      </w:r>
      <w:r w:rsidR="00EB6B24">
        <w:t>diversion adopted in States</w:t>
      </w:r>
      <w:r>
        <w:t xml:space="preserve">. </w:t>
      </w:r>
      <w:r w:rsidRPr="00EB6B24">
        <w:rPr>
          <w:i/>
          <w:iCs/>
        </w:rPr>
        <w:t>An important question is what constitutes a minor offence. The classification of the amount of a drug that exceeds what is considered reasonable for personal use frequently creates a legal presumption in national law of a trafficking offence, with severe criminal penalties. In some States, the quantity is set quite low or no definition is provided at all, facilitating arbitrary detention of people who use or possess drugs in small quantities for personal use. The Working Group has recommended that States legislate reasonable threshold amounts to distinguish between drug possession for personal use and the offence of trafficking so that the more serious charge is used only when appropriate</w:t>
      </w:r>
      <w:r w:rsidR="00EB6B24">
        <w:rPr>
          <w:rStyle w:val="FootnoteReference"/>
          <w:i/>
          <w:iCs/>
        </w:rPr>
        <w:footnoteReference w:id="5"/>
      </w:r>
      <w:r>
        <w:t>.</w:t>
      </w:r>
    </w:p>
    <w:p w14:paraId="43719692" w14:textId="2A2485BD" w:rsidR="00566B64" w:rsidRDefault="00566B64" w:rsidP="00B93003">
      <w:pPr>
        <w:pBdr>
          <w:top w:val="nil"/>
          <w:left w:val="nil"/>
          <w:bottom w:val="nil"/>
          <w:right w:val="nil"/>
          <w:between w:val="nil"/>
        </w:pBdr>
        <w:spacing w:after="200" w:line="276" w:lineRule="auto"/>
        <w:jc w:val="both"/>
        <w:rPr>
          <w:u w:val="single"/>
        </w:rPr>
      </w:pPr>
      <w:r w:rsidRPr="00566B64">
        <w:rPr>
          <w:u w:val="single"/>
        </w:rPr>
        <w:t>Decriminalization</w:t>
      </w:r>
    </w:p>
    <w:p w14:paraId="59C0141B" w14:textId="1A712927" w:rsidR="00566B64" w:rsidRPr="00EB6B24" w:rsidRDefault="00566B64" w:rsidP="00B93003">
      <w:pPr>
        <w:pBdr>
          <w:top w:val="nil"/>
          <w:left w:val="nil"/>
          <w:bottom w:val="nil"/>
          <w:right w:val="nil"/>
          <w:between w:val="nil"/>
        </w:pBdr>
        <w:spacing w:after="200" w:line="276" w:lineRule="auto"/>
        <w:jc w:val="both"/>
        <w:rPr>
          <w:i/>
          <w:iCs/>
        </w:rPr>
      </w:pPr>
      <w:r w:rsidRPr="00EB6B24">
        <w:rPr>
          <w:i/>
          <w:iCs/>
        </w:rPr>
        <w:t>While the 1988 Drug Convention provides for the criminalization of personal use or possession for personal use of drugs, it allows for an exception to criminalization where it is incompatible with a State’s constitutional principles and the basic concepts of its legal system (art. 3 (1) (c)).</w:t>
      </w:r>
    </w:p>
    <w:p w14:paraId="0E153603" w14:textId="79730EBE" w:rsidR="00EB6B24" w:rsidRPr="00EB6B24" w:rsidRDefault="00566B64" w:rsidP="00B93003">
      <w:pPr>
        <w:pBdr>
          <w:top w:val="nil"/>
          <w:left w:val="nil"/>
          <w:bottom w:val="nil"/>
          <w:right w:val="nil"/>
          <w:between w:val="nil"/>
        </w:pBdr>
        <w:spacing w:after="200" w:line="276" w:lineRule="auto"/>
        <w:jc w:val="both"/>
        <w:rPr>
          <w:i/>
          <w:iCs/>
        </w:rPr>
      </w:pPr>
      <w:r w:rsidRPr="00EB6B24">
        <w:rPr>
          <w:i/>
          <w:iCs/>
        </w:rPr>
        <w:t>122. The Working Group has stated that “criminalization of drug use or consumption should be avoided by all States”</w:t>
      </w:r>
      <w:r w:rsidR="002323CC">
        <w:rPr>
          <w:rStyle w:val="FootnoteReference"/>
          <w:i/>
          <w:iCs/>
        </w:rPr>
        <w:footnoteReference w:id="6"/>
      </w:r>
      <w:r w:rsidRPr="00EB6B24">
        <w:rPr>
          <w:i/>
          <w:iCs/>
        </w:rPr>
        <w:t>, and that “States should revise their penal policies and drug legislation with the aim of … decriminalizing the personal use of drugs and minor drug offences”</w:t>
      </w:r>
      <w:r w:rsidR="002323CC">
        <w:rPr>
          <w:rStyle w:val="FootnoteReference"/>
          <w:i/>
          <w:iCs/>
        </w:rPr>
        <w:footnoteReference w:id="7"/>
      </w:r>
      <w:r w:rsidRPr="00EB6B24">
        <w:rPr>
          <w:i/>
          <w:iCs/>
        </w:rPr>
        <w:t>. Drug use and dependence should not be treated as a criminal matter, but rather as a health issue, and addressed with rights-based measures. The study underlines that other UN bodies and mechanisms, including the Special Rapporteur on the right to health and the United Nations system common position on drugs</w:t>
      </w:r>
      <w:r w:rsidR="00EB6B24" w:rsidRPr="00EB6B24">
        <w:rPr>
          <w:i/>
          <w:iCs/>
        </w:rPr>
        <w:t>, have also called for decriminalization.</w:t>
      </w:r>
    </w:p>
    <w:p w14:paraId="1B33E940" w14:textId="6EF2B4D0" w:rsidR="00566B64" w:rsidRDefault="00EB6B24" w:rsidP="00B93003">
      <w:pPr>
        <w:pBdr>
          <w:top w:val="nil"/>
          <w:left w:val="nil"/>
          <w:bottom w:val="nil"/>
          <w:right w:val="nil"/>
          <w:between w:val="nil"/>
        </w:pBdr>
        <w:spacing w:after="200" w:line="276" w:lineRule="auto"/>
        <w:jc w:val="both"/>
        <w:rPr>
          <w:b/>
          <w:bCs/>
        </w:rPr>
      </w:pPr>
      <w:r w:rsidRPr="00EB6B24">
        <w:rPr>
          <w:b/>
          <w:bCs/>
        </w:rPr>
        <w:t>Conclusions</w:t>
      </w:r>
    </w:p>
    <w:p w14:paraId="1DC95E06" w14:textId="6E3B20C6" w:rsidR="00EB6B24" w:rsidRPr="00EB6B24" w:rsidRDefault="00EB6B24" w:rsidP="00B93003">
      <w:pPr>
        <w:pBdr>
          <w:top w:val="nil"/>
          <w:left w:val="nil"/>
          <w:bottom w:val="nil"/>
          <w:right w:val="nil"/>
          <w:between w:val="nil"/>
        </w:pBdr>
        <w:spacing w:after="200" w:line="276" w:lineRule="auto"/>
        <w:jc w:val="both"/>
      </w:pPr>
      <w:r>
        <w:t xml:space="preserve">The study concludes with a series of recommendations addressed at member States that follow from the findings and observations made above. </w:t>
      </w:r>
    </w:p>
    <w:p w14:paraId="3CA9E7C6" w14:textId="77777777" w:rsidR="002323CC" w:rsidRPr="00EB6B24" w:rsidRDefault="002323CC">
      <w:pPr>
        <w:pBdr>
          <w:top w:val="nil"/>
          <w:left w:val="nil"/>
          <w:bottom w:val="nil"/>
          <w:right w:val="nil"/>
          <w:between w:val="nil"/>
        </w:pBdr>
        <w:spacing w:after="200" w:line="276" w:lineRule="auto"/>
        <w:jc w:val="both"/>
      </w:pPr>
    </w:p>
    <w:sectPr w:rsidR="002323CC" w:rsidRPr="00EB6B24" w:rsidSect="00F604F6">
      <w:headerReference w:type="default" r:id="rId8"/>
      <w:endnotePr>
        <w:numFmt w:val="decimal"/>
      </w:endnotePr>
      <w:pgSz w:w="11906" w:h="16838"/>
      <w:pgMar w:top="1701" w:right="1134"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D6F1" w14:textId="77777777" w:rsidR="00066684" w:rsidRDefault="00066684">
      <w:r>
        <w:separator/>
      </w:r>
    </w:p>
  </w:endnote>
  <w:endnote w:type="continuationSeparator" w:id="0">
    <w:p w14:paraId="6E989C64" w14:textId="77777777" w:rsidR="00066684" w:rsidRDefault="0006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7DA9" w14:textId="77777777" w:rsidR="00066684" w:rsidRDefault="00066684">
      <w:r>
        <w:separator/>
      </w:r>
    </w:p>
  </w:footnote>
  <w:footnote w:type="continuationSeparator" w:id="0">
    <w:p w14:paraId="6DA26E93" w14:textId="77777777" w:rsidR="00066684" w:rsidRDefault="00066684">
      <w:r>
        <w:continuationSeparator/>
      </w:r>
    </w:p>
  </w:footnote>
  <w:footnote w:id="1">
    <w:p w14:paraId="40DE86CB" w14:textId="77777777" w:rsidR="004378FD" w:rsidRPr="004378FD" w:rsidRDefault="004378FD" w:rsidP="004378FD">
      <w:pPr>
        <w:pStyle w:val="FootnoteText"/>
        <w:rPr>
          <w:lang w:val="es-ES"/>
        </w:rPr>
      </w:pPr>
      <w:r>
        <w:rPr>
          <w:rStyle w:val="FootnoteReference"/>
        </w:rPr>
        <w:footnoteRef/>
      </w:r>
      <w:r w:rsidRPr="004378FD">
        <w:rPr>
          <w:lang w:val="es-ES"/>
        </w:rPr>
        <w:t xml:space="preserve"> </w:t>
      </w:r>
      <w:hyperlink r:id="rId1" w:history="1">
        <w:r w:rsidRPr="00A4042B">
          <w:rPr>
            <w:rStyle w:val="Hyperlink"/>
            <w:lang w:val="es-ES"/>
          </w:rPr>
          <w:t>https://undocs.org/Home/Mobile?FinalSymbol=A%2FHRC%2FRES%2F42%2F22&amp;Language=E&amp;DeviceType=Desktop&amp;LangRequested=False</w:t>
        </w:r>
      </w:hyperlink>
      <w:r>
        <w:rPr>
          <w:lang w:val="es-ES"/>
        </w:rPr>
        <w:t xml:space="preserve"> </w:t>
      </w:r>
    </w:p>
  </w:footnote>
  <w:footnote w:id="2">
    <w:p w14:paraId="41F55D5F" w14:textId="77777777" w:rsidR="004378FD" w:rsidRPr="00D46A54" w:rsidRDefault="004378FD" w:rsidP="004378FD">
      <w:pPr>
        <w:pStyle w:val="FootnoteText"/>
        <w:rPr>
          <w:lang w:val="es-ES"/>
        </w:rPr>
      </w:pPr>
      <w:r>
        <w:rPr>
          <w:rStyle w:val="FootnoteReference"/>
        </w:rPr>
        <w:footnoteRef/>
      </w:r>
      <w:r w:rsidRPr="00D46A54">
        <w:rPr>
          <w:lang w:val="es-ES"/>
        </w:rPr>
        <w:t xml:space="preserve"> </w:t>
      </w:r>
      <w:hyperlink r:id="rId2" w:history="1">
        <w:r w:rsidRPr="00A4042B">
          <w:rPr>
            <w:rStyle w:val="Hyperlink"/>
            <w:lang w:val="es-ES"/>
          </w:rPr>
          <w:t>https://www.ohchr.org/en/documents/thematic-reports/ahrc4740-arbitrary-detention-relating-drug-policies-study-working-group</w:t>
        </w:r>
      </w:hyperlink>
      <w:r>
        <w:rPr>
          <w:lang w:val="es-ES"/>
        </w:rPr>
        <w:t xml:space="preserve"> </w:t>
      </w:r>
    </w:p>
  </w:footnote>
  <w:footnote w:id="3">
    <w:p w14:paraId="2F164EE3" w14:textId="49C25CDD" w:rsidR="00EB6B24" w:rsidRPr="00EB6B24" w:rsidRDefault="00EB6B24">
      <w:pPr>
        <w:pStyle w:val="FootnoteText"/>
      </w:pPr>
      <w:r>
        <w:rPr>
          <w:rStyle w:val="FootnoteReference"/>
        </w:rPr>
        <w:footnoteRef/>
      </w:r>
      <w:r>
        <w:t xml:space="preserve"> UNODC, World Drug Report 2017, p. 13.</w:t>
      </w:r>
    </w:p>
  </w:footnote>
  <w:footnote w:id="4">
    <w:p w14:paraId="58A14DDE" w14:textId="394FF1A2" w:rsidR="00EB6B24" w:rsidRPr="00EB6B24" w:rsidRDefault="00EB6B24">
      <w:pPr>
        <w:pStyle w:val="FootnoteText"/>
        <w:rPr>
          <w:lang w:val="es-ES"/>
        </w:rPr>
      </w:pPr>
      <w:r>
        <w:rPr>
          <w:rStyle w:val="FootnoteReference"/>
        </w:rPr>
        <w:footnoteRef/>
      </w:r>
      <w:r>
        <w:t xml:space="preserve"> A/HRC/30/36, para. 59</w:t>
      </w:r>
    </w:p>
  </w:footnote>
  <w:footnote w:id="5">
    <w:p w14:paraId="19CCA1D6" w14:textId="196C56BD" w:rsidR="00EB6B24" w:rsidRPr="00EB6B24" w:rsidRDefault="00EB6B24">
      <w:pPr>
        <w:pStyle w:val="FootnoteText"/>
        <w:rPr>
          <w:lang w:val="es-ES"/>
        </w:rPr>
      </w:pPr>
      <w:r>
        <w:rPr>
          <w:rStyle w:val="FootnoteReference"/>
        </w:rPr>
        <w:footnoteRef/>
      </w:r>
      <w:r>
        <w:t xml:space="preserve"> See BLR 6/2019 (available from https://spcommreports.ohchr.org/Tmsearch/TMDocuments); A/HRC/42/39/Add.1, paras. 72–78. </w:t>
      </w:r>
    </w:p>
  </w:footnote>
  <w:footnote w:id="6">
    <w:p w14:paraId="4A7B6008" w14:textId="04AFB063" w:rsidR="002323CC" w:rsidRPr="002323CC" w:rsidRDefault="002323CC">
      <w:pPr>
        <w:pStyle w:val="FootnoteText"/>
        <w:rPr>
          <w:lang w:val="es-ES"/>
        </w:rPr>
      </w:pPr>
      <w:r>
        <w:rPr>
          <w:rStyle w:val="FootnoteReference"/>
        </w:rPr>
        <w:footnoteRef/>
      </w:r>
      <w:r>
        <w:t xml:space="preserve"> Working Group on Arbitrary Detention, “States should stop arbitrary detentions for drug offences, say UN rights experts”; A/HRC/39/45/Add.2, para. 88 (a)–(b).</w:t>
      </w:r>
    </w:p>
  </w:footnote>
  <w:footnote w:id="7">
    <w:p w14:paraId="4E098689" w14:textId="2182D08A" w:rsidR="002323CC" w:rsidRPr="002323CC" w:rsidRDefault="002323CC">
      <w:pPr>
        <w:pStyle w:val="FootnoteText"/>
      </w:pPr>
      <w:r>
        <w:rPr>
          <w:rStyle w:val="FootnoteReference"/>
        </w:rPr>
        <w:footnoteRef/>
      </w:r>
      <w:r>
        <w:t xml:space="preserve"> Working Group on Arbitrary Detention, “States should stop arbitrary detentions for drug offences, say UN rights experts”; statement of the Working Group at the 63rd session of the Commission on Narcotic Drugs, 2–6 March 2020, Item No. 3, general debate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E256" w14:textId="4A7EB495" w:rsidR="00A667FB" w:rsidRDefault="0048440F" w:rsidP="0048440F">
    <w:pPr>
      <w:pStyle w:val="Heading7"/>
    </w:pPr>
    <w:r>
      <w:t>Summary of the Working Group on Arbitrary Detention’s study on drug policies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EE3"/>
    <w:multiLevelType w:val="hybridMultilevel"/>
    <w:tmpl w:val="C84A5CB2"/>
    <w:lvl w:ilvl="0" w:tplc="6D085B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17553"/>
    <w:multiLevelType w:val="hybridMultilevel"/>
    <w:tmpl w:val="6524928C"/>
    <w:lvl w:ilvl="0" w:tplc="A4420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67903"/>
    <w:multiLevelType w:val="hybridMultilevel"/>
    <w:tmpl w:val="6B506666"/>
    <w:lvl w:ilvl="0" w:tplc="6A1876DC">
      <w:start w:val="1"/>
      <w:numFmt w:val="lowerLetter"/>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3BE9"/>
    <w:multiLevelType w:val="hybridMultilevel"/>
    <w:tmpl w:val="C228101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C0AA4"/>
    <w:multiLevelType w:val="hybridMultilevel"/>
    <w:tmpl w:val="35EC128A"/>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36658"/>
    <w:multiLevelType w:val="hybridMultilevel"/>
    <w:tmpl w:val="C228101E"/>
    <w:lvl w:ilvl="0" w:tplc="B6627942">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A398A"/>
    <w:multiLevelType w:val="multilevel"/>
    <w:tmpl w:val="586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E6AD5"/>
    <w:multiLevelType w:val="multilevel"/>
    <w:tmpl w:val="8176F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C2683"/>
    <w:multiLevelType w:val="hybridMultilevel"/>
    <w:tmpl w:val="4FBE9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2016"/>
    <w:multiLevelType w:val="hybridMultilevel"/>
    <w:tmpl w:val="D61C673A"/>
    <w:lvl w:ilvl="0" w:tplc="939C64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50F55"/>
    <w:multiLevelType w:val="hybridMultilevel"/>
    <w:tmpl w:val="F858C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42B70"/>
    <w:multiLevelType w:val="hybridMultilevel"/>
    <w:tmpl w:val="261EC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B3A1F"/>
    <w:multiLevelType w:val="hybridMultilevel"/>
    <w:tmpl w:val="5F4C7DF4"/>
    <w:lvl w:ilvl="0" w:tplc="7A1851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9067E"/>
    <w:multiLevelType w:val="hybridMultilevel"/>
    <w:tmpl w:val="6860B5AE"/>
    <w:lvl w:ilvl="0" w:tplc="F4F4E85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AE314B"/>
    <w:multiLevelType w:val="multilevel"/>
    <w:tmpl w:val="759C5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AA37D3"/>
    <w:multiLevelType w:val="multilevel"/>
    <w:tmpl w:val="A1C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537E0"/>
    <w:multiLevelType w:val="hybridMultilevel"/>
    <w:tmpl w:val="8D2088B2"/>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97439"/>
    <w:multiLevelType w:val="hybridMultilevel"/>
    <w:tmpl w:val="21F2B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83319"/>
    <w:multiLevelType w:val="multilevel"/>
    <w:tmpl w:val="F0B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B6768"/>
    <w:multiLevelType w:val="hybridMultilevel"/>
    <w:tmpl w:val="28AEE87C"/>
    <w:lvl w:ilvl="0" w:tplc="6DD29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66311"/>
    <w:multiLevelType w:val="hybridMultilevel"/>
    <w:tmpl w:val="C240B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F8E4A93"/>
    <w:multiLevelType w:val="hybridMultilevel"/>
    <w:tmpl w:val="729E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76DAE"/>
    <w:multiLevelType w:val="hybridMultilevel"/>
    <w:tmpl w:val="E4A06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D80F0F"/>
    <w:multiLevelType w:val="multilevel"/>
    <w:tmpl w:val="EDE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31441A"/>
    <w:multiLevelType w:val="multilevel"/>
    <w:tmpl w:val="CAA6B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D37B5C"/>
    <w:multiLevelType w:val="hybridMultilevel"/>
    <w:tmpl w:val="FF180460"/>
    <w:lvl w:ilvl="0" w:tplc="29EE17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AE5E43"/>
    <w:multiLevelType w:val="multilevel"/>
    <w:tmpl w:val="118EF79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E2B323E"/>
    <w:multiLevelType w:val="multilevel"/>
    <w:tmpl w:val="55922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7D8079CC"/>
    <w:multiLevelType w:val="multilevel"/>
    <w:tmpl w:val="CCF684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7"/>
  </w:num>
  <w:num w:numId="2">
    <w:abstractNumId w:val="24"/>
  </w:num>
  <w:num w:numId="3">
    <w:abstractNumId w:val="26"/>
  </w:num>
  <w:num w:numId="4">
    <w:abstractNumId w:val="14"/>
  </w:num>
  <w:num w:numId="5">
    <w:abstractNumId w:val="7"/>
  </w:num>
  <w:num w:numId="6">
    <w:abstractNumId w:val="28"/>
  </w:num>
  <w:num w:numId="7">
    <w:abstractNumId w:val="25"/>
  </w:num>
  <w:num w:numId="8">
    <w:abstractNumId w:val="0"/>
  </w:num>
  <w:num w:numId="9">
    <w:abstractNumId w:val="4"/>
  </w:num>
  <w:num w:numId="10">
    <w:abstractNumId w:val="16"/>
  </w:num>
  <w:num w:numId="11">
    <w:abstractNumId w:val="5"/>
  </w:num>
  <w:num w:numId="12">
    <w:abstractNumId w:val="13"/>
  </w:num>
  <w:num w:numId="13">
    <w:abstractNumId w:val="22"/>
  </w:num>
  <w:num w:numId="14">
    <w:abstractNumId w:val="21"/>
  </w:num>
  <w:num w:numId="15">
    <w:abstractNumId w:val="9"/>
  </w:num>
  <w:num w:numId="16">
    <w:abstractNumId w:val="10"/>
  </w:num>
  <w:num w:numId="17">
    <w:abstractNumId w:val="20"/>
  </w:num>
  <w:num w:numId="18">
    <w:abstractNumId w:val="23"/>
  </w:num>
  <w:num w:numId="19">
    <w:abstractNumId w:val="15"/>
  </w:num>
  <w:num w:numId="20">
    <w:abstractNumId w:val="6"/>
  </w:num>
  <w:num w:numId="21">
    <w:abstractNumId w:val="18"/>
  </w:num>
  <w:num w:numId="22">
    <w:abstractNumId w:val="3"/>
  </w:num>
  <w:num w:numId="23">
    <w:abstractNumId w:val="8"/>
  </w:num>
  <w:num w:numId="24">
    <w:abstractNumId w:val="17"/>
  </w:num>
  <w:num w:numId="25">
    <w:abstractNumId w:val="11"/>
  </w:num>
  <w:num w:numId="26">
    <w:abstractNumId w:val="2"/>
  </w:num>
  <w:num w:numId="27">
    <w:abstractNumId w:val="19"/>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BB"/>
    <w:rsid w:val="0000046B"/>
    <w:rsid w:val="00002A13"/>
    <w:rsid w:val="00012913"/>
    <w:rsid w:val="0001644E"/>
    <w:rsid w:val="00026774"/>
    <w:rsid w:val="00026988"/>
    <w:rsid w:val="00026F02"/>
    <w:rsid w:val="000313D6"/>
    <w:rsid w:val="00032E3D"/>
    <w:rsid w:val="00035228"/>
    <w:rsid w:val="000366A0"/>
    <w:rsid w:val="00040A95"/>
    <w:rsid w:val="0004107F"/>
    <w:rsid w:val="000418D6"/>
    <w:rsid w:val="0004630E"/>
    <w:rsid w:val="00055438"/>
    <w:rsid w:val="000557ED"/>
    <w:rsid w:val="000631F6"/>
    <w:rsid w:val="00064DD1"/>
    <w:rsid w:val="00064F8A"/>
    <w:rsid w:val="00065FA2"/>
    <w:rsid w:val="0006629F"/>
    <w:rsid w:val="00066684"/>
    <w:rsid w:val="00083BD4"/>
    <w:rsid w:val="00085A47"/>
    <w:rsid w:val="00087A46"/>
    <w:rsid w:val="00090498"/>
    <w:rsid w:val="000A7989"/>
    <w:rsid w:val="000B2070"/>
    <w:rsid w:val="000B5358"/>
    <w:rsid w:val="000B73DD"/>
    <w:rsid w:val="000B775A"/>
    <w:rsid w:val="000C41B2"/>
    <w:rsid w:val="000C5534"/>
    <w:rsid w:val="000C7260"/>
    <w:rsid w:val="000D26DF"/>
    <w:rsid w:val="000D4C71"/>
    <w:rsid w:val="000D7A41"/>
    <w:rsid w:val="000E0D29"/>
    <w:rsid w:val="000E3E4C"/>
    <w:rsid w:val="000E3FD8"/>
    <w:rsid w:val="000E451C"/>
    <w:rsid w:val="0010109C"/>
    <w:rsid w:val="00107991"/>
    <w:rsid w:val="00111E2B"/>
    <w:rsid w:val="001131F8"/>
    <w:rsid w:val="00113675"/>
    <w:rsid w:val="00113BCF"/>
    <w:rsid w:val="0011494B"/>
    <w:rsid w:val="00116372"/>
    <w:rsid w:val="00126799"/>
    <w:rsid w:val="00127030"/>
    <w:rsid w:val="00135671"/>
    <w:rsid w:val="001401A5"/>
    <w:rsid w:val="0014611B"/>
    <w:rsid w:val="001463D9"/>
    <w:rsid w:val="00151478"/>
    <w:rsid w:val="00152015"/>
    <w:rsid w:val="00156784"/>
    <w:rsid w:val="00157636"/>
    <w:rsid w:val="001615BB"/>
    <w:rsid w:val="0016180D"/>
    <w:rsid w:val="00165F85"/>
    <w:rsid w:val="001736D1"/>
    <w:rsid w:val="00173DD2"/>
    <w:rsid w:val="00173F1E"/>
    <w:rsid w:val="0018067C"/>
    <w:rsid w:val="00183820"/>
    <w:rsid w:val="001A1326"/>
    <w:rsid w:val="001A1798"/>
    <w:rsid w:val="001A77E5"/>
    <w:rsid w:val="001B0FD9"/>
    <w:rsid w:val="001B1883"/>
    <w:rsid w:val="001B7A9C"/>
    <w:rsid w:val="001C04C6"/>
    <w:rsid w:val="001D47FC"/>
    <w:rsid w:val="001D49E1"/>
    <w:rsid w:val="001E055A"/>
    <w:rsid w:val="001E58AA"/>
    <w:rsid w:val="001F154C"/>
    <w:rsid w:val="001F1743"/>
    <w:rsid w:val="001F188B"/>
    <w:rsid w:val="001F290B"/>
    <w:rsid w:val="001F56A3"/>
    <w:rsid w:val="001F6E84"/>
    <w:rsid w:val="00200ED1"/>
    <w:rsid w:val="002016DE"/>
    <w:rsid w:val="00212B4F"/>
    <w:rsid w:val="0022002A"/>
    <w:rsid w:val="00220BDC"/>
    <w:rsid w:val="002323CC"/>
    <w:rsid w:val="00232E75"/>
    <w:rsid w:val="00235F5B"/>
    <w:rsid w:val="00236AE7"/>
    <w:rsid w:val="00253022"/>
    <w:rsid w:val="00253714"/>
    <w:rsid w:val="00257330"/>
    <w:rsid w:val="00257D29"/>
    <w:rsid w:val="00257FD2"/>
    <w:rsid w:val="00263E5B"/>
    <w:rsid w:val="00265455"/>
    <w:rsid w:val="002704BC"/>
    <w:rsid w:val="002725B0"/>
    <w:rsid w:val="002735F8"/>
    <w:rsid w:val="00275DD0"/>
    <w:rsid w:val="00276D59"/>
    <w:rsid w:val="0028179A"/>
    <w:rsid w:val="00281E01"/>
    <w:rsid w:val="002840D9"/>
    <w:rsid w:val="00284CA0"/>
    <w:rsid w:val="00285988"/>
    <w:rsid w:val="0029184B"/>
    <w:rsid w:val="00295BD7"/>
    <w:rsid w:val="0029691F"/>
    <w:rsid w:val="002A242B"/>
    <w:rsid w:val="002A7747"/>
    <w:rsid w:val="002B059A"/>
    <w:rsid w:val="002B4AD0"/>
    <w:rsid w:val="002B5E39"/>
    <w:rsid w:val="002D17C4"/>
    <w:rsid w:val="002D1908"/>
    <w:rsid w:val="002D632A"/>
    <w:rsid w:val="002D70A4"/>
    <w:rsid w:val="002F34D5"/>
    <w:rsid w:val="002F673C"/>
    <w:rsid w:val="00301639"/>
    <w:rsid w:val="0031092A"/>
    <w:rsid w:val="00331EEC"/>
    <w:rsid w:val="00334117"/>
    <w:rsid w:val="003362E6"/>
    <w:rsid w:val="00336FBD"/>
    <w:rsid w:val="0034097B"/>
    <w:rsid w:val="00341A52"/>
    <w:rsid w:val="00342A4E"/>
    <w:rsid w:val="003442A6"/>
    <w:rsid w:val="00347109"/>
    <w:rsid w:val="003514CA"/>
    <w:rsid w:val="003551C6"/>
    <w:rsid w:val="0035687C"/>
    <w:rsid w:val="00356D37"/>
    <w:rsid w:val="003605ED"/>
    <w:rsid w:val="00367075"/>
    <w:rsid w:val="0037112C"/>
    <w:rsid w:val="00374CC0"/>
    <w:rsid w:val="00376E00"/>
    <w:rsid w:val="00384330"/>
    <w:rsid w:val="003857C0"/>
    <w:rsid w:val="00395A9A"/>
    <w:rsid w:val="003B0964"/>
    <w:rsid w:val="003C7789"/>
    <w:rsid w:val="003C7E26"/>
    <w:rsid w:val="003D02F5"/>
    <w:rsid w:val="003D2C31"/>
    <w:rsid w:val="003D2C85"/>
    <w:rsid w:val="003D3E30"/>
    <w:rsid w:val="003E0E3E"/>
    <w:rsid w:val="003F36D6"/>
    <w:rsid w:val="003F469C"/>
    <w:rsid w:val="003F4940"/>
    <w:rsid w:val="003F59B5"/>
    <w:rsid w:val="003F6221"/>
    <w:rsid w:val="0040555E"/>
    <w:rsid w:val="0040794D"/>
    <w:rsid w:val="00413D17"/>
    <w:rsid w:val="00417E34"/>
    <w:rsid w:val="00427B55"/>
    <w:rsid w:val="004329B7"/>
    <w:rsid w:val="004343CD"/>
    <w:rsid w:val="004378FD"/>
    <w:rsid w:val="00437ACF"/>
    <w:rsid w:val="0044173D"/>
    <w:rsid w:val="00450DBA"/>
    <w:rsid w:val="004549B2"/>
    <w:rsid w:val="00461DFE"/>
    <w:rsid w:val="00466278"/>
    <w:rsid w:val="00470440"/>
    <w:rsid w:val="00470AA8"/>
    <w:rsid w:val="00473891"/>
    <w:rsid w:val="0047525F"/>
    <w:rsid w:val="00475E2E"/>
    <w:rsid w:val="004835AC"/>
    <w:rsid w:val="00484074"/>
    <w:rsid w:val="0048440F"/>
    <w:rsid w:val="0048682E"/>
    <w:rsid w:val="0048790A"/>
    <w:rsid w:val="00487C8D"/>
    <w:rsid w:val="004B0464"/>
    <w:rsid w:val="004B3EC4"/>
    <w:rsid w:val="004C35BB"/>
    <w:rsid w:val="004D029C"/>
    <w:rsid w:val="004D06B4"/>
    <w:rsid w:val="004D0AF7"/>
    <w:rsid w:val="004D3567"/>
    <w:rsid w:val="004D3BC6"/>
    <w:rsid w:val="004D442B"/>
    <w:rsid w:val="004D70A9"/>
    <w:rsid w:val="004E337A"/>
    <w:rsid w:val="004F48FF"/>
    <w:rsid w:val="00501AE7"/>
    <w:rsid w:val="005038AD"/>
    <w:rsid w:val="00506B66"/>
    <w:rsid w:val="00511D5A"/>
    <w:rsid w:val="00522F98"/>
    <w:rsid w:val="005232F2"/>
    <w:rsid w:val="0052641A"/>
    <w:rsid w:val="00533BCA"/>
    <w:rsid w:val="00537EEF"/>
    <w:rsid w:val="005402A8"/>
    <w:rsid w:val="005424CE"/>
    <w:rsid w:val="005458BA"/>
    <w:rsid w:val="0055029C"/>
    <w:rsid w:val="00557DA1"/>
    <w:rsid w:val="00561830"/>
    <w:rsid w:val="00561FBA"/>
    <w:rsid w:val="00562CBC"/>
    <w:rsid w:val="00566B64"/>
    <w:rsid w:val="00573157"/>
    <w:rsid w:val="005770DA"/>
    <w:rsid w:val="005819F4"/>
    <w:rsid w:val="005921A9"/>
    <w:rsid w:val="005962BD"/>
    <w:rsid w:val="005A1581"/>
    <w:rsid w:val="005B4971"/>
    <w:rsid w:val="005B4FF0"/>
    <w:rsid w:val="005B65E9"/>
    <w:rsid w:val="005C2D56"/>
    <w:rsid w:val="005D02B6"/>
    <w:rsid w:val="005D153E"/>
    <w:rsid w:val="005D18F1"/>
    <w:rsid w:val="005D3209"/>
    <w:rsid w:val="005D7352"/>
    <w:rsid w:val="005E4F65"/>
    <w:rsid w:val="005E5404"/>
    <w:rsid w:val="005E7632"/>
    <w:rsid w:val="005F0B3E"/>
    <w:rsid w:val="005F62C5"/>
    <w:rsid w:val="005F7A9C"/>
    <w:rsid w:val="00601152"/>
    <w:rsid w:val="00602180"/>
    <w:rsid w:val="00603BE3"/>
    <w:rsid w:val="006106E7"/>
    <w:rsid w:val="006125F4"/>
    <w:rsid w:val="00617173"/>
    <w:rsid w:val="00621B07"/>
    <w:rsid w:val="00625E50"/>
    <w:rsid w:val="006376B3"/>
    <w:rsid w:val="00644541"/>
    <w:rsid w:val="0065276C"/>
    <w:rsid w:val="00653C2B"/>
    <w:rsid w:val="0066028B"/>
    <w:rsid w:val="00662DA1"/>
    <w:rsid w:val="0067274E"/>
    <w:rsid w:val="00674687"/>
    <w:rsid w:val="00676B97"/>
    <w:rsid w:val="006774C8"/>
    <w:rsid w:val="00685B78"/>
    <w:rsid w:val="006912F3"/>
    <w:rsid w:val="00692244"/>
    <w:rsid w:val="006A1EFF"/>
    <w:rsid w:val="006A2F77"/>
    <w:rsid w:val="006B54AA"/>
    <w:rsid w:val="006B7A23"/>
    <w:rsid w:val="006B7D26"/>
    <w:rsid w:val="006C4C60"/>
    <w:rsid w:val="006C4CAC"/>
    <w:rsid w:val="006C5EF7"/>
    <w:rsid w:val="006C65C5"/>
    <w:rsid w:val="006D53C4"/>
    <w:rsid w:val="006D62B1"/>
    <w:rsid w:val="006D6F02"/>
    <w:rsid w:val="006E15EF"/>
    <w:rsid w:val="006E596D"/>
    <w:rsid w:val="006F218F"/>
    <w:rsid w:val="006F4277"/>
    <w:rsid w:val="006F69A5"/>
    <w:rsid w:val="00700663"/>
    <w:rsid w:val="007011A1"/>
    <w:rsid w:val="0071639B"/>
    <w:rsid w:val="007169C9"/>
    <w:rsid w:val="007178A6"/>
    <w:rsid w:val="007213E0"/>
    <w:rsid w:val="00727F5B"/>
    <w:rsid w:val="007344AE"/>
    <w:rsid w:val="00735823"/>
    <w:rsid w:val="00735BF1"/>
    <w:rsid w:val="00745167"/>
    <w:rsid w:val="007547A8"/>
    <w:rsid w:val="00757AF4"/>
    <w:rsid w:val="00761BAC"/>
    <w:rsid w:val="00761BD2"/>
    <w:rsid w:val="00765F02"/>
    <w:rsid w:val="00781601"/>
    <w:rsid w:val="007817C4"/>
    <w:rsid w:val="007949E4"/>
    <w:rsid w:val="007A20E1"/>
    <w:rsid w:val="007A37C4"/>
    <w:rsid w:val="007B39A4"/>
    <w:rsid w:val="007B7109"/>
    <w:rsid w:val="007C1586"/>
    <w:rsid w:val="007C1FA6"/>
    <w:rsid w:val="007C79A0"/>
    <w:rsid w:val="007D197F"/>
    <w:rsid w:val="007D37B4"/>
    <w:rsid w:val="007E4BAB"/>
    <w:rsid w:val="007E7650"/>
    <w:rsid w:val="00802880"/>
    <w:rsid w:val="00803A40"/>
    <w:rsid w:val="008175E2"/>
    <w:rsid w:val="00821F70"/>
    <w:rsid w:val="0082245D"/>
    <w:rsid w:val="008250DC"/>
    <w:rsid w:val="008301E0"/>
    <w:rsid w:val="00830318"/>
    <w:rsid w:val="00830882"/>
    <w:rsid w:val="00831140"/>
    <w:rsid w:val="00842812"/>
    <w:rsid w:val="00846688"/>
    <w:rsid w:val="00846816"/>
    <w:rsid w:val="00847D62"/>
    <w:rsid w:val="00852E59"/>
    <w:rsid w:val="0086222E"/>
    <w:rsid w:val="00865660"/>
    <w:rsid w:val="00873E8D"/>
    <w:rsid w:val="00875E7F"/>
    <w:rsid w:val="0088112C"/>
    <w:rsid w:val="00893078"/>
    <w:rsid w:val="008A13F6"/>
    <w:rsid w:val="008B1B59"/>
    <w:rsid w:val="008B4244"/>
    <w:rsid w:val="008B6B12"/>
    <w:rsid w:val="008C5C97"/>
    <w:rsid w:val="008C6F6D"/>
    <w:rsid w:val="008D326C"/>
    <w:rsid w:val="008E5BB2"/>
    <w:rsid w:val="008E5F84"/>
    <w:rsid w:val="008E6C66"/>
    <w:rsid w:val="008F3FE7"/>
    <w:rsid w:val="008F7792"/>
    <w:rsid w:val="00902F96"/>
    <w:rsid w:val="00912253"/>
    <w:rsid w:val="009174B6"/>
    <w:rsid w:val="00921782"/>
    <w:rsid w:val="00922437"/>
    <w:rsid w:val="00930C99"/>
    <w:rsid w:val="00931D94"/>
    <w:rsid w:val="009364B8"/>
    <w:rsid w:val="009371C1"/>
    <w:rsid w:val="009426AD"/>
    <w:rsid w:val="009450A0"/>
    <w:rsid w:val="00967595"/>
    <w:rsid w:val="00976B58"/>
    <w:rsid w:val="00980B63"/>
    <w:rsid w:val="00992C8A"/>
    <w:rsid w:val="009A0D64"/>
    <w:rsid w:val="009A23F7"/>
    <w:rsid w:val="009A6288"/>
    <w:rsid w:val="009B023D"/>
    <w:rsid w:val="009B2924"/>
    <w:rsid w:val="009C0DDE"/>
    <w:rsid w:val="009C74ED"/>
    <w:rsid w:val="009D59EC"/>
    <w:rsid w:val="009D6060"/>
    <w:rsid w:val="009E2AAB"/>
    <w:rsid w:val="009E7D71"/>
    <w:rsid w:val="00A06EC3"/>
    <w:rsid w:val="00A15D0F"/>
    <w:rsid w:val="00A2411E"/>
    <w:rsid w:val="00A25570"/>
    <w:rsid w:val="00A260D9"/>
    <w:rsid w:val="00A2791F"/>
    <w:rsid w:val="00A31CAD"/>
    <w:rsid w:val="00A32177"/>
    <w:rsid w:val="00A34BB2"/>
    <w:rsid w:val="00A46BFB"/>
    <w:rsid w:val="00A52255"/>
    <w:rsid w:val="00A57D08"/>
    <w:rsid w:val="00A63DA4"/>
    <w:rsid w:val="00A667FB"/>
    <w:rsid w:val="00A67E18"/>
    <w:rsid w:val="00A74147"/>
    <w:rsid w:val="00A8142A"/>
    <w:rsid w:val="00A82F47"/>
    <w:rsid w:val="00A900B4"/>
    <w:rsid w:val="00A930C9"/>
    <w:rsid w:val="00A93D60"/>
    <w:rsid w:val="00A971F2"/>
    <w:rsid w:val="00AA33DE"/>
    <w:rsid w:val="00AA50BC"/>
    <w:rsid w:val="00AA662F"/>
    <w:rsid w:val="00AB052E"/>
    <w:rsid w:val="00AB3996"/>
    <w:rsid w:val="00AB5452"/>
    <w:rsid w:val="00AD3620"/>
    <w:rsid w:val="00AE300A"/>
    <w:rsid w:val="00AE3FD2"/>
    <w:rsid w:val="00AE45E7"/>
    <w:rsid w:val="00AF3C2E"/>
    <w:rsid w:val="00AF479C"/>
    <w:rsid w:val="00AF59B4"/>
    <w:rsid w:val="00AF73F3"/>
    <w:rsid w:val="00AF7437"/>
    <w:rsid w:val="00B0066A"/>
    <w:rsid w:val="00B05982"/>
    <w:rsid w:val="00B101A8"/>
    <w:rsid w:val="00B102D0"/>
    <w:rsid w:val="00B111AA"/>
    <w:rsid w:val="00B120D8"/>
    <w:rsid w:val="00B174C2"/>
    <w:rsid w:val="00B24043"/>
    <w:rsid w:val="00B46C28"/>
    <w:rsid w:val="00B553AA"/>
    <w:rsid w:val="00B56D78"/>
    <w:rsid w:val="00B61B42"/>
    <w:rsid w:val="00B67A2E"/>
    <w:rsid w:val="00B67FA0"/>
    <w:rsid w:val="00B709ED"/>
    <w:rsid w:val="00B808B4"/>
    <w:rsid w:val="00B8296C"/>
    <w:rsid w:val="00B90AE9"/>
    <w:rsid w:val="00B91B7E"/>
    <w:rsid w:val="00B9288D"/>
    <w:rsid w:val="00B93003"/>
    <w:rsid w:val="00B936D6"/>
    <w:rsid w:val="00B93DD6"/>
    <w:rsid w:val="00B949D2"/>
    <w:rsid w:val="00BA105D"/>
    <w:rsid w:val="00BA29E7"/>
    <w:rsid w:val="00BA2E0E"/>
    <w:rsid w:val="00BA3B1B"/>
    <w:rsid w:val="00BA58CF"/>
    <w:rsid w:val="00BA789F"/>
    <w:rsid w:val="00BB1F57"/>
    <w:rsid w:val="00BB45FF"/>
    <w:rsid w:val="00BB4DA3"/>
    <w:rsid w:val="00BB7BDD"/>
    <w:rsid w:val="00BC151B"/>
    <w:rsid w:val="00BC188D"/>
    <w:rsid w:val="00BD3A5F"/>
    <w:rsid w:val="00BD4C9D"/>
    <w:rsid w:val="00BD5ED9"/>
    <w:rsid w:val="00BE6904"/>
    <w:rsid w:val="00BF021F"/>
    <w:rsid w:val="00BF4D3C"/>
    <w:rsid w:val="00BF78AF"/>
    <w:rsid w:val="00C0169F"/>
    <w:rsid w:val="00C018E8"/>
    <w:rsid w:val="00C05CE2"/>
    <w:rsid w:val="00C0608F"/>
    <w:rsid w:val="00C06C5F"/>
    <w:rsid w:val="00C100FB"/>
    <w:rsid w:val="00C13F3B"/>
    <w:rsid w:val="00C141D9"/>
    <w:rsid w:val="00C14F13"/>
    <w:rsid w:val="00C16E4A"/>
    <w:rsid w:val="00C16F29"/>
    <w:rsid w:val="00C255FC"/>
    <w:rsid w:val="00C369AB"/>
    <w:rsid w:val="00C37D09"/>
    <w:rsid w:val="00C4071F"/>
    <w:rsid w:val="00C41423"/>
    <w:rsid w:val="00C4238B"/>
    <w:rsid w:val="00C43904"/>
    <w:rsid w:val="00C43BE8"/>
    <w:rsid w:val="00C47D70"/>
    <w:rsid w:val="00C51522"/>
    <w:rsid w:val="00C61980"/>
    <w:rsid w:val="00C62E97"/>
    <w:rsid w:val="00C76D6E"/>
    <w:rsid w:val="00C9187D"/>
    <w:rsid w:val="00C91A2D"/>
    <w:rsid w:val="00C94491"/>
    <w:rsid w:val="00CA09B7"/>
    <w:rsid w:val="00CA1759"/>
    <w:rsid w:val="00CA5F4F"/>
    <w:rsid w:val="00CB5F6F"/>
    <w:rsid w:val="00CC3880"/>
    <w:rsid w:val="00CC50E8"/>
    <w:rsid w:val="00CC5D29"/>
    <w:rsid w:val="00CD049E"/>
    <w:rsid w:val="00CD586C"/>
    <w:rsid w:val="00CE7A0D"/>
    <w:rsid w:val="00CF1348"/>
    <w:rsid w:val="00CF1B8C"/>
    <w:rsid w:val="00CF1BC2"/>
    <w:rsid w:val="00CF5AFB"/>
    <w:rsid w:val="00D011D9"/>
    <w:rsid w:val="00D04EBF"/>
    <w:rsid w:val="00D06085"/>
    <w:rsid w:val="00D13ED4"/>
    <w:rsid w:val="00D23020"/>
    <w:rsid w:val="00D24797"/>
    <w:rsid w:val="00D30D22"/>
    <w:rsid w:val="00D41842"/>
    <w:rsid w:val="00D44351"/>
    <w:rsid w:val="00D44624"/>
    <w:rsid w:val="00D46A54"/>
    <w:rsid w:val="00D47176"/>
    <w:rsid w:val="00D504B6"/>
    <w:rsid w:val="00D53A64"/>
    <w:rsid w:val="00D54CF0"/>
    <w:rsid w:val="00D5679C"/>
    <w:rsid w:val="00D625BE"/>
    <w:rsid w:val="00D63A05"/>
    <w:rsid w:val="00D66F98"/>
    <w:rsid w:val="00D70CAA"/>
    <w:rsid w:val="00D75880"/>
    <w:rsid w:val="00D7771A"/>
    <w:rsid w:val="00D814A2"/>
    <w:rsid w:val="00D828B3"/>
    <w:rsid w:val="00D83873"/>
    <w:rsid w:val="00D845CE"/>
    <w:rsid w:val="00D845E3"/>
    <w:rsid w:val="00D862AA"/>
    <w:rsid w:val="00D8738A"/>
    <w:rsid w:val="00D876B6"/>
    <w:rsid w:val="00DA00AB"/>
    <w:rsid w:val="00DA4E0A"/>
    <w:rsid w:val="00DD32E7"/>
    <w:rsid w:val="00DD4751"/>
    <w:rsid w:val="00DE12BA"/>
    <w:rsid w:val="00DE22DF"/>
    <w:rsid w:val="00DE3659"/>
    <w:rsid w:val="00DE6547"/>
    <w:rsid w:val="00DE6766"/>
    <w:rsid w:val="00DE6F31"/>
    <w:rsid w:val="00DE7637"/>
    <w:rsid w:val="00DE77EE"/>
    <w:rsid w:val="00DF36BB"/>
    <w:rsid w:val="00DF5C17"/>
    <w:rsid w:val="00E0148D"/>
    <w:rsid w:val="00E07D78"/>
    <w:rsid w:val="00E110B6"/>
    <w:rsid w:val="00E17E84"/>
    <w:rsid w:val="00E20BF8"/>
    <w:rsid w:val="00E21886"/>
    <w:rsid w:val="00E23A88"/>
    <w:rsid w:val="00E246EE"/>
    <w:rsid w:val="00E375C5"/>
    <w:rsid w:val="00E400E5"/>
    <w:rsid w:val="00E41985"/>
    <w:rsid w:val="00E42747"/>
    <w:rsid w:val="00E4514A"/>
    <w:rsid w:val="00E475A2"/>
    <w:rsid w:val="00E50DED"/>
    <w:rsid w:val="00E527F9"/>
    <w:rsid w:val="00E53B60"/>
    <w:rsid w:val="00E5749D"/>
    <w:rsid w:val="00E60045"/>
    <w:rsid w:val="00E60E70"/>
    <w:rsid w:val="00E626B9"/>
    <w:rsid w:val="00E646E1"/>
    <w:rsid w:val="00E76084"/>
    <w:rsid w:val="00E90913"/>
    <w:rsid w:val="00E948F7"/>
    <w:rsid w:val="00EA0C99"/>
    <w:rsid w:val="00EA2B7E"/>
    <w:rsid w:val="00EA76F9"/>
    <w:rsid w:val="00EA7F26"/>
    <w:rsid w:val="00EB0909"/>
    <w:rsid w:val="00EB0E75"/>
    <w:rsid w:val="00EB666D"/>
    <w:rsid w:val="00EB6B24"/>
    <w:rsid w:val="00EB73C9"/>
    <w:rsid w:val="00EC2584"/>
    <w:rsid w:val="00EC7513"/>
    <w:rsid w:val="00ED57CB"/>
    <w:rsid w:val="00EE109E"/>
    <w:rsid w:val="00EE2291"/>
    <w:rsid w:val="00EF0D74"/>
    <w:rsid w:val="00EF470A"/>
    <w:rsid w:val="00EF6DCE"/>
    <w:rsid w:val="00EF788D"/>
    <w:rsid w:val="00F015E7"/>
    <w:rsid w:val="00F076F4"/>
    <w:rsid w:val="00F1172D"/>
    <w:rsid w:val="00F13614"/>
    <w:rsid w:val="00F16F33"/>
    <w:rsid w:val="00F32979"/>
    <w:rsid w:val="00F36689"/>
    <w:rsid w:val="00F40625"/>
    <w:rsid w:val="00F464EB"/>
    <w:rsid w:val="00F560F6"/>
    <w:rsid w:val="00F57B4C"/>
    <w:rsid w:val="00F57C06"/>
    <w:rsid w:val="00F60305"/>
    <w:rsid w:val="00F604F6"/>
    <w:rsid w:val="00F62546"/>
    <w:rsid w:val="00F708DF"/>
    <w:rsid w:val="00F72762"/>
    <w:rsid w:val="00F779C5"/>
    <w:rsid w:val="00F81B05"/>
    <w:rsid w:val="00F85F30"/>
    <w:rsid w:val="00F9208F"/>
    <w:rsid w:val="00F95176"/>
    <w:rsid w:val="00F95E4E"/>
    <w:rsid w:val="00F96028"/>
    <w:rsid w:val="00FA0B51"/>
    <w:rsid w:val="00FA314A"/>
    <w:rsid w:val="00FB112A"/>
    <w:rsid w:val="00FB51E3"/>
    <w:rsid w:val="00FC68E5"/>
    <w:rsid w:val="00FD0A9D"/>
    <w:rsid w:val="00FD6A4B"/>
    <w:rsid w:val="00FE60A4"/>
    <w:rsid w:val="00FF3CF3"/>
    <w:rsid w:val="00FF66D7"/>
    <w:rsid w:val="00FF7556"/>
    <w:rsid w:val="00FF7826"/>
    <w:rsid w:val="00FF79B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2891F"/>
  <w15:docId w15:val="{9D074D46-0E62-48C4-8E02-9F1C7E0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DF"/>
    <w:pPr>
      <w:widowControl/>
    </w:pPr>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8440F"/>
    <w:pPr>
      <w:keepNext/>
      <w:pBdr>
        <w:top w:val="nil"/>
        <w:left w:val="nil"/>
        <w:bottom w:val="nil"/>
        <w:right w:val="nil"/>
        <w:between w:val="nil"/>
      </w:pBdr>
      <w:tabs>
        <w:tab w:val="center" w:pos="4513"/>
        <w:tab w:val="right" w:pos="9026"/>
      </w:tabs>
      <w:jc w:val="center"/>
      <w:outlineLvl w:val="6"/>
    </w:pPr>
    <w:rPr>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0CAA"/>
    <w:pPr>
      <w:widowControl w:val="0"/>
      <w:tabs>
        <w:tab w:val="center" w:pos="4513"/>
        <w:tab w:val="right" w:pos="9026"/>
      </w:tabs>
    </w:pPr>
  </w:style>
  <w:style w:type="character" w:customStyle="1" w:styleId="HeaderChar">
    <w:name w:val="Header Char"/>
    <w:basedOn w:val="DefaultParagraphFont"/>
    <w:link w:val="Header"/>
    <w:uiPriority w:val="99"/>
    <w:rsid w:val="00D70CAA"/>
  </w:style>
  <w:style w:type="paragraph" w:styleId="Footer">
    <w:name w:val="footer"/>
    <w:basedOn w:val="Normal"/>
    <w:link w:val="FooterChar"/>
    <w:uiPriority w:val="99"/>
    <w:unhideWhenUsed/>
    <w:rsid w:val="00D70CAA"/>
    <w:pPr>
      <w:widowControl w:val="0"/>
      <w:tabs>
        <w:tab w:val="center" w:pos="4513"/>
        <w:tab w:val="right" w:pos="9026"/>
      </w:tabs>
    </w:pPr>
  </w:style>
  <w:style w:type="character" w:customStyle="1" w:styleId="FooterChar">
    <w:name w:val="Footer Char"/>
    <w:basedOn w:val="DefaultParagraphFont"/>
    <w:link w:val="Footer"/>
    <w:uiPriority w:val="99"/>
    <w:rsid w:val="00D70CAA"/>
  </w:style>
  <w:style w:type="paragraph" w:styleId="FootnoteText">
    <w:name w:val="footnote text"/>
    <w:basedOn w:val="Normal"/>
    <w:link w:val="FootnoteTextChar"/>
    <w:uiPriority w:val="99"/>
    <w:unhideWhenUsed/>
    <w:rsid w:val="00D30D22"/>
    <w:pPr>
      <w:widowControl w:val="0"/>
    </w:pPr>
    <w:rPr>
      <w:sz w:val="20"/>
      <w:szCs w:val="20"/>
    </w:rPr>
  </w:style>
  <w:style w:type="character" w:customStyle="1" w:styleId="FootnoteTextChar">
    <w:name w:val="Footnote Text Char"/>
    <w:basedOn w:val="DefaultParagraphFont"/>
    <w:link w:val="FootnoteText"/>
    <w:uiPriority w:val="99"/>
    <w:rsid w:val="00D30D22"/>
    <w:rPr>
      <w:sz w:val="20"/>
      <w:szCs w:val="20"/>
    </w:rPr>
  </w:style>
  <w:style w:type="paragraph" w:styleId="EndnoteText">
    <w:name w:val="endnote text"/>
    <w:basedOn w:val="Normal"/>
    <w:link w:val="EndnoteTextChar"/>
    <w:uiPriority w:val="99"/>
    <w:unhideWhenUsed/>
    <w:rsid w:val="00D30D22"/>
    <w:pPr>
      <w:widowControl w:val="0"/>
    </w:pPr>
    <w:rPr>
      <w:sz w:val="20"/>
      <w:szCs w:val="20"/>
    </w:rPr>
  </w:style>
  <w:style w:type="character" w:customStyle="1" w:styleId="EndnoteTextChar">
    <w:name w:val="Endnote Text Char"/>
    <w:basedOn w:val="DefaultParagraphFont"/>
    <w:link w:val="EndnoteText"/>
    <w:uiPriority w:val="99"/>
    <w:rsid w:val="00D30D22"/>
    <w:rPr>
      <w:sz w:val="20"/>
      <w:szCs w:val="20"/>
    </w:rPr>
  </w:style>
  <w:style w:type="character" w:styleId="FootnoteReference">
    <w:name w:val="footnote reference"/>
    <w:basedOn w:val="DefaultParagraphFont"/>
    <w:uiPriority w:val="99"/>
    <w:semiHidden/>
    <w:unhideWhenUsed/>
    <w:rsid w:val="00D30D22"/>
    <w:rPr>
      <w:vertAlign w:val="superscript"/>
    </w:rPr>
  </w:style>
  <w:style w:type="character" w:styleId="EndnoteReference">
    <w:name w:val="endnote reference"/>
    <w:basedOn w:val="DefaultParagraphFont"/>
    <w:uiPriority w:val="99"/>
    <w:unhideWhenUsed/>
    <w:rsid w:val="00D30D22"/>
    <w:rPr>
      <w:vertAlign w:val="superscript"/>
    </w:rPr>
  </w:style>
  <w:style w:type="character" w:styleId="Hyperlink">
    <w:name w:val="Hyperlink"/>
    <w:basedOn w:val="DefaultParagraphFont"/>
    <w:uiPriority w:val="99"/>
    <w:unhideWhenUsed/>
    <w:rsid w:val="00D845E3"/>
    <w:rPr>
      <w:color w:val="0000FF"/>
      <w:u w:val="single"/>
    </w:rPr>
  </w:style>
  <w:style w:type="character" w:customStyle="1" w:styleId="UnresolvedMention">
    <w:name w:val="Unresolved Mention"/>
    <w:basedOn w:val="DefaultParagraphFont"/>
    <w:uiPriority w:val="99"/>
    <w:semiHidden/>
    <w:unhideWhenUsed/>
    <w:rsid w:val="00D845E3"/>
    <w:rPr>
      <w:color w:val="605E5C"/>
      <w:shd w:val="clear" w:color="auto" w:fill="E1DFDD"/>
    </w:rPr>
  </w:style>
  <w:style w:type="paragraph" w:styleId="BalloonText">
    <w:name w:val="Balloon Text"/>
    <w:basedOn w:val="Normal"/>
    <w:link w:val="BalloonTextChar"/>
    <w:uiPriority w:val="99"/>
    <w:semiHidden/>
    <w:unhideWhenUsed/>
    <w:rsid w:val="0055029C"/>
    <w:rPr>
      <w:sz w:val="18"/>
      <w:szCs w:val="18"/>
    </w:rPr>
  </w:style>
  <w:style w:type="character" w:customStyle="1" w:styleId="BalloonTextChar">
    <w:name w:val="Balloon Text Char"/>
    <w:basedOn w:val="DefaultParagraphFont"/>
    <w:link w:val="BalloonText"/>
    <w:uiPriority w:val="99"/>
    <w:semiHidden/>
    <w:rsid w:val="0055029C"/>
    <w:rPr>
      <w:sz w:val="18"/>
      <w:szCs w:val="18"/>
    </w:rPr>
  </w:style>
  <w:style w:type="paragraph" w:styleId="ListParagraph">
    <w:name w:val="List Paragraph"/>
    <w:basedOn w:val="Normal"/>
    <w:uiPriority w:val="34"/>
    <w:qFormat/>
    <w:rsid w:val="00470440"/>
    <w:pPr>
      <w:ind w:left="720"/>
      <w:contextualSpacing/>
    </w:pPr>
  </w:style>
  <w:style w:type="character" w:customStyle="1" w:styleId="normaltextrun">
    <w:name w:val="normaltextrun"/>
    <w:basedOn w:val="DefaultParagraphFont"/>
    <w:rsid w:val="00C94491"/>
  </w:style>
  <w:style w:type="character" w:customStyle="1" w:styleId="superscript">
    <w:name w:val="superscript"/>
    <w:basedOn w:val="DefaultParagraphFont"/>
    <w:rsid w:val="00C94491"/>
  </w:style>
  <w:style w:type="character" w:styleId="FollowedHyperlink">
    <w:name w:val="FollowedHyperlink"/>
    <w:basedOn w:val="DefaultParagraphFont"/>
    <w:uiPriority w:val="99"/>
    <w:semiHidden/>
    <w:unhideWhenUsed/>
    <w:rsid w:val="00D13ED4"/>
    <w:rPr>
      <w:color w:val="800080" w:themeColor="followedHyperlink"/>
      <w:u w:val="single"/>
    </w:rPr>
  </w:style>
  <w:style w:type="character" w:styleId="CommentReference">
    <w:name w:val="annotation reference"/>
    <w:basedOn w:val="DefaultParagraphFont"/>
    <w:uiPriority w:val="99"/>
    <w:semiHidden/>
    <w:unhideWhenUsed/>
    <w:rsid w:val="00902F96"/>
    <w:rPr>
      <w:sz w:val="16"/>
      <w:szCs w:val="16"/>
    </w:rPr>
  </w:style>
  <w:style w:type="paragraph" w:styleId="CommentText">
    <w:name w:val="annotation text"/>
    <w:basedOn w:val="Normal"/>
    <w:link w:val="CommentTextChar"/>
    <w:uiPriority w:val="99"/>
    <w:semiHidden/>
    <w:unhideWhenUsed/>
    <w:rsid w:val="00902F96"/>
    <w:rPr>
      <w:sz w:val="20"/>
      <w:szCs w:val="20"/>
    </w:rPr>
  </w:style>
  <w:style w:type="character" w:customStyle="1" w:styleId="CommentTextChar">
    <w:name w:val="Comment Text Char"/>
    <w:basedOn w:val="DefaultParagraphFont"/>
    <w:link w:val="CommentText"/>
    <w:uiPriority w:val="99"/>
    <w:semiHidden/>
    <w:rsid w:val="00902F96"/>
    <w:rPr>
      <w:sz w:val="20"/>
      <w:szCs w:val="20"/>
    </w:rPr>
  </w:style>
  <w:style w:type="paragraph" w:styleId="CommentSubject">
    <w:name w:val="annotation subject"/>
    <w:basedOn w:val="CommentText"/>
    <w:next w:val="CommentText"/>
    <w:link w:val="CommentSubjectChar"/>
    <w:uiPriority w:val="99"/>
    <w:semiHidden/>
    <w:unhideWhenUsed/>
    <w:rsid w:val="00902F96"/>
    <w:rPr>
      <w:b/>
      <w:bCs/>
    </w:rPr>
  </w:style>
  <w:style w:type="character" w:customStyle="1" w:styleId="CommentSubjectChar">
    <w:name w:val="Comment Subject Char"/>
    <w:basedOn w:val="CommentTextChar"/>
    <w:link w:val="CommentSubject"/>
    <w:uiPriority w:val="99"/>
    <w:semiHidden/>
    <w:rsid w:val="00902F96"/>
    <w:rPr>
      <w:b/>
      <w:bCs/>
      <w:sz w:val="20"/>
      <w:szCs w:val="20"/>
    </w:rPr>
  </w:style>
  <w:style w:type="paragraph" w:styleId="NormalWeb">
    <w:name w:val="Normal (Web)"/>
    <w:basedOn w:val="Normal"/>
    <w:uiPriority w:val="99"/>
    <w:unhideWhenUsed/>
    <w:rsid w:val="00DA00AB"/>
    <w:pPr>
      <w:spacing w:before="100" w:beforeAutospacing="1" w:after="100" w:afterAutospacing="1"/>
    </w:pPr>
    <w:rPr>
      <w:rFonts w:ascii="Calibri" w:eastAsiaTheme="minorEastAsia" w:hAnsi="Calibri" w:cs="Calibri"/>
      <w:sz w:val="22"/>
      <w:szCs w:val="22"/>
    </w:rPr>
  </w:style>
  <w:style w:type="character" w:customStyle="1" w:styleId="findhit">
    <w:name w:val="findhit"/>
    <w:basedOn w:val="DefaultParagraphFont"/>
    <w:rsid w:val="00F708DF"/>
  </w:style>
  <w:style w:type="paragraph" w:customStyle="1" w:styleId="SingleTxtG">
    <w:name w:val="_ Single Txt_G"/>
    <w:basedOn w:val="Normal"/>
    <w:link w:val="SingleTxtGChar"/>
    <w:rsid w:val="00384330"/>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384330"/>
    <w:rPr>
      <w:sz w:val="20"/>
      <w:szCs w:val="20"/>
      <w:lang w:eastAsia="en-US"/>
    </w:rPr>
  </w:style>
  <w:style w:type="paragraph" w:styleId="Revision">
    <w:name w:val="Revision"/>
    <w:hidden/>
    <w:uiPriority w:val="99"/>
    <w:semiHidden/>
    <w:rsid w:val="00F85F30"/>
    <w:pPr>
      <w:widowControl/>
    </w:pPr>
  </w:style>
  <w:style w:type="character" w:customStyle="1" w:styleId="Heading7Char">
    <w:name w:val="Heading 7 Char"/>
    <w:basedOn w:val="DefaultParagraphFont"/>
    <w:link w:val="Heading7"/>
    <w:uiPriority w:val="9"/>
    <w:rsid w:val="0048440F"/>
    <w:rPr>
      <w: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641">
      <w:bodyDiv w:val="1"/>
      <w:marLeft w:val="0"/>
      <w:marRight w:val="0"/>
      <w:marTop w:val="0"/>
      <w:marBottom w:val="0"/>
      <w:divBdr>
        <w:top w:val="none" w:sz="0" w:space="0" w:color="auto"/>
        <w:left w:val="none" w:sz="0" w:space="0" w:color="auto"/>
        <w:bottom w:val="none" w:sz="0" w:space="0" w:color="auto"/>
        <w:right w:val="none" w:sz="0" w:space="0" w:color="auto"/>
      </w:divBdr>
    </w:div>
    <w:div w:id="110637433">
      <w:bodyDiv w:val="1"/>
      <w:marLeft w:val="0"/>
      <w:marRight w:val="0"/>
      <w:marTop w:val="0"/>
      <w:marBottom w:val="0"/>
      <w:divBdr>
        <w:top w:val="none" w:sz="0" w:space="0" w:color="auto"/>
        <w:left w:val="none" w:sz="0" w:space="0" w:color="auto"/>
        <w:bottom w:val="none" w:sz="0" w:space="0" w:color="auto"/>
        <w:right w:val="none" w:sz="0" w:space="0" w:color="auto"/>
      </w:divBdr>
    </w:div>
    <w:div w:id="130635838">
      <w:bodyDiv w:val="1"/>
      <w:marLeft w:val="0"/>
      <w:marRight w:val="0"/>
      <w:marTop w:val="0"/>
      <w:marBottom w:val="0"/>
      <w:divBdr>
        <w:top w:val="none" w:sz="0" w:space="0" w:color="auto"/>
        <w:left w:val="none" w:sz="0" w:space="0" w:color="auto"/>
        <w:bottom w:val="none" w:sz="0" w:space="0" w:color="auto"/>
        <w:right w:val="none" w:sz="0" w:space="0" w:color="auto"/>
      </w:divBdr>
    </w:div>
    <w:div w:id="191191607">
      <w:bodyDiv w:val="1"/>
      <w:marLeft w:val="0"/>
      <w:marRight w:val="0"/>
      <w:marTop w:val="0"/>
      <w:marBottom w:val="0"/>
      <w:divBdr>
        <w:top w:val="none" w:sz="0" w:space="0" w:color="auto"/>
        <w:left w:val="none" w:sz="0" w:space="0" w:color="auto"/>
        <w:bottom w:val="none" w:sz="0" w:space="0" w:color="auto"/>
        <w:right w:val="none" w:sz="0" w:space="0" w:color="auto"/>
      </w:divBdr>
    </w:div>
    <w:div w:id="197282166">
      <w:bodyDiv w:val="1"/>
      <w:marLeft w:val="0"/>
      <w:marRight w:val="0"/>
      <w:marTop w:val="0"/>
      <w:marBottom w:val="0"/>
      <w:divBdr>
        <w:top w:val="none" w:sz="0" w:space="0" w:color="auto"/>
        <w:left w:val="none" w:sz="0" w:space="0" w:color="auto"/>
        <w:bottom w:val="none" w:sz="0" w:space="0" w:color="auto"/>
        <w:right w:val="none" w:sz="0" w:space="0" w:color="auto"/>
      </w:divBdr>
    </w:div>
    <w:div w:id="209809639">
      <w:bodyDiv w:val="1"/>
      <w:marLeft w:val="0"/>
      <w:marRight w:val="0"/>
      <w:marTop w:val="0"/>
      <w:marBottom w:val="0"/>
      <w:divBdr>
        <w:top w:val="none" w:sz="0" w:space="0" w:color="auto"/>
        <w:left w:val="none" w:sz="0" w:space="0" w:color="auto"/>
        <w:bottom w:val="none" w:sz="0" w:space="0" w:color="auto"/>
        <w:right w:val="none" w:sz="0" w:space="0" w:color="auto"/>
      </w:divBdr>
    </w:div>
    <w:div w:id="226306714">
      <w:bodyDiv w:val="1"/>
      <w:marLeft w:val="0"/>
      <w:marRight w:val="0"/>
      <w:marTop w:val="0"/>
      <w:marBottom w:val="0"/>
      <w:divBdr>
        <w:top w:val="none" w:sz="0" w:space="0" w:color="auto"/>
        <w:left w:val="none" w:sz="0" w:space="0" w:color="auto"/>
        <w:bottom w:val="none" w:sz="0" w:space="0" w:color="auto"/>
        <w:right w:val="none" w:sz="0" w:space="0" w:color="auto"/>
      </w:divBdr>
    </w:div>
    <w:div w:id="278492808">
      <w:bodyDiv w:val="1"/>
      <w:marLeft w:val="0"/>
      <w:marRight w:val="0"/>
      <w:marTop w:val="0"/>
      <w:marBottom w:val="0"/>
      <w:divBdr>
        <w:top w:val="none" w:sz="0" w:space="0" w:color="auto"/>
        <w:left w:val="none" w:sz="0" w:space="0" w:color="auto"/>
        <w:bottom w:val="none" w:sz="0" w:space="0" w:color="auto"/>
        <w:right w:val="none" w:sz="0" w:space="0" w:color="auto"/>
      </w:divBdr>
    </w:div>
    <w:div w:id="300574503">
      <w:bodyDiv w:val="1"/>
      <w:marLeft w:val="0"/>
      <w:marRight w:val="0"/>
      <w:marTop w:val="0"/>
      <w:marBottom w:val="0"/>
      <w:divBdr>
        <w:top w:val="none" w:sz="0" w:space="0" w:color="auto"/>
        <w:left w:val="none" w:sz="0" w:space="0" w:color="auto"/>
        <w:bottom w:val="none" w:sz="0" w:space="0" w:color="auto"/>
        <w:right w:val="none" w:sz="0" w:space="0" w:color="auto"/>
      </w:divBdr>
    </w:div>
    <w:div w:id="328561104">
      <w:bodyDiv w:val="1"/>
      <w:marLeft w:val="0"/>
      <w:marRight w:val="0"/>
      <w:marTop w:val="0"/>
      <w:marBottom w:val="0"/>
      <w:divBdr>
        <w:top w:val="none" w:sz="0" w:space="0" w:color="auto"/>
        <w:left w:val="none" w:sz="0" w:space="0" w:color="auto"/>
        <w:bottom w:val="none" w:sz="0" w:space="0" w:color="auto"/>
        <w:right w:val="none" w:sz="0" w:space="0" w:color="auto"/>
      </w:divBdr>
    </w:div>
    <w:div w:id="439227663">
      <w:bodyDiv w:val="1"/>
      <w:marLeft w:val="0"/>
      <w:marRight w:val="0"/>
      <w:marTop w:val="0"/>
      <w:marBottom w:val="0"/>
      <w:divBdr>
        <w:top w:val="none" w:sz="0" w:space="0" w:color="auto"/>
        <w:left w:val="none" w:sz="0" w:space="0" w:color="auto"/>
        <w:bottom w:val="none" w:sz="0" w:space="0" w:color="auto"/>
        <w:right w:val="none" w:sz="0" w:space="0" w:color="auto"/>
      </w:divBdr>
    </w:div>
    <w:div w:id="474419302">
      <w:bodyDiv w:val="1"/>
      <w:marLeft w:val="0"/>
      <w:marRight w:val="0"/>
      <w:marTop w:val="0"/>
      <w:marBottom w:val="0"/>
      <w:divBdr>
        <w:top w:val="none" w:sz="0" w:space="0" w:color="auto"/>
        <w:left w:val="none" w:sz="0" w:space="0" w:color="auto"/>
        <w:bottom w:val="none" w:sz="0" w:space="0" w:color="auto"/>
        <w:right w:val="none" w:sz="0" w:space="0" w:color="auto"/>
      </w:divBdr>
    </w:div>
    <w:div w:id="494760958">
      <w:bodyDiv w:val="1"/>
      <w:marLeft w:val="0"/>
      <w:marRight w:val="0"/>
      <w:marTop w:val="0"/>
      <w:marBottom w:val="0"/>
      <w:divBdr>
        <w:top w:val="none" w:sz="0" w:space="0" w:color="auto"/>
        <w:left w:val="none" w:sz="0" w:space="0" w:color="auto"/>
        <w:bottom w:val="none" w:sz="0" w:space="0" w:color="auto"/>
        <w:right w:val="none" w:sz="0" w:space="0" w:color="auto"/>
      </w:divBdr>
    </w:div>
    <w:div w:id="626157954">
      <w:bodyDiv w:val="1"/>
      <w:marLeft w:val="0"/>
      <w:marRight w:val="0"/>
      <w:marTop w:val="0"/>
      <w:marBottom w:val="0"/>
      <w:divBdr>
        <w:top w:val="none" w:sz="0" w:space="0" w:color="auto"/>
        <w:left w:val="none" w:sz="0" w:space="0" w:color="auto"/>
        <w:bottom w:val="none" w:sz="0" w:space="0" w:color="auto"/>
        <w:right w:val="none" w:sz="0" w:space="0" w:color="auto"/>
      </w:divBdr>
    </w:div>
    <w:div w:id="650449967">
      <w:bodyDiv w:val="1"/>
      <w:marLeft w:val="0"/>
      <w:marRight w:val="0"/>
      <w:marTop w:val="0"/>
      <w:marBottom w:val="0"/>
      <w:divBdr>
        <w:top w:val="none" w:sz="0" w:space="0" w:color="auto"/>
        <w:left w:val="none" w:sz="0" w:space="0" w:color="auto"/>
        <w:bottom w:val="none" w:sz="0" w:space="0" w:color="auto"/>
        <w:right w:val="none" w:sz="0" w:space="0" w:color="auto"/>
      </w:divBdr>
    </w:div>
    <w:div w:id="658584535">
      <w:bodyDiv w:val="1"/>
      <w:marLeft w:val="0"/>
      <w:marRight w:val="0"/>
      <w:marTop w:val="0"/>
      <w:marBottom w:val="0"/>
      <w:divBdr>
        <w:top w:val="none" w:sz="0" w:space="0" w:color="auto"/>
        <w:left w:val="none" w:sz="0" w:space="0" w:color="auto"/>
        <w:bottom w:val="none" w:sz="0" w:space="0" w:color="auto"/>
        <w:right w:val="none" w:sz="0" w:space="0" w:color="auto"/>
      </w:divBdr>
    </w:div>
    <w:div w:id="671418792">
      <w:bodyDiv w:val="1"/>
      <w:marLeft w:val="0"/>
      <w:marRight w:val="0"/>
      <w:marTop w:val="0"/>
      <w:marBottom w:val="0"/>
      <w:divBdr>
        <w:top w:val="none" w:sz="0" w:space="0" w:color="auto"/>
        <w:left w:val="none" w:sz="0" w:space="0" w:color="auto"/>
        <w:bottom w:val="none" w:sz="0" w:space="0" w:color="auto"/>
        <w:right w:val="none" w:sz="0" w:space="0" w:color="auto"/>
      </w:divBdr>
    </w:div>
    <w:div w:id="742991206">
      <w:bodyDiv w:val="1"/>
      <w:marLeft w:val="0"/>
      <w:marRight w:val="0"/>
      <w:marTop w:val="0"/>
      <w:marBottom w:val="0"/>
      <w:divBdr>
        <w:top w:val="none" w:sz="0" w:space="0" w:color="auto"/>
        <w:left w:val="none" w:sz="0" w:space="0" w:color="auto"/>
        <w:bottom w:val="none" w:sz="0" w:space="0" w:color="auto"/>
        <w:right w:val="none" w:sz="0" w:space="0" w:color="auto"/>
      </w:divBdr>
    </w:div>
    <w:div w:id="816534572">
      <w:bodyDiv w:val="1"/>
      <w:marLeft w:val="0"/>
      <w:marRight w:val="0"/>
      <w:marTop w:val="0"/>
      <w:marBottom w:val="0"/>
      <w:divBdr>
        <w:top w:val="none" w:sz="0" w:space="0" w:color="auto"/>
        <w:left w:val="none" w:sz="0" w:space="0" w:color="auto"/>
        <w:bottom w:val="none" w:sz="0" w:space="0" w:color="auto"/>
        <w:right w:val="none" w:sz="0" w:space="0" w:color="auto"/>
      </w:divBdr>
    </w:div>
    <w:div w:id="829172087">
      <w:bodyDiv w:val="1"/>
      <w:marLeft w:val="0"/>
      <w:marRight w:val="0"/>
      <w:marTop w:val="0"/>
      <w:marBottom w:val="0"/>
      <w:divBdr>
        <w:top w:val="none" w:sz="0" w:space="0" w:color="auto"/>
        <w:left w:val="none" w:sz="0" w:space="0" w:color="auto"/>
        <w:bottom w:val="none" w:sz="0" w:space="0" w:color="auto"/>
        <w:right w:val="none" w:sz="0" w:space="0" w:color="auto"/>
      </w:divBdr>
    </w:div>
    <w:div w:id="840243748">
      <w:bodyDiv w:val="1"/>
      <w:marLeft w:val="0"/>
      <w:marRight w:val="0"/>
      <w:marTop w:val="0"/>
      <w:marBottom w:val="0"/>
      <w:divBdr>
        <w:top w:val="none" w:sz="0" w:space="0" w:color="auto"/>
        <w:left w:val="none" w:sz="0" w:space="0" w:color="auto"/>
        <w:bottom w:val="none" w:sz="0" w:space="0" w:color="auto"/>
        <w:right w:val="none" w:sz="0" w:space="0" w:color="auto"/>
      </w:divBdr>
      <w:divsChild>
        <w:div w:id="900600169">
          <w:marLeft w:val="0"/>
          <w:marRight w:val="0"/>
          <w:marTop w:val="0"/>
          <w:marBottom w:val="0"/>
          <w:divBdr>
            <w:top w:val="none" w:sz="0" w:space="0" w:color="auto"/>
            <w:left w:val="none" w:sz="0" w:space="0" w:color="auto"/>
            <w:bottom w:val="none" w:sz="0" w:space="0" w:color="auto"/>
            <w:right w:val="none" w:sz="0" w:space="0" w:color="auto"/>
          </w:divBdr>
          <w:divsChild>
            <w:div w:id="1473596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689101">
                  <w:marLeft w:val="0"/>
                  <w:marRight w:val="0"/>
                  <w:marTop w:val="180"/>
                  <w:marBottom w:val="180"/>
                  <w:divBdr>
                    <w:top w:val="none" w:sz="0" w:space="0" w:color="auto"/>
                    <w:left w:val="none" w:sz="0" w:space="0" w:color="auto"/>
                    <w:bottom w:val="none" w:sz="0" w:space="0" w:color="auto"/>
                    <w:right w:val="none" w:sz="0" w:space="0" w:color="auto"/>
                  </w:divBdr>
                  <w:divsChild>
                    <w:div w:id="1489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266">
          <w:marLeft w:val="0"/>
          <w:marRight w:val="0"/>
          <w:marTop w:val="0"/>
          <w:marBottom w:val="0"/>
          <w:divBdr>
            <w:top w:val="none" w:sz="0" w:space="0" w:color="auto"/>
            <w:left w:val="none" w:sz="0" w:space="0" w:color="auto"/>
            <w:bottom w:val="none" w:sz="0" w:space="0" w:color="auto"/>
            <w:right w:val="none" w:sz="0" w:space="0" w:color="auto"/>
          </w:divBdr>
          <w:divsChild>
            <w:div w:id="21034051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972766">
                  <w:marLeft w:val="0"/>
                  <w:marRight w:val="0"/>
                  <w:marTop w:val="0"/>
                  <w:marBottom w:val="240"/>
                  <w:divBdr>
                    <w:top w:val="none" w:sz="0" w:space="0" w:color="auto"/>
                    <w:left w:val="none" w:sz="0" w:space="0" w:color="auto"/>
                    <w:bottom w:val="none" w:sz="0" w:space="0" w:color="auto"/>
                    <w:right w:val="none" w:sz="0" w:space="0" w:color="auto"/>
                  </w:divBdr>
                  <w:divsChild>
                    <w:div w:id="116723179">
                      <w:marLeft w:val="0"/>
                      <w:marRight w:val="0"/>
                      <w:marTop w:val="0"/>
                      <w:marBottom w:val="0"/>
                      <w:divBdr>
                        <w:top w:val="none" w:sz="0" w:space="0" w:color="auto"/>
                        <w:left w:val="none" w:sz="0" w:space="0" w:color="auto"/>
                        <w:bottom w:val="none" w:sz="0" w:space="0" w:color="auto"/>
                        <w:right w:val="none" w:sz="0" w:space="0" w:color="auto"/>
                      </w:divBdr>
                      <w:divsChild>
                        <w:div w:id="1709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21888">
      <w:bodyDiv w:val="1"/>
      <w:marLeft w:val="0"/>
      <w:marRight w:val="0"/>
      <w:marTop w:val="0"/>
      <w:marBottom w:val="0"/>
      <w:divBdr>
        <w:top w:val="none" w:sz="0" w:space="0" w:color="auto"/>
        <w:left w:val="none" w:sz="0" w:space="0" w:color="auto"/>
        <w:bottom w:val="none" w:sz="0" w:space="0" w:color="auto"/>
        <w:right w:val="none" w:sz="0" w:space="0" w:color="auto"/>
      </w:divBdr>
    </w:div>
    <w:div w:id="885265012">
      <w:bodyDiv w:val="1"/>
      <w:marLeft w:val="0"/>
      <w:marRight w:val="0"/>
      <w:marTop w:val="0"/>
      <w:marBottom w:val="0"/>
      <w:divBdr>
        <w:top w:val="none" w:sz="0" w:space="0" w:color="auto"/>
        <w:left w:val="none" w:sz="0" w:space="0" w:color="auto"/>
        <w:bottom w:val="none" w:sz="0" w:space="0" w:color="auto"/>
        <w:right w:val="none" w:sz="0" w:space="0" w:color="auto"/>
      </w:divBdr>
    </w:div>
    <w:div w:id="889074161">
      <w:bodyDiv w:val="1"/>
      <w:marLeft w:val="0"/>
      <w:marRight w:val="0"/>
      <w:marTop w:val="0"/>
      <w:marBottom w:val="0"/>
      <w:divBdr>
        <w:top w:val="none" w:sz="0" w:space="0" w:color="auto"/>
        <w:left w:val="none" w:sz="0" w:space="0" w:color="auto"/>
        <w:bottom w:val="none" w:sz="0" w:space="0" w:color="auto"/>
        <w:right w:val="none" w:sz="0" w:space="0" w:color="auto"/>
      </w:divBdr>
    </w:div>
    <w:div w:id="893395595">
      <w:bodyDiv w:val="1"/>
      <w:marLeft w:val="0"/>
      <w:marRight w:val="0"/>
      <w:marTop w:val="0"/>
      <w:marBottom w:val="0"/>
      <w:divBdr>
        <w:top w:val="none" w:sz="0" w:space="0" w:color="auto"/>
        <w:left w:val="none" w:sz="0" w:space="0" w:color="auto"/>
        <w:bottom w:val="none" w:sz="0" w:space="0" w:color="auto"/>
        <w:right w:val="none" w:sz="0" w:space="0" w:color="auto"/>
      </w:divBdr>
    </w:div>
    <w:div w:id="944725010">
      <w:bodyDiv w:val="1"/>
      <w:marLeft w:val="0"/>
      <w:marRight w:val="0"/>
      <w:marTop w:val="0"/>
      <w:marBottom w:val="0"/>
      <w:divBdr>
        <w:top w:val="none" w:sz="0" w:space="0" w:color="auto"/>
        <w:left w:val="none" w:sz="0" w:space="0" w:color="auto"/>
        <w:bottom w:val="none" w:sz="0" w:space="0" w:color="auto"/>
        <w:right w:val="none" w:sz="0" w:space="0" w:color="auto"/>
      </w:divBdr>
    </w:div>
    <w:div w:id="945384285">
      <w:bodyDiv w:val="1"/>
      <w:marLeft w:val="0"/>
      <w:marRight w:val="0"/>
      <w:marTop w:val="0"/>
      <w:marBottom w:val="0"/>
      <w:divBdr>
        <w:top w:val="none" w:sz="0" w:space="0" w:color="auto"/>
        <w:left w:val="none" w:sz="0" w:space="0" w:color="auto"/>
        <w:bottom w:val="none" w:sz="0" w:space="0" w:color="auto"/>
        <w:right w:val="none" w:sz="0" w:space="0" w:color="auto"/>
      </w:divBdr>
    </w:div>
    <w:div w:id="969557590">
      <w:bodyDiv w:val="1"/>
      <w:marLeft w:val="0"/>
      <w:marRight w:val="0"/>
      <w:marTop w:val="0"/>
      <w:marBottom w:val="0"/>
      <w:divBdr>
        <w:top w:val="none" w:sz="0" w:space="0" w:color="auto"/>
        <w:left w:val="none" w:sz="0" w:space="0" w:color="auto"/>
        <w:bottom w:val="none" w:sz="0" w:space="0" w:color="auto"/>
        <w:right w:val="none" w:sz="0" w:space="0" w:color="auto"/>
      </w:divBdr>
      <w:divsChild>
        <w:div w:id="1080953878">
          <w:marLeft w:val="0"/>
          <w:marRight w:val="0"/>
          <w:marTop w:val="0"/>
          <w:marBottom w:val="0"/>
          <w:divBdr>
            <w:top w:val="none" w:sz="0" w:space="0" w:color="auto"/>
            <w:left w:val="none" w:sz="0" w:space="0" w:color="auto"/>
            <w:bottom w:val="none" w:sz="0" w:space="0" w:color="auto"/>
            <w:right w:val="none" w:sz="0" w:space="0" w:color="auto"/>
          </w:divBdr>
          <w:divsChild>
            <w:div w:id="1524975269">
              <w:marLeft w:val="0"/>
              <w:marRight w:val="0"/>
              <w:marTop w:val="0"/>
              <w:marBottom w:val="0"/>
              <w:divBdr>
                <w:top w:val="none" w:sz="0" w:space="0" w:color="auto"/>
                <w:left w:val="none" w:sz="0" w:space="0" w:color="auto"/>
                <w:bottom w:val="none" w:sz="0" w:space="0" w:color="auto"/>
                <w:right w:val="none" w:sz="0" w:space="0" w:color="auto"/>
              </w:divBdr>
              <w:divsChild>
                <w:div w:id="1833178002">
                  <w:marLeft w:val="0"/>
                  <w:marRight w:val="0"/>
                  <w:marTop w:val="0"/>
                  <w:marBottom w:val="0"/>
                  <w:divBdr>
                    <w:top w:val="none" w:sz="0" w:space="0" w:color="auto"/>
                    <w:left w:val="none" w:sz="0" w:space="0" w:color="auto"/>
                    <w:bottom w:val="none" w:sz="0" w:space="0" w:color="auto"/>
                    <w:right w:val="none" w:sz="0" w:space="0" w:color="auto"/>
                  </w:divBdr>
                  <w:divsChild>
                    <w:div w:id="191503271">
                      <w:marLeft w:val="0"/>
                      <w:marRight w:val="0"/>
                      <w:marTop w:val="0"/>
                      <w:marBottom w:val="0"/>
                      <w:divBdr>
                        <w:top w:val="none" w:sz="0" w:space="0" w:color="auto"/>
                        <w:left w:val="none" w:sz="0" w:space="0" w:color="auto"/>
                        <w:bottom w:val="none" w:sz="0" w:space="0" w:color="auto"/>
                        <w:right w:val="none" w:sz="0" w:space="0" w:color="auto"/>
                      </w:divBdr>
                      <w:divsChild>
                        <w:div w:id="244801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39850">
                              <w:marLeft w:val="0"/>
                              <w:marRight w:val="0"/>
                              <w:marTop w:val="180"/>
                              <w:marBottom w:val="180"/>
                              <w:divBdr>
                                <w:top w:val="none" w:sz="0" w:space="0" w:color="auto"/>
                                <w:left w:val="none" w:sz="0" w:space="0" w:color="auto"/>
                                <w:bottom w:val="none" w:sz="0" w:space="0" w:color="auto"/>
                                <w:right w:val="none" w:sz="0" w:space="0" w:color="auto"/>
                              </w:divBdr>
                              <w:divsChild>
                                <w:div w:id="10424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611">
          <w:marLeft w:val="0"/>
          <w:marRight w:val="0"/>
          <w:marTop w:val="0"/>
          <w:marBottom w:val="0"/>
          <w:divBdr>
            <w:top w:val="none" w:sz="0" w:space="0" w:color="auto"/>
            <w:left w:val="none" w:sz="0" w:space="0" w:color="auto"/>
            <w:bottom w:val="none" w:sz="0" w:space="0" w:color="auto"/>
            <w:right w:val="none" w:sz="0" w:space="0" w:color="auto"/>
          </w:divBdr>
          <w:divsChild>
            <w:div w:id="108403603">
              <w:marLeft w:val="0"/>
              <w:marRight w:val="0"/>
              <w:marTop w:val="0"/>
              <w:marBottom w:val="0"/>
              <w:divBdr>
                <w:top w:val="none" w:sz="0" w:space="0" w:color="auto"/>
                <w:left w:val="none" w:sz="0" w:space="0" w:color="auto"/>
                <w:bottom w:val="none" w:sz="0" w:space="0" w:color="auto"/>
                <w:right w:val="none" w:sz="0" w:space="0" w:color="auto"/>
              </w:divBdr>
              <w:divsChild>
                <w:div w:id="1438600444">
                  <w:marLeft w:val="0"/>
                  <w:marRight w:val="0"/>
                  <w:marTop w:val="0"/>
                  <w:marBottom w:val="0"/>
                  <w:divBdr>
                    <w:top w:val="none" w:sz="0" w:space="0" w:color="auto"/>
                    <w:left w:val="none" w:sz="0" w:space="0" w:color="auto"/>
                    <w:bottom w:val="none" w:sz="0" w:space="0" w:color="auto"/>
                    <w:right w:val="none" w:sz="0" w:space="0" w:color="auto"/>
                  </w:divBdr>
                  <w:divsChild>
                    <w:div w:id="1717584039">
                      <w:marLeft w:val="0"/>
                      <w:marRight w:val="0"/>
                      <w:marTop w:val="0"/>
                      <w:marBottom w:val="0"/>
                      <w:divBdr>
                        <w:top w:val="none" w:sz="0" w:space="0" w:color="auto"/>
                        <w:left w:val="none" w:sz="0" w:space="0" w:color="auto"/>
                        <w:bottom w:val="none" w:sz="0" w:space="0" w:color="auto"/>
                        <w:right w:val="none" w:sz="0" w:space="0" w:color="auto"/>
                      </w:divBdr>
                      <w:divsChild>
                        <w:div w:id="1821387495">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86973652">
      <w:bodyDiv w:val="1"/>
      <w:marLeft w:val="0"/>
      <w:marRight w:val="0"/>
      <w:marTop w:val="0"/>
      <w:marBottom w:val="0"/>
      <w:divBdr>
        <w:top w:val="none" w:sz="0" w:space="0" w:color="auto"/>
        <w:left w:val="none" w:sz="0" w:space="0" w:color="auto"/>
        <w:bottom w:val="none" w:sz="0" w:space="0" w:color="auto"/>
        <w:right w:val="none" w:sz="0" w:space="0" w:color="auto"/>
      </w:divBdr>
    </w:div>
    <w:div w:id="996419962">
      <w:bodyDiv w:val="1"/>
      <w:marLeft w:val="0"/>
      <w:marRight w:val="0"/>
      <w:marTop w:val="0"/>
      <w:marBottom w:val="0"/>
      <w:divBdr>
        <w:top w:val="none" w:sz="0" w:space="0" w:color="auto"/>
        <w:left w:val="none" w:sz="0" w:space="0" w:color="auto"/>
        <w:bottom w:val="none" w:sz="0" w:space="0" w:color="auto"/>
        <w:right w:val="none" w:sz="0" w:space="0" w:color="auto"/>
      </w:divBdr>
    </w:div>
    <w:div w:id="1008168425">
      <w:bodyDiv w:val="1"/>
      <w:marLeft w:val="0"/>
      <w:marRight w:val="0"/>
      <w:marTop w:val="0"/>
      <w:marBottom w:val="0"/>
      <w:divBdr>
        <w:top w:val="none" w:sz="0" w:space="0" w:color="auto"/>
        <w:left w:val="none" w:sz="0" w:space="0" w:color="auto"/>
        <w:bottom w:val="none" w:sz="0" w:space="0" w:color="auto"/>
        <w:right w:val="none" w:sz="0" w:space="0" w:color="auto"/>
      </w:divBdr>
    </w:div>
    <w:div w:id="1009452414">
      <w:bodyDiv w:val="1"/>
      <w:marLeft w:val="0"/>
      <w:marRight w:val="0"/>
      <w:marTop w:val="0"/>
      <w:marBottom w:val="0"/>
      <w:divBdr>
        <w:top w:val="none" w:sz="0" w:space="0" w:color="auto"/>
        <w:left w:val="none" w:sz="0" w:space="0" w:color="auto"/>
        <w:bottom w:val="none" w:sz="0" w:space="0" w:color="auto"/>
        <w:right w:val="none" w:sz="0" w:space="0" w:color="auto"/>
      </w:divBdr>
    </w:div>
    <w:div w:id="1052651222">
      <w:bodyDiv w:val="1"/>
      <w:marLeft w:val="0"/>
      <w:marRight w:val="0"/>
      <w:marTop w:val="0"/>
      <w:marBottom w:val="0"/>
      <w:divBdr>
        <w:top w:val="none" w:sz="0" w:space="0" w:color="auto"/>
        <w:left w:val="none" w:sz="0" w:space="0" w:color="auto"/>
        <w:bottom w:val="none" w:sz="0" w:space="0" w:color="auto"/>
        <w:right w:val="none" w:sz="0" w:space="0" w:color="auto"/>
      </w:divBdr>
      <w:divsChild>
        <w:div w:id="1175655103">
          <w:marLeft w:val="0"/>
          <w:marRight w:val="0"/>
          <w:marTop w:val="0"/>
          <w:marBottom w:val="0"/>
          <w:divBdr>
            <w:top w:val="none" w:sz="0" w:space="0" w:color="auto"/>
            <w:left w:val="none" w:sz="0" w:space="0" w:color="auto"/>
            <w:bottom w:val="none" w:sz="0" w:space="0" w:color="auto"/>
            <w:right w:val="none" w:sz="0" w:space="0" w:color="auto"/>
          </w:divBdr>
          <w:divsChild>
            <w:div w:id="1614902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5181349">
                  <w:marLeft w:val="0"/>
                  <w:marRight w:val="0"/>
                  <w:marTop w:val="180"/>
                  <w:marBottom w:val="180"/>
                  <w:divBdr>
                    <w:top w:val="none" w:sz="0" w:space="0" w:color="auto"/>
                    <w:left w:val="none" w:sz="0" w:space="0" w:color="auto"/>
                    <w:bottom w:val="none" w:sz="0" w:space="0" w:color="auto"/>
                    <w:right w:val="none" w:sz="0" w:space="0" w:color="auto"/>
                  </w:divBdr>
                  <w:divsChild>
                    <w:div w:id="8542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2827">
          <w:marLeft w:val="0"/>
          <w:marRight w:val="0"/>
          <w:marTop w:val="0"/>
          <w:marBottom w:val="0"/>
          <w:divBdr>
            <w:top w:val="none" w:sz="0" w:space="0" w:color="auto"/>
            <w:left w:val="none" w:sz="0" w:space="0" w:color="auto"/>
            <w:bottom w:val="none" w:sz="0" w:space="0" w:color="auto"/>
            <w:right w:val="none" w:sz="0" w:space="0" w:color="auto"/>
          </w:divBdr>
          <w:divsChild>
            <w:div w:id="955212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5300177">
                  <w:marLeft w:val="0"/>
                  <w:marRight w:val="0"/>
                  <w:marTop w:val="0"/>
                  <w:marBottom w:val="240"/>
                  <w:divBdr>
                    <w:top w:val="none" w:sz="0" w:space="0" w:color="auto"/>
                    <w:left w:val="none" w:sz="0" w:space="0" w:color="auto"/>
                    <w:bottom w:val="none" w:sz="0" w:space="0" w:color="auto"/>
                    <w:right w:val="none" w:sz="0" w:space="0" w:color="auto"/>
                  </w:divBdr>
                  <w:divsChild>
                    <w:div w:id="806316424">
                      <w:marLeft w:val="0"/>
                      <w:marRight w:val="0"/>
                      <w:marTop w:val="0"/>
                      <w:marBottom w:val="0"/>
                      <w:divBdr>
                        <w:top w:val="none" w:sz="0" w:space="0" w:color="auto"/>
                        <w:left w:val="none" w:sz="0" w:space="0" w:color="auto"/>
                        <w:bottom w:val="none" w:sz="0" w:space="0" w:color="auto"/>
                        <w:right w:val="none" w:sz="0" w:space="0" w:color="auto"/>
                      </w:divBdr>
                      <w:divsChild>
                        <w:div w:id="92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5623">
      <w:bodyDiv w:val="1"/>
      <w:marLeft w:val="0"/>
      <w:marRight w:val="0"/>
      <w:marTop w:val="0"/>
      <w:marBottom w:val="0"/>
      <w:divBdr>
        <w:top w:val="none" w:sz="0" w:space="0" w:color="auto"/>
        <w:left w:val="none" w:sz="0" w:space="0" w:color="auto"/>
        <w:bottom w:val="none" w:sz="0" w:space="0" w:color="auto"/>
        <w:right w:val="none" w:sz="0" w:space="0" w:color="auto"/>
      </w:divBdr>
    </w:div>
    <w:div w:id="1072894467">
      <w:bodyDiv w:val="1"/>
      <w:marLeft w:val="0"/>
      <w:marRight w:val="0"/>
      <w:marTop w:val="0"/>
      <w:marBottom w:val="0"/>
      <w:divBdr>
        <w:top w:val="none" w:sz="0" w:space="0" w:color="auto"/>
        <w:left w:val="none" w:sz="0" w:space="0" w:color="auto"/>
        <w:bottom w:val="none" w:sz="0" w:space="0" w:color="auto"/>
        <w:right w:val="none" w:sz="0" w:space="0" w:color="auto"/>
      </w:divBdr>
    </w:div>
    <w:div w:id="1077095050">
      <w:bodyDiv w:val="1"/>
      <w:marLeft w:val="0"/>
      <w:marRight w:val="0"/>
      <w:marTop w:val="0"/>
      <w:marBottom w:val="0"/>
      <w:divBdr>
        <w:top w:val="none" w:sz="0" w:space="0" w:color="auto"/>
        <w:left w:val="none" w:sz="0" w:space="0" w:color="auto"/>
        <w:bottom w:val="none" w:sz="0" w:space="0" w:color="auto"/>
        <w:right w:val="none" w:sz="0" w:space="0" w:color="auto"/>
      </w:divBdr>
    </w:div>
    <w:div w:id="1095977238">
      <w:bodyDiv w:val="1"/>
      <w:marLeft w:val="0"/>
      <w:marRight w:val="0"/>
      <w:marTop w:val="0"/>
      <w:marBottom w:val="0"/>
      <w:divBdr>
        <w:top w:val="none" w:sz="0" w:space="0" w:color="auto"/>
        <w:left w:val="none" w:sz="0" w:space="0" w:color="auto"/>
        <w:bottom w:val="none" w:sz="0" w:space="0" w:color="auto"/>
        <w:right w:val="none" w:sz="0" w:space="0" w:color="auto"/>
      </w:divBdr>
    </w:div>
    <w:div w:id="1111510925">
      <w:bodyDiv w:val="1"/>
      <w:marLeft w:val="0"/>
      <w:marRight w:val="0"/>
      <w:marTop w:val="0"/>
      <w:marBottom w:val="0"/>
      <w:divBdr>
        <w:top w:val="none" w:sz="0" w:space="0" w:color="auto"/>
        <w:left w:val="none" w:sz="0" w:space="0" w:color="auto"/>
        <w:bottom w:val="none" w:sz="0" w:space="0" w:color="auto"/>
        <w:right w:val="none" w:sz="0" w:space="0" w:color="auto"/>
      </w:divBdr>
    </w:div>
    <w:div w:id="1121337987">
      <w:bodyDiv w:val="1"/>
      <w:marLeft w:val="0"/>
      <w:marRight w:val="0"/>
      <w:marTop w:val="0"/>
      <w:marBottom w:val="0"/>
      <w:divBdr>
        <w:top w:val="none" w:sz="0" w:space="0" w:color="auto"/>
        <w:left w:val="none" w:sz="0" w:space="0" w:color="auto"/>
        <w:bottom w:val="none" w:sz="0" w:space="0" w:color="auto"/>
        <w:right w:val="none" w:sz="0" w:space="0" w:color="auto"/>
      </w:divBdr>
    </w:div>
    <w:div w:id="1137649448">
      <w:bodyDiv w:val="1"/>
      <w:marLeft w:val="0"/>
      <w:marRight w:val="0"/>
      <w:marTop w:val="0"/>
      <w:marBottom w:val="0"/>
      <w:divBdr>
        <w:top w:val="none" w:sz="0" w:space="0" w:color="auto"/>
        <w:left w:val="none" w:sz="0" w:space="0" w:color="auto"/>
        <w:bottom w:val="none" w:sz="0" w:space="0" w:color="auto"/>
        <w:right w:val="none" w:sz="0" w:space="0" w:color="auto"/>
      </w:divBdr>
    </w:div>
    <w:div w:id="1152258820">
      <w:bodyDiv w:val="1"/>
      <w:marLeft w:val="0"/>
      <w:marRight w:val="0"/>
      <w:marTop w:val="0"/>
      <w:marBottom w:val="0"/>
      <w:divBdr>
        <w:top w:val="none" w:sz="0" w:space="0" w:color="auto"/>
        <w:left w:val="none" w:sz="0" w:space="0" w:color="auto"/>
        <w:bottom w:val="none" w:sz="0" w:space="0" w:color="auto"/>
        <w:right w:val="none" w:sz="0" w:space="0" w:color="auto"/>
      </w:divBdr>
    </w:div>
    <w:div w:id="1175415086">
      <w:bodyDiv w:val="1"/>
      <w:marLeft w:val="0"/>
      <w:marRight w:val="0"/>
      <w:marTop w:val="0"/>
      <w:marBottom w:val="0"/>
      <w:divBdr>
        <w:top w:val="none" w:sz="0" w:space="0" w:color="auto"/>
        <w:left w:val="none" w:sz="0" w:space="0" w:color="auto"/>
        <w:bottom w:val="none" w:sz="0" w:space="0" w:color="auto"/>
        <w:right w:val="none" w:sz="0" w:space="0" w:color="auto"/>
      </w:divBdr>
    </w:div>
    <w:div w:id="1248687204">
      <w:bodyDiv w:val="1"/>
      <w:marLeft w:val="0"/>
      <w:marRight w:val="0"/>
      <w:marTop w:val="0"/>
      <w:marBottom w:val="0"/>
      <w:divBdr>
        <w:top w:val="none" w:sz="0" w:space="0" w:color="auto"/>
        <w:left w:val="none" w:sz="0" w:space="0" w:color="auto"/>
        <w:bottom w:val="none" w:sz="0" w:space="0" w:color="auto"/>
        <w:right w:val="none" w:sz="0" w:space="0" w:color="auto"/>
      </w:divBdr>
    </w:div>
    <w:div w:id="1291940901">
      <w:bodyDiv w:val="1"/>
      <w:marLeft w:val="0"/>
      <w:marRight w:val="0"/>
      <w:marTop w:val="0"/>
      <w:marBottom w:val="0"/>
      <w:divBdr>
        <w:top w:val="none" w:sz="0" w:space="0" w:color="auto"/>
        <w:left w:val="none" w:sz="0" w:space="0" w:color="auto"/>
        <w:bottom w:val="none" w:sz="0" w:space="0" w:color="auto"/>
        <w:right w:val="none" w:sz="0" w:space="0" w:color="auto"/>
      </w:divBdr>
    </w:div>
    <w:div w:id="1333217587">
      <w:bodyDiv w:val="1"/>
      <w:marLeft w:val="0"/>
      <w:marRight w:val="0"/>
      <w:marTop w:val="0"/>
      <w:marBottom w:val="0"/>
      <w:divBdr>
        <w:top w:val="none" w:sz="0" w:space="0" w:color="auto"/>
        <w:left w:val="none" w:sz="0" w:space="0" w:color="auto"/>
        <w:bottom w:val="none" w:sz="0" w:space="0" w:color="auto"/>
        <w:right w:val="none" w:sz="0" w:space="0" w:color="auto"/>
      </w:divBdr>
    </w:div>
    <w:div w:id="1371491681">
      <w:bodyDiv w:val="1"/>
      <w:marLeft w:val="0"/>
      <w:marRight w:val="0"/>
      <w:marTop w:val="0"/>
      <w:marBottom w:val="0"/>
      <w:divBdr>
        <w:top w:val="none" w:sz="0" w:space="0" w:color="auto"/>
        <w:left w:val="none" w:sz="0" w:space="0" w:color="auto"/>
        <w:bottom w:val="none" w:sz="0" w:space="0" w:color="auto"/>
        <w:right w:val="none" w:sz="0" w:space="0" w:color="auto"/>
      </w:divBdr>
      <w:divsChild>
        <w:div w:id="1208373761">
          <w:marLeft w:val="0"/>
          <w:marRight w:val="0"/>
          <w:marTop w:val="0"/>
          <w:marBottom w:val="0"/>
          <w:divBdr>
            <w:top w:val="none" w:sz="0" w:space="0" w:color="auto"/>
            <w:left w:val="none" w:sz="0" w:space="0" w:color="auto"/>
            <w:bottom w:val="none" w:sz="0" w:space="0" w:color="auto"/>
            <w:right w:val="none" w:sz="0" w:space="0" w:color="auto"/>
          </w:divBdr>
          <w:divsChild>
            <w:div w:id="144776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042892">
                  <w:marLeft w:val="0"/>
                  <w:marRight w:val="0"/>
                  <w:marTop w:val="180"/>
                  <w:marBottom w:val="180"/>
                  <w:divBdr>
                    <w:top w:val="none" w:sz="0" w:space="0" w:color="auto"/>
                    <w:left w:val="none" w:sz="0" w:space="0" w:color="auto"/>
                    <w:bottom w:val="none" w:sz="0" w:space="0" w:color="auto"/>
                    <w:right w:val="none" w:sz="0" w:space="0" w:color="auto"/>
                  </w:divBdr>
                  <w:divsChild>
                    <w:div w:id="8768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367">
          <w:marLeft w:val="0"/>
          <w:marRight w:val="0"/>
          <w:marTop w:val="0"/>
          <w:marBottom w:val="0"/>
          <w:divBdr>
            <w:top w:val="none" w:sz="0" w:space="0" w:color="auto"/>
            <w:left w:val="none" w:sz="0" w:space="0" w:color="auto"/>
            <w:bottom w:val="none" w:sz="0" w:space="0" w:color="auto"/>
            <w:right w:val="none" w:sz="0" w:space="0" w:color="auto"/>
          </w:divBdr>
          <w:divsChild>
            <w:div w:id="512301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3003925">
                  <w:marLeft w:val="0"/>
                  <w:marRight w:val="0"/>
                  <w:marTop w:val="0"/>
                  <w:marBottom w:val="240"/>
                  <w:divBdr>
                    <w:top w:val="none" w:sz="0" w:space="0" w:color="auto"/>
                    <w:left w:val="none" w:sz="0" w:space="0" w:color="auto"/>
                    <w:bottom w:val="none" w:sz="0" w:space="0" w:color="auto"/>
                    <w:right w:val="none" w:sz="0" w:space="0" w:color="auto"/>
                  </w:divBdr>
                  <w:divsChild>
                    <w:div w:id="994914562">
                      <w:marLeft w:val="0"/>
                      <w:marRight w:val="0"/>
                      <w:marTop w:val="0"/>
                      <w:marBottom w:val="0"/>
                      <w:divBdr>
                        <w:top w:val="none" w:sz="0" w:space="0" w:color="auto"/>
                        <w:left w:val="none" w:sz="0" w:space="0" w:color="auto"/>
                        <w:bottom w:val="none" w:sz="0" w:space="0" w:color="auto"/>
                        <w:right w:val="none" w:sz="0" w:space="0" w:color="auto"/>
                      </w:divBdr>
                      <w:divsChild>
                        <w:div w:id="5232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23608">
      <w:bodyDiv w:val="1"/>
      <w:marLeft w:val="0"/>
      <w:marRight w:val="0"/>
      <w:marTop w:val="0"/>
      <w:marBottom w:val="0"/>
      <w:divBdr>
        <w:top w:val="none" w:sz="0" w:space="0" w:color="auto"/>
        <w:left w:val="none" w:sz="0" w:space="0" w:color="auto"/>
        <w:bottom w:val="none" w:sz="0" w:space="0" w:color="auto"/>
        <w:right w:val="none" w:sz="0" w:space="0" w:color="auto"/>
      </w:divBdr>
    </w:div>
    <w:div w:id="1404065617">
      <w:bodyDiv w:val="1"/>
      <w:marLeft w:val="0"/>
      <w:marRight w:val="0"/>
      <w:marTop w:val="0"/>
      <w:marBottom w:val="0"/>
      <w:divBdr>
        <w:top w:val="none" w:sz="0" w:space="0" w:color="auto"/>
        <w:left w:val="none" w:sz="0" w:space="0" w:color="auto"/>
        <w:bottom w:val="none" w:sz="0" w:space="0" w:color="auto"/>
        <w:right w:val="none" w:sz="0" w:space="0" w:color="auto"/>
      </w:divBdr>
    </w:div>
    <w:div w:id="1458448735">
      <w:bodyDiv w:val="1"/>
      <w:marLeft w:val="0"/>
      <w:marRight w:val="0"/>
      <w:marTop w:val="0"/>
      <w:marBottom w:val="0"/>
      <w:divBdr>
        <w:top w:val="none" w:sz="0" w:space="0" w:color="auto"/>
        <w:left w:val="none" w:sz="0" w:space="0" w:color="auto"/>
        <w:bottom w:val="none" w:sz="0" w:space="0" w:color="auto"/>
        <w:right w:val="none" w:sz="0" w:space="0" w:color="auto"/>
      </w:divBdr>
    </w:div>
    <w:div w:id="1523476506">
      <w:bodyDiv w:val="1"/>
      <w:marLeft w:val="0"/>
      <w:marRight w:val="0"/>
      <w:marTop w:val="0"/>
      <w:marBottom w:val="0"/>
      <w:divBdr>
        <w:top w:val="none" w:sz="0" w:space="0" w:color="auto"/>
        <w:left w:val="none" w:sz="0" w:space="0" w:color="auto"/>
        <w:bottom w:val="none" w:sz="0" w:space="0" w:color="auto"/>
        <w:right w:val="none" w:sz="0" w:space="0" w:color="auto"/>
      </w:divBdr>
      <w:divsChild>
        <w:div w:id="2069570393">
          <w:marLeft w:val="0"/>
          <w:marRight w:val="0"/>
          <w:marTop w:val="0"/>
          <w:marBottom w:val="0"/>
          <w:divBdr>
            <w:top w:val="none" w:sz="0" w:space="0" w:color="auto"/>
            <w:left w:val="none" w:sz="0" w:space="0" w:color="auto"/>
            <w:bottom w:val="none" w:sz="0" w:space="0" w:color="auto"/>
            <w:right w:val="none" w:sz="0" w:space="0" w:color="auto"/>
          </w:divBdr>
          <w:divsChild>
            <w:div w:id="1085301163">
              <w:marLeft w:val="0"/>
              <w:marRight w:val="0"/>
              <w:marTop w:val="0"/>
              <w:marBottom w:val="0"/>
              <w:divBdr>
                <w:top w:val="none" w:sz="0" w:space="0" w:color="auto"/>
                <w:left w:val="none" w:sz="0" w:space="0" w:color="auto"/>
                <w:bottom w:val="none" w:sz="0" w:space="0" w:color="auto"/>
                <w:right w:val="none" w:sz="0" w:space="0" w:color="auto"/>
              </w:divBdr>
              <w:divsChild>
                <w:div w:id="1511214260">
                  <w:marLeft w:val="0"/>
                  <w:marRight w:val="0"/>
                  <w:marTop w:val="0"/>
                  <w:marBottom w:val="0"/>
                  <w:divBdr>
                    <w:top w:val="none" w:sz="0" w:space="0" w:color="auto"/>
                    <w:left w:val="none" w:sz="0" w:space="0" w:color="auto"/>
                    <w:bottom w:val="none" w:sz="0" w:space="0" w:color="auto"/>
                    <w:right w:val="none" w:sz="0" w:space="0" w:color="auto"/>
                  </w:divBdr>
                  <w:divsChild>
                    <w:div w:id="753628467">
                      <w:marLeft w:val="0"/>
                      <w:marRight w:val="0"/>
                      <w:marTop w:val="0"/>
                      <w:marBottom w:val="0"/>
                      <w:divBdr>
                        <w:top w:val="none" w:sz="0" w:space="0" w:color="auto"/>
                        <w:left w:val="none" w:sz="0" w:space="0" w:color="auto"/>
                        <w:bottom w:val="none" w:sz="0" w:space="0" w:color="auto"/>
                        <w:right w:val="none" w:sz="0" w:space="0" w:color="auto"/>
                      </w:divBdr>
                      <w:divsChild>
                        <w:div w:id="446512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403501">
                              <w:marLeft w:val="0"/>
                              <w:marRight w:val="0"/>
                              <w:marTop w:val="180"/>
                              <w:marBottom w:val="180"/>
                              <w:divBdr>
                                <w:top w:val="none" w:sz="0" w:space="0" w:color="auto"/>
                                <w:left w:val="none" w:sz="0" w:space="0" w:color="auto"/>
                                <w:bottom w:val="none" w:sz="0" w:space="0" w:color="auto"/>
                                <w:right w:val="none" w:sz="0" w:space="0" w:color="auto"/>
                              </w:divBdr>
                              <w:divsChild>
                                <w:div w:id="3021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4455">
          <w:marLeft w:val="0"/>
          <w:marRight w:val="0"/>
          <w:marTop w:val="0"/>
          <w:marBottom w:val="0"/>
          <w:divBdr>
            <w:top w:val="none" w:sz="0" w:space="0" w:color="auto"/>
            <w:left w:val="none" w:sz="0" w:space="0" w:color="auto"/>
            <w:bottom w:val="none" w:sz="0" w:space="0" w:color="auto"/>
            <w:right w:val="none" w:sz="0" w:space="0" w:color="auto"/>
          </w:divBdr>
          <w:divsChild>
            <w:div w:id="481846044">
              <w:marLeft w:val="0"/>
              <w:marRight w:val="0"/>
              <w:marTop w:val="0"/>
              <w:marBottom w:val="0"/>
              <w:divBdr>
                <w:top w:val="none" w:sz="0" w:space="0" w:color="auto"/>
                <w:left w:val="none" w:sz="0" w:space="0" w:color="auto"/>
                <w:bottom w:val="none" w:sz="0" w:space="0" w:color="auto"/>
                <w:right w:val="none" w:sz="0" w:space="0" w:color="auto"/>
              </w:divBdr>
              <w:divsChild>
                <w:div w:id="1076198166">
                  <w:marLeft w:val="0"/>
                  <w:marRight w:val="0"/>
                  <w:marTop w:val="0"/>
                  <w:marBottom w:val="0"/>
                  <w:divBdr>
                    <w:top w:val="none" w:sz="0" w:space="0" w:color="auto"/>
                    <w:left w:val="none" w:sz="0" w:space="0" w:color="auto"/>
                    <w:bottom w:val="none" w:sz="0" w:space="0" w:color="auto"/>
                    <w:right w:val="none" w:sz="0" w:space="0" w:color="auto"/>
                  </w:divBdr>
                  <w:divsChild>
                    <w:div w:id="1240866716">
                      <w:marLeft w:val="0"/>
                      <w:marRight w:val="0"/>
                      <w:marTop w:val="0"/>
                      <w:marBottom w:val="0"/>
                      <w:divBdr>
                        <w:top w:val="none" w:sz="0" w:space="0" w:color="auto"/>
                        <w:left w:val="none" w:sz="0" w:space="0" w:color="auto"/>
                        <w:bottom w:val="none" w:sz="0" w:space="0" w:color="auto"/>
                        <w:right w:val="none" w:sz="0" w:space="0" w:color="auto"/>
                      </w:divBdr>
                      <w:divsChild>
                        <w:div w:id="802187520">
                          <w:marLeft w:val="0"/>
                          <w:marRight w:val="0"/>
                          <w:marTop w:val="0"/>
                          <w:marBottom w:val="0"/>
                          <w:divBdr>
                            <w:top w:val="none" w:sz="0" w:space="0" w:color="auto"/>
                            <w:left w:val="none" w:sz="0" w:space="0" w:color="auto"/>
                            <w:bottom w:val="none" w:sz="0" w:space="0" w:color="auto"/>
                            <w:right w:val="none" w:sz="0" w:space="0" w:color="auto"/>
                          </w:divBdr>
                          <w:divsChild>
                            <w:div w:id="5883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17729">
      <w:bodyDiv w:val="1"/>
      <w:marLeft w:val="0"/>
      <w:marRight w:val="0"/>
      <w:marTop w:val="0"/>
      <w:marBottom w:val="0"/>
      <w:divBdr>
        <w:top w:val="none" w:sz="0" w:space="0" w:color="auto"/>
        <w:left w:val="none" w:sz="0" w:space="0" w:color="auto"/>
        <w:bottom w:val="none" w:sz="0" w:space="0" w:color="auto"/>
        <w:right w:val="none" w:sz="0" w:space="0" w:color="auto"/>
      </w:divBdr>
    </w:div>
    <w:div w:id="1623464428">
      <w:bodyDiv w:val="1"/>
      <w:marLeft w:val="0"/>
      <w:marRight w:val="0"/>
      <w:marTop w:val="0"/>
      <w:marBottom w:val="0"/>
      <w:divBdr>
        <w:top w:val="none" w:sz="0" w:space="0" w:color="auto"/>
        <w:left w:val="none" w:sz="0" w:space="0" w:color="auto"/>
        <w:bottom w:val="none" w:sz="0" w:space="0" w:color="auto"/>
        <w:right w:val="none" w:sz="0" w:space="0" w:color="auto"/>
      </w:divBdr>
    </w:div>
    <w:div w:id="1663117937">
      <w:bodyDiv w:val="1"/>
      <w:marLeft w:val="0"/>
      <w:marRight w:val="0"/>
      <w:marTop w:val="0"/>
      <w:marBottom w:val="0"/>
      <w:divBdr>
        <w:top w:val="none" w:sz="0" w:space="0" w:color="auto"/>
        <w:left w:val="none" w:sz="0" w:space="0" w:color="auto"/>
        <w:bottom w:val="none" w:sz="0" w:space="0" w:color="auto"/>
        <w:right w:val="none" w:sz="0" w:space="0" w:color="auto"/>
      </w:divBdr>
    </w:div>
    <w:div w:id="1699694437">
      <w:bodyDiv w:val="1"/>
      <w:marLeft w:val="0"/>
      <w:marRight w:val="0"/>
      <w:marTop w:val="0"/>
      <w:marBottom w:val="0"/>
      <w:divBdr>
        <w:top w:val="none" w:sz="0" w:space="0" w:color="auto"/>
        <w:left w:val="none" w:sz="0" w:space="0" w:color="auto"/>
        <w:bottom w:val="none" w:sz="0" w:space="0" w:color="auto"/>
        <w:right w:val="none" w:sz="0" w:space="0" w:color="auto"/>
      </w:divBdr>
    </w:div>
    <w:div w:id="1733458963">
      <w:bodyDiv w:val="1"/>
      <w:marLeft w:val="0"/>
      <w:marRight w:val="0"/>
      <w:marTop w:val="0"/>
      <w:marBottom w:val="0"/>
      <w:divBdr>
        <w:top w:val="none" w:sz="0" w:space="0" w:color="auto"/>
        <w:left w:val="none" w:sz="0" w:space="0" w:color="auto"/>
        <w:bottom w:val="none" w:sz="0" w:space="0" w:color="auto"/>
        <w:right w:val="none" w:sz="0" w:space="0" w:color="auto"/>
      </w:divBdr>
    </w:div>
    <w:div w:id="1744326868">
      <w:bodyDiv w:val="1"/>
      <w:marLeft w:val="0"/>
      <w:marRight w:val="0"/>
      <w:marTop w:val="0"/>
      <w:marBottom w:val="0"/>
      <w:divBdr>
        <w:top w:val="none" w:sz="0" w:space="0" w:color="auto"/>
        <w:left w:val="none" w:sz="0" w:space="0" w:color="auto"/>
        <w:bottom w:val="none" w:sz="0" w:space="0" w:color="auto"/>
        <w:right w:val="none" w:sz="0" w:space="0" w:color="auto"/>
      </w:divBdr>
    </w:div>
    <w:div w:id="1753775827">
      <w:bodyDiv w:val="1"/>
      <w:marLeft w:val="0"/>
      <w:marRight w:val="0"/>
      <w:marTop w:val="0"/>
      <w:marBottom w:val="0"/>
      <w:divBdr>
        <w:top w:val="none" w:sz="0" w:space="0" w:color="auto"/>
        <w:left w:val="none" w:sz="0" w:space="0" w:color="auto"/>
        <w:bottom w:val="none" w:sz="0" w:space="0" w:color="auto"/>
        <w:right w:val="none" w:sz="0" w:space="0" w:color="auto"/>
      </w:divBdr>
    </w:div>
    <w:div w:id="1754820252">
      <w:bodyDiv w:val="1"/>
      <w:marLeft w:val="0"/>
      <w:marRight w:val="0"/>
      <w:marTop w:val="0"/>
      <w:marBottom w:val="0"/>
      <w:divBdr>
        <w:top w:val="none" w:sz="0" w:space="0" w:color="auto"/>
        <w:left w:val="none" w:sz="0" w:space="0" w:color="auto"/>
        <w:bottom w:val="none" w:sz="0" w:space="0" w:color="auto"/>
        <w:right w:val="none" w:sz="0" w:space="0" w:color="auto"/>
      </w:divBdr>
    </w:div>
    <w:div w:id="1790857643">
      <w:bodyDiv w:val="1"/>
      <w:marLeft w:val="0"/>
      <w:marRight w:val="0"/>
      <w:marTop w:val="0"/>
      <w:marBottom w:val="0"/>
      <w:divBdr>
        <w:top w:val="none" w:sz="0" w:space="0" w:color="auto"/>
        <w:left w:val="none" w:sz="0" w:space="0" w:color="auto"/>
        <w:bottom w:val="none" w:sz="0" w:space="0" w:color="auto"/>
        <w:right w:val="none" w:sz="0" w:space="0" w:color="auto"/>
      </w:divBdr>
    </w:div>
    <w:div w:id="1850439541">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99045875">
      <w:bodyDiv w:val="1"/>
      <w:marLeft w:val="0"/>
      <w:marRight w:val="0"/>
      <w:marTop w:val="0"/>
      <w:marBottom w:val="0"/>
      <w:divBdr>
        <w:top w:val="none" w:sz="0" w:space="0" w:color="auto"/>
        <w:left w:val="none" w:sz="0" w:space="0" w:color="auto"/>
        <w:bottom w:val="none" w:sz="0" w:space="0" w:color="auto"/>
        <w:right w:val="none" w:sz="0" w:space="0" w:color="auto"/>
      </w:divBdr>
    </w:div>
    <w:div w:id="1921793857">
      <w:bodyDiv w:val="1"/>
      <w:marLeft w:val="0"/>
      <w:marRight w:val="0"/>
      <w:marTop w:val="0"/>
      <w:marBottom w:val="0"/>
      <w:divBdr>
        <w:top w:val="none" w:sz="0" w:space="0" w:color="auto"/>
        <w:left w:val="none" w:sz="0" w:space="0" w:color="auto"/>
        <w:bottom w:val="none" w:sz="0" w:space="0" w:color="auto"/>
        <w:right w:val="none" w:sz="0" w:space="0" w:color="auto"/>
      </w:divBdr>
    </w:div>
    <w:div w:id="1961301553">
      <w:bodyDiv w:val="1"/>
      <w:marLeft w:val="0"/>
      <w:marRight w:val="0"/>
      <w:marTop w:val="0"/>
      <w:marBottom w:val="0"/>
      <w:divBdr>
        <w:top w:val="none" w:sz="0" w:space="0" w:color="auto"/>
        <w:left w:val="none" w:sz="0" w:space="0" w:color="auto"/>
        <w:bottom w:val="none" w:sz="0" w:space="0" w:color="auto"/>
        <w:right w:val="none" w:sz="0" w:space="0" w:color="auto"/>
      </w:divBdr>
    </w:div>
    <w:div w:id="1976330629">
      <w:bodyDiv w:val="1"/>
      <w:marLeft w:val="0"/>
      <w:marRight w:val="0"/>
      <w:marTop w:val="0"/>
      <w:marBottom w:val="0"/>
      <w:divBdr>
        <w:top w:val="none" w:sz="0" w:space="0" w:color="auto"/>
        <w:left w:val="none" w:sz="0" w:space="0" w:color="auto"/>
        <w:bottom w:val="none" w:sz="0" w:space="0" w:color="auto"/>
        <w:right w:val="none" w:sz="0" w:space="0" w:color="auto"/>
      </w:divBdr>
    </w:div>
    <w:div w:id="1988436413">
      <w:bodyDiv w:val="1"/>
      <w:marLeft w:val="0"/>
      <w:marRight w:val="0"/>
      <w:marTop w:val="0"/>
      <w:marBottom w:val="0"/>
      <w:divBdr>
        <w:top w:val="none" w:sz="0" w:space="0" w:color="auto"/>
        <w:left w:val="none" w:sz="0" w:space="0" w:color="auto"/>
        <w:bottom w:val="none" w:sz="0" w:space="0" w:color="auto"/>
        <w:right w:val="none" w:sz="0" w:space="0" w:color="auto"/>
      </w:divBdr>
    </w:div>
    <w:div w:id="2052608174">
      <w:bodyDiv w:val="1"/>
      <w:marLeft w:val="0"/>
      <w:marRight w:val="0"/>
      <w:marTop w:val="0"/>
      <w:marBottom w:val="0"/>
      <w:divBdr>
        <w:top w:val="none" w:sz="0" w:space="0" w:color="auto"/>
        <w:left w:val="none" w:sz="0" w:space="0" w:color="auto"/>
        <w:bottom w:val="none" w:sz="0" w:space="0" w:color="auto"/>
        <w:right w:val="none" w:sz="0" w:space="0" w:color="auto"/>
      </w:divBdr>
    </w:div>
    <w:div w:id="2058509462">
      <w:bodyDiv w:val="1"/>
      <w:marLeft w:val="0"/>
      <w:marRight w:val="0"/>
      <w:marTop w:val="0"/>
      <w:marBottom w:val="0"/>
      <w:divBdr>
        <w:top w:val="none" w:sz="0" w:space="0" w:color="auto"/>
        <w:left w:val="none" w:sz="0" w:space="0" w:color="auto"/>
        <w:bottom w:val="none" w:sz="0" w:space="0" w:color="auto"/>
        <w:right w:val="none" w:sz="0" w:space="0" w:color="auto"/>
      </w:divBdr>
    </w:div>
    <w:div w:id="2060938899">
      <w:bodyDiv w:val="1"/>
      <w:marLeft w:val="0"/>
      <w:marRight w:val="0"/>
      <w:marTop w:val="0"/>
      <w:marBottom w:val="0"/>
      <w:divBdr>
        <w:top w:val="none" w:sz="0" w:space="0" w:color="auto"/>
        <w:left w:val="none" w:sz="0" w:space="0" w:color="auto"/>
        <w:bottom w:val="none" w:sz="0" w:space="0" w:color="auto"/>
        <w:right w:val="none" w:sz="0" w:space="0" w:color="auto"/>
      </w:divBdr>
    </w:div>
    <w:div w:id="2099477038">
      <w:bodyDiv w:val="1"/>
      <w:marLeft w:val="0"/>
      <w:marRight w:val="0"/>
      <w:marTop w:val="0"/>
      <w:marBottom w:val="0"/>
      <w:divBdr>
        <w:top w:val="none" w:sz="0" w:space="0" w:color="auto"/>
        <w:left w:val="none" w:sz="0" w:space="0" w:color="auto"/>
        <w:bottom w:val="none" w:sz="0" w:space="0" w:color="auto"/>
        <w:right w:val="none" w:sz="0" w:space="0" w:color="auto"/>
      </w:divBdr>
    </w:div>
    <w:div w:id="2103067052">
      <w:bodyDiv w:val="1"/>
      <w:marLeft w:val="0"/>
      <w:marRight w:val="0"/>
      <w:marTop w:val="0"/>
      <w:marBottom w:val="0"/>
      <w:divBdr>
        <w:top w:val="none" w:sz="0" w:space="0" w:color="auto"/>
        <w:left w:val="none" w:sz="0" w:space="0" w:color="auto"/>
        <w:bottom w:val="none" w:sz="0" w:space="0" w:color="auto"/>
        <w:right w:val="none" w:sz="0" w:space="0" w:color="auto"/>
      </w:divBdr>
      <w:divsChild>
        <w:div w:id="1784419478">
          <w:marLeft w:val="0"/>
          <w:marRight w:val="0"/>
          <w:marTop w:val="0"/>
          <w:marBottom w:val="0"/>
          <w:divBdr>
            <w:top w:val="none" w:sz="0" w:space="0" w:color="auto"/>
            <w:left w:val="none" w:sz="0" w:space="0" w:color="auto"/>
            <w:bottom w:val="none" w:sz="0" w:space="0" w:color="auto"/>
            <w:right w:val="none" w:sz="0" w:space="0" w:color="auto"/>
          </w:divBdr>
          <w:divsChild>
            <w:div w:id="1731221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5499116">
                  <w:marLeft w:val="0"/>
                  <w:marRight w:val="0"/>
                  <w:marTop w:val="180"/>
                  <w:marBottom w:val="180"/>
                  <w:divBdr>
                    <w:top w:val="none" w:sz="0" w:space="0" w:color="auto"/>
                    <w:left w:val="none" w:sz="0" w:space="0" w:color="auto"/>
                    <w:bottom w:val="none" w:sz="0" w:space="0" w:color="auto"/>
                    <w:right w:val="none" w:sz="0" w:space="0" w:color="auto"/>
                  </w:divBdr>
                  <w:divsChild>
                    <w:div w:id="18082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91">
          <w:marLeft w:val="0"/>
          <w:marRight w:val="0"/>
          <w:marTop w:val="0"/>
          <w:marBottom w:val="0"/>
          <w:divBdr>
            <w:top w:val="none" w:sz="0" w:space="0" w:color="auto"/>
            <w:left w:val="none" w:sz="0" w:space="0" w:color="auto"/>
            <w:bottom w:val="none" w:sz="0" w:space="0" w:color="auto"/>
            <w:right w:val="none" w:sz="0" w:space="0" w:color="auto"/>
          </w:divBdr>
          <w:divsChild>
            <w:div w:id="2134518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36642">
                  <w:marLeft w:val="0"/>
                  <w:marRight w:val="0"/>
                  <w:marTop w:val="0"/>
                  <w:marBottom w:val="240"/>
                  <w:divBdr>
                    <w:top w:val="none" w:sz="0" w:space="0" w:color="auto"/>
                    <w:left w:val="none" w:sz="0" w:space="0" w:color="auto"/>
                    <w:bottom w:val="none" w:sz="0" w:space="0" w:color="auto"/>
                    <w:right w:val="none" w:sz="0" w:space="0" w:color="auto"/>
                  </w:divBdr>
                  <w:divsChild>
                    <w:div w:id="1234463168">
                      <w:marLeft w:val="0"/>
                      <w:marRight w:val="0"/>
                      <w:marTop w:val="0"/>
                      <w:marBottom w:val="0"/>
                      <w:divBdr>
                        <w:top w:val="none" w:sz="0" w:space="0" w:color="auto"/>
                        <w:left w:val="none" w:sz="0" w:space="0" w:color="auto"/>
                        <w:bottom w:val="none" w:sz="0" w:space="0" w:color="auto"/>
                        <w:right w:val="none" w:sz="0" w:space="0" w:color="auto"/>
                      </w:divBdr>
                      <w:divsChild>
                        <w:div w:id="10888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6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documents/thematic-reports/ahrc4740-arbitrary-detention-relating-drug-policies-study-working-group" TargetMode="External"/><Relationship Id="rId1" Type="http://schemas.openxmlformats.org/officeDocument/2006/relationships/hyperlink" Target="https://undocs.org/Home/Mobile?FinalSymbol=A%2FHRC%2FRES%2F42%2F22&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0F7EB91B-52FD-4E46-BBE3-61A30C49CDA0}">
  <ds:schemaRefs>
    <ds:schemaRef ds:uri="http://schemas.openxmlformats.org/officeDocument/2006/bibliography"/>
  </ds:schemaRefs>
</ds:datastoreItem>
</file>

<file path=customXml/itemProps2.xml><?xml version="1.0" encoding="utf-8"?>
<ds:datastoreItem xmlns:ds="http://schemas.openxmlformats.org/officeDocument/2006/customXml" ds:itemID="{6C80554A-0063-4B1D-ADBD-F13DC26C2D08}"/>
</file>

<file path=customXml/itemProps3.xml><?xml version="1.0" encoding="utf-8"?>
<ds:datastoreItem xmlns:ds="http://schemas.openxmlformats.org/officeDocument/2006/customXml" ds:itemID="{BCB21075-BA8D-4077-BB30-1E5A5DC1EADE}"/>
</file>

<file path=customXml/itemProps4.xml><?xml version="1.0" encoding="utf-8"?>
<ds:datastoreItem xmlns:ds="http://schemas.openxmlformats.org/officeDocument/2006/customXml" ds:itemID="{FC5A4FA0-B5C7-4B3B-9684-E50DC1639B9F}"/>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Viersma</dc:creator>
  <cp:keywords/>
  <dc:description/>
  <cp:lastModifiedBy>Lucie Viersma</cp:lastModifiedBy>
  <cp:revision>2</cp:revision>
  <cp:lastPrinted>2020-06-15T10:26:00Z</cp:lastPrinted>
  <dcterms:created xsi:type="dcterms:W3CDTF">2023-05-30T07:53:00Z</dcterms:created>
  <dcterms:modified xsi:type="dcterms:W3CDTF">2023-05-30T07:53:00Z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