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247"/>
        <w:gridCol w:w="4247"/>
      </w:tblGrid>
      <w:tr w:rsidR="00E268EC" w:rsidRPr="00BF6251" w14:paraId="4F15B252" w14:textId="77777777" w:rsidTr="006619EF">
        <w:tc>
          <w:tcPr>
            <w:tcW w:w="4247" w:type="dxa"/>
          </w:tcPr>
          <w:p w14:paraId="2763046E" w14:textId="77777777" w:rsidR="00E268EC" w:rsidRPr="00E268EC" w:rsidRDefault="00E268EC" w:rsidP="000D078A">
            <w:pPr>
              <w:tabs>
                <w:tab w:val="left" w:pos="283"/>
                <w:tab w:val="left" w:pos="567"/>
                <w:tab w:val="left" w:pos="850"/>
                <w:tab w:val="left" w:pos="1134"/>
                <w:tab w:val="left" w:pos="1417"/>
                <w:tab w:val="left" w:pos="1701"/>
                <w:tab w:val="left" w:pos="1984"/>
                <w:tab w:val="left" w:pos="2268"/>
                <w:tab w:val="left" w:pos="2551"/>
                <w:tab w:val="left" w:pos="2835"/>
              </w:tabs>
              <w:spacing w:line="360" w:lineRule="auto"/>
              <w:rPr>
                <w:sz w:val="22"/>
                <w:szCs w:val="24"/>
                <w14:ligatures w14:val="none"/>
              </w:rPr>
            </w:pPr>
            <w:r w:rsidRPr="00E268EC">
              <w:rPr>
                <w:b/>
                <w:bCs/>
                <w:sz w:val="22"/>
                <w:szCs w:val="24"/>
                <w14:ligatures w14:val="none"/>
              </w:rPr>
              <w:t>Name of the country/entity submitting information</w:t>
            </w:r>
          </w:p>
        </w:tc>
        <w:tc>
          <w:tcPr>
            <w:tcW w:w="4247" w:type="dxa"/>
          </w:tcPr>
          <w:p w14:paraId="1CADB56C" w14:textId="43DB2F65" w:rsidR="00E268EC" w:rsidRPr="00E268EC" w:rsidRDefault="00E268EC" w:rsidP="000D078A">
            <w:pPr>
              <w:tabs>
                <w:tab w:val="left" w:pos="283"/>
                <w:tab w:val="left" w:pos="567"/>
                <w:tab w:val="left" w:pos="850"/>
                <w:tab w:val="left" w:pos="1134"/>
                <w:tab w:val="left" w:pos="1417"/>
                <w:tab w:val="left" w:pos="1701"/>
                <w:tab w:val="left" w:pos="1984"/>
                <w:tab w:val="left" w:pos="2268"/>
                <w:tab w:val="left" w:pos="2551"/>
                <w:tab w:val="left" w:pos="2835"/>
              </w:tabs>
              <w:spacing w:line="360" w:lineRule="auto"/>
              <w:rPr>
                <w:b/>
                <w:bCs/>
                <w:sz w:val="22"/>
                <w:szCs w:val="24"/>
                <w14:ligatures w14:val="none"/>
              </w:rPr>
            </w:pPr>
            <w:r w:rsidRPr="00D17E24">
              <w:rPr>
                <w:b/>
                <w:bCs/>
                <w:sz w:val="22"/>
                <w:szCs w:val="24"/>
                <w:lang w:val="fr-FR"/>
                <w14:ligatures w14:val="none"/>
              </w:rPr>
              <w:t xml:space="preserve">Antoon De Baets, prof. dr. </w:t>
            </w:r>
            <w:proofErr w:type="spellStart"/>
            <w:r w:rsidRPr="00D17E24">
              <w:rPr>
                <w:b/>
                <w:bCs/>
                <w:sz w:val="22"/>
                <w:szCs w:val="24"/>
                <w:lang w:val="fr-FR"/>
                <w14:ligatures w14:val="none"/>
              </w:rPr>
              <w:t>em</w:t>
            </w:r>
            <w:proofErr w:type="spellEnd"/>
            <w:r w:rsidRPr="00D17E24">
              <w:rPr>
                <w:b/>
                <w:bCs/>
                <w:sz w:val="22"/>
                <w:szCs w:val="24"/>
                <w:lang w:val="fr-FR"/>
                <w14:ligatures w14:val="none"/>
              </w:rPr>
              <w:t xml:space="preserve">. </w:t>
            </w:r>
            <w:r w:rsidRPr="00BF6251">
              <w:rPr>
                <w:b/>
                <w:bCs/>
                <w:sz w:val="22"/>
                <w:szCs w:val="24"/>
                <w14:ligatures w14:val="none"/>
              </w:rPr>
              <w:t>History, Ethics and Human Rights, University of Groningen, the Netherlands</w:t>
            </w:r>
          </w:p>
        </w:tc>
      </w:tr>
    </w:tbl>
    <w:p w14:paraId="15A915B6" w14:textId="77777777" w:rsidR="00E268EC" w:rsidRDefault="00E268EC"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szCs w:val="24"/>
        </w:rPr>
      </w:pPr>
    </w:p>
    <w:p w14:paraId="0EE056EF" w14:textId="77777777" w:rsidR="00B643F8" w:rsidRPr="00BF6251" w:rsidRDefault="00B643F8"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szCs w:val="24"/>
        </w:rPr>
      </w:pPr>
    </w:p>
    <w:p w14:paraId="6AE9D37B" w14:textId="70C92C61" w:rsidR="00E268EC" w:rsidRPr="00BF6251" w:rsidRDefault="00E268EC"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szCs w:val="24"/>
        </w:rPr>
      </w:pPr>
      <w:r w:rsidRPr="00BF6251">
        <w:rPr>
          <w:rFonts w:ascii="Times New Roman" w:hAnsi="Times New Roman" w:cs="Times New Roman"/>
          <w:szCs w:val="24"/>
        </w:rPr>
        <w:t>Groningen, 15 January 2024</w:t>
      </w:r>
    </w:p>
    <w:p w14:paraId="706E629B" w14:textId="77777777" w:rsidR="00E268EC" w:rsidRPr="00BF6251" w:rsidRDefault="00E268EC"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szCs w:val="24"/>
        </w:rPr>
      </w:pPr>
    </w:p>
    <w:p w14:paraId="5085D1FF" w14:textId="77777777" w:rsidR="00B643F8" w:rsidRDefault="00B643F8"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szCs w:val="24"/>
        </w:rPr>
      </w:pPr>
    </w:p>
    <w:p w14:paraId="673D34AA" w14:textId="45A7C6E3" w:rsidR="00E268EC" w:rsidRPr="00BF6251" w:rsidRDefault="00E268EC"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szCs w:val="24"/>
        </w:rPr>
      </w:pPr>
      <w:r w:rsidRPr="00BF6251">
        <w:rPr>
          <w:rFonts w:ascii="Times New Roman" w:hAnsi="Times New Roman" w:cs="Times New Roman"/>
          <w:szCs w:val="24"/>
        </w:rPr>
        <w:t>Dear United Nations Special Rapporteur on the Right to Education,</w:t>
      </w:r>
    </w:p>
    <w:p w14:paraId="29C3552F" w14:textId="77777777" w:rsidR="00B643F8" w:rsidRDefault="00B643F8"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szCs w:val="24"/>
        </w:rPr>
      </w:pPr>
    </w:p>
    <w:p w14:paraId="07D0FBCF" w14:textId="77777777" w:rsidR="00B643F8" w:rsidRDefault="00B643F8"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szCs w:val="24"/>
        </w:rPr>
      </w:pPr>
    </w:p>
    <w:p w14:paraId="0CECFBA5" w14:textId="2CA4C56D" w:rsidR="00E268EC" w:rsidRDefault="00E268EC"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szCs w:val="24"/>
        </w:rPr>
      </w:pPr>
      <w:r w:rsidRPr="00BF6251">
        <w:rPr>
          <w:rFonts w:ascii="Times New Roman" w:hAnsi="Times New Roman" w:cs="Times New Roman"/>
          <w:szCs w:val="24"/>
        </w:rPr>
        <w:t xml:space="preserve">I have the honor and the pleasure to send you </w:t>
      </w:r>
      <w:r w:rsidR="00CF3492">
        <w:rPr>
          <w:rFonts w:ascii="Times New Roman" w:hAnsi="Times New Roman" w:cs="Times New Roman"/>
          <w:szCs w:val="24"/>
        </w:rPr>
        <w:t>my</w:t>
      </w:r>
      <w:r w:rsidR="008F0D60" w:rsidRPr="00BF6251">
        <w:rPr>
          <w:rFonts w:ascii="Times New Roman" w:hAnsi="Times New Roman" w:cs="Times New Roman"/>
          <w:szCs w:val="24"/>
        </w:rPr>
        <w:t xml:space="preserve"> contribution </w:t>
      </w:r>
      <w:r w:rsidRPr="00BF6251">
        <w:rPr>
          <w:rFonts w:ascii="Times New Roman" w:hAnsi="Times New Roman" w:cs="Times New Roman"/>
          <w:szCs w:val="24"/>
        </w:rPr>
        <w:t>for your upcoming report</w:t>
      </w:r>
      <w:r w:rsidR="008F0D60" w:rsidRPr="00BF6251">
        <w:rPr>
          <w:rFonts w:ascii="Times New Roman" w:hAnsi="Times New Roman" w:cs="Times New Roman"/>
          <w:szCs w:val="24"/>
        </w:rPr>
        <w:t xml:space="preserve"> </w:t>
      </w:r>
      <w:r w:rsidR="00CF3492" w:rsidRPr="00BF6251">
        <w:rPr>
          <w:rFonts w:ascii="Times New Roman" w:hAnsi="Times New Roman" w:cs="Times New Roman"/>
          <w:szCs w:val="24"/>
        </w:rPr>
        <w:t xml:space="preserve">to the Human Rights Council </w:t>
      </w:r>
      <w:r w:rsidR="008F0D60" w:rsidRPr="00BF6251">
        <w:rPr>
          <w:rFonts w:ascii="Times New Roman" w:hAnsi="Times New Roman" w:cs="Times New Roman"/>
          <w:szCs w:val="24"/>
        </w:rPr>
        <w:t>on academic freedom and freedom of expression in educational institutions, to be presented in June 2024.</w:t>
      </w:r>
    </w:p>
    <w:p w14:paraId="6B895E04" w14:textId="77777777" w:rsidR="00BF6251" w:rsidRPr="00BF6251" w:rsidRDefault="00BF6251"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szCs w:val="24"/>
        </w:rPr>
      </w:pPr>
    </w:p>
    <w:p w14:paraId="03FB4994" w14:textId="58F98FB7" w:rsidR="008F0D60" w:rsidRPr="00BF6251" w:rsidRDefault="008F0D60"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b/>
          <w:bCs/>
          <w:szCs w:val="24"/>
        </w:rPr>
      </w:pPr>
      <w:r w:rsidRPr="00BF6251">
        <w:rPr>
          <w:rFonts w:ascii="Times New Roman" w:hAnsi="Times New Roman" w:cs="Times New Roman"/>
          <w:b/>
          <w:bCs/>
          <w:szCs w:val="24"/>
        </w:rPr>
        <w:t>1. General remark about academic freedom</w:t>
      </w:r>
      <w:r w:rsidR="00BF6251" w:rsidRPr="00BF6251">
        <w:rPr>
          <w:rFonts w:ascii="Times New Roman" w:hAnsi="Times New Roman" w:cs="Times New Roman"/>
          <w:b/>
          <w:bCs/>
          <w:szCs w:val="24"/>
        </w:rPr>
        <w:t xml:space="preserve"> as a professional freedom</w:t>
      </w:r>
      <w:r w:rsidR="00191210">
        <w:rPr>
          <w:rFonts w:ascii="Times New Roman" w:hAnsi="Times New Roman" w:cs="Times New Roman"/>
          <w:b/>
          <w:bCs/>
          <w:szCs w:val="24"/>
        </w:rPr>
        <w:t xml:space="preserve"> </w:t>
      </w:r>
      <w:r w:rsidR="000D078A">
        <w:rPr>
          <w:rFonts w:ascii="Times New Roman" w:hAnsi="Times New Roman" w:cs="Times New Roman"/>
          <w:b/>
          <w:bCs/>
          <w:szCs w:val="24"/>
        </w:rPr>
        <w:t xml:space="preserve">of academics </w:t>
      </w:r>
      <w:r w:rsidR="00191210">
        <w:rPr>
          <w:rFonts w:ascii="Times New Roman" w:hAnsi="Times New Roman" w:cs="Times New Roman"/>
          <w:b/>
          <w:bCs/>
          <w:szCs w:val="24"/>
        </w:rPr>
        <w:t>[question 1]</w:t>
      </w:r>
    </w:p>
    <w:p w14:paraId="3FD9427E" w14:textId="77777777" w:rsidR="000D078A" w:rsidRDefault="000D078A"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szCs w:val="24"/>
        </w:rPr>
      </w:pPr>
    </w:p>
    <w:p w14:paraId="3D9EF345" w14:textId="790B4169" w:rsidR="008F0D60" w:rsidRPr="008F0D60" w:rsidRDefault="008F0D60"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szCs w:val="24"/>
        </w:rPr>
      </w:pPr>
      <w:r w:rsidRPr="008F0D60">
        <w:rPr>
          <w:rFonts w:ascii="Times New Roman" w:hAnsi="Times New Roman" w:cs="Times New Roman"/>
          <w:szCs w:val="24"/>
        </w:rPr>
        <w:t>Academic freedom does not figure in either the I</w:t>
      </w:r>
      <w:r w:rsidR="002C213F" w:rsidRPr="00BF6251">
        <w:rPr>
          <w:rFonts w:ascii="Times New Roman" w:hAnsi="Times New Roman" w:cs="Times New Roman"/>
          <w:szCs w:val="24"/>
        </w:rPr>
        <w:t>nternational Covenant on Civil and Political Rights (I</w:t>
      </w:r>
      <w:r w:rsidRPr="008F0D60">
        <w:rPr>
          <w:rFonts w:ascii="Times New Roman" w:hAnsi="Times New Roman" w:cs="Times New Roman"/>
          <w:szCs w:val="24"/>
        </w:rPr>
        <w:t>CCPR</w:t>
      </w:r>
      <w:r w:rsidR="002C213F" w:rsidRPr="00BF6251">
        <w:rPr>
          <w:rFonts w:ascii="Times New Roman" w:hAnsi="Times New Roman" w:cs="Times New Roman"/>
          <w:szCs w:val="24"/>
        </w:rPr>
        <w:t>)</w:t>
      </w:r>
      <w:r w:rsidRPr="008F0D60">
        <w:rPr>
          <w:rFonts w:ascii="Times New Roman" w:hAnsi="Times New Roman" w:cs="Times New Roman"/>
          <w:szCs w:val="24"/>
        </w:rPr>
        <w:t xml:space="preserve"> or </w:t>
      </w:r>
      <w:r w:rsidR="002C213F" w:rsidRPr="00BF6251">
        <w:rPr>
          <w:rFonts w:ascii="Times New Roman" w:hAnsi="Times New Roman" w:cs="Times New Roman"/>
          <w:szCs w:val="24"/>
        </w:rPr>
        <w:t xml:space="preserve">the </w:t>
      </w:r>
      <w:r w:rsidRPr="008F0D60">
        <w:rPr>
          <w:rFonts w:ascii="Times New Roman" w:hAnsi="Times New Roman" w:cs="Times New Roman"/>
          <w:szCs w:val="24"/>
        </w:rPr>
        <w:t>I</w:t>
      </w:r>
      <w:r w:rsidR="002C213F" w:rsidRPr="00BF6251">
        <w:rPr>
          <w:rFonts w:ascii="Times New Roman" w:hAnsi="Times New Roman" w:cs="Times New Roman"/>
          <w:szCs w:val="24"/>
        </w:rPr>
        <w:t xml:space="preserve">nternational </w:t>
      </w:r>
      <w:r w:rsidRPr="008F0D60">
        <w:rPr>
          <w:rFonts w:ascii="Times New Roman" w:hAnsi="Times New Roman" w:cs="Times New Roman"/>
          <w:szCs w:val="24"/>
        </w:rPr>
        <w:t>C</w:t>
      </w:r>
      <w:r w:rsidR="002C213F" w:rsidRPr="00BF6251">
        <w:rPr>
          <w:rFonts w:ascii="Times New Roman" w:hAnsi="Times New Roman" w:cs="Times New Roman"/>
          <w:szCs w:val="24"/>
        </w:rPr>
        <w:t xml:space="preserve">ovenant on </w:t>
      </w:r>
      <w:r w:rsidRPr="008F0D60">
        <w:rPr>
          <w:rFonts w:ascii="Times New Roman" w:hAnsi="Times New Roman" w:cs="Times New Roman"/>
          <w:szCs w:val="24"/>
        </w:rPr>
        <w:t>E</w:t>
      </w:r>
      <w:r w:rsidR="002C213F" w:rsidRPr="00BF6251">
        <w:rPr>
          <w:rFonts w:ascii="Times New Roman" w:hAnsi="Times New Roman" w:cs="Times New Roman"/>
          <w:szCs w:val="24"/>
        </w:rPr>
        <w:t xml:space="preserve">conomic, </w:t>
      </w:r>
      <w:r w:rsidRPr="008F0D60">
        <w:rPr>
          <w:rFonts w:ascii="Times New Roman" w:hAnsi="Times New Roman" w:cs="Times New Roman"/>
          <w:szCs w:val="24"/>
        </w:rPr>
        <w:t>S</w:t>
      </w:r>
      <w:r w:rsidR="002C213F" w:rsidRPr="00BF6251">
        <w:rPr>
          <w:rFonts w:ascii="Times New Roman" w:hAnsi="Times New Roman" w:cs="Times New Roman"/>
          <w:szCs w:val="24"/>
        </w:rPr>
        <w:t xml:space="preserve">ocial and </w:t>
      </w:r>
      <w:r w:rsidRPr="008F0D60">
        <w:rPr>
          <w:rFonts w:ascii="Times New Roman" w:hAnsi="Times New Roman" w:cs="Times New Roman"/>
          <w:szCs w:val="24"/>
        </w:rPr>
        <w:t>C</w:t>
      </w:r>
      <w:r w:rsidR="002C213F" w:rsidRPr="00BF6251">
        <w:rPr>
          <w:rFonts w:ascii="Times New Roman" w:hAnsi="Times New Roman" w:cs="Times New Roman"/>
          <w:szCs w:val="24"/>
        </w:rPr>
        <w:t xml:space="preserve">ultural </w:t>
      </w:r>
      <w:r w:rsidRPr="008F0D60">
        <w:rPr>
          <w:rFonts w:ascii="Times New Roman" w:hAnsi="Times New Roman" w:cs="Times New Roman"/>
          <w:szCs w:val="24"/>
        </w:rPr>
        <w:t>R</w:t>
      </w:r>
      <w:r w:rsidR="002C213F" w:rsidRPr="00BF6251">
        <w:rPr>
          <w:rFonts w:ascii="Times New Roman" w:hAnsi="Times New Roman" w:cs="Times New Roman"/>
          <w:szCs w:val="24"/>
        </w:rPr>
        <w:t>ights</w:t>
      </w:r>
      <w:r w:rsidRPr="008F0D60">
        <w:rPr>
          <w:rFonts w:ascii="Times New Roman" w:hAnsi="Times New Roman" w:cs="Times New Roman"/>
          <w:szCs w:val="24"/>
        </w:rPr>
        <w:t>: it is not an explicit part of the family of human rights. This does not mean, however, that some of its dimensions are not deeply rooted in human rights. The strongest evidence for the human rights roots of academic freedom can be found in the ICESCR when it speaks about State responsibilities “to respect the freedom indispensable for scientific research and creative activity” (Article 15.3 ICESCR) and to “recognize the benefits to be derived from the encouragement and development of international contacts and co-operation in the scientific and cultural fields” (Article 15.4 ICESCR). However, the notion “freedom indispensable for scientific research” is narrower than academic freedom because the latter also encompasses the freedom to teach; the notion is also larger because scientific research can be carried out outside academic institutions. Both State responsibilities are important preconditions for academic freedom, nevertheless. Other human rights, such as free</w:t>
      </w:r>
      <w:r w:rsidR="00F538B2" w:rsidRPr="00BF6251">
        <w:rPr>
          <w:rFonts w:ascii="Times New Roman" w:hAnsi="Times New Roman" w:cs="Times New Roman"/>
          <w:szCs w:val="24"/>
        </w:rPr>
        <w:t>dom of</w:t>
      </w:r>
      <w:r w:rsidRPr="008F0D60">
        <w:rPr>
          <w:rFonts w:ascii="Times New Roman" w:hAnsi="Times New Roman" w:cs="Times New Roman"/>
          <w:szCs w:val="24"/>
        </w:rPr>
        <w:t xml:space="preserve"> expression, peaceful assembly and association, and </w:t>
      </w:r>
      <w:r w:rsidR="00CF3492">
        <w:rPr>
          <w:rFonts w:ascii="Times New Roman" w:hAnsi="Times New Roman" w:cs="Times New Roman"/>
          <w:szCs w:val="24"/>
        </w:rPr>
        <w:t xml:space="preserve">indeed </w:t>
      </w:r>
      <w:r w:rsidRPr="008F0D60">
        <w:rPr>
          <w:rFonts w:ascii="Times New Roman" w:hAnsi="Times New Roman" w:cs="Times New Roman"/>
          <w:szCs w:val="24"/>
        </w:rPr>
        <w:t>education, are also prerequisites for or components of academic freedom but academic freedom as such is not mentioned in either the ICCPR or the ICESCR.</w:t>
      </w:r>
    </w:p>
    <w:p w14:paraId="1102EF7E" w14:textId="3825175F" w:rsidR="008F0D60" w:rsidRDefault="002F48DD"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szCs w:val="24"/>
        </w:rPr>
      </w:pPr>
      <w:r>
        <w:rPr>
          <w:rFonts w:ascii="Times New Roman" w:hAnsi="Times New Roman" w:cs="Times New Roman"/>
          <w:szCs w:val="24"/>
        </w:rPr>
        <w:tab/>
      </w:r>
      <w:r w:rsidR="00CF3492">
        <w:rPr>
          <w:rFonts w:ascii="Times New Roman" w:hAnsi="Times New Roman" w:cs="Times New Roman"/>
          <w:szCs w:val="24"/>
        </w:rPr>
        <w:t>This has a reason. A</w:t>
      </w:r>
      <w:r w:rsidR="008F0D60" w:rsidRPr="00BF6251">
        <w:rPr>
          <w:rFonts w:ascii="Times New Roman" w:hAnsi="Times New Roman" w:cs="Times New Roman"/>
          <w:bCs/>
          <w:szCs w:val="24"/>
        </w:rPr>
        <w:t>cademic freedom is not a human right but a professional freedom</w:t>
      </w:r>
      <w:r w:rsidR="00CF3492">
        <w:rPr>
          <w:rFonts w:ascii="Times New Roman" w:hAnsi="Times New Roman" w:cs="Times New Roman"/>
          <w:bCs/>
          <w:szCs w:val="24"/>
        </w:rPr>
        <w:t xml:space="preserve"> of academics</w:t>
      </w:r>
      <w:r w:rsidR="008F0D60" w:rsidRPr="00BF6251">
        <w:rPr>
          <w:rFonts w:ascii="Times New Roman" w:hAnsi="Times New Roman" w:cs="Times New Roman"/>
          <w:bCs/>
          <w:szCs w:val="24"/>
        </w:rPr>
        <w:t xml:space="preserve">. It is governed by the same restrictions as the right to freedom of expression, but on top of this comes an additional restriction: it can only be invoked if it is used during a peer-controlled search for the truth. </w:t>
      </w:r>
      <w:r w:rsidR="00CF3492">
        <w:rPr>
          <w:rFonts w:ascii="Times New Roman" w:hAnsi="Times New Roman" w:cs="Times New Roman"/>
          <w:bCs/>
          <w:szCs w:val="24"/>
        </w:rPr>
        <w:t>In other words, f</w:t>
      </w:r>
      <w:r w:rsidR="00BF6251" w:rsidRPr="00BF6251">
        <w:rPr>
          <w:rFonts w:ascii="Times New Roman" w:hAnsi="Times New Roman" w:cs="Times New Roman"/>
          <w:bCs/>
          <w:szCs w:val="24"/>
        </w:rPr>
        <w:t xml:space="preserve">reedom of expression is a necessary but not sufficient condition for academic freedom: academic freedom is a special subset of free expression. The </w:t>
      </w:r>
      <w:r w:rsidR="008F0D60" w:rsidRPr="00BF6251">
        <w:rPr>
          <w:rFonts w:ascii="Times New Roman" w:hAnsi="Times New Roman" w:cs="Times New Roman"/>
          <w:bCs/>
          <w:szCs w:val="24"/>
        </w:rPr>
        <w:t xml:space="preserve">additional restriction makes academic freedom a professional freedom </w:t>
      </w:r>
      <w:r w:rsidR="00CF3492">
        <w:rPr>
          <w:rFonts w:ascii="Times New Roman" w:hAnsi="Times New Roman" w:cs="Times New Roman"/>
          <w:bCs/>
          <w:szCs w:val="24"/>
        </w:rPr>
        <w:t xml:space="preserve">for academics </w:t>
      </w:r>
      <w:r w:rsidR="008F0D60" w:rsidRPr="00BF6251">
        <w:rPr>
          <w:rFonts w:ascii="Times New Roman" w:hAnsi="Times New Roman" w:cs="Times New Roman"/>
          <w:bCs/>
          <w:szCs w:val="24"/>
        </w:rPr>
        <w:t>rather than a human right</w:t>
      </w:r>
      <w:r w:rsidR="00CF3492">
        <w:rPr>
          <w:rFonts w:ascii="Times New Roman" w:hAnsi="Times New Roman" w:cs="Times New Roman"/>
          <w:bCs/>
          <w:szCs w:val="24"/>
        </w:rPr>
        <w:t xml:space="preserve"> for everyone</w:t>
      </w:r>
      <w:r w:rsidR="008F0D60" w:rsidRPr="00BF6251">
        <w:rPr>
          <w:rFonts w:ascii="Times New Roman" w:hAnsi="Times New Roman" w:cs="Times New Roman"/>
          <w:bCs/>
          <w:szCs w:val="24"/>
        </w:rPr>
        <w:t xml:space="preserve">. This </w:t>
      </w:r>
      <w:r w:rsidR="008F0D60" w:rsidRPr="00BF6251">
        <w:rPr>
          <w:rFonts w:ascii="Times New Roman" w:hAnsi="Times New Roman" w:cs="Times New Roman"/>
          <w:bCs/>
          <w:szCs w:val="24"/>
        </w:rPr>
        <w:lastRenderedPageBreak/>
        <w:t xml:space="preserve">professional freedom is strong: it belongs to </w:t>
      </w:r>
      <w:r w:rsidR="008F0D60" w:rsidRPr="00BF6251">
        <w:rPr>
          <w:rFonts w:ascii="Times New Roman" w:hAnsi="Times New Roman" w:cs="Times New Roman"/>
          <w:szCs w:val="24"/>
        </w:rPr>
        <w:t>individual scholars but because these scholars work at universities they also enjoy the additional protection of university autonomy</w:t>
      </w:r>
      <w:r w:rsidR="00CF3492">
        <w:rPr>
          <w:rFonts w:ascii="Times New Roman" w:hAnsi="Times New Roman" w:cs="Times New Roman"/>
          <w:szCs w:val="24"/>
        </w:rPr>
        <w:t xml:space="preserve"> (see on autonomy my last observation)</w:t>
      </w:r>
      <w:r w:rsidR="008F0D60" w:rsidRPr="00BF6251">
        <w:rPr>
          <w:rFonts w:ascii="Times New Roman" w:hAnsi="Times New Roman" w:cs="Times New Roman"/>
          <w:szCs w:val="24"/>
        </w:rPr>
        <w:t>.</w:t>
      </w:r>
    </w:p>
    <w:p w14:paraId="6BA948D5" w14:textId="77777777" w:rsidR="00BF6251" w:rsidRPr="00BF6251" w:rsidRDefault="00BF6251"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szCs w:val="24"/>
        </w:rPr>
      </w:pPr>
    </w:p>
    <w:p w14:paraId="077A2F2F" w14:textId="3815DDDE" w:rsidR="00230087" w:rsidRPr="00BF6251" w:rsidRDefault="00BF6251"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b/>
          <w:bCs/>
          <w:szCs w:val="24"/>
        </w:rPr>
      </w:pPr>
      <w:r w:rsidRPr="00BF6251">
        <w:rPr>
          <w:rFonts w:ascii="Times New Roman" w:hAnsi="Times New Roman" w:cs="Times New Roman"/>
          <w:b/>
          <w:bCs/>
          <w:szCs w:val="24"/>
        </w:rPr>
        <w:t>2. The academic freedom of students</w:t>
      </w:r>
      <w:r w:rsidR="00191210">
        <w:rPr>
          <w:rFonts w:ascii="Times New Roman" w:hAnsi="Times New Roman" w:cs="Times New Roman"/>
          <w:b/>
          <w:bCs/>
          <w:szCs w:val="24"/>
        </w:rPr>
        <w:t xml:space="preserve"> [question 2]</w:t>
      </w:r>
    </w:p>
    <w:p w14:paraId="72FAFFD7" w14:textId="77777777" w:rsidR="000D078A" w:rsidRDefault="000D078A"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szCs w:val="24"/>
        </w:rPr>
      </w:pPr>
    </w:p>
    <w:p w14:paraId="5143BB04" w14:textId="0CD8C49A" w:rsidR="00BF6251" w:rsidRDefault="00BF6251"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szCs w:val="24"/>
        </w:rPr>
      </w:pPr>
      <w:r w:rsidRPr="00BF6251">
        <w:rPr>
          <w:rFonts w:ascii="Times New Roman" w:hAnsi="Times New Roman" w:cs="Times New Roman"/>
          <w:szCs w:val="24"/>
        </w:rPr>
        <w:t xml:space="preserve">Students </w:t>
      </w:r>
      <w:r w:rsidR="00E20701" w:rsidRPr="00BF6251">
        <w:rPr>
          <w:rFonts w:ascii="Times New Roman" w:hAnsi="Times New Roman" w:cs="Times New Roman"/>
          <w:szCs w:val="24"/>
        </w:rPr>
        <w:t>do not have a full right to academic freedom</w:t>
      </w:r>
      <w:r w:rsidR="00E20701">
        <w:rPr>
          <w:rFonts w:ascii="Times New Roman" w:hAnsi="Times New Roman" w:cs="Times New Roman"/>
          <w:szCs w:val="24"/>
        </w:rPr>
        <w:t xml:space="preserve">: they </w:t>
      </w:r>
      <w:r w:rsidRPr="00BF6251">
        <w:rPr>
          <w:rFonts w:ascii="Times New Roman" w:hAnsi="Times New Roman" w:cs="Times New Roman"/>
          <w:szCs w:val="24"/>
        </w:rPr>
        <w:t xml:space="preserve">have a </w:t>
      </w:r>
      <w:r w:rsidRPr="00BF6251">
        <w:rPr>
          <w:rFonts w:ascii="Times New Roman" w:hAnsi="Times New Roman" w:cs="Times New Roman"/>
          <w:i/>
          <w:iCs/>
          <w:szCs w:val="24"/>
        </w:rPr>
        <w:t>qualified</w:t>
      </w:r>
      <w:r w:rsidRPr="00BF6251">
        <w:rPr>
          <w:rFonts w:ascii="Times New Roman" w:hAnsi="Times New Roman" w:cs="Times New Roman"/>
          <w:szCs w:val="24"/>
        </w:rPr>
        <w:t xml:space="preserve"> right to academic freedom. It is uncontroversial that they should be able to express their thoughts freely. Furthermore, they are entitled to receive quality education. They are allowed to defend controversial opinions in the classroom and have the right to be free from indoctrination and propaganda. They can claim a right to receive an impartial assessment of their work and to have a say in the determination of curricula. As far as I can see, other aspects of academic freedom are not applicable to them.</w:t>
      </w:r>
    </w:p>
    <w:p w14:paraId="3C7CDF9B" w14:textId="77777777" w:rsidR="00E20701" w:rsidRDefault="00E20701"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szCs w:val="24"/>
        </w:rPr>
      </w:pPr>
    </w:p>
    <w:p w14:paraId="62F3518B" w14:textId="761C2132" w:rsidR="00E20701" w:rsidRPr="00E20701" w:rsidRDefault="00E20701"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b/>
          <w:bCs/>
          <w:szCs w:val="24"/>
        </w:rPr>
      </w:pPr>
      <w:r w:rsidRPr="00E20701">
        <w:rPr>
          <w:rFonts w:ascii="Times New Roman" w:hAnsi="Times New Roman" w:cs="Times New Roman"/>
          <w:b/>
          <w:bCs/>
          <w:szCs w:val="24"/>
        </w:rPr>
        <w:t>3. Academic freedom and primary and secondary education</w:t>
      </w:r>
      <w:r w:rsidR="00191210">
        <w:rPr>
          <w:rFonts w:ascii="Times New Roman" w:hAnsi="Times New Roman" w:cs="Times New Roman"/>
          <w:b/>
          <w:bCs/>
          <w:szCs w:val="24"/>
        </w:rPr>
        <w:t xml:space="preserve"> </w:t>
      </w:r>
      <w:r w:rsidR="005321CF">
        <w:rPr>
          <w:rFonts w:ascii="Times New Roman" w:hAnsi="Times New Roman" w:cs="Times New Roman"/>
          <w:b/>
          <w:bCs/>
          <w:szCs w:val="24"/>
        </w:rPr>
        <w:t xml:space="preserve">levels </w:t>
      </w:r>
      <w:r w:rsidR="00191210">
        <w:rPr>
          <w:rFonts w:ascii="Times New Roman" w:hAnsi="Times New Roman" w:cs="Times New Roman"/>
          <w:b/>
          <w:bCs/>
          <w:szCs w:val="24"/>
        </w:rPr>
        <w:t>[question</w:t>
      </w:r>
      <w:r w:rsidR="00E97554">
        <w:rPr>
          <w:rFonts w:ascii="Times New Roman" w:hAnsi="Times New Roman" w:cs="Times New Roman"/>
          <w:b/>
          <w:bCs/>
          <w:szCs w:val="24"/>
        </w:rPr>
        <w:t>s</w:t>
      </w:r>
      <w:r w:rsidR="00191210">
        <w:rPr>
          <w:rFonts w:ascii="Times New Roman" w:hAnsi="Times New Roman" w:cs="Times New Roman"/>
          <w:b/>
          <w:bCs/>
          <w:szCs w:val="24"/>
        </w:rPr>
        <w:t xml:space="preserve"> </w:t>
      </w:r>
      <w:r w:rsidR="005321CF">
        <w:rPr>
          <w:rFonts w:ascii="Times New Roman" w:hAnsi="Times New Roman" w:cs="Times New Roman"/>
          <w:b/>
          <w:bCs/>
          <w:szCs w:val="24"/>
        </w:rPr>
        <w:t>2</w:t>
      </w:r>
      <w:r w:rsidR="00E97554">
        <w:rPr>
          <w:rFonts w:ascii="Times New Roman" w:hAnsi="Times New Roman" w:cs="Times New Roman"/>
          <w:b/>
          <w:bCs/>
          <w:szCs w:val="24"/>
        </w:rPr>
        <w:t xml:space="preserve"> and 9</w:t>
      </w:r>
      <w:r w:rsidR="00191210">
        <w:rPr>
          <w:rFonts w:ascii="Times New Roman" w:hAnsi="Times New Roman" w:cs="Times New Roman"/>
          <w:b/>
          <w:bCs/>
          <w:szCs w:val="24"/>
        </w:rPr>
        <w:t>]</w:t>
      </w:r>
    </w:p>
    <w:p w14:paraId="170FB993" w14:textId="77777777" w:rsidR="000D078A" w:rsidRDefault="000D078A"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szCs w:val="24"/>
        </w:rPr>
      </w:pPr>
    </w:p>
    <w:p w14:paraId="40FB6729" w14:textId="53203EA2" w:rsidR="00E20701" w:rsidRDefault="005321CF"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szCs w:val="24"/>
        </w:rPr>
      </w:pPr>
      <w:r w:rsidRPr="005321CF">
        <w:rPr>
          <w:rFonts w:ascii="Times New Roman" w:hAnsi="Times New Roman" w:cs="Times New Roman"/>
          <w:szCs w:val="24"/>
        </w:rPr>
        <w:t>In my view, academic freedom</w:t>
      </w:r>
      <w:r w:rsidR="00E97554">
        <w:rPr>
          <w:rFonts w:ascii="Times New Roman" w:hAnsi="Times New Roman" w:cs="Times New Roman"/>
          <w:szCs w:val="24"/>
        </w:rPr>
        <w:t>, as a professional freedom of academics,</w:t>
      </w:r>
      <w:r w:rsidRPr="005321CF">
        <w:rPr>
          <w:rFonts w:ascii="Times New Roman" w:hAnsi="Times New Roman" w:cs="Times New Roman"/>
          <w:szCs w:val="24"/>
        </w:rPr>
        <w:t xml:space="preserve"> is directly related to higher education institutions and only indirectly to primary and secondary education institutions, namely to the extent that scientific knowledge is applied in curricula and textbooks at these levels and to the extent that this knowledge is transmitted by teachers. All the other utterances in primary and secondary education institutions are covered by the freedom of expression regime described in ICCPR Article 19.3, of which the clause “The exercise of the rights provided for in paragraph 2 of this article carries with it special duties and responsibilities” is of </w:t>
      </w:r>
      <w:r w:rsidR="00E97554">
        <w:rPr>
          <w:rFonts w:ascii="Times New Roman" w:hAnsi="Times New Roman" w:cs="Times New Roman"/>
          <w:szCs w:val="24"/>
        </w:rPr>
        <w:t xml:space="preserve">particular </w:t>
      </w:r>
      <w:r w:rsidRPr="005321CF">
        <w:rPr>
          <w:rFonts w:ascii="Times New Roman" w:hAnsi="Times New Roman" w:cs="Times New Roman"/>
          <w:szCs w:val="24"/>
        </w:rPr>
        <w:t>importance</w:t>
      </w:r>
      <w:r w:rsidR="00E97554">
        <w:rPr>
          <w:rFonts w:ascii="Times New Roman" w:hAnsi="Times New Roman" w:cs="Times New Roman"/>
          <w:szCs w:val="24"/>
        </w:rPr>
        <w:t xml:space="preserve"> as an additional restriction ground for teachers.</w:t>
      </w:r>
    </w:p>
    <w:p w14:paraId="05E37BA6" w14:textId="77777777" w:rsidR="005321CF" w:rsidRDefault="005321CF"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szCs w:val="24"/>
        </w:rPr>
      </w:pPr>
    </w:p>
    <w:p w14:paraId="2B55A93D" w14:textId="18F57241" w:rsidR="00E97554" w:rsidRPr="00E97554" w:rsidRDefault="00E97554"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b/>
          <w:bCs/>
          <w:szCs w:val="24"/>
        </w:rPr>
      </w:pPr>
      <w:r w:rsidRPr="00E97554">
        <w:rPr>
          <w:rFonts w:ascii="Times New Roman" w:hAnsi="Times New Roman" w:cs="Times New Roman"/>
          <w:b/>
          <w:bCs/>
          <w:szCs w:val="24"/>
        </w:rPr>
        <w:t>4. A note on autonomy [question 4]</w:t>
      </w:r>
    </w:p>
    <w:p w14:paraId="5F8E574B" w14:textId="77777777" w:rsidR="000D078A" w:rsidRDefault="000D078A" w:rsidP="000D078A">
      <w:pPr>
        <w:tabs>
          <w:tab w:val="left" w:pos="288"/>
          <w:tab w:val="left" w:pos="576"/>
          <w:tab w:val="left" w:pos="864"/>
          <w:tab w:val="left" w:pos="1152"/>
          <w:tab w:val="left" w:pos="1440"/>
          <w:tab w:val="left" w:pos="1701"/>
          <w:tab w:val="left" w:pos="1984"/>
          <w:tab w:val="left" w:pos="2268"/>
          <w:tab w:val="left" w:pos="2551"/>
          <w:tab w:val="left" w:pos="2835"/>
        </w:tabs>
        <w:spacing w:after="0" w:line="360" w:lineRule="auto"/>
        <w:rPr>
          <w:rFonts w:ascii="Times New Roman" w:hAnsi="Times New Roman" w:cs="Times New Roman"/>
          <w:szCs w:val="24"/>
        </w:rPr>
      </w:pPr>
    </w:p>
    <w:p w14:paraId="081AB754" w14:textId="514F0562" w:rsidR="00B643F8" w:rsidRPr="00B643F8" w:rsidRDefault="00B643F8" w:rsidP="000D078A">
      <w:pPr>
        <w:tabs>
          <w:tab w:val="left" w:pos="288"/>
          <w:tab w:val="left" w:pos="576"/>
          <w:tab w:val="left" w:pos="864"/>
          <w:tab w:val="left" w:pos="1152"/>
          <w:tab w:val="left" w:pos="1440"/>
          <w:tab w:val="left" w:pos="1701"/>
          <w:tab w:val="left" w:pos="1984"/>
          <w:tab w:val="left" w:pos="2268"/>
          <w:tab w:val="left" w:pos="2551"/>
          <w:tab w:val="left" w:pos="2835"/>
        </w:tabs>
        <w:spacing w:after="0" w:line="360" w:lineRule="auto"/>
        <w:rPr>
          <w:rFonts w:ascii="Times New Roman" w:hAnsi="Times New Roman" w:cs="Times New Roman"/>
          <w:szCs w:val="24"/>
        </w:rPr>
      </w:pPr>
      <w:r w:rsidRPr="00B643F8">
        <w:rPr>
          <w:rFonts w:ascii="Times New Roman" w:hAnsi="Times New Roman" w:cs="Times New Roman"/>
          <w:szCs w:val="24"/>
        </w:rPr>
        <w:t xml:space="preserve">Institutional autonomy has several dimensions: </w:t>
      </w:r>
      <w:bookmarkStart w:id="0" w:name="_Hlk35951183"/>
      <w:r w:rsidRPr="00B643F8">
        <w:rPr>
          <w:rFonts w:ascii="Times New Roman" w:hAnsi="Times New Roman" w:cs="Times New Roman"/>
          <w:szCs w:val="24"/>
        </w:rPr>
        <w:t>legal, strategic, organizational, financial, personnel, and academic.</w:t>
      </w:r>
      <w:bookmarkEnd w:id="0"/>
      <w:r>
        <w:rPr>
          <w:rFonts w:ascii="Times New Roman" w:hAnsi="Times New Roman" w:cs="Times New Roman"/>
          <w:szCs w:val="24"/>
        </w:rPr>
        <w:t xml:space="preserve"> </w:t>
      </w:r>
      <w:r w:rsidRPr="00B643F8">
        <w:rPr>
          <w:rFonts w:ascii="Times New Roman" w:hAnsi="Times New Roman" w:cs="Times New Roman"/>
          <w:szCs w:val="24"/>
        </w:rPr>
        <w:t>Strategic autonomy means the right to determine long-term goals; personnel autonomy covers recruitment, salary, dismissal, and promotion; academic autonomy includes programs, quality control, teaching language, and admission of students. A university can rank high on one dimension of institutional autonomy and low on another. It is, however, unclear where the power to exercise institutional autonomy resides: in the governing board, the senate, or the board of trustees.</w:t>
      </w:r>
    </w:p>
    <w:p w14:paraId="13838AEC" w14:textId="05D908F5" w:rsidR="00A94C08" w:rsidRDefault="00B643F8"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szCs w:val="24"/>
        </w:rPr>
      </w:pPr>
      <w:r>
        <w:rPr>
          <w:rFonts w:ascii="Times New Roman" w:hAnsi="Times New Roman" w:cs="Times New Roman"/>
          <w:szCs w:val="24"/>
        </w:rPr>
        <w:tab/>
      </w:r>
      <w:r w:rsidRPr="00B643F8">
        <w:rPr>
          <w:rFonts w:ascii="Times New Roman" w:hAnsi="Times New Roman" w:cs="Times New Roman"/>
          <w:szCs w:val="24"/>
        </w:rPr>
        <w:t xml:space="preserve">It is a fatal fallacy to confuse academic freedom and institutional autonomy. Institutional autonomy is not a goal on its own, its basic rationale is the protection of academic freedom. </w:t>
      </w:r>
      <w:r>
        <w:rPr>
          <w:rFonts w:ascii="Times New Roman" w:hAnsi="Times New Roman" w:cs="Times New Roman"/>
          <w:szCs w:val="24"/>
        </w:rPr>
        <w:t>I</w:t>
      </w:r>
      <w:r w:rsidRPr="00B643F8">
        <w:rPr>
          <w:rFonts w:ascii="Times New Roman" w:hAnsi="Times New Roman" w:cs="Times New Roman"/>
          <w:szCs w:val="24"/>
        </w:rPr>
        <w:t>t may surprise that UNESCO’s definition of academic freedom – through the rights of criticism and co-governance</w:t>
      </w:r>
      <w:r>
        <w:rPr>
          <w:rFonts w:ascii="Times New Roman" w:hAnsi="Times New Roman" w:cs="Times New Roman"/>
          <w:szCs w:val="24"/>
        </w:rPr>
        <w:t xml:space="preserve"> –</w:t>
      </w:r>
      <w:r w:rsidRPr="00B643F8">
        <w:rPr>
          <w:rFonts w:ascii="Times New Roman" w:hAnsi="Times New Roman" w:cs="Times New Roman"/>
          <w:szCs w:val="24"/>
        </w:rPr>
        <w:t xml:space="preserve"> protects academics against their own universities. On closer scrutiny, however, this is not so strange because in practice institutional autonomy and academic freedom often have a tense relationship. The </w:t>
      </w:r>
      <w:r w:rsidRPr="00B643F8">
        <w:rPr>
          <w:rFonts w:ascii="Times New Roman" w:hAnsi="Times New Roman" w:cs="Times New Roman"/>
          <w:szCs w:val="24"/>
        </w:rPr>
        <w:lastRenderedPageBreak/>
        <w:t>reason is that</w:t>
      </w:r>
      <w:r>
        <w:rPr>
          <w:rFonts w:ascii="Times New Roman" w:hAnsi="Times New Roman" w:cs="Times New Roman"/>
          <w:szCs w:val="24"/>
        </w:rPr>
        <w:t xml:space="preserve"> </w:t>
      </w:r>
      <w:r w:rsidRPr="00B643F8">
        <w:rPr>
          <w:rFonts w:ascii="Times New Roman" w:hAnsi="Times New Roman" w:cs="Times New Roman"/>
          <w:szCs w:val="24"/>
        </w:rPr>
        <w:t>universities sometimes take controversial decisions that put academic freedom under pressure. One can think of their powers to dismiss staff, to not promote personnel, to suspend subjects and disciplines, to reorganize or close departments, to reallocate personnel, and to associate or merge with other institutions. All these operations potentially cause much tension among staff members (and students as well). As a rule, efficient governance has a tense relationship with academic freedom. If the principle that institutional autonomy should be at the service of academic freedom is not heeded, the tension between both can degenerate into institutional autonomy becoming an internal threat to academic freedom.</w:t>
      </w:r>
    </w:p>
    <w:p w14:paraId="105CCBAA" w14:textId="77777777" w:rsidR="002F48DD" w:rsidRDefault="002F48DD"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szCs w:val="24"/>
        </w:rPr>
      </w:pPr>
    </w:p>
    <w:p w14:paraId="7A025BCF" w14:textId="49D60CAD" w:rsidR="002F48DD" w:rsidRPr="00DF4ED1" w:rsidRDefault="00DF4ED1"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b/>
          <w:bCs/>
          <w:szCs w:val="24"/>
        </w:rPr>
      </w:pPr>
      <w:r w:rsidRPr="00DF4ED1">
        <w:rPr>
          <w:rFonts w:ascii="Times New Roman" w:hAnsi="Times New Roman" w:cs="Times New Roman"/>
          <w:b/>
          <w:bCs/>
          <w:szCs w:val="24"/>
        </w:rPr>
        <w:t>5. Further information</w:t>
      </w:r>
    </w:p>
    <w:p w14:paraId="2C6D188B" w14:textId="77777777" w:rsidR="00DF4ED1" w:rsidRDefault="00DF4ED1"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szCs w:val="24"/>
        </w:rPr>
      </w:pPr>
    </w:p>
    <w:p w14:paraId="131E6691" w14:textId="33B11B32" w:rsidR="002F48DD" w:rsidRDefault="002F48DD"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szCs w:val="24"/>
        </w:rPr>
      </w:pPr>
      <w:r>
        <w:rPr>
          <w:rFonts w:ascii="Times New Roman" w:hAnsi="Times New Roman" w:cs="Times New Roman"/>
          <w:szCs w:val="24"/>
        </w:rPr>
        <w:t xml:space="preserve">For more information, please see also: Antoon De Baets, </w:t>
      </w:r>
      <w:r w:rsidRPr="002F48DD">
        <w:rPr>
          <w:rFonts w:ascii="Times New Roman" w:hAnsi="Times New Roman" w:cs="Times New Roman"/>
          <w:szCs w:val="24"/>
        </w:rPr>
        <w:t>“</w:t>
      </w:r>
      <w:hyperlink r:id="rId9" w:history="1">
        <w:r w:rsidRPr="002F48DD">
          <w:rPr>
            <w:rStyle w:val="Hyperlink"/>
            <w:rFonts w:ascii="Times New Roman" w:hAnsi="Times New Roman" w:cs="Times New Roman"/>
            <w:szCs w:val="24"/>
          </w:rPr>
          <w:t>Academic Freedom between History and Human Rights in a Global Context</w:t>
        </w:r>
      </w:hyperlink>
      <w:r w:rsidRPr="002F48DD">
        <w:rPr>
          <w:rFonts w:ascii="Times New Roman" w:hAnsi="Times New Roman" w:cs="Times New Roman"/>
          <w:szCs w:val="24"/>
        </w:rPr>
        <w:t xml:space="preserve">,” in Joseph </w:t>
      </w:r>
      <w:proofErr w:type="spellStart"/>
      <w:r w:rsidRPr="002F48DD">
        <w:rPr>
          <w:rFonts w:ascii="Times New Roman" w:hAnsi="Times New Roman" w:cs="Times New Roman"/>
          <w:szCs w:val="24"/>
        </w:rPr>
        <w:t>Zajda</w:t>
      </w:r>
      <w:proofErr w:type="spellEnd"/>
      <w:r w:rsidRPr="002F48DD">
        <w:rPr>
          <w:rFonts w:ascii="Times New Roman" w:hAnsi="Times New Roman" w:cs="Times New Roman"/>
          <w:szCs w:val="24"/>
        </w:rPr>
        <w:t xml:space="preserve">, ed., </w:t>
      </w:r>
      <w:r w:rsidRPr="002F48DD">
        <w:rPr>
          <w:rFonts w:ascii="Times New Roman" w:hAnsi="Times New Roman" w:cs="Times New Roman"/>
          <w:i/>
          <w:iCs/>
          <w:szCs w:val="24"/>
        </w:rPr>
        <w:t xml:space="preserve">Third International Handbook of </w:t>
      </w:r>
      <w:proofErr w:type="spellStart"/>
      <w:r w:rsidRPr="002F48DD">
        <w:rPr>
          <w:rFonts w:ascii="Times New Roman" w:hAnsi="Times New Roman" w:cs="Times New Roman"/>
          <w:i/>
          <w:iCs/>
          <w:szCs w:val="24"/>
        </w:rPr>
        <w:t>Globalisation</w:t>
      </w:r>
      <w:proofErr w:type="spellEnd"/>
      <w:r w:rsidRPr="002F48DD">
        <w:rPr>
          <w:rFonts w:ascii="Times New Roman" w:hAnsi="Times New Roman" w:cs="Times New Roman"/>
          <w:i/>
          <w:iCs/>
          <w:szCs w:val="24"/>
        </w:rPr>
        <w:t>, Education and Policy Research</w:t>
      </w:r>
      <w:r w:rsidRPr="002F48DD">
        <w:rPr>
          <w:rFonts w:ascii="Times New Roman" w:hAnsi="Times New Roman" w:cs="Times New Roman"/>
          <w:szCs w:val="24"/>
        </w:rPr>
        <w:t xml:space="preserve"> (Dordrecht: Springer, 2021), 923–943</w:t>
      </w:r>
      <w:r>
        <w:rPr>
          <w:rFonts w:ascii="Times New Roman" w:hAnsi="Times New Roman" w:cs="Times New Roman"/>
          <w:szCs w:val="24"/>
        </w:rPr>
        <w:t>.</w:t>
      </w:r>
    </w:p>
    <w:p w14:paraId="74C3AFCA" w14:textId="59088D64" w:rsidR="002F48DD" w:rsidRDefault="002F48DD"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szCs w:val="24"/>
        </w:rPr>
      </w:pPr>
      <w:r>
        <w:rPr>
          <w:rFonts w:ascii="Times New Roman" w:hAnsi="Times New Roman" w:cs="Times New Roman"/>
          <w:szCs w:val="24"/>
        </w:rPr>
        <w:t>[Second updated edition forthcoming 2024]</w:t>
      </w:r>
      <w:r w:rsidRPr="002F48DD">
        <w:rPr>
          <w:rFonts w:ascii="Times New Roman" w:hAnsi="Times New Roman" w:cs="Times New Roman"/>
          <w:szCs w:val="24"/>
        </w:rPr>
        <w:t>.</w:t>
      </w:r>
    </w:p>
    <w:p w14:paraId="693C952C" w14:textId="77777777" w:rsidR="00B643F8" w:rsidRDefault="00B643F8"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szCs w:val="24"/>
        </w:rPr>
      </w:pPr>
    </w:p>
    <w:p w14:paraId="3960DF39" w14:textId="3467054A" w:rsidR="00B643F8" w:rsidRDefault="00B643F8"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szCs w:val="24"/>
        </w:rPr>
      </w:pPr>
      <w:r>
        <w:rPr>
          <w:rFonts w:ascii="Times New Roman" w:hAnsi="Times New Roman" w:cs="Times New Roman"/>
          <w:szCs w:val="24"/>
        </w:rPr>
        <w:t>With best wishes,</w:t>
      </w:r>
    </w:p>
    <w:p w14:paraId="641CBDC8" w14:textId="77777777" w:rsidR="000D078A" w:rsidRDefault="000D078A"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szCs w:val="24"/>
        </w:rPr>
      </w:pPr>
    </w:p>
    <w:p w14:paraId="6CA4A3AE" w14:textId="77777777" w:rsidR="00B643F8" w:rsidRDefault="00B643F8"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szCs w:val="24"/>
        </w:rPr>
      </w:pPr>
    </w:p>
    <w:p w14:paraId="3C3A1091" w14:textId="6A25C221" w:rsidR="00B643F8" w:rsidRPr="00BF6251" w:rsidRDefault="00B643F8" w:rsidP="000D078A">
      <w:pPr>
        <w:tabs>
          <w:tab w:val="left" w:pos="283"/>
          <w:tab w:val="left" w:pos="567"/>
          <w:tab w:val="left" w:pos="850"/>
          <w:tab w:val="left" w:pos="1134"/>
          <w:tab w:val="left" w:pos="1417"/>
          <w:tab w:val="left" w:pos="1701"/>
          <w:tab w:val="left" w:pos="1984"/>
          <w:tab w:val="left" w:pos="2268"/>
          <w:tab w:val="left" w:pos="2551"/>
          <w:tab w:val="left" w:pos="2835"/>
        </w:tabs>
        <w:spacing w:after="0" w:line="360" w:lineRule="auto"/>
        <w:rPr>
          <w:rFonts w:ascii="Times New Roman" w:hAnsi="Times New Roman" w:cs="Times New Roman"/>
          <w:szCs w:val="24"/>
        </w:rPr>
      </w:pPr>
      <w:r>
        <w:rPr>
          <w:rFonts w:ascii="Times New Roman" w:hAnsi="Times New Roman" w:cs="Times New Roman"/>
          <w:szCs w:val="24"/>
        </w:rPr>
        <w:t>Antoon De Baets</w:t>
      </w:r>
    </w:p>
    <w:sectPr w:rsidR="00B643F8" w:rsidRPr="00BF62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D4A00" w14:textId="77777777" w:rsidR="00C40065" w:rsidRDefault="00C40065" w:rsidP="008F0D60">
      <w:pPr>
        <w:spacing w:after="0" w:line="240" w:lineRule="auto"/>
      </w:pPr>
      <w:r>
        <w:separator/>
      </w:r>
    </w:p>
  </w:endnote>
  <w:endnote w:type="continuationSeparator" w:id="0">
    <w:p w14:paraId="6AD79A4A" w14:textId="77777777" w:rsidR="00C40065" w:rsidRDefault="00C40065" w:rsidP="008F0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D93C6" w14:textId="77777777" w:rsidR="00C40065" w:rsidRDefault="00C40065" w:rsidP="008F0D60">
      <w:pPr>
        <w:spacing w:after="0" w:line="240" w:lineRule="auto"/>
      </w:pPr>
      <w:r>
        <w:separator/>
      </w:r>
    </w:p>
  </w:footnote>
  <w:footnote w:type="continuationSeparator" w:id="0">
    <w:p w14:paraId="4CAAE478" w14:textId="77777777" w:rsidR="00C40065" w:rsidRDefault="00C40065" w:rsidP="008F0D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08"/>
    <w:rsid w:val="000D078A"/>
    <w:rsid w:val="00191210"/>
    <w:rsid w:val="00230087"/>
    <w:rsid w:val="002C213F"/>
    <w:rsid w:val="002F48DD"/>
    <w:rsid w:val="005321CF"/>
    <w:rsid w:val="006D124E"/>
    <w:rsid w:val="00893253"/>
    <w:rsid w:val="008F0D60"/>
    <w:rsid w:val="00A2770B"/>
    <w:rsid w:val="00A94C08"/>
    <w:rsid w:val="00B643F8"/>
    <w:rsid w:val="00BF6251"/>
    <w:rsid w:val="00C40065"/>
    <w:rsid w:val="00CF3492"/>
    <w:rsid w:val="00D17E24"/>
    <w:rsid w:val="00DD04CF"/>
    <w:rsid w:val="00DF4ED1"/>
    <w:rsid w:val="00E20701"/>
    <w:rsid w:val="00E268EC"/>
    <w:rsid w:val="00E97554"/>
    <w:rsid w:val="00F53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4623"/>
  <w15:chartTrackingRefBased/>
  <w15:docId w15:val="{05A1C3E8-3477-464D-9893-5D753C3F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C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4C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4C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4C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4C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4C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4C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4C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4C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C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4C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4C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4C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4C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4C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C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C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C08"/>
    <w:rPr>
      <w:rFonts w:eastAsiaTheme="majorEastAsia" w:cstheme="majorBidi"/>
      <w:color w:val="272727" w:themeColor="text1" w:themeTint="D8"/>
    </w:rPr>
  </w:style>
  <w:style w:type="paragraph" w:styleId="Title">
    <w:name w:val="Title"/>
    <w:basedOn w:val="Normal"/>
    <w:next w:val="Normal"/>
    <w:link w:val="TitleChar"/>
    <w:uiPriority w:val="10"/>
    <w:qFormat/>
    <w:rsid w:val="00A94C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C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C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4C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C08"/>
    <w:pPr>
      <w:spacing w:before="160"/>
      <w:jc w:val="center"/>
    </w:pPr>
    <w:rPr>
      <w:i/>
      <w:iCs/>
      <w:color w:val="404040" w:themeColor="text1" w:themeTint="BF"/>
    </w:rPr>
  </w:style>
  <w:style w:type="character" w:customStyle="1" w:styleId="QuoteChar">
    <w:name w:val="Quote Char"/>
    <w:basedOn w:val="DefaultParagraphFont"/>
    <w:link w:val="Quote"/>
    <w:uiPriority w:val="29"/>
    <w:rsid w:val="00A94C08"/>
    <w:rPr>
      <w:i/>
      <w:iCs/>
      <w:color w:val="404040" w:themeColor="text1" w:themeTint="BF"/>
    </w:rPr>
  </w:style>
  <w:style w:type="paragraph" w:styleId="ListParagraph">
    <w:name w:val="List Paragraph"/>
    <w:basedOn w:val="Normal"/>
    <w:uiPriority w:val="34"/>
    <w:qFormat/>
    <w:rsid w:val="00A94C08"/>
    <w:pPr>
      <w:ind w:left="720"/>
      <w:contextualSpacing/>
    </w:pPr>
  </w:style>
  <w:style w:type="character" w:styleId="IntenseEmphasis">
    <w:name w:val="Intense Emphasis"/>
    <w:basedOn w:val="DefaultParagraphFont"/>
    <w:uiPriority w:val="21"/>
    <w:qFormat/>
    <w:rsid w:val="00A94C08"/>
    <w:rPr>
      <w:i/>
      <w:iCs/>
      <w:color w:val="0F4761" w:themeColor="accent1" w:themeShade="BF"/>
    </w:rPr>
  </w:style>
  <w:style w:type="paragraph" w:styleId="IntenseQuote">
    <w:name w:val="Intense Quote"/>
    <w:basedOn w:val="Normal"/>
    <w:next w:val="Normal"/>
    <w:link w:val="IntenseQuoteChar"/>
    <w:uiPriority w:val="30"/>
    <w:qFormat/>
    <w:rsid w:val="00A94C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4C08"/>
    <w:rPr>
      <w:i/>
      <w:iCs/>
      <w:color w:val="0F4761" w:themeColor="accent1" w:themeShade="BF"/>
    </w:rPr>
  </w:style>
  <w:style w:type="character" w:styleId="IntenseReference">
    <w:name w:val="Intense Reference"/>
    <w:basedOn w:val="DefaultParagraphFont"/>
    <w:uiPriority w:val="32"/>
    <w:qFormat/>
    <w:rsid w:val="00A94C08"/>
    <w:rPr>
      <w:b/>
      <w:bCs/>
      <w:smallCaps/>
      <w:color w:val="0F4761" w:themeColor="accent1" w:themeShade="BF"/>
      <w:spacing w:val="5"/>
    </w:rPr>
  </w:style>
  <w:style w:type="table" w:styleId="TableGrid">
    <w:name w:val="Table Grid"/>
    <w:basedOn w:val="TableNormal"/>
    <w:rsid w:val="00E268EC"/>
    <w:pPr>
      <w:spacing w:after="0" w:line="240" w:lineRule="auto"/>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68EC"/>
    <w:rPr>
      <w:color w:val="467886" w:themeColor="hyperlink"/>
      <w:u w:val="single"/>
    </w:rPr>
  </w:style>
  <w:style w:type="character" w:styleId="UnresolvedMention">
    <w:name w:val="Unresolved Mention"/>
    <w:basedOn w:val="DefaultParagraphFont"/>
    <w:uiPriority w:val="99"/>
    <w:semiHidden/>
    <w:unhideWhenUsed/>
    <w:rsid w:val="00E268EC"/>
    <w:rPr>
      <w:color w:val="605E5C"/>
      <w:shd w:val="clear" w:color="auto" w:fill="E1DFDD"/>
    </w:rPr>
  </w:style>
  <w:style w:type="paragraph" w:styleId="FootnoteText">
    <w:name w:val="footnote text"/>
    <w:aliases w:val="5_G"/>
    <w:basedOn w:val="Normal"/>
    <w:link w:val="FootnoteTextChar"/>
    <w:uiPriority w:val="99"/>
    <w:unhideWhenUsed/>
    <w:rsid w:val="008F0D60"/>
    <w:pPr>
      <w:spacing w:after="0" w:line="240" w:lineRule="auto"/>
    </w:pPr>
    <w:rPr>
      <w:rFonts w:ascii="Times New Roman" w:hAnsi="Times New Roman"/>
      <w:color w:val="000000" w:themeColor="text1"/>
      <w:kern w:val="0"/>
      <w:sz w:val="20"/>
      <w:szCs w:val="20"/>
    </w:rPr>
  </w:style>
  <w:style w:type="character" w:customStyle="1" w:styleId="FootnoteTextChar">
    <w:name w:val="Footnote Text Char"/>
    <w:aliases w:val="5_G Char"/>
    <w:basedOn w:val="DefaultParagraphFont"/>
    <w:link w:val="FootnoteText"/>
    <w:uiPriority w:val="99"/>
    <w:rsid w:val="008F0D60"/>
    <w:rPr>
      <w:rFonts w:ascii="Times New Roman" w:hAnsi="Times New Roman"/>
      <w:color w:val="000000" w:themeColor="text1"/>
      <w:kern w:val="0"/>
      <w:sz w:val="20"/>
      <w:szCs w:val="20"/>
    </w:rPr>
  </w:style>
  <w:style w:type="character" w:styleId="FootnoteReference">
    <w:name w:val="footnote reference"/>
    <w:aliases w:val="4_G"/>
    <w:basedOn w:val="DefaultParagraphFont"/>
    <w:uiPriority w:val="99"/>
    <w:unhideWhenUsed/>
    <w:rsid w:val="008F0D60"/>
    <w:rPr>
      <w:vertAlign w:val="superscript"/>
    </w:rPr>
  </w:style>
  <w:style w:type="character" w:styleId="EndnoteReference">
    <w:name w:val="endnote reference"/>
    <w:basedOn w:val="DefaultParagraphFont"/>
    <w:unhideWhenUsed/>
    <w:rsid w:val="00B643F8"/>
    <w:rPr>
      <w:vertAlign w:val="superscript"/>
    </w:rPr>
  </w:style>
  <w:style w:type="character" w:styleId="FollowedHyperlink">
    <w:name w:val="FollowedHyperlink"/>
    <w:basedOn w:val="DefaultParagraphFont"/>
    <w:uiPriority w:val="99"/>
    <w:semiHidden/>
    <w:unhideWhenUsed/>
    <w:rsid w:val="002F48D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oncernedhistorians.org/content_files/file/va/antoon_de_baets-academic_freedom_between_history_and_humanrights(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Antoon De Baets</Contributor>
    <Postingdate xmlns="d42e65b2-cf21-49c1-b27d-d23f90380c0e" xsi:nil="true"/>
    <Postedonline xmlns="d42e65b2-cf21-49c1-b27d-d23f90380c0e">false</Postedon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FA7F46-D510-4CEB-A2E8-5DC00A5DFEA7}">
  <ds:schemaRefs>
    <ds:schemaRef ds:uri="http://schemas.microsoft.com/office/2006/metadata/properties"/>
    <ds:schemaRef ds:uri="http://schemas.microsoft.com/office/infopath/2007/PartnerControls"/>
    <ds:schemaRef ds:uri="d42e65b2-cf21-49c1-b27d-d23f90380c0e"/>
  </ds:schemaRefs>
</ds:datastoreItem>
</file>

<file path=customXml/itemProps2.xml><?xml version="1.0" encoding="utf-8"?>
<ds:datastoreItem xmlns:ds="http://schemas.openxmlformats.org/officeDocument/2006/customXml" ds:itemID="{EA830A1F-9398-4AB3-9A7A-F5DCBA705D53}">
  <ds:schemaRefs>
    <ds:schemaRef ds:uri="http://schemas.microsoft.com/sharepoint/v3/contenttype/forms"/>
  </ds:schemaRefs>
</ds:datastoreItem>
</file>

<file path=customXml/itemProps3.xml><?xml version="1.0" encoding="utf-8"?>
<ds:datastoreItem xmlns:ds="http://schemas.openxmlformats.org/officeDocument/2006/customXml" ds:itemID="{C3C71303-4E92-4791-87B5-EBC8DC2A1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De Baets</dc:creator>
  <cp:keywords/>
  <dc:description/>
  <cp:lastModifiedBy>Mylene Bidault Abdulle</cp:lastModifiedBy>
  <cp:revision>6</cp:revision>
  <dcterms:created xsi:type="dcterms:W3CDTF">2024-01-15T14:20:00Z</dcterms:created>
  <dcterms:modified xsi:type="dcterms:W3CDTF">2024-04-30T12:51:00Z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