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6E839" w14:textId="77777777" w:rsidR="00B73FD1" w:rsidRDefault="00B73FD1" w:rsidP="00B73FD1">
      <w:pPr>
        <w:ind w:right="-1"/>
        <w:jc w:val="right"/>
        <w:rPr>
          <w:sz w:val="24"/>
          <w:szCs w:val="24"/>
          <w:lang w:val="en-US"/>
        </w:rPr>
      </w:pPr>
    </w:p>
    <w:p w14:paraId="1A96A8E4" w14:textId="4ABA196D" w:rsidR="00987912" w:rsidRPr="00A77C58" w:rsidRDefault="00987912" w:rsidP="00987912">
      <w:pPr>
        <w:jc w:val="center"/>
        <w:rPr>
          <w:rStyle w:val="normaltextrun"/>
          <w:b/>
          <w:bCs/>
          <w:color w:val="000000"/>
          <w:sz w:val="24"/>
          <w:szCs w:val="24"/>
          <w:shd w:val="clear" w:color="auto" w:fill="FFFFFF"/>
          <w:lang w:val="en-US"/>
        </w:rPr>
      </w:pPr>
      <w:r w:rsidRPr="00A77C58">
        <w:rPr>
          <w:rStyle w:val="normaltextrun"/>
          <w:b/>
          <w:bCs/>
          <w:color w:val="000000"/>
          <w:sz w:val="24"/>
          <w:szCs w:val="24"/>
          <w:shd w:val="clear" w:color="auto" w:fill="FFFFFF"/>
          <w:lang w:val="en-US"/>
        </w:rPr>
        <w:t xml:space="preserve">ACADEMIC FREEDOM AND FREEDOM OF EXPRESSION </w:t>
      </w:r>
    </w:p>
    <w:p w14:paraId="20D9FF42" w14:textId="77777777" w:rsidR="00987912" w:rsidRPr="003D6E56" w:rsidRDefault="00987912" w:rsidP="00987912">
      <w:pPr>
        <w:jc w:val="center"/>
        <w:rPr>
          <w:rStyle w:val="normaltextrun"/>
          <w:b/>
          <w:bCs/>
          <w:color w:val="000000"/>
          <w:sz w:val="24"/>
          <w:szCs w:val="24"/>
          <w:shd w:val="clear" w:color="auto" w:fill="FFFFFF"/>
          <w:lang w:val="en-US"/>
        </w:rPr>
      </w:pPr>
      <w:r w:rsidRPr="003D6E56">
        <w:rPr>
          <w:rStyle w:val="normaltextrun"/>
          <w:b/>
          <w:bCs/>
          <w:color w:val="000000"/>
          <w:sz w:val="24"/>
          <w:szCs w:val="24"/>
          <w:shd w:val="clear" w:color="auto" w:fill="FFFFFF"/>
          <w:lang w:val="en-US"/>
        </w:rPr>
        <w:t xml:space="preserve">IN </w:t>
      </w:r>
      <w:r w:rsidRPr="003D6E56">
        <w:rPr>
          <w:b/>
          <w:bCs/>
          <w:sz w:val="24"/>
          <w:szCs w:val="24"/>
          <w:lang w:val="en-US"/>
        </w:rPr>
        <w:t>EDUCATIONAL INSTITUTIONS</w:t>
      </w:r>
    </w:p>
    <w:p w14:paraId="662244F1" w14:textId="77777777" w:rsidR="00987912" w:rsidRPr="00A77C58" w:rsidRDefault="00987912" w:rsidP="00987912">
      <w:pPr>
        <w:rPr>
          <w:sz w:val="24"/>
          <w:szCs w:val="24"/>
          <w:lang w:val="en-US"/>
        </w:rPr>
      </w:pPr>
    </w:p>
    <w:p w14:paraId="355A0A38" w14:textId="77777777" w:rsidR="00495C01" w:rsidRDefault="00495C01" w:rsidP="00987912">
      <w:pPr>
        <w:spacing w:before="120" w:after="120"/>
        <w:ind w:firstLine="425"/>
        <w:jc w:val="both"/>
        <w:rPr>
          <w:sz w:val="24"/>
          <w:szCs w:val="24"/>
          <w:lang w:val="en-US"/>
        </w:rPr>
      </w:pPr>
    </w:p>
    <w:tbl>
      <w:tblPr>
        <w:tblStyle w:val="TableGrid"/>
        <w:tblW w:w="0" w:type="auto"/>
        <w:tblLook w:val="04A0" w:firstRow="1" w:lastRow="0" w:firstColumn="1" w:lastColumn="0" w:noHBand="0" w:noVBand="1"/>
      </w:tblPr>
      <w:tblGrid>
        <w:gridCol w:w="4247"/>
        <w:gridCol w:w="4247"/>
      </w:tblGrid>
      <w:tr w:rsidR="004C72E6" w:rsidRPr="004D46FD" w14:paraId="21A4DA32" w14:textId="77777777" w:rsidTr="00386C90">
        <w:tc>
          <w:tcPr>
            <w:tcW w:w="4247" w:type="dxa"/>
          </w:tcPr>
          <w:p w14:paraId="0267538F" w14:textId="72D64FFD" w:rsidR="004C72E6" w:rsidRDefault="004C72E6" w:rsidP="004C72E6">
            <w:pPr>
              <w:spacing w:before="120" w:after="120"/>
              <w:jc w:val="both"/>
              <w:rPr>
                <w:sz w:val="24"/>
                <w:szCs w:val="24"/>
                <w:lang w:val="en-US"/>
              </w:rPr>
            </w:pPr>
            <w:r w:rsidRPr="00AB3535">
              <w:rPr>
                <w:b/>
                <w:bCs/>
                <w:sz w:val="24"/>
                <w:szCs w:val="24"/>
                <w:lang w:val="en-US"/>
              </w:rPr>
              <w:t xml:space="preserve">Name of the </w:t>
            </w:r>
            <w:r>
              <w:rPr>
                <w:b/>
                <w:bCs/>
                <w:sz w:val="24"/>
                <w:szCs w:val="24"/>
                <w:lang w:val="en-US"/>
              </w:rPr>
              <w:t>country/</w:t>
            </w:r>
            <w:r w:rsidRPr="00AB3535">
              <w:rPr>
                <w:b/>
                <w:bCs/>
                <w:sz w:val="24"/>
                <w:szCs w:val="24"/>
                <w:lang w:val="en-US"/>
              </w:rPr>
              <w:t>entity submitting information</w:t>
            </w:r>
          </w:p>
        </w:tc>
        <w:tc>
          <w:tcPr>
            <w:tcW w:w="4247" w:type="dxa"/>
          </w:tcPr>
          <w:p w14:paraId="576E9866" w14:textId="43544FF3" w:rsidR="00EA0D6A" w:rsidRPr="004D46FD" w:rsidRDefault="007B5494" w:rsidP="00EA0D6A">
            <w:pPr>
              <w:spacing w:before="120" w:after="120"/>
              <w:rPr>
                <w:b/>
                <w:bCs/>
                <w:sz w:val="24"/>
                <w:szCs w:val="24"/>
                <w:lang w:val="fr-FR"/>
              </w:rPr>
            </w:pPr>
            <w:r w:rsidRPr="004D46FD">
              <w:rPr>
                <w:b/>
                <w:bCs/>
                <w:sz w:val="24"/>
                <w:szCs w:val="24"/>
                <w:lang w:val="fr-FR"/>
              </w:rPr>
              <w:t xml:space="preserve">Canadian Association of </w:t>
            </w:r>
            <w:proofErr w:type="spellStart"/>
            <w:r w:rsidRPr="004D46FD">
              <w:rPr>
                <w:b/>
                <w:bCs/>
                <w:sz w:val="24"/>
                <w:szCs w:val="24"/>
                <w:lang w:val="fr-FR"/>
              </w:rPr>
              <w:t>University</w:t>
            </w:r>
            <w:proofErr w:type="spellEnd"/>
            <w:r w:rsidRPr="004D46FD">
              <w:rPr>
                <w:b/>
                <w:bCs/>
                <w:sz w:val="24"/>
                <w:szCs w:val="24"/>
                <w:lang w:val="fr-FR"/>
              </w:rPr>
              <w:t xml:space="preserve"> </w:t>
            </w:r>
            <w:proofErr w:type="spellStart"/>
            <w:r w:rsidRPr="004D46FD">
              <w:rPr>
                <w:b/>
                <w:bCs/>
                <w:sz w:val="24"/>
                <w:szCs w:val="24"/>
                <w:lang w:val="fr-FR"/>
              </w:rPr>
              <w:t>Teachers</w:t>
            </w:r>
            <w:proofErr w:type="spellEnd"/>
          </w:p>
          <w:p w14:paraId="50FD54A3" w14:textId="62EA73F0" w:rsidR="004C72E6" w:rsidRPr="004D46FD" w:rsidRDefault="00EA0D6A" w:rsidP="00EA0D6A">
            <w:pPr>
              <w:spacing w:before="120" w:after="120"/>
              <w:rPr>
                <w:b/>
                <w:bCs/>
                <w:sz w:val="24"/>
                <w:szCs w:val="24"/>
                <w:lang w:val="fr-FR"/>
              </w:rPr>
            </w:pPr>
            <w:r w:rsidRPr="004D46FD">
              <w:rPr>
                <w:b/>
                <w:bCs/>
                <w:sz w:val="24"/>
                <w:szCs w:val="24"/>
                <w:lang w:val="fr-FR"/>
              </w:rPr>
              <w:t>Association canadienne des professeures et professeurs d’université </w:t>
            </w:r>
          </w:p>
        </w:tc>
      </w:tr>
    </w:tbl>
    <w:p w14:paraId="305A693F" w14:textId="77777777" w:rsidR="00987912" w:rsidRPr="004D46FD" w:rsidRDefault="00987912" w:rsidP="00987912">
      <w:pPr>
        <w:spacing w:before="120" w:after="120"/>
        <w:rPr>
          <w:b/>
          <w:bCs/>
          <w:sz w:val="24"/>
          <w:szCs w:val="24"/>
          <w:lang w:val="fr-FR"/>
        </w:rPr>
      </w:pPr>
    </w:p>
    <w:p w14:paraId="1784502F" w14:textId="77777777" w:rsidR="00987912" w:rsidRPr="00A77C58" w:rsidRDefault="00987912" w:rsidP="00987912">
      <w:pPr>
        <w:spacing w:before="120" w:after="120"/>
        <w:rPr>
          <w:b/>
          <w:bCs/>
          <w:sz w:val="24"/>
          <w:szCs w:val="24"/>
          <w:lang w:val="en-US"/>
        </w:rPr>
      </w:pPr>
      <w:r w:rsidRPr="00A77C58">
        <w:rPr>
          <w:b/>
          <w:bCs/>
          <w:sz w:val="24"/>
          <w:szCs w:val="24"/>
          <w:lang w:val="en-US"/>
        </w:rPr>
        <w:t>General framework</w:t>
      </w:r>
    </w:p>
    <w:p w14:paraId="27E89AEE" w14:textId="3625EE77" w:rsidR="007B5494" w:rsidRDefault="007B5494" w:rsidP="007846E5">
      <w:pPr>
        <w:pStyle w:val="ListParagraph"/>
        <w:numPr>
          <w:ilvl w:val="0"/>
          <w:numId w:val="35"/>
        </w:numPr>
        <w:spacing w:before="120" w:after="120"/>
        <w:ind w:left="567" w:hanging="567"/>
        <w:jc w:val="both"/>
        <w:rPr>
          <w:sz w:val="24"/>
          <w:szCs w:val="24"/>
        </w:rPr>
      </w:pPr>
      <w:r w:rsidRPr="00BE218C">
        <w:rPr>
          <w:sz w:val="24"/>
          <w:szCs w:val="24"/>
          <w:lang w:val="en-US"/>
        </w:rPr>
        <w:t xml:space="preserve">Academic freedom in Canada has limited constitutional or statutory protection. Only the province of Quebec has legislation enacted in 2022 specifically addressing academic freedom. </w:t>
      </w:r>
      <w:hyperlink r:id="rId11" w:history="1">
        <w:r w:rsidRPr="00BE218C">
          <w:rPr>
            <w:rStyle w:val="Hyperlink"/>
            <w:sz w:val="24"/>
            <w:szCs w:val="24"/>
          </w:rPr>
          <w:t>Bill 32, An Act Respecting Academic Freedom in the University Sector</w:t>
        </w:r>
      </w:hyperlink>
      <w:r w:rsidRPr="00BE218C">
        <w:rPr>
          <w:sz w:val="24"/>
          <w:szCs w:val="24"/>
        </w:rPr>
        <w:t xml:space="preserve">, defines academic freedom as the right to engage freely in </w:t>
      </w:r>
      <w:r w:rsidR="00F76934" w:rsidRPr="00BE218C">
        <w:rPr>
          <w:sz w:val="24"/>
          <w:szCs w:val="24"/>
        </w:rPr>
        <w:t>discussion</w:t>
      </w:r>
      <w:r w:rsidRPr="00BE218C">
        <w:rPr>
          <w:sz w:val="24"/>
          <w:szCs w:val="24"/>
        </w:rPr>
        <w:t>, teaching, and research “without doctrinal, ideological or moral constraint, such as institutional censorship.” It also includes the right to express opinions about society and institutions, as well as any “doctrine, dogma or opinion.”</w:t>
      </w:r>
    </w:p>
    <w:p w14:paraId="1EA87314" w14:textId="77777777" w:rsidR="00990830" w:rsidRPr="00BE218C" w:rsidRDefault="00990830" w:rsidP="007846E5">
      <w:pPr>
        <w:pStyle w:val="ListParagraph"/>
        <w:spacing w:before="120" w:after="120"/>
        <w:ind w:left="567" w:hanging="567"/>
        <w:jc w:val="both"/>
        <w:rPr>
          <w:sz w:val="24"/>
          <w:szCs w:val="24"/>
        </w:rPr>
      </w:pPr>
    </w:p>
    <w:p w14:paraId="3793A62B" w14:textId="3EA88FD7" w:rsidR="00BE218C" w:rsidRPr="00BE218C" w:rsidRDefault="007B5494" w:rsidP="007846E5">
      <w:pPr>
        <w:pStyle w:val="ListParagraph"/>
        <w:numPr>
          <w:ilvl w:val="0"/>
          <w:numId w:val="35"/>
        </w:numPr>
        <w:spacing w:before="120" w:after="120"/>
        <w:ind w:left="567" w:hanging="567"/>
        <w:jc w:val="both"/>
        <w:rPr>
          <w:sz w:val="24"/>
          <w:szCs w:val="24"/>
        </w:rPr>
      </w:pPr>
      <w:r w:rsidRPr="00BE218C">
        <w:rPr>
          <w:sz w:val="24"/>
          <w:szCs w:val="24"/>
        </w:rPr>
        <w:t>In the rest of Canada, the strongest legal protections for academic freedom are contractual and are embedded in and enforced through collective bargaining agreements negotiated by faculty unions</w:t>
      </w:r>
      <w:r w:rsidR="00F76934" w:rsidRPr="00BE218C">
        <w:rPr>
          <w:sz w:val="24"/>
          <w:szCs w:val="24"/>
        </w:rPr>
        <w:t xml:space="preserve">. </w:t>
      </w:r>
      <w:r w:rsidR="00BE218C" w:rsidRPr="00BE218C">
        <w:rPr>
          <w:sz w:val="24"/>
          <w:szCs w:val="24"/>
        </w:rPr>
        <w:t xml:space="preserve">This </w:t>
      </w:r>
      <w:r w:rsidR="002548C1">
        <w:rPr>
          <w:sz w:val="24"/>
          <w:szCs w:val="24"/>
        </w:rPr>
        <w:t xml:space="preserve">legal framework </w:t>
      </w:r>
      <w:r w:rsidR="00BE218C" w:rsidRPr="00BE218C">
        <w:rPr>
          <w:sz w:val="24"/>
          <w:szCs w:val="24"/>
        </w:rPr>
        <w:t xml:space="preserve">has proven to provide </w:t>
      </w:r>
      <w:r w:rsidR="00262524">
        <w:rPr>
          <w:sz w:val="24"/>
          <w:szCs w:val="24"/>
        </w:rPr>
        <w:t>strong</w:t>
      </w:r>
      <w:r w:rsidR="00BE218C" w:rsidRPr="00BE218C">
        <w:rPr>
          <w:sz w:val="24"/>
          <w:szCs w:val="24"/>
        </w:rPr>
        <w:t xml:space="preserve"> protections for academic freedom because almost all university and college faculty in Canada are unionized and covered by legally binding collective </w:t>
      </w:r>
      <w:r w:rsidR="00F76934" w:rsidRPr="00BE218C">
        <w:rPr>
          <w:sz w:val="24"/>
          <w:szCs w:val="24"/>
        </w:rPr>
        <w:t>agreement</w:t>
      </w:r>
      <w:r w:rsidR="00315EA1">
        <w:rPr>
          <w:sz w:val="24"/>
          <w:szCs w:val="24"/>
        </w:rPr>
        <w:t>s</w:t>
      </w:r>
      <w:r w:rsidR="00BE218C" w:rsidRPr="00BE218C">
        <w:rPr>
          <w:sz w:val="24"/>
          <w:szCs w:val="24"/>
        </w:rPr>
        <w:t xml:space="preserve">. Most agreements define academic freedom consistent with the </w:t>
      </w:r>
      <w:r w:rsidR="00BE218C" w:rsidRPr="00315EA1">
        <w:rPr>
          <w:i/>
          <w:iCs/>
          <w:sz w:val="24"/>
          <w:szCs w:val="24"/>
        </w:rPr>
        <w:t xml:space="preserve">1997 UNESCO Recommendation Concerning the Status of Higher Education Teaching Personnel </w:t>
      </w:r>
      <w:r w:rsidR="00BE218C" w:rsidRPr="00BE218C">
        <w:rPr>
          <w:sz w:val="24"/>
          <w:szCs w:val="24"/>
        </w:rPr>
        <w:t xml:space="preserve">as right of academic staff, without restriction by prescribed doctrine, to: </w:t>
      </w:r>
    </w:p>
    <w:p w14:paraId="4B0C0911" w14:textId="77777777" w:rsidR="00BE218C" w:rsidRPr="00BE218C" w:rsidRDefault="00BE218C" w:rsidP="007846E5">
      <w:pPr>
        <w:numPr>
          <w:ilvl w:val="0"/>
          <w:numId w:val="36"/>
        </w:numPr>
        <w:spacing w:before="120" w:after="120"/>
        <w:ind w:left="1418" w:right="566" w:hanging="284"/>
        <w:jc w:val="both"/>
        <w:rPr>
          <w:sz w:val="24"/>
          <w:szCs w:val="24"/>
        </w:rPr>
      </w:pPr>
      <w:r w:rsidRPr="00BE218C">
        <w:rPr>
          <w:sz w:val="24"/>
          <w:szCs w:val="24"/>
        </w:rPr>
        <w:t>Freedom to teach and discuss.</w:t>
      </w:r>
    </w:p>
    <w:p w14:paraId="27C4B309" w14:textId="77777777" w:rsidR="00BE218C" w:rsidRPr="00BE218C" w:rsidRDefault="00BE218C" w:rsidP="007846E5">
      <w:pPr>
        <w:numPr>
          <w:ilvl w:val="0"/>
          <w:numId w:val="36"/>
        </w:numPr>
        <w:spacing w:before="120" w:after="120"/>
        <w:ind w:left="1418" w:right="566" w:hanging="284"/>
        <w:jc w:val="both"/>
        <w:rPr>
          <w:sz w:val="24"/>
          <w:szCs w:val="24"/>
        </w:rPr>
      </w:pPr>
      <w:r w:rsidRPr="00BE218C">
        <w:rPr>
          <w:sz w:val="24"/>
          <w:szCs w:val="24"/>
        </w:rPr>
        <w:t>Freedom to carry out research and disseminate and publish the results thereof, including the freedom to produce and perform creative work and to acquire, preserve, and provide access to documentary material in all formats.</w:t>
      </w:r>
    </w:p>
    <w:p w14:paraId="40151C4A" w14:textId="77777777" w:rsidR="00BE218C" w:rsidRPr="00BE218C" w:rsidRDefault="00BE218C" w:rsidP="007846E5">
      <w:pPr>
        <w:numPr>
          <w:ilvl w:val="0"/>
          <w:numId w:val="36"/>
        </w:numPr>
        <w:spacing w:before="120" w:after="120"/>
        <w:ind w:left="1418" w:right="566" w:hanging="284"/>
        <w:jc w:val="both"/>
        <w:rPr>
          <w:sz w:val="24"/>
          <w:szCs w:val="24"/>
        </w:rPr>
      </w:pPr>
      <w:r w:rsidRPr="00BE218C">
        <w:rPr>
          <w:sz w:val="24"/>
          <w:szCs w:val="24"/>
        </w:rPr>
        <w:t>Freedom to engage in service to the institution, to participate in its academic governance, and to express one’s opinion about the institution, its administration, and the system in which one works.</w:t>
      </w:r>
    </w:p>
    <w:p w14:paraId="04EB0952" w14:textId="77777777" w:rsidR="00BE218C" w:rsidRPr="00BE218C" w:rsidRDefault="00BE218C" w:rsidP="007846E5">
      <w:pPr>
        <w:numPr>
          <w:ilvl w:val="0"/>
          <w:numId w:val="36"/>
        </w:numPr>
        <w:spacing w:before="120" w:after="120"/>
        <w:ind w:left="1418" w:right="566" w:hanging="284"/>
        <w:jc w:val="both"/>
        <w:rPr>
          <w:sz w:val="24"/>
          <w:szCs w:val="24"/>
        </w:rPr>
      </w:pPr>
      <w:r w:rsidRPr="00BE218C">
        <w:rPr>
          <w:sz w:val="24"/>
          <w:szCs w:val="24"/>
        </w:rPr>
        <w:t>Freedom to exercise one’s rights as a citizen (restricted only by law), including the right to contribute to social change through free expression of opinion on matters of public interest.</w:t>
      </w:r>
    </w:p>
    <w:p w14:paraId="51C6B26C" w14:textId="1E17D384" w:rsidR="00BC1B95" w:rsidRPr="00BC1B95" w:rsidRDefault="00BC1B95" w:rsidP="00BC1B95">
      <w:pPr>
        <w:pStyle w:val="ListParagraph"/>
        <w:numPr>
          <w:ilvl w:val="0"/>
          <w:numId w:val="35"/>
        </w:numPr>
        <w:ind w:left="567" w:hanging="567"/>
        <w:rPr>
          <w:rFonts w:cstheme="minorHAnsi"/>
          <w:sz w:val="24"/>
          <w:szCs w:val="24"/>
        </w:rPr>
      </w:pPr>
      <w:r>
        <w:rPr>
          <w:rFonts w:cstheme="minorHAnsi"/>
          <w:sz w:val="24"/>
          <w:szCs w:val="24"/>
        </w:rPr>
        <w:t xml:space="preserve">Because academic freedom has limited statutory or constitutional recognition, </w:t>
      </w:r>
      <w:r w:rsidRPr="00BC1B95">
        <w:rPr>
          <w:rFonts w:cstheme="minorHAnsi"/>
          <w:sz w:val="24"/>
          <w:szCs w:val="24"/>
        </w:rPr>
        <w:t>Canadian courts have rarely addressed the issue</w:t>
      </w:r>
      <w:r>
        <w:rPr>
          <w:rFonts w:cstheme="minorHAnsi"/>
          <w:sz w:val="24"/>
          <w:szCs w:val="24"/>
        </w:rPr>
        <w:t xml:space="preserve">. However, </w:t>
      </w:r>
      <w:r w:rsidRPr="00BC1B95">
        <w:rPr>
          <w:rFonts w:cstheme="minorHAnsi"/>
          <w:sz w:val="24"/>
          <w:szCs w:val="24"/>
        </w:rPr>
        <w:t>when doing so</w:t>
      </w:r>
      <w:r>
        <w:rPr>
          <w:rFonts w:cstheme="minorHAnsi"/>
          <w:sz w:val="24"/>
          <w:szCs w:val="24"/>
        </w:rPr>
        <w:t xml:space="preserve"> they</w:t>
      </w:r>
      <w:r w:rsidRPr="00BC1B95">
        <w:rPr>
          <w:rFonts w:cstheme="minorHAnsi"/>
          <w:sz w:val="24"/>
          <w:szCs w:val="24"/>
        </w:rPr>
        <w:t xml:space="preserve"> have granted </w:t>
      </w:r>
      <w:r>
        <w:rPr>
          <w:rFonts w:cstheme="minorHAnsi"/>
          <w:sz w:val="24"/>
          <w:szCs w:val="24"/>
        </w:rPr>
        <w:t>academic freedom</w:t>
      </w:r>
      <w:r w:rsidRPr="00BC1B95">
        <w:rPr>
          <w:rFonts w:cstheme="minorHAnsi"/>
          <w:sz w:val="24"/>
          <w:szCs w:val="24"/>
        </w:rPr>
        <w:t xml:space="preserve"> a broad and liberal interpretation. In 1990, Mr. Justice La Forest wrote for the majority in </w:t>
      </w:r>
      <w:r w:rsidRPr="00BC1B95">
        <w:rPr>
          <w:rFonts w:cstheme="minorHAnsi"/>
          <w:i/>
          <w:sz w:val="24"/>
          <w:szCs w:val="24"/>
        </w:rPr>
        <w:t>McKinney v. University of Guelph</w:t>
      </w:r>
      <w:r w:rsidRPr="00BC1B95">
        <w:rPr>
          <w:rFonts w:cstheme="minorHAnsi"/>
          <w:sz w:val="24"/>
          <w:szCs w:val="24"/>
        </w:rPr>
        <w:t xml:space="preserve"> (a mandatory retirement case), in </w:t>
      </w:r>
      <w:r w:rsidRPr="00BC1B95">
        <w:rPr>
          <w:rFonts w:cstheme="minorHAnsi"/>
          <w:i/>
          <w:iCs/>
          <w:sz w:val="24"/>
          <w:szCs w:val="24"/>
        </w:rPr>
        <w:t>obiter dicta</w:t>
      </w:r>
      <w:r w:rsidRPr="00BC1B95">
        <w:rPr>
          <w:rFonts w:cstheme="minorHAnsi"/>
          <w:sz w:val="24"/>
          <w:szCs w:val="24"/>
        </w:rPr>
        <w:t>, that academic freedom is “an issue of pressing and substantial importance”</w:t>
      </w:r>
      <w:r w:rsidRPr="00BC1B95">
        <w:rPr>
          <w:rStyle w:val="EndnoteReference"/>
          <w:rFonts w:cstheme="minorHAnsi"/>
          <w:sz w:val="24"/>
          <w:szCs w:val="24"/>
        </w:rPr>
        <w:endnoteReference w:id="1"/>
      </w:r>
      <w:r w:rsidRPr="00BC1B95">
        <w:rPr>
          <w:rFonts w:cstheme="minorHAnsi"/>
          <w:sz w:val="24"/>
          <w:szCs w:val="24"/>
        </w:rPr>
        <w:t xml:space="preserve"> as it is necessary to allow “free and fearless search for knowledge and the propagation of ideas”</w:t>
      </w:r>
      <w:r w:rsidRPr="00BC1B95">
        <w:rPr>
          <w:rStyle w:val="EndnoteReference"/>
          <w:rFonts w:cstheme="minorHAnsi"/>
          <w:sz w:val="24"/>
          <w:szCs w:val="24"/>
        </w:rPr>
        <w:endnoteReference w:id="2"/>
      </w:r>
      <w:r w:rsidRPr="00BC1B95">
        <w:rPr>
          <w:rFonts w:cstheme="minorHAnsi"/>
          <w:sz w:val="24"/>
          <w:szCs w:val="24"/>
        </w:rPr>
        <w:t xml:space="preserve"> that is “essential to our continuance as a lively democracy.”</w:t>
      </w:r>
      <w:r w:rsidRPr="00BC1B95">
        <w:rPr>
          <w:rStyle w:val="EndnoteReference"/>
          <w:rFonts w:cstheme="minorHAnsi"/>
          <w:sz w:val="24"/>
          <w:szCs w:val="24"/>
        </w:rPr>
        <w:endnoteReference w:id="3"/>
      </w:r>
      <w:r w:rsidRPr="00BC1B95">
        <w:rPr>
          <w:rFonts w:cstheme="minorHAnsi"/>
          <w:sz w:val="24"/>
          <w:szCs w:val="24"/>
        </w:rPr>
        <w:t xml:space="preserve"> </w:t>
      </w:r>
      <w:r>
        <w:rPr>
          <w:rFonts w:cstheme="minorHAnsi"/>
          <w:sz w:val="24"/>
          <w:szCs w:val="24"/>
        </w:rPr>
        <w:t xml:space="preserve"> </w:t>
      </w:r>
      <w:r w:rsidRPr="00BC1B95">
        <w:rPr>
          <w:rFonts w:cstheme="minorHAnsi"/>
          <w:sz w:val="24"/>
          <w:szCs w:val="24"/>
          <w:shd w:val="clear" w:color="auto" w:fill="FFFFFF"/>
        </w:rPr>
        <w:t xml:space="preserve">In </w:t>
      </w:r>
      <w:r w:rsidRPr="00BC1B95">
        <w:rPr>
          <w:rFonts w:cstheme="minorHAnsi"/>
          <w:i/>
          <w:iCs/>
          <w:sz w:val="24"/>
          <w:szCs w:val="24"/>
          <w:shd w:val="clear" w:color="auto" w:fill="FFFFFF"/>
        </w:rPr>
        <w:t xml:space="preserve">Maughan v. University of British </w:t>
      </w:r>
      <w:r w:rsidRPr="00BC1B95">
        <w:rPr>
          <w:rFonts w:cstheme="minorHAnsi"/>
          <w:i/>
          <w:iCs/>
          <w:sz w:val="24"/>
          <w:szCs w:val="24"/>
          <w:shd w:val="clear" w:color="auto" w:fill="FFFFFF"/>
        </w:rPr>
        <w:lastRenderedPageBreak/>
        <w:t>Columbia,</w:t>
      </w:r>
      <w:r w:rsidRPr="00BC1B95">
        <w:rPr>
          <w:rFonts w:cstheme="minorHAnsi"/>
          <w:sz w:val="24"/>
          <w:szCs w:val="24"/>
          <w:shd w:val="clear" w:color="auto" w:fill="FFFFFF"/>
        </w:rPr>
        <w:t xml:space="preserve"> the court found that academic freedom, understood as the “freedom to express and explore ideas to advance both knowledge and understanding,”</w:t>
      </w:r>
      <w:r w:rsidRPr="00BC1B95">
        <w:rPr>
          <w:rStyle w:val="EndnoteReference"/>
          <w:rFonts w:cstheme="minorHAnsi"/>
          <w:sz w:val="24"/>
          <w:szCs w:val="24"/>
          <w:shd w:val="clear" w:color="auto" w:fill="FFFFFF"/>
        </w:rPr>
        <w:endnoteReference w:id="4"/>
      </w:r>
      <w:r w:rsidRPr="00BC1B95">
        <w:rPr>
          <w:rFonts w:cstheme="minorHAnsi"/>
          <w:sz w:val="24"/>
          <w:szCs w:val="24"/>
          <w:shd w:val="clear" w:color="auto" w:fill="FFFFFF"/>
        </w:rPr>
        <w:t xml:space="preserve"> is akin to a </w:t>
      </w:r>
      <w:r w:rsidRPr="00BC1B95">
        <w:rPr>
          <w:rFonts w:cstheme="minorHAnsi"/>
          <w:i/>
          <w:iCs/>
          <w:sz w:val="24"/>
          <w:szCs w:val="24"/>
          <w:shd w:val="clear" w:color="auto" w:fill="FFFFFF"/>
        </w:rPr>
        <w:t>Charter</w:t>
      </w:r>
      <w:r w:rsidR="00131839">
        <w:rPr>
          <w:rFonts w:cstheme="minorHAnsi"/>
          <w:i/>
          <w:iCs/>
          <w:sz w:val="24"/>
          <w:szCs w:val="24"/>
          <w:shd w:val="clear" w:color="auto" w:fill="FFFFFF"/>
        </w:rPr>
        <w:t xml:space="preserve"> of Human Rights</w:t>
      </w:r>
      <w:r w:rsidRPr="00BC1B95">
        <w:rPr>
          <w:rFonts w:cstheme="minorHAnsi"/>
          <w:sz w:val="24"/>
          <w:szCs w:val="24"/>
          <w:shd w:val="clear" w:color="auto" w:fill="FFFFFF"/>
        </w:rPr>
        <w:t xml:space="preserve"> value insofar as it is “a critically important value in a free and democratic society.”</w:t>
      </w:r>
      <w:r w:rsidRPr="00BC1B95">
        <w:rPr>
          <w:rStyle w:val="EndnoteReference"/>
          <w:rFonts w:cstheme="minorHAnsi"/>
          <w:sz w:val="24"/>
          <w:szCs w:val="24"/>
          <w:shd w:val="clear" w:color="auto" w:fill="FFFFFF"/>
        </w:rPr>
        <w:endnoteReference w:id="5"/>
      </w:r>
      <w:r w:rsidRPr="00BC1B95">
        <w:rPr>
          <w:rFonts w:cstheme="minorHAnsi"/>
          <w:sz w:val="24"/>
          <w:szCs w:val="24"/>
          <w:shd w:val="clear" w:color="auto" w:fill="FFFFFF"/>
        </w:rPr>
        <w:t xml:space="preserve"> In </w:t>
      </w:r>
      <w:r w:rsidRPr="00BC1B95">
        <w:rPr>
          <w:i/>
          <w:iCs/>
          <w:sz w:val="24"/>
          <w:szCs w:val="24"/>
        </w:rPr>
        <w:t>Pridgen v. University of Calgary</w:t>
      </w:r>
      <w:r w:rsidRPr="00BC1B95">
        <w:rPr>
          <w:sz w:val="24"/>
          <w:szCs w:val="24"/>
        </w:rPr>
        <w:t xml:space="preserve">, Madam Justice </w:t>
      </w:r>
      <w:proofErr w:type="spellStart"/>
      <w:r w:rsidRPr="00BC1B95">
        <w:rPr>
          <w:sz w:val="24"/>
          <w:szCs w:val="24"/>
        </w:rPr>
        <w:t>Paperny</w:t>
      </w:r>
      <w:proofErr w:type="spellEnd"/>
      <w:r w:rsidRPr="00BC1B95">
        <w:rPr>
          <w:sz w:val="24"/>
          <w:szCs w:val="24"/>
        </w:rPr>
        <w:t xml:space="preserve"> wrote: “In my view, </w:t>
      </w:r>
      <w:bookmarkStart w:id="1" w:name="_Hlk62654792"/>
      <w:r w:rsidRPr="00BC1B95">
        <w:rPr>
          <w:sz w:val="24"/>
          <w:szCs w:val="24"/>
        </w:rPr>
        <w:t>there is no legitimate conceptual conflict between academic freedom and freedom of expression</w:t>
      </w:r>
      <w:bookmarkEnd w:id="1"/>
      <w:r w:rsidRPr="00BC1B95">
        <w:rPr>
          <w:sz w:val="24"/>
          <w:szCs w:val="24"/>
        </w:rPr>
        <w:t>. Academic freedom and the guarantee of freedom of expression contained in the Charter are handmaidens to the same goals; the meaningful exchange of ideas, the promotion of learning, and the pursuit of knowledge.”</w:t>
      </w:r>
      <w:r w:rsidRPr="00BC1B95">
        <w:rPr>
          <w:rStyle w:val="EndnoteReference"/>
          <w:sz w:val="24"/>
          <w:szCs w:val="24"/>
        </w:rPr>
        <w:endnoteReference w:id="6"/>
      </w:r>
      <w:r w:rsidRPr="00BC1B95">
        <w:rPr>
          <w:sz w:val="24"/>
          <w:szCs w:val="24"/>
        </w:rPr>
        <w:t xml:space="preserve"> In </w:t>
      </w:r>
      <w:r w:rsidRPr="00BC1B95">
        <w:rPr>
          <w:i/>
          <w:iCs/>
          <w:sz w:val="24"/>
          <w:szCs w:val="24"/>
        </w:rPr>
        <w:t>Parent c. R</w:t>
      </w:r>
      <w:r w:rsidRPr="00BC1B95">
        <w:rPr>
          <w:sz w:val="24"/>
          <w:szCs w:val="24"/>
        </w:rPr>
        <w:t>, the court stated that “academic freedom and the importance of institutions of higher learning and academic research are key components of a democracy that values freedom of thought and expression.”</w:t>
      </w:r>
      <w:r w:rsidRPr="00BC1B95">
        <w:rPr>
          <w:rStyle w:val="EndnoteReference"/>
          <w:sz w:val="24"/>
          <w:szCs w:val="24"/>
        </w:rPr>
        <w:endnoteReference w:id="7"/>
      </w:r>
    </w:p>
    <w:p w14:paraId="611753AD" w14:textId="77777777" w:rsidR="00BC1B95" w:rsidRDefault="00BC1B95" w:rsidP="00BC1B95">
      <w:pPr>
        <w:pStyle w:val="ListParagraph"/>
        <w:spacing w:before="120" w:after="120"/>
        <w:jc w:val="both"/>
        <w:rPr>
          <w:sz w:val="24"/>
          <w:szCs w:val="24"/>
        </w:rPr>
      </w:pPr>
    </w:p>
    <w:p w14:paraId="46443355" w14:textId="3A641D5C" w:rsidR="007B5494" w:rsidRPr="00BE218C" w:rsidRDefault="00BC1B95" w:rsidP="007846E5">
      <w:pPr>
        <w:pStyle w:val="ListParagraph"/>
        <w:numPr>
          <w:ilvl w:val="0"/>
          <w:numId w:val="35"/>
        </w:numPr>
        <w:spacing w:before="120" w:after="120"/>
        <w:ind w:left="567" w:hanging="567"/>
        <w:jc w:val="both"/>
        <w:rPr>
          <w:sz w:val="24"/>
          <w:szCs w:val="24"/>
        </w:rPr>
      </w:pPr>
      <w:r>
        <w:rPr>
          <w:sz w:val="24"/>
          <w:szCs w:val="24"/>
        </w:rPr>
        <w:t>The most</w:t>
      </w:r>
      <w:r w:rsidR="007B5494" w:rsidRPr="00BE218C">
        <w:rPr>
          <w:sz w:val="24"/>
          <w:szCs w:val="24"/>
        </w:rPr>
        <w:t xml:space="preserve"> </w:t>
      </w:r>
      <w:r w:rsidR="00131839">
        <w:rPr>
          <w:sz w:val="24"/>
          <w:szCs w:val="24"/>
        </w:rPr>
        <w:t>substantive</w:t>
      </w:r>
      <w:r w:rsidR="007B5494" w:rsidRPr="00BE218C">
        <w:rPr>
          <w:sz w:val="24"/>
          <w:szCs w:val="24"/>
        </w:rPr>
        <w:t xml:space="preserve"> </w:t>
      </w:r>
      <w:r>
        <w:rPr>
          <w:sz w:val="24"/>
          <w:szCs w:val="24"/>
        </w:rPr>
        <w:t xml:space="preserve">legal decisions about academic freedom have been made by labour </w:t>
      </w:r>
      <w:r w:rsidR="007B5494" w:rsidRPr="00BE218C">
        <w:rPr>
          <w:sz w:val="24"/>
          <w:szCs w:val="24"/>
        </w:rPr>
        <w:t xml:space="preserve">arbitrators </w:t>
      </w:r>
      <w:r w:rsidR="00315EA1">
        <w:rPr>
          <w:sz w:val="24"/>
          <w:szCs w:val="24"/>
        </w:rPr>
        <w:t>in Canada</w:t>
      </w:r>
      <w:r>
        <w:rPr>
          <w:sz w:val="24"/>
          <w:szCs w:val="24"/>
        </w:rPr>
        <w:t xml:space="preserve">. In these cases, it has </w:t>
      </w:r>
      <w:r w:rsidR="00262524">
        <w:rPr>
          <w:sz w:val="24"/>
          <w:szCs w:val="24"/>
        </w:rPr>
        <w:t xml:space="preserve">been </w:t>
      </w:r>
      <w:r w:rsidR="007B5494" w:rsidRPr="00BE218C">
        <w:rPr>
          <w:sz w:val="24"/>
          <w:szCs w:val="24"/>
        </w:rPr>
        <w:t xml:space="preserve">determined that academic freedom serves an essential role in a democratic society and requires a broad interpretation. Arbitrator Sims, in </w:t>
      </w:r>
      <w:r w:rsidR="007B5494" w:rsidRPr="00BE218C">
        <w:rPr>
          <w:i/>
          <w:iCs/>
          <w:sz w:val="24"/>
          <w:szCs w:val="24"/>
        </w:rPr>
        <w:t>University of Saskatchewan</w:t>
      </w:r>
      <w:r w:rsidR="007B5494" w:rsidRPr="00BE218C">
        <w:rPr>
          <w:sz w:val="24"/>
          <w:szCs w:val="24"/>
        </w:rPr>
        <w:t>, held that: “…academic freedom and its protections are concepts to be interpreted liberally in ways that allow them to achieve their purpose.”</w:t>
      </w:r>
      <w:r w:rsidR="007B5494" w:rsidRPr="007B5494">
        <w:rPr>
          <w:vertAlign w:val="superscript"/>
        </w:rPr>
        <w:endnoteReference w:id="8"/>
      </w:r>
      <w:r w:rsidR="007B5494" w:rsidRPr="00BE218C">
        <w:rPr>
          <w:sz w:val="24"/>
          <w:szCs w:val="24"/>
        </w:rPr>
        <w:t xml:space="preserve"> In </w:t>
      </w:r>
      <w:r w:rsidR="007B5494" w:rsidRPr="00BE218C">
        <w:rPr>
          <w:i/>
          <w:iCs/>
          <w:sz w:val="24"/>
          <w:szCs w:val="24"/>
        </w:rPr>
        <w:t>University of Manitoba Faculty Association</w:t>
      </w:r>
      <w:r w:rsidR="007B5494" w:rsidRPr="00BE218C">
        <w:rPr>
          <w:sz w:val="24"/>
          <w:szCs w:val="24"/>
        </w:rPr>
        <w:t>: “The principle of academic freedom is of fundamental importance not only to the university and professors, but to the whole community.”</w:t>
      </w:r>
      <w:r w:rsidR="007B5494" w:rsidRPr="007B5494">
        <w:rPr>
          <w:vertAlign w:val="superscript"/>
        </w:rPr>
        <w:endnoteReference w:id="9"/>
      </w:r>
      <w:r w:rsidR="007B5494" w:rsidRPr="00BE218C">
        <w:rPr>
          <w:sz w:val="24"/>
          <w:szCs w:val="24"/>
        </w:rPr>
        <w:t xml:space="preserve"> Arbitrator Goodfellow, in </w:t>
      </w:r>
      <w:r w:rsidR="007B5494" w:rsidRPr="00BE218C">
        <w:rPr>
          <w:i/>
          <w:iCs/>
          <w:sz w:val="24"/>
          <w:szCs w:val="24"/>
        </w:rPr>
        <w:t>York University</w:t>
      </w:r>
      <w:r w:rsidR="007B5494" w:rsidRPr="00BE218C">
        <w:rPr>
          <w:sz w:val="24"/>
          <w:szCs w:val="24"/>
        </w:rPr>
        <w:t xml:space="preserve">, wrote: </w:t>
      </w:r>
    </w:p>
    <w:p w14:paraId="41720E22" w14:textId="77777777" w:rsidR="007B5494" w:rsidRPr="007B5494" w:rsidRDefault="007B5494" w:rsidP="00131839">
      <w:pPr>
        <w:spacing w:before="120" w:after="120"/>
        <w:ind w:left="1134" w:right="849"/>
        <w:jc w:val="both"/>
        <w:rPr>
          <w:sz w:val="24"/>
          <w:szCs w:val="24"/>
        </w:rPr>
      </w:pPr>
      <w:r w:rsidRPr="007B5494">
        <w:rPr>
          <w:sz w:val="24"/>
          <w:szCs w:val="24"/>
        </w:rPr>
        <w:t xml:space="preserve">There are few concepts or principles more important to the healthy and vibrant functioning of a university than academic freedom. The academy is and must be a bulwark against conventional thought and received opinion not just for the benefit of its members but for society at large. It is through free thought, investigation, and the development and dissemination of ideas that society </w:t>
      </w:r>
      <w:proofErr w:type="gramStart"/>
      <w:r w:rsidRPr="007B5494">
        <w:rPr>
          <w:sz w:val="24"/>
          <w:szCs w:val="24"/>
        </w:rPr>
        <w:t>advances</w:t>
      </w:r>
      <w:proofErr w:type="gramEnd"/>
      <w:r w:rsidRPr="007B5494">
        <w:rPr>
          <w:sz w:val="24"/>
          <w:szCs w:val="24"/>
        </w:rPr>
        <w:t xml:space="preserve"> and progress is made. Today’s accepted practices and beliefs become tomorrow’s discredited notions and out-</w:t>
      </w:r>
      <w:proofErr w:type="spellStart"/>
      <w:r w:rsidRPr="007B5494">
        <w:rPr>
          <w:sz w:val="24"/>
          <w:szCs w:val="24"/>
        </w:rPr>
        <w:t>moded</w:t>
      </w:r>
      <w:proofErr w:type="spellEnd"/>
      <w:r w:rsidRPr="007B5494">
        <w:rPr>
          <w:sz w:val="24"/>
          <w:szCs w:val="24"/>
        </w:rPr>
        <w:t xml:space="preserve"> ideas when exposed to the freedom of public debate and scientific scrutiny. The university has an essential role to play in this process – a role that can only be fulfilled if academic freedom is broadly defined and jealously guarded.</w:t>
      </w:r>
      <w:r w:rsidRPr="007B5494">
        <w:rPr>
          <w:sz w:val="24"/>
          <w:szCs w:val="24"/>
          <w:vertAlign w:val="superscript"/>
        </w:rPr>
        <w:endnoteReference w:id="10"/>
      </w:r>
    </w:p>
    <w:p w14:paraId="170CDB20" w14:textId="29E311EC" w:rsidR="00BE218C" w:rsidRDefault="00BE218C" w:rsidP="007846E5">
      <w:pPr>
        <w:pStyle w:val="ListParagraph"/>
        <w:numPr>
          <w:ilvl w:val="0"/>
          <w:numId w:val="35"/>
        </w:numPr>
        <w:spacing w:before="120" w:after="120"/>
        <w:ind w:left="567" w:hanging="567"/>
        <w:jc w:val="both"/>
        <w:rPr>
          <w:sz w:val="24"/>
          <w:szCs w:val="24"/>
          <w:lang w:val="en-US"/>
        </w:rPr>
      </w:pPr>
      <w:r w:rsidRPr="00BE218C">
        <w:rPr>
          <w:sz w:val="24"/>
          <w:szCs w:val="24"/>
          <w:lang w:val="en-US"/>
        </w:rPr>
        <w:t>Academic freedom</w:t>
      </w:r>
      <w:r w:rsidR="00315EA1">
        <w:rPr>
          <w:sz w:val="24"/>
          <w:szCs w:val="24"/>
          <w:lang w:val="en-US"/>
        </w:rPr>
        <w:t>, like all expressive freedoms,</w:t>
      </w:r>
      <w:r w:rsidRPr="00BE218C">
        <w:rPr>
          <w:sz w:val="24"/>
          <w:szCs w:val="24"/>
          <w:lang w:val="en-US"/>
        </w:rPr>
        <w:t xml:space="preserve"> has limits.  It is not a license to break the law, such as engaging in harassment or discrimination, nor to disregard one’s professional duties and responsibilities. It is not a defense against academic dishonesty, libel, or breach of ethical standards. </w:t>
      </w:r>
    </w:p>
    <w:p w14:paraId="26235A40" w14:textId="77777777" w:rsidR="00990830" w:rsidRPr="00BE218C" w:rsidRDefault="00990830" w:rsidP="007846E5">
      <w:pPr>
        <w:pStyle w:val="ListParagraph"/>
        <w:spacing w:before="120" w:after="120"/>
        <w:ind w:left="567" w:hanging="567"/>
        <w:jc w:val="both"/>
        <w:rPr>
          <w:sz w:val="24"/>
          <w:szCs w:val="24"/>
          <w:lang w:val="en-US"/>
        </w:rPr>
      </w:pPr>
    </w:p>
    <w:p w14:paraId="7C6D8129" w14:textId="6F7957F4" w:rsidR="00990830" w:rsidRPr="00990830" w:rsidRDefault="00131839" w:rsidP="007846E5">
      <w:pPr>
        <w:pStyle w:val="ListParagraph"/>
        <w:numPr>
          <w:ilvl w:val="0"/>
          <w:numId w:val="35"/>
        </w:numPr>
        <w:spacing w:before="120" w:after="120"/>
        <w:ind w:left="567" w:hanging="567"/>
        <w:jc w:val="both"/>
        <w:rPr>
          <w:sz w:val="24"/>
          <w:szCs w:val="24"/>
          <w:lang w:val="en-US"/>
        </w:rPr>
      </w:pPr>
      <w:r>
        <w:rPr>
          <w:sz w:val="24"/>
          <w:szCs w:val="24"/>
          <w:lang w:val="en-US"/>
        </w:rPr>
        <w:t>T</w:t>
      </w:r>
      <w:r w:rsidR="00BE218C" w:rsidRPr="00990830">
        <w:rPr>
          <w:sz w:val="24"/>
          <w:szCs w:val="24"/>
          <w:lang w:val="en-US"/>
        </w:rPr>
        <w:t xml:space="preserve">hese legal and professional limits do not preclude vigorous debate or sharply negative criticism. Academic staff need not be gentle, nice, or diplomatic in their scholarly activities and expression, so long as they do not violate the law or their professional obligations. </w:t>
      </w:r>
    </w:p>
    <w:p w14:paraId="778D2265" w14:textId="77777777" w:rsidR="00990830" w:rsidRDefault="00990830" w:rsidP="007846E5">
      <w:pPr>
        <w:pStyle w:val="ListParagraph"/>
        <w:spacing w:before="120" w:after="120"/>
        <w:ind w:left="567" w:hanging="567"/>
        <w:jc w:val="both"/>
        <w:rPr>
          <w:sz w:val="24"/>
          <w:szCs w:val="24"/>
          <w:lang w:val="en-US"/>
        </w:rPr>
      </w:pPr>
    </w:p>
    <w:p w14:paraId="0711EB7B" w14:textId="7B400662" w:rsidR="00990830" w:rsidRPr="00990830" w:rsidRDefault="00315EA1" w:rsidP="007846E5">
      <w:pPr>
        <w:pStyle w:val="ListParagraph"/>
        <w:numPr>
          <w:ilvl w:val="0"/>
          <w:numId w:val="35"/>
        </w:numPr>
        <w:spacing w:before="120" w:after="120"/>
        <w:ind w:left="567" w:hanging="567"/>
        <w:jc w:val="both"/>
        <w:rPr>
          <w:sz w:val="24"/>
          <w:szCs w:val="24"/>
          <w:lang w:val="en-US"/>
        </w:rPr>
      </w:pPr>
      <w:r>
        <w:rPr>
          <w:sz w:val="24"/>
          <w:szCs w:val="24"/>
          <w:lang w:val="en-US"/>
        </w:rPr>
        <w:t>In Canada, a</w:t>
      </w:r>
      <w:r w:rsidR="00BE218C" w:rsidRPr="00990830">
        <w:rPr>
          <w:sz w:val="24"/>
          <w:szCs w:val="24"/>
          <w:lang w:val="en-US"/>
        </w:rPr>
        <w:t xml:space="preserve">cademic freedom is generally considered to be a professional right </w:t>
      </w:r>
      <w:r w:rsidR="00454EC3">
        <w:rPr>
          <w:sz w:val="24"/>
          <w:szCs w:val="24"/>
          <w:lang w:val="en-US"/>
        </w:rPr>
        <w:t>limited to</w:t>
      </w:r>
      <w:r w:rsidR="00BE218C" w:rsidRPr="00990830">
        <w:rPr>
          <w:sz w:val="24"/>
          <w:szCs w:val="24"/>
          <w:lang w:val="en-US"/>
        </w:rPr>
        <w:t xml:space="preserve"> </w:t>
      </w:r>
      <w:r w:rsidR="00990830" w:rsidRPr="00990830">
        <w:rPr>
          <w:sz w:val="24"/>
          <w:szCs w:val="24"/>
          <w:lang w:val="en-US"/>
        </w:rPr>
        <w:t>university and college academic staff</w:t>
      </w:r>
      <w:r>
        <w:rPr>
          <w:sz w:val="24"/>
          <w:szCs w:val="24"/>
          <w:lang w:val="en-US"/>
        </w:rPr>
        <w:t>. It</w:t>
      </w:r>
      <w:r w:rsidR="00990830" w:rsidRPr="00990830">
        <w:rPr>
          <w:sz w:val="24"/>
          <w:szCs w:val="24"/>
          <w:lang w:val="en-US"/>
        </w:rPr>
        <w:t xml:space="preserve"> </w:t>
      </w:r>
      <w:r w:rsidR="00990830" w:rsidRPr="00990830">
        <w:rPr>
          <w:sz w:val="24"/>
          <w:szCs w:val="24"/>
        </w:rPr>
        <w:t xml:space="preserve">ensures that in their teaching, research, scholarship, publication, participation in the affairs of the institution, and exercise of their broader rights as citizens, academics are not curtailed </w:t>
      </w:r>
      <w:r w:rsidR="00BB3F81">
        <w:rPr>
          <w:sz w:val="24"/>
          <w:szCs w:val="24"/>
        </w:rPr>
        <w:t xml:space="preserve">or censored </w:t>
      </w:r>
      <w:r w:rsidR="00990830" w:rsidRPr="00990830">
        <w:rPr>
          <w:sz w:val="24"/>
          <w:szCs w:val="24"/>
        </w:rPr>
        <w:t xml:space="preserve">by the administration, by colleagues, or by outside bodies or individuals. </w:t>
      </w:r>
    </w:p>
    <w:p w14:paraId="094BE9AC" w14:textId="77777777" w:rsidR="00990830" w:rsidRPr="00990830" w:rsidRDefault="00990830" w:rsidP="007846E5">
      <w:pPr>
        <w:pStyle w:val="ListParagraph"/>
        <w:ind w:left="567" w:hanging="567"/>
        <w:rPr>
          <w:sz w:val="24"/>
          <w:szCs w:val="24"/>
          <w:lang w:val="en-US"/>
        </w:rPr>
      </w:pPr>
    </w:p>
    <w:p w14:paraId="46B2C080" w14:textId="5CB10BE7" w:rsidR="00262524" w:rsidRDefault="00990830" w:rsidP="00262524">
      <w:pPr>
        <w:pStyle w:val="ListParagraph"/>
        <w:numPr>
          <w:ilvl w:val="0"/>
          <w:numId w:val="35"/>
        </w:numPr>
        <w:spacing w:before="120" w:after="120"/>
        <w:ind w:left="567" w:hanging="567"/>
        <w:jc w:val="both"/>
        <w:rPr>
          <w:sz w:val="24"/>
          <w:szCs w:val="24"/>
          <w:lang w:val="en-US"/>
        </w:rPr>
      </w:pPr>
      <w:r>
        <w:rPr>
          <w:sz w:val="24"/>
          <w:szCs w:val="24"/>
          <w:lang w:val="en-US"/>
        </w:rPr>
        <w:lastRenderedPageBreak/>
        <w:t>The main challenges to academic freedom in Canada include the erosion of tenure, the procedural protection for academic freedom</w:t>
      </w:r>
      <w:r w:rsidR="00454EC3">
        <w:rPr>
          <w:sz w:val="24"/>
          <w:szCs w:val="24"/>
          <w:lang w:val="en-US"/>
        </w:rPr>
        <w:t>.</w:t>
      </w:r>
      <w:r w:rsidR="00BB3F81" w:rsidRPr="00BB3F81">
        <w:rPr>
          <w:sz w:val="24"/>
          <w:szCs w:val="24"/>
          <w:lang w:val="en-US"/>
        </w:rPr>
        <w:t xml:space="preserve"> </w:t>
      </w:r>
      <w:r w:rsidR="00262524" w:rsidRPr="00262524">
        <w:rPr>
          <w:sz w:val="24"/>
          <w:szCs w:val="24"/>
          <w:lang w:val="en-US"/>
        </w:rPr>
        <w:t xml:space="preserve">Universities and colleges in recent decades have increasingly employed academics on part-time and fixed-term teaching contracts. It is estimated that about one-third to one-half of academic staff in Canada today are on short-term and precarious contracts. </w:t>
      </w:r>
    </w:p>
    <w:p w14:paraId="61362588" w14:textId="77777777" w:rsidR="00262524" w:rsidRPr="00262524" w:rsidRDefault="00262524" w:rsidP="00262524">
      <w:pPr>
        <w:pStyle w:val="ListParagraph"/>
        <w:rPr>
          <w:sz w:val="24"/>
          <w:szCs w:val="24"/>
          <w:lang w:val="en-US"/>
        </w:rPr>
      </w:pPr>
    </w:p>
    <w:p w14:paraId="547AAEFD" w14:textId="715E60C1" w:rsidR="00262524" w:rsidRPr="00262524" w:rsidRDefault="00262524" w:rsidP="00EA6564">
      <w:pPr>
        <w:pStyle w:val="ListParagraph"/>
        <w:numPr>
          <w:ilvl w:val="0"/>
          <w:numId w:val="35"/>
        </w:numPr>
        <w:spacing w:before="120" w:after="120"/>
        <w:ind w:left="567" w:hanging="567"/>
        <w:jc w:val="both"/>
        <w:rPr>
          <w:sz w:val="24"/>
          <w:szCs w:val="24"/>
          <w:lang w:val="en-US"/>
        </w:rPr>
      </w:pPr>
      <w:r w:rsidRPr="00262524">
        <w:rPr>
          <w:sz w:val="24"/>
          <w:szCs w:val="24"/>
          <w:lang w:val="en-US"/>
        </w:rPr>
        <w:t>This shift in the status of employment has significant implications for academic freedom. The procedural protection for academic freedom traditionally has been the tenure system.  Tenure provides that an academic, following a lengthy and rigorous probationary period, can only be dismissed for just cause, such as bona fide financial exigency or grave misconduct. Tenure is intended to safeguard academic freedom by ensuring that academics cannot lose their positions because of their speech, publications, or research findings even when their work risks offending powerful interests, including</w:t>
      </w:r>
      <w:r w:rsidR="00131839">
        <w:rPr>
          <w:sz w:val="24"/>
          <w:szCs w:val="24"/>
          <w:lang w:val="en-US"/>
        </w:rPr>
        <w:t xml:space="preserve"> powerful donors</w:t>
      </w:r>
      <w:r w:rsidRPr="00262524">
        <w:rPr>
          <w:sz w:val="24"/>
          <w:szCs w:val="24"/>
          <w:lang w:val="en-US"/>
        </w:rPr>
        <w:t xml:space="preserve"> or government</w:t>
      </w:r>
      <w:r w:rsidR="00131839">
        <w:rPr>
          <w:sz w:val="24"/>
          <w:szCs w:val="24"/>
          <w:lang w:val="en-US"/>
        </w:rPr>
        <w:t>s</w:t>
      </w:r>
      <w:r w:rsidRPr="00262524">
        <w:rPr>
          <w:sz w:val="24"/>
          <w:szCs w:val="24"/>
          <w:lang w:val="en-US"/>
        </w:rPr>
        <w:t>.</w:t>
      </w:r>
    </w:p>
    <w:p w14:paraId="3C88503B" w14:textId="77777777" w:rsidR="00262524" w:rsidRPr="00262524" w:rsidRDefault="00262524" w:rsidP="00262524">
      <w:pPr>
        <w:pStyle w:val="ListParagraph"/>
        <w:spacing w:before="120" w:after="120"/>
        <w:jc w:val="both"/>
        <w:rPr>
          <w:sz w:val="24"/>
          <w:szCs w:val="24"/>
          <w:lang w:val="en-US"/>
        </w:rPr>
      </w:pPr>
    </w:p>
    <w:p w14:paraId="68D4A7C8" w14:textId="6E50C271" w:rsidR="00262524" w:rsidRDefault="00262524" w:rsidP="00262524">
      <w:pPr>
        <w:pStyle w:val="ListParagraph"/>
        <w:numPr>
          <w:ilvl w:val="0"/>
          <w:numId w:val="35"/>
        </w:numPr>
        <w:spacing w:before="120" w:after="120"/>
        <w:ind w:left="567" w:hanging="567"/>
        <w:jc w:val="both"/>
        <w:rPr>
          <w:sz w:val="24"/>
          <w:szCs w:val="24"/>
          <w:lang w:val="en-US"/>
        </w:rPr>
      </w:pPr>
      <w:r w:rsidRPr="00262524">
        <w:rPr>
          <w:sz w:val="24"/>
          <w:szCs w:val="24"/>
          <w:lang w:val="en-US"/>
        </w:rPr>
        <w:t>Today, the more universities and colleges use non-tenured instructors the more academics there are who lack the procedural protection of tenure. Contract academic staff who pursue controversial topics that offend powerful interests need not be fired outright. Rather, they may find that their contracts are simply not renewed. Stronger procedural protections and job security provisions are needed for contract academic staff so that they fully exercise their academic freedom without fear of reprisal.</w:t>
      </w:r>
    </w:p>
    <w:p w14:paraId="44821163" w14:textId="77777777" w:rsidR="00990830" w:rsidRPr="00990830" w:rsidRDefault="00990830" w:rsidP="00F80E97">
      <w:pPr>
        <w:pStyle w:val="ListParagraph"/>
        <w:ind w:left="284" w:hanging="284"/>
        <w:rPr>
          <w:sz w:val="24"/>
          <w:szCs w:val="24"/>
          <w:lang w:val="en-US"/>
        </w:rPr>
      </w:pPr>
    </w:p>
    <w:p w14:paraId="6F7A5E57" w14:textId="7FC5BE6D" w:rsidR="00990830" w:rsidRDefault="00990830" w:rsidP="007846E5">
      <w:pPr>
        <w:pStyle w:val="ListParagraph"/>
        <w:numPr>
          <w:ilvl w:val="0"/>
          <w:numId w:val="35"/>
        </w:numPr>
        <w:spacing w:before="120" w:after="120"/>
        <w:ind w:left="567" w:hanging="567"/>
        <w:jc w:val="both"/>
        <w:rPr>
          <w:sz w:val="24"/>
          <w:szCs w:val="24"/>
          <w:lang w:val="en-US"/>
        </w:rPr>
      </w:pPr>
      <w:r>
        <w:rPr>
          <w:sz w:val="24"/>
          <w:szCs w:val="24"/>
          <w:lang w:val="en-US"/>
        </w:rPr>
        <w:t>The influence of private donors is also a</w:t>
      </w:r>
      <w:r w:rsidR="00454EC3">
        <w:rPr>
          <w:sz w:val="24"/>
          <w:szCs w:val="24"/>
          <w:lang w:val="en-US"/>
        </w:rPr>
        <w:t xml:space="preserve">n ongoing </w:t>
      </w:r>
      <w:r>
        <w:rPr>
          <w:sz w:val="24"/>
          <w:szCs w:val="24"/>
          <w:lang w:val="en-US"/>
        </w:rPr>
        <w:t xml:space="preserve">concern. Canada has experienced major controversies where corporate research funders have attempted to influence research results. The most notable case is that of </w:t>
      </w:r>
      <w:hyperlink r:id="rId12" w:history="1">
        <w:r w:rsidRPr="00990830">
          <w:rPr>
            <w:rStyle w:val="Hyperlink"/>
            <w:sz w:val="24"/>
            <w:szCs w:val="24"/>
            <w:lang w:val="en-US"/>
          </w:rPr>
          <w:t>Dr. Nancy Olivieri</w:t>
        </w:r>
      </w:hyperlink>
      <w:r>
        <w:rPr>
          <w:sz w:val="24"/>
          <w:szCs w:val="24"/>
          <w:lang w:val="en-US"/>
        </w:rPr>
        <w:t xml:space="preserve"> at the University of Toronto who received funding from a pharmaceutical company to run </w:t>
      </w:r>
      <w:r w:rsidR="00BB3F81">
        <w:rPr>
          <w:sz w:val="24"/>
          <w:szCs w:val="24"/>
          <w:lang w:val="en-US"/>
        </w:rPr>
        <w:t xml:space="preserve">a </w:t>
      </w:r>
      <w:r>
        <w:rPr>
          <w:sz w:val="24"/>
          <w:szCs w:val="24"/>
          <w:lang w:val="en-US"/>
        </w:rPr>
        <w:t xml:space="preserve">trial of a drug it had developed. </w:t>
      </w:r>
      <w:r w:rsidR="00867935">
        <w:rPr>
          <w:sz w:val="24"/>
          <w:szCs w:val="24"/>
          <w:lang w:val="en-US"/>
        </w:rPr>
        <w:t>During</w:t>
      </w:r>
      <w:r>
        <w:rPr>
          <w:sz w:val="24"/>
          <w:szCs w:val="24"/>
          <w:lang w:val="en-US"/>
        </w:rPr>
        <w:t xml:space="preserve"> the trial, Dr. Olivieri determined the </w:t>
      </w:r>
      <w:r w:rsidR="00BB3F81">
        <w:rPr>
          <w:sz w:val="24"/>
          <w:szCs w:val="24"/>
          <w:lang w:val="en-US"/>
        </w:rPr>
        <w:t>medication</w:t>
      </w:r>
      <w:r>
        <w:rPr>
          <w:sz w:val="24"/>
          <w:szCs w:val="24"/>
          <w:lang w:val="en-US"/>
        </w:rPr>
        <w:t xml:space="preserve"> posed significant risks for some </w:t>
      </w:r>
      <w:r w:rsidR="00867935">
        <w:rPr>
          <w:sz w:val="24"/>
          <w:szCs w:val="24"/>
          <w:lang w:val="en-US"/>
        </w:rPr>
        <w:t>patients,</w:t>
      </w:r>
      <w:r>
        <w:rPr>
          <w:sz w:val="24"/>
          <w:szCs w:val="24"/>
          <w:lang w:val="en-US"/>
        </w:rPr>
        <w:t xml:space="preserve"> </w:t>
      </w:r>
      <w:r w:rsidR="00867935">
        <w:rPr>
          <w:sz w:val="24"/>
          <w:szCs w:val="24"/>
          <w:lang w:val="en-US"/>
        </w:rPr>
        <w:t xml:space="preserve">but </w:t>
      </w:r>
      <w:r>
        <w:rPr>
          <w:sz w:val="24"/>
          <w:szCs w:val="24"/>
          <w:lang w:val="en-US"/>
        </w:rPr>
        <w:t xml:space="preserve">the company </w:t>
      </w:r>
      <w:r w:rsidR="00867935">
        <w:rPr>
          <w:sz w:val="24"/>
          <w:szCs w:val="24"/>
          <w:lang w:val="en-US"/>
        </w:rPr>
        <w:t>threatened legal action</w:t>
      </w:r>
      <w:r>
        <w:rPr>
          <w:sz w:val="24"/>
          <w:szCs w:val="24"/>
          <w:lang w:val="en-US"/>
        </w:rPr>
        <w:t xml:space="preserve"> to prevent her from sharing her research results. </w:t>
      </w:r>
      <w:r w:rsidR="00BB3F81">
        <w:rPr>
          <w:sz w:val="24"/>
          <w:szCs w:val="24"/>
          <w:lang w:val="en-US"/>
        </w:rPr>
        <w:t>The University did not initially defend her academic freedom.</w:t>
      </w:r>
    </w:p>
    <w:p w14:paraId="598F83B9" w14:textId="77777777" w:rsidR="00454EC3" w:rsidRPr="00454EC3" w:rsidRDefault="00454EC3" w:rsidP="00F80E97">
      <w:pPr>
        <w:pStyle w:val="ListParagraph"/>
        <w:ind w:left="284" w:hanging="284"/>
        <w:rPr>
          <w:sz w:val="24"/>
          <w:szCs w:val="24"/>
          <w:lang w:val="en-US"/>
        </w:rPr>
      </w:pPr>
    </w:p>
    <w:p w14:paraId="4EE918D4" w14:textId="3EE05C68" w:rsidR="00F80E97" w:rsidRDefault="00454EC3" w:rsidP="007846E5">
      <w:pPr>
        <w:pStyle w:val="ListParagraph"/>
        <w:numPr>
          <w:ilvl w:val="0"/>
          <w:numId w:val="35"/>
        </w:numPr>
        <w:spacing w:before="120" w:after="120"/>
        <w:ind w:left="567" w:hanging="567"/>
        <w:jc w:val="both"/>
        <w:rPr>
          <w:sz w:val="24"/>
          <w:szCs w:val="24"/>
          <w:lang w:val="en-US"/>
        </w:rPr>
      </w:pPr>
      <w:r>
        <w:rPr>
          <w:sz w:val="24"/>
          <w:szCs w:val="24"/>
          <w:lang w:val="en-US"/>
        </w:rPr>
        <w:t xml:space="preserve">Recently, the Canadian federal government announced </w:t>
      </w:r>
      <w:hyperlink r:id="rId13" w:history="1">
        <w:r w:rsidRPr="00867935">
          <w:rPr>
            <w:rStyle w:val="Hyperlink"/>
            <w:sz w:val="24"/>
            <w:szCs w:val="24"/>
            <w:lang w:val="en-US"/>
          </w:rPr>
          <w:t>restrictions</w:t>
        </w:r>
      </w:hyperlink>
      <w:r>
        <w:rPr>
          <w:sz w:val="24"/>
          <w:szCs w:val="24"/>
          <w:lang w:val="en-US"/>
        </w:rPr>
        <w:t xml:space="preserve"> on international </w:t>
      </w:r>
      <w:r w:rsidR="00F80E97">
        <w:rPr>
          <w:sz w:val="24"/>
          <w:szCs w:val="24"/>
          <w:lang w:val="en-US"/>
        </w:rPr>
        <w:t xml:space="preserve">academic </w:t>
      </w:r>
      <w:r>
        <w:rPr>
          <w:sz w:val="24"/>
          <w:szCs w:val="24"/>
          <w:lang w:val="en-US"/>
        </w:rPr>
        <w:t>research collaborations</w:t>
      </w:r>
      <w:r w:rsidR="00867935">
        <w:rPr>
          <w:sz w:val="24"/>
          <w:szCs w:val="24"/>
          <w:lang w:val="en-US"/>
        </w:rPr>
        <w:t xml:space="preserve"> funded by the national research granting agencies. The new policy focuses on broadly defined concerns about “national security” to limit </w:t>
      </w:r>
      <w:r>
        <w:rPr>
          <w:sz w:val="24"/>
          <w:szCs w:val="24"/>
          <w:lang w:val="en-US"/>
        </w:rPr>
        <w:t>scientific exchanges</w:t>
      </w:r>
      <w:r w:rsidR="00867935">
        <w:rPr>
          <w:sz w:val="24"/>
          <w:szCs w:val="24"/>
          <w:lang w:val="en-US"/>
        </w:rPr>
        <w:t>,</w:t>
      </w:r>
      <w:r>
        <w:rPr>
          <w:sz w:val="24"/>
          <w:szCs w:val="24"/>
          <w:lang w:val="en-US"/>
        </w:rPr>
        <w:t xml:space="preserve"> </w:t>
      </w:r>
      <w:r w:rsidR="00867935">
        <w:rPr>
          <w:sz w:val="24"/>
          <w:szCs w:val="24"/>
          <w:lang w:val="en-US"/>
        </w:rPr>
        <w:t xml:space="preserve">primarily </w:t>
      </w:r>
      <w:r>
        <w:rPr>
          <w:sz w:val="24"/>
          <w:szCs w:val="24"/>
          <w:lang w:val="en-US"/>
        </w:rPr>
        <w:t>with Chinese institutions and academics</w:t>
      </w:r>
      <w:r w:rsidR="00867935">
        <w:rPr>
          <w:sz w:val="24"/>
          <w:szCs w:val="24"/>
          <w:lang w:val="en-US"/>
        </w:rPr>
        <w:t>.</w:t>
      </w:r>
      <w:r w:rsidR="00661BF1">
        <w:rPr>
          <w:sz w:val="24"/>
          <w:szCs w:val="24"/>
          <w:lang w:val="en-US"/>
        </w:rPr>
        <w:t xml:space="preserve"> This has raised concerns that the government is interfering in academic freedom by unduly restricting scientific research.</w:t>
      </w:r>
    </w:p>
    <w:p w14:paraId="5F6A647D" w14:textId="77777777" w:rsidR="00F80E97" w:rsidRPr="00F80E97" w:rsidRDefault="00F80E97" w:rsidP="00F80E97">
      <w:pPr>
        <w:pStyle w:val="ListParagraph"/>
        <w:rPr>
          <w:sz w:val="24"/>
          <w:szCs w:val="24"/>
          <w:lang w:val="en-US"/>
        </w:rPr>
      </w:pPr>
    </w:p>
    <w:p w14:paraId="143865E5" w14:textId="1C6DB866" w:rsidR="00867935" w:rsidRPr="00F80E97" w:rsidRDefault="00867935" w:rsidP="007846E5">
      <w:pPr>
        <w:pStyle w:val="ListParagraph"/>
        <w:numPr>
          <w:ilvl w:val="0"/>
          <w:numId w:val="35"/>
        </w:numPr>
        <w:spacing w:before="120" w:after="120"/>
        <w:ind w:left="567" w:hanging="567"/>
        <w:jc w:val="both"/>
        <w:rPr>
          <w:sz w:val="24"/>
          <w:szCs w:val="24"/>
          <w:lang w:val="en-US"/>
        </w:rPr>
      </w:pPr>
      <w:r w:rsidRPr="00F80E97">
        <w:rPr>
          <w:sz w:val="24"/>
          <w:szCs w:val="24"/>
          <w:lang w:val="en-US"/>
        </w:rPr>
        <w:t xml:space="preserve">Academic freedom has also been tested in recent months as campuses have been caught up in debates over the Israel/Gaza conflict. </w:t>
      </w:r>
      <w:r w:rsidR="00315EA1">
        <w:rPr>
          <w:sz w:val="24"/>
          <w:szCs w:val="24"/>
          <w:lang w:val="en-US"/>
        </w:rPr>
        <w:t>Several p</w:t>
      </w:r>
      <w:r w:rsidRPr="00F80E97">
        <w:rPr>
          <w:sz w:val="24"/>
          <w:szCs w:val="24"/>
          <w:lang w:val="en-US"/>
        </w:rPr>
        <w:t>rofessors and students expressing support for Palestinian rights have faced censorship</w:t>
      </w:r>
      <w:r w:rsidR="00661BF1">
        <w:rPr>
          <w:sz w:val="24"/>
          <w:szCs w:val="24"/>
          <w:lang w:val="en-US"/>
        </w:rPr>
        <w:t>, disciplinary measures,</w:t>
      </w:r>
      <w:r w:rsidRPr="00F80E97">
        <w:rPr>
          <w:sz w:val="24"/>
          <w:szCs w:val="24"/>
          <w:lang w:val="en-US"/>
        </w:rPr>
        <w:t xml:space="preserve"> and targeted on-line harassment. </w:t>
      </w:r>
    </w:p>
    <w:p w14:paraId="46E09D10" w14:textId="55838787" w:rsidR="00BE218C" w:rsidRPr="00E14B3F" w:rsidRDefault="00BE218C" w:rsidP="000003A9">
      <w:pPr>
        <w:spacing w:before="120" w:after="120"/>
        <w:ind w:left="567" w:hanging="567"/>
        <w:jc w:val="both"/>
        <w:rPr>
          <w:sz w:val="24"/>
          <w:szCs w:val="24"/>
          <w:lang w:val="en-US"/>
        </w:rPr>
      </w:pPr>
    </w:p>
    <w:p w14:paraId="54FD38C5" w14:textId="52AF17B0" w:rsidR="00716886" w:rsidRDefault="00987912" w:rsidP="00716886">
      <w:pPr>
        <w:spacing w:before="120" w:after="120"/>
        <w:jc w:val="both"/>
        <w:rPr>
          <w:b/>
          <w:bCs/>
          <w:sz w:val="24"/>
          <w:szCs w:val="24"/>
          <w:lang w:val="en-US"/>
        </w:rPr>
      </w:pPr>
      <w:r w:rsidRPr="00A77C58">
        <w:rPr>
          <w:b/>
          <w:bCs/>
          <w:sz w:val="24"/>
          <w:szCs w:val="24"/>
          <w:lang w:val="en-US"/>
        </w:rPr>
        <w:t>Autonomy of educational institutions</w:t>
      </w:r>
    </w:p>
    <w:p w14:paraId="161F7C22" w14:textId="6AF9FB82" w:rsidR="00C841B9" w:rsidRDefault="00F80E97" w:rsidP="007846E5">
      <w:pPr>
        <w:spacing w:before="120" w:after="120"/>
        <w:ind w:left="567" w:hanging="567"/>
        <w:jc w:val="both"/>
        <w:rPr>
          <w:sz w:val="24"/>
          <w:szCs w:val="24"/>
          <w:lang w:val="en-US"/>
        </w:rPr>
      </w:pPr>
      <w:r>
        <w:rPr>
          <w:sz w:val="24"/>
          <w:szCs w:val="24"/>
          <w:lang w:val="en-US"/>
        </w:rPr>
        <w:t>11.</w:t>
      </w:r>
      <w:r>
        <w:rPr>
          <w:sz w:val="24"/>
          <w:szCs w:val="24"/>
          <w:lang w:val="en-US"/>
        </w:rPr>
        <w:tab/>
        <w:t xml:space="preserve">Universities in Canada generally enjoy autonomy over their internal academic affairs, including </w:t>
      </w:r>
      <w:r w:rsidR="007846E5" w:rsidRPr="007846E5">
        <w:rPr>
          <w:sz w:val="24"/>
          <w:szCs w:val="24"/>
          <w:lang w:val="en-US"/>
        </w:rPr>
        <w:t>freedom over the selection of students, recruitment of staff,</w:t>
      </w:r>
      <w:r w:rsidR="007846E5">
        <w:rPr>
          <w:sz w:val="24"/>
          <w:szCs w:val="24"/>
          <w:lang w:val="en-US"/>
        </w:rPr>
        <w:t xml:space="preserve"> </w:t>
      </w:r>
      <w:r w:rsidR="007846E5" w:rsidRPr="007846E5">
        <w:rPr>
          <w:sz w:val="24"/>
          <w:szCs w:val="24"/>
          <w:lang w:val="en-US"/>
        </w:rPr>
        <w:t>setting of standards, awarding of degrees, design of curriculum, and allocation of funds, as</w:t>
      </w:r>
      <w:r w:rsidR="007846E5">
        <w:rPr>
          <w:sz w:val="24"/>
          <w:szCs w:val="24"/>
          <w:lang w:val="en-US"/>
        </w:rPr>
        <w:t xml:space="preserve"> </w:t>
      </w:r>
      <w:r w:rsidR="007846E5" w:rsidRPr="007846E5">
        <w:rPr>
          <w:sz w:val="24"/>
          <w:szCs w:val="24"/>
          <w:lang w:val="en-US"/>
        </w:rPr>
        <w:lastRenderedPageBreak/>
        <w:t>well as freedom from non-academic interference in the academic governance of the institution</w:t>
      </w:r>
      <w:r w:rsidR="007846E5">
        <w:rPr>
          <w:sz w:val="24"/>
          <w:szCs w:val="24"/>
          <w:lang w:val="en-US"/>
        </w:rPr>
        <w:t xml:space="preserve">. </w:t>
      </w:r>
    </w:p>
    <w:p w14:paraId="46864C9F" w14:textId="77C6219A" w:rsidR="00C841B9" w:rsidRDefault="00C841B9" w:rsidP="007846E5">
      <w:pPr>
        <w:spacing w:before="120" w:after="120"/>
        <w:ind w:left="567" w:hanging="567"/>
        <w:jc w:val="both"/>
        <w:rPr>
          <w:sz w:val="24"/>
          <w:szCs w:val="24"/>
          <w:lang w:val="en-US"/>
        </w:rPr>
      </w:pPr>
      <w:r>
        <w:rPr>
          <w:sz w:val="24"/>
          <w:szCs w:val="24"/>
          <w:lang w:val="en-US"/>
        </w:rPr>
        <w:t>12.</w:t>
      </w:r>
      <w:r>
        <w:rPr>
          <w:sz w:val="24"/>
          <w:szCs w:val="24"/>
          <w:lang w:val="en-US"/>
        </w:rPr>
        <w:tab/>
      </w:r>
      <w:r w:rsidRPr="00C841B9">
        <w:rPr>
          <w:sz w:val="24"/>
          <w:szCs w:val="24"/>
          <w:lang w:val="en-US"/>
        </w:rPr>
        <w:t xml:space="preserve">Increasingly, </w:t>
      </w:r>
      <w:r>
        <w:rPr>
          <w:sz w:val="24"/>
          <w:szCs w:val="24"/>
          <w:lang w:val="en-US"/>
        </w:rPr>
        <w:t xml:space="preserve">however, </w:t>
      </w:r>
      <w:r w:rsidR="00661BF1">
        <w:rPr>
          <w:sz w:val="24"/>
          <w:szCs w:val="24"/>
          <w:lang w:val="en-US"/>
        </w:rPr>
        <w:t xml:space="preserve">some </w:t>
      </w:r>
      <w:r w:rsidRPr="00C841B9">
        <w:rPr>
          <w:sz w:val="24"/>
          <w:szCs w:val="24"/>
        </w:rPr>
        <w:t xml:space="preserve">provincial governments are adopting instruments such as mandate agreements and funding mechanisms with the </w:t>
      </w:r>
      <w:r w:rsidR="00BB3F81">
        <w:rPr>
          <w:sz w:val="24"/>
          <w:szCs w:val="24"/>
        </w:rPr>
        <w:t>aim</w:t>
      </w:r>
      <w:r w:rsidRPr="00C841B9">
        <w:rPr>
          <w:sz w:val="24"/>
          <w:szCs w:val="24"/>
        </w:rPr>
        <w:t xml:space="preserve"> of aligning universities’ activities with </w:t>
      </w:r>
      <w:r w:rsidR="00661BF1">
        <w:rPr>
          <w:sz w:val="24"/>
          <w:szCs w:val="24"/>
        </w:rPr>
        <w:t xml:space="preserve">the </w:t>
      </w:r>
      <w:r w:rsidRPr="00C841B9">
        <w:rPr>
          <w:sz w:val="24"/>
          <w:szCs w:val="24"/>
        </w:rPr>
        <w:t>governmen</w:t>
      </w:r>
      <w:r w:rsidR="00BB3F81">
        <w:rPr>
          <w:sz w:val="24"/>
          <w:szCs w:val="24"/>
        </w:rPr>
        <w:t xml:space="preserve">t’s </w:t>
      </w:r>
      <w:r w:rsidRPr="00C841B9">
        <w:rPr>
          <w:sz w:val="24"/>
          <w:szCs w:val="24"/>
        </w:rPr>
        <w:t xml:space="preserve">goals of meeting </w:t>
      </w:r>
      <w:r w:rsidR="00131839">
        <w:rPr>
          <w:sz w:val="24"/>
          <w:szCs w:val="24"/>
        </w:rPr>
        <w:t xml:space="preserve">specific </w:t>
      </w:r>
      <w:r w:rsidRPr="00C841B9">
        <w:rPr>
          <w:sz w:val="24"/>
          <w:szCs w:val="24"/>
        </w:rPr>
        <w:t>labour market needs and contributing to economic growth and innovation</w:t>
      </w:r>
      <w:r w:rsidR="00131839">
        <w:rPr>
          <w:sz w:val="24"/>
          <w:szCs w:val="24"/>
        </w:rPr>
        <w:t xml:space="preserve"> in identified sectors</w:t>
      </w:r>
      <w:r w:rsidRPr="00C841B9">
        <w:rPr>
          <w:sz w:val="24"/>
          <w:szCs w:val="24"/>
        </w:rPr>
        <w:t xml:space="preserve">. Consequently, </w:t>
      </w:r>
      <w:r w:rsidR="00131839">
        <w:rPr>
          <w:sz w:val="24"/>
          <w:szCs w:val="24"/>
        </w:rPr>
        <w:t xml:space="preserve">some </w:t>
      </w:r>
      <w:r w:rsidRPr="00C841B9">
        <w:rPr>
          <w:sz w:val="24"/>
          <w:szCs w:val="24"/>
        </w:rPr>
        <w:t xml:space="preserve">universities are facing </w:t>
      </w:r>
      <w:r w:rsidR="00BB3F81">
        <w:rPr>
          <w:sz w:val="24"/>
          <w:szCs w:val="24"/>
        </w:rPr>
        <w:t>more</w:t>
      </w:r>
      <w:r w:rsidRPr="00C841B9">
        <w:rPr>
          <w:sz w:val="24"/>
          <w:szCs w:val="24"/>
        </w:rPr>
        <w:t xml:space="preserve"> state supervision over their academic activities.</w:t>
      </w:r>
    </w:p>
    <w:p w14:paraId="012AD17A" w14:textId="13B3DD46" w:rsidR="003C0090" w:rsidRDefault="00C841B9" w:rsidP="007846E5">
      <w:pPr>
        <w:spacing w:before="120" w:after="120"/>
        <w:ind w:left="567" w:hanging="567"/>
        <w:jc w:val="both"/>
        <w:rPr>
          <w:sz w:val="24"/>
          <w:szCs w:val="24"/>
        </w:rPr>
      </w:pPr>
      <w:r>
        <w:rPr>
          <w:sz w:val="24"/>
          <w:szCs w:val="24"/>
          <w:lang w:val="en-US"/>
        </w:rPr>
        <w:t>13.</w:t>
      </w:r>
      <w:r>
        <w:rPr>
          <w:sz w:val="24"/>
          <w:szCs w:val="24"/>
          <w:lang w:val="en-US"/>
        </w:rPr>
        <w:tab/>
      </w:r>
      <w:r w:rsidR="003C0090">
        <w:rPr>
          <w:sz w:val="24"/>
          <w:szCs w:val="24"/>
          <w:lang w:val="en-US"/>
        </w:rPr>
        <w:t xml:space="preserve">Almost all universities </w:t>
      </w:r>
      <w:r w:rsidR="00BB3F81">
        <w:rPr>
          <w:sz w:val="24"/>
          <w:szCs w:val="24"/>
          <w:lang w:val="en-US"/>
        </w:rPr>
        <w:t xml:space="preserve">(and some colleges) in Canada </w:t>
      </w:r>
      <w:r w:rsidR="003C0090">
        <w:rPr>
          <w:sz w:val="24"/>
          <w:szCs w:val="24"/>
          <w:lang w:val="en-US"/>
        </w:rPr>
        <w:t xml:space="preserve">operate under a bicameral system of governance where a Board </w:t>
      </w:r>
      <w:r w:rsidR="003C0090">
        <w:rPr>
          <w:sz w:val="24"/>
          <w:szCs w:val="24"/>
        </w:rPr>
        <w:t xml:space="preserve">is assigned authority for </w:t>
      </w:r>
      <w:r w:rsidR="003C0090" w:rsidRPr="003C0090">
        <w:rPr>
          <w:sz w:val="24"/>
          <w:szCs w:val="24"/>
        </w:rPr>
        <w:t>administrative and financial matters</w:t>
      </w:r>
      <w:r w:rsidR="003C0090">
        <w:rPr>
          <w:sz w:val="24"/>
          <w:szCs w:val="24"/>
        </w:rPr>
        <w:t xml:space="preserve">, while a Senate or equivalent senior academic body is responsible for academic decisions. </w:t>
      </w:r>
    </w:p>
    <w:p w14:paraId="5C833CFB" w14:textId="47AEDFB7" w:rsidR="00987912" w:rsidRDefault="003C0090" w:rsidP="00716886">
      <w:pPr>
        <w:spacing w:before="120" w:after="120"/>
        <w:ind w:left="567" w:hanging="567"/>
        <w:jc w:val="both"/>
        <w:rPr>
          <w:sz w:val="24"/>
          <w:szCs w:val="24"/>
          <w:lang w:val="en-US"/>
        </w:rPr>
      </w:pPr>
      <w:r>
        <w:rPr>
          <w:sz w:val="24"/>
          <w:szCs w:val="24"/>
          <w:lang w:val="en-US"/>
        </w:rPr>
        <w:t>1</w:t>
      </w:r>
      <w:r w:rsidR="00BB3F81">
        <w:rPr>
          <w:sz w:val="24"/>
          <w:szCs w:val="24"/>
          <w:lang w:val="en-US"/>
        </w:rPr>
        <w:t>4</w:t>
      </w:r>
      <w:r>
        <w:rPr>
          <w:sz w:val="24"/>
          <w:szCs w:val="24"/>
          <w:lang w:val="en-US"/>
        </w:rPr>
        <w:t>.</w:t>
      </w:r>
      <w:r w:rsidR="00091AC2">
        <w:rPr>
          <w:sz w:val="24"/>
          <w:szCs w:val="24"/>
          <w:lang w:val="en-US"/>
        </w:rPr>
        <w:tab/>
      </w:r>
      <w:r>
        <w:rPr>
          <w:sz w:val="24"/>
          <w:szCs w:val="24"/>
          <w:lang w:val="en-US"/>
        </w:rPr>
        <w:t xml:space="preserve">Most universities have </w:t>
      </w:r>
      <w:r w:rsidR="00131839">
        <w:rPr>
          <w:sz w:val="24"/>
          <w:szCs w:val="24"/>
          <w:lang w:val="en-US"/>
        </w:rPr>
        <w:t xml:space="preserve">adopted </w:t>
      </w:r>
      <w:r>
        <w:rPr>
          <w:sz w:val="24"/>
          <w:szCs w:val="24"/>
          <w:lang w:val="en-US"/>
        </w:rPr>
        <w:t xml:space="preserve">institutional policies concerning academic freedom and institutional autonomy. For instance, in its guidelines on the acceptance of donations, the </w:t>
      </w:r>
      <w:hyperlink r:id="rId14" w:history="1">
        <w:r w:rsidRPr="007846E5">
          <w:rPr>
            <w:rStyle w:val="Hyperlink"/>
            <w:sz w:val="24"/>
            <w:szCs w:val="24"/>
            <w:lang w:val="en-US"/>
          </w:rPr>
          <w:t>University of Toronto</w:t>
        </w:r>
      </w:hyperlink>
      <w:r>
        <w:rPr>
          <w:sz w:val="24"/>
          <w:szCs w:val="24"/>
          <w:lang w:val="en-US"/>
        </w:rPr>
        <w:t xml:space="preserve"> states it “</w:t>
      </w:r>
      <w:r w:rsidRPr="003C0090">
        <w:rPr>
          <w:sz w:val="24"/>
          <w:szCs w:val="24"/>
          <w:lang w:val="en-US"/>
        </w:rPr>
        <w:t>values and will protect its integrity, autonomy, and academic freedom, and does not accept gifts when a condition of such acceptance would compromise these fundamental principles.</w:t>
      </w:r>
      <w:r>
        <w:rPr>
          <w:sz w:val="24"/>
          <w:szCs w:val="24"/>
          <w:lang w:val="en-US"/>
        </w:rPr>
        <w:t>”</w:t>
      </w:r>
      <w:r w:rsidR="00131839">
        <w:rPr>
          <w:sz w:val="24"/>
          <w:szCs w:val="24"/>
          <w:lang w:val="en-US"/>
        </w:rPr>
        <w:t xml:space="preserve"> The challenge has been that policies and guidelines are not legally binding and have not always been followed. </w:t>
      </w:r>
    </w:p>
    <w:p w14:paraId="31C7595A" w14:textId="77777777" w:rsidR="00987912" w:rsidRPr="00A77C58" w:rsidRDefault="00987912" w:rsidP="00987912">
      <w:pPr>
        <w:pStyle w:val="ListParagraph"/>
        <w:spacing w:before="120" w:after="120"/>
        <w:ind w:left="426"/>
        <w:contextualSpacing w:val="0"/>
        <w:jc w:val="both"/>
        <w:rPr>
          <w:sz w:val="24"/>
          <w:szCs w:val="24"/>
          <w:lang w:val="en-US"/>
        </w:rPr>
      </w:pPr>
    </w:p>
    <w:p w14:paraId="5C11DDBB" w14:textId="77777777" w:rsidR="00091AC2" w:rsidRDefault="00987912" w:rsidP="00091AC2">
      <w:pPr>
        <w:spacing w:before="120" w:after="120"/>
        <w:jc w:val="both"/>
        <w:rPr>
          <w:b/>
          <w:bCs/>
          <w:sz w:val="24"/>
          <w:szCs w:val="24"/>
          <w:lang w:val="en-US"/>
        </w:rPr>
      </w:pPr>
      <w:r w:rsidRPr="00A77C58">
        <w:rPr>
          <w:b/>
          <w:bCs/>
          <w:sz w:val="24"/>
          <w:szCs w:val="24"/>
          <w:lang w:val="en-US"/>
        </w:rPr>
        <w:t>Funding</w:t>
      </w:r>
    </w:p>
    <w:p w14:paraId="0A93E4AD" w14:textId="30762DA4" w:rsidR="00091AC2" w:rsidRDefault="00F76934" w:rsidP="00091AC2">
      <w:pPr>
        <w:spacing w:before="120" w:after="120"/>
        <w:ind w:left="567" w:hanging="567"/>
        <w:jc w:val="both"/>
        <w:rPr>
          <w:sz w:val="24"/>
          <w:szCs w:val="24"/>
          <w:lang w:val="en-US"/>
        </w:rPr>
      </w:pPr>
      <w:r>
        <w:rPr>
          <w:sz w:val="24"/>
          <w:szCs w:val="24"/>
          <w:lang w:val="en-US"/>
        </w:rPr>
        <w:t>1</w:t>
      </w:r>
      <w:r w:rsidR="00BB3F81">
        <w:rPr>
          <w:sz w:val="24"/>
          <w:szCs w:val="24"/>
          <w:lang w:val="en-US"/>
        </w:rPr>
        <w:t>5</w:t>
      </w:r>
      <w:r w:rsidR="00091AC2">
        <w:rPr>
          <w:sz w:val="24"/>
          <w:szCs w:val="24"/>
          <w:lang w:val="en-US"/>
        </w:rPr>
        <w:t>.</w:t>
      </w:r>
      <w:r w:rsidR="00091AC2">
        <w:rPr>
          <w:sz w:val="24"/>
          <w:szCs w:val="24"/>
          <w:lang w:val="en-US"/>
        </w:rPr>
        <w:tab/>
      </w:r>
      <w:r>
        <w:rPr>
          <w:sz w:val="24"/>
          <w:szCs w:val="24"/>
          <w:lang w:val="en-US"/>
        </w:rPr>
        <w:t xml:space="preserve">Most academic research funding in Canada is provided by three federal </w:t>
      </w:r>
      <w:r w:rsidR="00661BF1">
        <w:rPr>
          <w:sz w:val="24"/>
          <w:szCs w:val="24"/>
          <w:lang w:val="en-US"/>
        </w:rPr>
        <w:t xml:space="preserve">public </w:t>
      </w:r>
      <w:r>
        <w:rPr>
          <w:sz w:val="24"/>
          <w:szCs w:val="24"/>
          <w:lang w:val="en-US"/>
        </w:rPr>
        <w:t xml:space="preserve">granting agencies covering the social sciences and humanities, the natural sciences and engineering, and the health sciences. Grant applications are assessed through a peer review process to ensure independence from government. </w:t>
      </w:r>
    </w:p>
    <w:p w14:paraId="623107B5" w14:textId="17BB6064" w:rsidR="00661BF1" w:rsidRDefault="00661BF1" w:rsidP="00091AC2">
      <w:pPr>
        <w:spacing w:before="120" w:after="120"/>
        <w:ind w:left="567" w:hanging="567"/>
        <w:jc w:val="both"/>
        <w:rPr>
          <w:sz w:val="24"/>
          <w:szCs w:val="24"/>
          <w:lang w:val="en-US"/>
        </w:rPr>
      </w:pPr>
      <w:r>
        <w:rPr>
          <w:sz w:val="24"/>
          <w:szCs w:val="24"/>
          <w:lang w:val="en-US"/>
        </w:rPr>
        <w:t>1</w:t>
      </w:r>
      <w:r w:rsidR="00315EA1">
        <w:rPr>
          <w:sz w:val="24"/>
          <w:szCs w:val="24"/>
          <w:lang w:val="en-US"/>
        </w:rPr>
        <w:t>6</w:t>
      </w:r>
      <w:r>
        <w:rPr>
          <w:sz w:val="24"/>
          <w:szCs w:val="24"/>
          <w:lang w:val="en-US"/>
        </w:rPr>
        <w:t>.</w:t>
      </w:r>
      <w:r>
        <w:rPr>
          <w:sz w:val="24"/>
          <w:szCs w:val="24"/>
          <w:lang w:val="en-US"/>
        </w:rPr>
        <w:tab/>
        <w:t xml:space="preserve">At times, the federal government has tried to </w:t>
      </w:r>
      <w:r w:rsidR="00871B94">
        <w:rPr>
          <w:sz w:val="24"/>
          <w:szCs w:val="24"/>
          <w:lang w:val="en-US"/>
        </w:rPr>
        <w:t>earmark</w:t>
      </w:r>
      <w:r>
        <w:rPr>
          <w:sz w:val="24"/>
          <w:szCs w:val="24"/>
          <w:lang w:val="en-US"/>
        </w:rPr>
        <w:t xml:space="preserve"> research funding available to universities and colleges to align with its political priorities. This has created a shift toward more politically targeted rather than investigator-driven research. The current government has sought to restore some balance by significantly investing in investigator-driven research. </w:t>
      </w:r>
    </w:p>
    <w:p w14:paraId="58359724" w14:textId="3702B9A1" w:rsidR="00987912" w:rsidRPr="00091AC2" w:rsidRDefault="00B07B15" w:rsidP="00091AC2">
      <w:pPr>
        <w:spacing w:before="120" w:after="120"/>
        <w:ind w:left="567" w:hanging="567"/>
        <w:jc w:val="both"/>
        <w:rPr>
          <w:b/>
          <w:bCs/>
          <w:sz w:val="24"/>
          <w:szCs w:val="24"/>
          <w:lang w:val="en-US"/>
        </w:rPr>
      </w:pPr>
      <w:r>
        <w:rPr>
          <w:sz w:val="24"/>
          <w:szCs w:val="24"/>
          <w:lang w:val="en-US"/>
        </w:rPr>
        <w:t>1</w:t>
      </w:r>
      <w:r w:rsidR="00315EA1">
        <w:rPr>
          <w:sz w:val="24"/>
          <w:szCs w:val="24"/>
          <w:lang w:val="en-US"/>
        </w:rPr>
        <w:t>7</w:t>
      </w:r>
      <w:r w:rsidR="00091AC2">
        <w:rPr>
          <w:sz w:val="24"/>
          <w:szCs w:val="24"/>
          <w:lang w:val="en-US"/>
        </w:rPr>
        <w:t>.</w:t>
      </w:r>
      <w:r w:rsidR="00091AC2">
        <w:rPr>
          <w:sz w:val="24"/>
          <w:szCs w:val="24"/>
          <w:lang w:val="en-US"/>
        </w:rPr>
        <w:tab/>
      </w:r>
      <w:r>
        <w:rPr>
          <w:sz w:val="24"/>
          <w:szCs w:val="24"/>
        </w:rPr>
        <w:t xml:space="preserve">The proliferation of </w:t>
      </w:r>
      <w:r w:rsidRPr="00B07B15">
        <w:rPr>
          <w:sz w:val="24"/>
          <w:szCs w:val="24"/>
        </w:rPr>
        <w:t xml:space="preserve">collaborations between universities and </w:t>
      </w:r>
      <w:r>
        <w:rPr>
          <w:sz w:val="24"/>
          <w:szCs w:val="24"/>
        </w:rPr>
        <w:t xml:space="preserve">private research funders has prompted calls for institutions to develop </w:t>
      </w:r>
      <w:r w:rsidRPr="00B07B15">
        <w:rPr>
          <w:sz w:val="24"/>
          <w:szCs w:val="24"/>
        </w:rPr>
        <w:t>a clear</w:t>
      </w:r>
      <w:r>
        <w:rPr>
          <w:sz w:val="24"/>
          <w:szCs w:val="24"/>
        </w:rPr>
        <w:t xml:space="preserve"> and consistent</w:t>
      </w:r>
      <w:r w:rsidRPr="00B07B15">
        <w:rPr>
          <w:sz w:val="24"/>
          <w:szCs w:val="24"/>
        </w:rPr>
        <w:t xml:space="preserve"> set of principles to protect academic integrity and the public interest.</w:t>
      </w:r>
      <w:r>
        <w:rPr>
          <w:sz w:val="24"/>
          <w:szCs w:val="24"/>
        </w:rPr>
        <w:t xml:space="preserve"> </w:t>
      </w:r>
      <w:r>
        <w:rPr>
          <w:sz w:val="24"/>
          <w:szCs w:val="24"/>
          <w:lang w:val="en-US"/>
        </w:rPr>
        <w:t xml:space="preserve">The Canadian Association of University Teachers has proposed </w:t>
      </w:r>
      <w:hyperlink r:id="rId15" w:history="1">
        <w:r w:rsidRPr="00B07B15">
          <w:rPr>
            <w:rStyle w:val="Hyperlink"/>
            <w:sz w:val="24"/>
            <w:szCs w:val="24"/>
            <w:lang w:val="en-US"/>
          </w:rPr>
          <w:t>specific guidelines</w:t>
        </w:r>
      </w:hyperlink>
      <w:r>
        <w:rPr>
          <w:sz w:val="24"/>
          <w:szCs w:val="24"/>
          <w:lang w:val="en-US"/>
        </w:rPr>
        <w:t xml:space="preserve"> for institutions to adopt to ensure that </w:t>
      </w:r>
      <w:r w:rsidRPr="00B07B15">
        <w:rPr>
          <w:sz w:val="24"/>
          <w:szCs w:val="24"/>
        </w:rPr>
        <w:t xml:space="preserve">academic freedom and institutional autonomy </w:t>
      </w:r>
      <w:r>
        <w:rPr>
          <w:sz w:val="24"/>
          <w:szCs w:val="24"/>
        </w:rPr>
        <w:t>are the</w:t>
      </w:r>
      <w:r w:rsidRPr="00B07B15">
        <w:rPr>
          <w:sz w:val="24"/>
          <w:szCs w:val="24"/>
        </w:rPr>
        <w:t xml:space="preserve"> predominant and prevailing considerations in developing, deciding upon, and assessing </w:t>
      </w:r>
      <w:r>
        <w:rPr>
          <w:sz w:val="24"/>
          <w:szCs w:val="24"/>
        </w:rPr>
        <w:t>private research</w:t>
      </w:r>
      <w:r w:rsidRPr="00B07B15">
        <w:rPr>
          <w:sz w:val="24"/>
          <w:szCs w:val="24"/>
        </w:rPr>
        <w:t xml:space="preserve"> collaborations</w:t>
      </w:r>
      <w:r>
        <w:rPr>
          <w:sz w:val="24"/>
          <w:szCs w:val="24"/>
        </w:rPr>
        <w:t>.</w:t>
      </w:r>
    </w:p>
    <w:p w14:paraId="1AF4248F" w14:textId="77777777" w:rsidR="00987912" w:rsidRPr="00A77C58" w:rsidRDefault="00987912" w:rsidP="00987912">
      <w:pPr>
        <w:pStyle w:val="ListParagraph"/>
        <w:spacing w:before="120" w:after="120"/>
        <w:ind w:left="426"/>
        <w:contextualSpacing w:val="0"/>
        <w:jc w:val="both"/>
        <w:rPr>
          <w:sz w:val="24"/>
          <w:szCs w:val="24"/>
          <w:lang w:val="en-US"/>
        </w:rPr>
      </w:pPr>
    </w:p>
    <w:p w14:paraId="1DC956ED" w14:textId="77777777" w:rsidR="00091AC2" w:rsidRDefault="00987912" w:rsidP="00091AC2">
      <w:pPr>
        <w:spacing w:before="120" w:after="120"/>
        <w:jc w:val="both"/>
        <w:rPr>
          <w:b/>
          <w:bCs/>
          <w:sz w:val="24"/>
          <w:szCs w:val="24"/>
          <w:lang w:val="en-US"/>
        </w:rPr>
      </w:pPr>
      <w:r w:rsidRPr="00A77C58">
        <w:rPr>
          <w:b/>
          <w:bCs/>
          <w:sz w:val="24"/>
          <w:szCs w:val="24"/>
          <w:lang w:val="en-US"/>
        </w:rPr>
        <w:t>Surveillance</w:t>
      </w:r>
    </w:p>
    <w:p w14:paraId="4F0321DC" w14:textId="6CEBB365" w:rsidR="00987912" w:rsidRPr="00091AC2" w:rsidRDefault="00B07B15" w:rsidP="00091AC2">
      <w:pPr>
        <w:spacing w:before="120" w:after="120"/>
        <w:ind w:left="567" w:hanging="567"/>
        <w:jc w:val="both"/>
        <w:rPr>
          <w:sz w:val="24"/>
          <w:szCs w:val="24"/>
          <w:lang w:val="en-US"/>
        </w:rPr>
      </w:pPr>
      <w:r>
        <w:rPr>
          <w:sz w:val="24"/>
          <w:szCs w:val="24"/>
          <w:lang w:val="en-US"/>
        </w:rPr>
        <w:t>1</w:t>
      </w:r>
      <w:r w:rsidR="00315EA1">
        <w:rPr>
          <w:sz w:val="24"/>
          <w:szCs w:val="24"/>
          <w:lang w:val="en-US"/>
        </w:rPr>
        <w:t>8</w:t>
      </w:r>
      <w:r w:rsidR="00091AC2">
        <w:rPr>
          <w:sz w:val="24"/>
          <w:szCs w:val="24"/>
          <w:lang w:val="en-US"/>
        </w:rPr>
        <w:t>.</w:t>
      </w:r>
      <w:r w:rsidR="00091AC2">
        <w:rPr>
          <w:sz w:val="24"/>
          <w:szCs w:val="24"/>
          <w:lang w:val="en-US"/>
        </w:rPr>
        <w:tab/>
      </w:r>
      <w:r>
        <w:rPr>
          <w:sz w:val="24"/>
          <w:szCs w:val="24"/>
          <w:lang w:val="en-US"/>
        </w:rPr>
        <w:t xml:space="preserve">To date, surveillance has not been raised as a major concern or threat to academic freedom </w:t>
      </w:r>
      <w:r w:rsidR="00871B94">
        <w:rPr>
          <w:sz w:val="24"/>
          <w:szCs w:val="24"/>
          <w:lang w:val="en-US"/>
        </w:rPr>
        <w:t>at</w:t>
      </w:r>
      <w:r>
        <w:rPr>
          <w:sz w:val="24"/>
          <w:szCs w:val="24"/>
          <w:lang w:val="en-US"/>
        </w:rPr>
        <w:t xml:space="preserve"> Canada’s universities and colleges. </w:t>
      </w:r>
    </w:p>
    <w:p w14:paraId="4636D1FC" w14:textId="77777777" w:rsidR="00987912" w:rsidRPr="00A77C58" w:rsidRDefault="00987912" w:rsidP="00987912">
      <w:pPr>
        <w:spacing w:before="120" w:after="120"/>
        <w:jc w:val="both"/>
        <w:rPr>
          <w:sz w:val="24"/>
          <w:szCs w:val="24"/>
          <w:lang w:val="en-US"/>
        </w:rPr>
      </w:pPr>
    </w:p>
    <w:p w14:paraId="505BC2D0" w14:textId="14F4CDF7" w:rsidR="00091AC2" w:rsidRDefault="00987912" w:rsidP="00091AC2">
      <w:pPr>
        <w:spacing w:before="120" w:after="120"/>
        <w:jc w:val="both"/>
        <w:rPr>
          <w:b/>
          <w:bCs/>
          <w:sz w:val="24"/>
          <w:szCs w:val="24"/>
          <w:lang w:val="en-US"/>
        </w:rPr>
      </w:pPr>
      <w:r w:rsidRPr="00A77C58">
        <w:rPr>
          <w:b/>
          <w:bCs/>
          <w:sz w:val="24"/>
          <w:szCs w:val="24"/>
          <w:lang w:val="en-US"/>
        </w:rPr>
        <w:t>Freedom of expression in teaching and access to books</w:t>
      </w:r>
    </w:p>
    <w:p w14:paraId="2B3A6871" w14:textId="70B917A9" w:rsidR="00661BF1" w:rsidRDefault="00340E8C" w:rsidP="00091AC2">
      <w:pPr>
        <w:spacing w:before="120" w:after="120"/>
        <w:ind w:left="567" w:hanging="567"/>
        <w:jc w:val="both"/>
        <w:rPr>
          <w:sz w:val="24"/>
          <w:szCs w:val="24"/>
          <w:lang w:val="en-CA"/>
        </w:rPr>
      </w:pPr>
      <w:r>
        <w:rPr>
          <w:sz w:val="24"/>
          <w:szCs w:val="24"/>
          <w:lang w:val="en-US"/>
        </w:rPr>
        <w:lastRenderedPageBreak/>
        <w:t>1</w:t>
      </w:r>
      <w:r w:rsidR="00315EA1">
        <w:rPr>
          <w:sz w:val="24"/>
          <w:szCs w:val="24"/>
          <w:lang w:val="en-US"/>
        </w:rPr>
        <w:t>9</w:t>
      </w:r>
      <w:r w:rsidR="00091AC2">
        <w:rPr>
          <w:sz w:val="24"/>
          <w:szCs w:val="24"/>
          <w:lang w:val="en-US"/>
        </w:rPr>
        <w:t>.</w:t>
      </w:r>
      <w:r w:rsidR="00091AC2">
        <w:rPr>
          <w:sz w:val="24"/>
          <w:szCs w:val="24"/>
          <w:lang w:val="en-US"/>
        </w:rPr>
        <w:tab/>
      </w:r>
      <w:r w:rsidR="00661BF1">
        <w:rPr>
          <w:sz w:val="24"/>
          <w:szCs w:val="24"/>
          <w:lang w:val="en-US"/>
        </w:rPr>
        <w:t xml:space="preserve">At the level of higher education in Canada, </w:t>
      </w:r>
      <w:r w:rsidR="00661BF1">
        <w:rPr>
          <w:sz w:val="24"/>
          <w:szCs w:val="24"/>
          <w:lang w:val="en-CA"/>
        </w:rPr>
        <w:t>a</w:t>
      </w:r>
      <w:r w:rsidR="00661BF1" w:rsidRPr="00661BF1">
        <w:rPr>
          <w:sz w:val="24"/>
          <w:szCs w:val="24"/>
          <w:lang w:val="en-CA"/>
        </w:rPr>
        <w:t xml:space="preserve">cademic freedom </w:t>
      </w:r>
      <w:r w:rsidR="00661BF1">
        <w:rPr>
          <w:sz w:val="24"/>
          <w:szCs w:val="24"/>
          <w:lang w:val="en-CA"/>
        </w:rPr>
        <w:t xml:space="preserve">grants instructors  broad latitude over all aspects of classroom instruction and discussion, It </w:t>
      </w:r>
      <w:r w:rsidR="00661BF1" w:rsidRPr="00661BF1">
        <w:rPr>
          <w:sz w:val="24"/>
          <w:szCs w:val="24"/>
          <w:lang w:val="en-CA"/>
        </w:rPr>
        <w:t xml:space="preserve">includes the freedom of academic staff to </w:t>
      </w:r>
      <w:r w:rsidR="00661BF1">
        <w:rPr>
          <w:sz w:val="24"/>
          <w:szCs w:val="24"/>
          <w:lang w:val="en-CA"/>
        </w:rPr>
        <w:t xml:space="preserve">select and </w:t>
      </w:r>
      <w:r w:rsidR="00661BF1" w:rsidRPr="00661BF1">
        <w:rPr>
          <w:sz w:val="24"/>
          <w:szCs w:val="24"/>
          <w:lang w:val="en-CA"/>
        </w:rPr>
        <w:t xml:space="preserve">organize course content and </w:t>
      </w:r>
      <w:r w:rsidR="00661BF1">
        <w:rPr>
          <w:sz w:val="24"/>
          <w:szCs w:val="24"/>
          <w:lang w:val="en-CA"/>
        </w:rPr>
        <w:t xml:space="preserve">instructional </w:t>
      </w:r>
      <w:r w:rsidR="00661BF1" w:rsidRPr="00661BF1">
        <w:rPr>
          <w:sz w:val="24"/>
          <w:szCs w:val="24"/>
          <w:lang w:val="en-CA"/>
        </w:rPr>
        <w:t xml:space="preserve">activities, to assess and evaluate student academic performance, to employ </w:t>
      </w:r>
      <w:r w:rsidR="00661BF1">
        <w:rPr>
          <w:sz w:val="24"/>
          <w:szCs w:val="24"/>
          <w:lang w:val="en-CA"/>
        </w:rPr>
        <w:t xml:space="preserve">the pedagogical approach of their choice, </w:t>
      </w:r>
      <w:r w:rsidR="00661BF1" w:rsidRPr="00661BF1">
        <w:rPr>
          <w:sz w:val="24"/>
          <w:szCs w:val="24"/>
          <w:lang w:val="en-CA"/>
        </w:rPr>
        <w:t xml:space="preserve">and </w:t>
      </w:r>
      <w:r>
        <w:rPr>
          <w:sz w:val="24"/>
          <w:szCs w:val="24"/>
          <w:lang w:val="en-CA"/>
        </w:rPr>
        <w:t>assign</w:t>
      </w:r>
      <w:r w:rsidR="00661BF1" w:rsidRPr="00661BF1">
        <w:rPr>
          <w:sz w:val="24"/>
          <w:szCs w:val="24"/>
          <w:lang w:val="en-CA"/>
        </w:rPr>
        <w:t xml:space="preserve"> material, including textbooks, in a manner consistent with relevant academic standards and the course description approved by the academic body of the institution.  </w:t>
      </w:r>
    </w:p>
    <w:p w14:paraId="7536BABC" w14:textId="59213017" w:rsidR="00340E8C" w:rsidRDefault="00315EA1" w:rsidP="00091AC2">
      <w:pPr>
        <w:spacing w:before="120" w:after="120"/>
        <w:ind w:left="567" w:hanging="567"/>
        <w:jc w:val="both"/>
        <w:rPr>
          <w:sz w:val="24"/>
          <w:szCs w:val="24"/>
          <w:lang w:val="en-CA"/>
        </w:rPr>
      </w:pPr>
      <w:r>
        <w:rPr>
          <w:sz w:val="24"/>
          <w:szCs w:val="24"/>
          <w:lang w:val="en-CA"/>
        </w:rPr>
        <w:t>20</w:t>
      </w:r>
      <w:r w:rsidR="00340E8C">
        <w:rPr>
          <w:sz w:val="24"/>
          <w:szCs w:val="24"/>
          <w:lang w:val="en-CA"/>
        </w:rPr>
        <w:t>.</w:t>
      </w:r>
      <w:r w:rsidR="00340E8C">
        <w:rPr>
          <w:sz w:val="24"/>
          <w:szCs w:val="24"/>
          <w:lang w:val="en-CA"/>
        </w:rPr>
        <w:tab/>
        <w:t>In their classroom discussions, there is no requirement that academic staff follow a proscribed perspective or remain neutral. Contract language protecting academic freedom specially prohibits the imposition of a “proscribed doctrine” and asserts that a</w:t>
      </w:r>
      <w:r w:rsidR="00340E8C" w:rsidRPr="00340E8C">
        <w:rPr>
          <w:sz w:val="24"/>
          <w:szCs w:val="24"/>
          <w:lang w:val="en-CA"/>
        </w:rPr>
        <w:t>cademic freedom does not require neutrality</w:t>
      </w:r>
      <w:r w:rsidR="00340E8C">
        <w:rPr>
          <w:sz w:val="24"/>
          <w:szCs w:val="24"/>
          <w:lang w:val="en-CA"/>
        </w:rPr>
        <w:t xml:space="preserve">, but rather </w:t>
      </w:r>
      <w:r w:rsidR="00340E8C" w:rsidRPr="00340E8C">
        <w:rPr>
          <w:sz w:val="24"/>
          <w:szCs w:val="24"/>
          <w:lang w:val="en-CA"/>
        </w:rPr>
        <w:t>makes intellectual discourse, critique, and commitment possible.</w:t>
      </w:r>
    </w:p>
    <w:p w14:paraId="17C2B554" w14:textId="28B50598" w:rsidR="00340E8C" w:rsidRDefault="00340E8C" w:rsidP="00091AC2">
      <w:pPr>
        <w:spacing w:before="120" w:after="120"/>
        <w:ind w:left="567" w:hanging="567"/>
        <w:jc w:val="both"/>
        <w:rPr>
          <w:sz w:val="24"/>
          <w:szCs w:val="24"/>
          <w:lang w:val="en-CA"/>
        </w:rPr>
      </w:pPr>
      <w:r>
        <w:rPr>
          <w:sz w:val="24"/>
          <w:szCs w:val="24"/>
          <w:lang w:val="en-CA"/>
        </w:rPr>
        <w:t>2</w:t>
      </w:r>
      <w:r w:rsidR="00315EA1">
        <w:rPr>
          <w:sz w:val="24"/>
          <w:szCs w:val="24"/>
          <w:lang w:val="en-CA"/>
        </w:rPr>
        <w:t>1</w:t>
      </w:r>
      <w:r>
        <w:rPr>
          <w:sz w:val="24"/>
          <w:szCs w:val="24"/>
          <w:lang w:val="en-CA"/>
        </w:rPr>
        <w:t>.</w:t>
      </w:r>
      <w:r>
        <w:rPr>
          <w:sz w:val="24"/>
          <w:szCs w:val="24"/>
          <w:lang w:val="en-CA"/>
        </w:rPr>
        <w:tab/>
        <w:t xml:space="preserve">The exercise of academic freedom in the classroom is </w:t>
      </w:r>
      <w:r w:rsidRPr="00340E8C">
        <w:rPr>
          <w:sz w:val="24"/>
          <w:szCs w:val="24"/>
          <w:lang w:val="en-CA"/>
        </w:rPr>
        <w:t>subject only to the limits of the law, professional academic standards, and official policies and procedures set by academic governance bodies. Academic freedom in teaching does not confer legal immunity against libel, hate speech, or harassment and discrimination as defined in Canadian law.  Academic freedom does not trump human rights, including the rights of students with disabilities who may require appropriate accommodation, such as extra time for completing tests, exams, and assignments</w:t>
      </w:r>
      <w:r>
        <w:rPr>
          <w:sz w:val="24"/>
          <w:szCs w:val="24"/>
          <w:lang w:val="en-CA"/>
        </w:rPr>
        <w:t>.</w:t>
      </w:r>
    </w:p>
    <w:p w14:paraId="78779266" w14:textId="13E9DB75" w:rsidR="00340E8C" w:rsidRDefault="00340E8C" w:rsidP="00091AC2">
      <w:pPr>
        <w:spacing w:before="120" w:after="120"/>
        <w:ind w:left="567" w:hanging="567"/>
        <w:jc w:val="both"/>
        <w:rPr>
          <w:sz w:val="24"/>
          <w:szCs w:val="24"/>
          <w:lang w:val="en-CA"/>
        </w:rPr>
      </w:pPr>
      <w:r>
        <w:rPr>
          <w:sz w:val="24"/>
          <w:szCs w:val="24"/>
          <w:lang w:val="en-CA"/>
        </w:rPr>
        <w:t>2</w:t>
      </w:r>
      <w:r w:rsidR="00315EA1">
        <w:rPr>
          <w:sz w:val="24"/>
          <w:szCs w:val="24"/>
          <w:lang w:val="en-CA"/>
        </w:rPr>
        <w:t>2</w:t>
      </w:r>
      <w:r>
        <w:rPr>
          <w:sz w:val="24"/>
          <w:szCs w:val="24"/>
          <w:lang w:val="en-CA"/>
        </w:rPr>
        <w:t>.</w:t>
      </w:r>
      <w:r>
        <w:rPr>
          <w:sz w:val="24"/>
          <w:szCs w:val="24"/>
          <w:lang w:val="en-CA"/>
        </w:rPr>
        <w:tab/>
        <w:t>Teachers at the primary and secondary level of education do not have the same freedom in teaching as college and university professors. School teacher</w:t>
      </w:r>
      <w:r w:rsidR="00315EA1">
        <w:rPr>
          <w:sz w:val="24"/>
          <w:szCs w:val="24"/>
          <w:lang w:val="en-CA"/>
        </w:rPr>
        <w:t>s</w:t>
      </w:r>
      <w:r>
        <w:rPr>
          <w:sz w:val="24"/>
          <w:szCs w:val="24"/>
          <w:lang w:val="en-CA"/>
        </w:rPr>
        <w:t xml:space="preserve"> generally must work with a pre-approved curriculum developed by the provincial ministry, and with pre-selected textbooks and learning materials. </w:t>
      </w:r>
      <w:r w:rsidR="00FE7B9D">
        <w:rPr>
          <w:sz w:val="24"/>
          <w:szCs w:val="24"/>
          <w:lang w:val="en-CA"/>
        </w:rPr>
        <w:t xml:space="preserve">In some cases, </w:t>
      </w:r>
      <w:r w:rsidR="00FE7B9D" w:rsidRPr="00FE7B9D">
        <w:rPr>
          <w:sz w:val="24"/>
          <w:szCs w:val="24"/>
          <w:lang w:val="en-CA"/>
        </w:rPr>
        <w:t xml:space="preserve">teachers are permitted to express ideas and use </w:t>
      </w:r>
      <w:r w:rsidR="00315EA1">
        <w:rPr>
          <w:sz w:val="24"/>
          <w:szCs w:val="24"/>
          <w:lang w:val="en-CA"/>
        </w:rPr>
        <w:t xml:space="preserve">other </w:t>
      </w:r>
      <w:r w:rsidR="00FE7B9D" w:rsidRPr="00FE7B9D">
        <w:rPr>
          <w:sz w:val="24"/>
          <w:szCs w:val="24"/>
          <w:lang w:val="en-CA"/>
        </w:rPr>
        <w:t>materials</w:t>
      </w:r>
      <w:r w:rsidR="00FE7B9D">
        <w:rPr>
          <w:sz w:val="24"/>
          <w:szCs w:val="24"/>
          <w:lang w:val="en-CA"/>
        </w:rPr>
        <w:t xml:space="preserve"> in the classroom</w:t>
      </w:r>
      <w:r w:rsidR="00FE7B9D" w:rsidRPr="00FE7B9D">
        <w:rPr>
          <w:sz w:val="24"/>
          <w:szCs w:val="24"/>
          <w:lang w:val="en-CA"/>
        </w:rPr>
        <w:t xml:space="preserve"> if they do not conflict with the course of study, </w:t>
      </w:r>
      <w:r w:rsidR="00FE7B9D">
        <w:rPr>
          <w:sz w:val="24"/>
          <w:szCs w:val="24"/>
          <w:lang w:val="en-CA"/>
        </w:rPr>
        <w:t>school</w:t>
      </w:r>
      <w:r w:rsidR="00FE7B9D" w:rsidRPr="00FE7B9D">
        <w:rPr>
          <w:sz w:val="24"/>
          <w:szCs w:val="24"/>
          <w:lang w:val="en-CA"/>
        </w:rPr>
        <w:t xml:space="preserve"> policy, or </w:t>
      </w:r>
      <w:r w:rsidR="00FE7B9D">
        <w:rPr>
          <w:sz w:val="24"/>
          <w:szCs w:val="24"/>
          <w:lang w:val="en-CA"/>
        </w:rPr>
        <w:t>school</w:t>
      </w:r>
      <w:r w:rsidR="00FE7B9D" w:rsidRPr="00FE7B9D">
        <w:rPr>
          <w:sz w:val="24"/>
          <w:szCs w:val="24"/>
          <w:lang w:val="en-CA"/>
        </w:rPr>
        <w:t xml:space="preserve"> program</w:t>
      </w:r>
      <w:r w:rsidR="00FE7B9D">
        <w:rPr>
          <w:sz w:val="24"/>
          <w:szCs w:val="24"/>
          <w:lang w:val="en-CA"/>
        </w:rPr>
        <w:t>.</w:t>
      </w:r>
    </w:p>
    <w:p w14:paraId="3A11E073" w14:textId="29E6F70E" w:rsidR="00FE7B9D" w:rsidRDefault="00FE7B9D" w:rsidP="00091AC2">
      <w:pPr>
        <w:spacing w:before="120" w:after="120"/>
        <w:ind w:left="567" w:hanging="567"/>
        <w:jc w:val="both"/>
        <w:rPr>
          <w:sz w:val="24"/>
          <w:szCs w:val="24"/>
          <w:lang w:val="en-US"/>
        </w:rPr>
      </w:pPr>
      <w:r>
        <w:rPr>
          <w:sz w:val="24"/>
          <w:szCs w:val="24"/>
          <w:lang w:val="en-CA"/>
        </w:rPr>
        <w:t>2</w:t>
      </w:r>
      <w:r w:rsidR="00315EA1">
        <w:rPr>
          <w:sz w:val="24"/>
          <w:szCs w:val="24"/>
          <w:lang w:val="en-CA"/>
        </w:rPr>
        <w:t>3</w:t>
      </w:r>
      <w:r>
        <w:rPr>
          <w:sz w:val="24"/>
          <w:szCs w:val="24"/>
          <w:lang w:val="en-CA"/>
        </w:rPr>
        <w:t>.</w:t>
      </w:r>
      <w:r>
        <w:rPr>
          <w:sz w:val="24"/>
          <w:szCs w:val="24"/>
          <w:lang w:val="en-CA"/>
        </w:rPr>
        <w:tab/>
        <w:t xml:space="preserve">In a 2013 decision, the </w:t>
      </w:r>
      <w:hyperlink r:id="rId16" w:history="1">
        <w:r w:rsidRPr="00315EA1">
          <w:rPr>
            <w:rStyle w:val="Hyperlink"/>
            <w:sz w:val="24"/>
            <w:szCs w:val="24"/>
            <w:lang w:val="en-CA"/>
          </w:rPr>
          <w:t>British Columbia Court of Appeal</w:t>
        </w:r>
      </w:hyperlink>
      <w:r>
        <w:rPr>
          <w:sz w:val="24"/>
          <w:szCs w:val="24"/>
          <w:lang w:val="en-CA"/>
        </w:rPr>
        <w:t xml:space="preserve"> ruled that </w:t>
      </w:r>
      <w:r w:rsidR="002548C1">
        <w:rPr>
          <w:sz w:val="24"/>
          <w:szCs w:val="24"/>
          <w:lang w:val="en-CA"/>
        </w:rPr>
        <w:t>schoolteachers</w:t>
      </w:r>
      <w:r>
        <w:rPr>
          <w:sz w:val="24"/>
          <w:szCs w:val="24"/>
          <w:lang w:val="en-CA"/>
        </w:rPr>
        <w:t xml:space="preserve"> who wore buttons and displayed posters </w:t>
      </w:r>
      <w:r w:rsidR="002548C1">
        <w:rPr>
          <w:sz w:val="24"/>
          <w:szCs w:val="24"/>
          <w:lang w:val="en-CA"/>
        </w:rPr>
        <w:t xml:space="preserve">I the classroom </w:t>
      </w:r>
      <w:r>
        <w:rPr>
          <w:sz w:val="24"/>
          <w:szCs w:val="24"/>
          <w:lang w:val="en-CA"/>
        </w:rPr>
        <w:t>with political messages were exercising their right to free expression</w:t>
      </w:r>
      <w:r w:rsidR="00315EA1">
        <w:rPr>
          <w:sz w:val="24"/>
          <w:szCs w:val="24"/>
          <w:lang w:val="en-CA"/>
        </w:rPr>
        <w:t xml:space="preserve">. This right </w:t>
      </w:r>
      <w:r>
        <w:rPr>
          <w:sz w:val="24"/>
          <w:szCs w:val="24"/>
          <w:lang w:val="en-CA"/>
        </w:rPr>
        <w:t xml:space="preserve">could not be curtailed by school authorities so long as such expression did not detract from the education of students.  </w:t>
      </w:r>
    </w:p>
    <w:sectPr w:rsidR="00FE7B9D" w:rsidSect="00C772EF">
      <w:headerReference w:type="default" r:id="rId17"/>
      <w:footerReference w:type="default" r:id="rId18"/>
      <w:footerReference w:type="first" r:id="rId19"/>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1CDB" w14:textId="77777777" w:rsidR="00821F15" w:rsidRDefault="00821F15">
      <w:r>
        <w:separator/>
      </w:r>
    </w:p>
  </w:endnote>
  <w:endnote w:type="continuationSeparator" w:id="0">
    <w:p w14:paraId="1A50C8ED" w14:textId="77777777" w:rsidR="00821F15" w:rsidRDefault="00821F15">
      <w:r>
        <w:continuationSeparator/>
      </w:r>
    </w:p>
  </w:endnote>
  <w:endnote w:id="1">
    <w:p w14:paraId="4EB7BBFD" w14:textId="77777777" w:rsidR="00BC1B95" w:rsidRPr="00135FEA" w:rsidRDefault="00BC1B95" w:rsidP="00BC1B95">
      <w:pPr>
        <w:pStyle w:val="EndnoteText"/>
        <w:rPr>
          <w:lang w:val="en-CA"/>
        </w:rPr>
      </w:pPr>
      <w:r>
        <w:rPr>
          <w:rStyle w:val="EndnoteReference"/>
        </w:rPr>
        <w:endnoteRef/>
      </w:r>
      <w:r>
        <w:t xml:space="preserve"> </w:t>
      </w:r>
      <w:r w:rsidRPr="009B3E4B">
        <w:rPr>
          <w:i/>
          <w:iCs/>
        </w:rPr>
        <w:t>McKinney v University of Guelph</w:t>
      </w:r>
      <w:r w:rsidRPr="009B3E4B">
        <w:t xml:space="preserve"> 1990 CanLII 60 (SCC), [1990] 3 SCR 229 at page 28</w:t>
      </w:r>
      <w:r>
        <w:t>1.</w:t>
      </w:r>
    </w:p>
  </w:endnote>
  <w:endnote w:id="2">
    <w:p w14:paraId="79B3C22E" w14:textId="77777777" w:rsidR="00BC1B95" w:rsidRPr="00135FEA" w:rsidRDefault="00BC1B95" w:rsidP="00BC1B95">
      <w:pPr>
        <w:pStyle w:val="EndnoteText"/>
        <w:rPr>
          <w:lang w:val="en-CA"/>
        </w:rPr>
      </w:pPr>
      <w:r>
        <w:rPr>
          <w:rStyle w:val="EndnoteReference"/>
        </w:rPr>
        <w:endnoteRef/>
      </w:r>
      <w:r>
        <w:t xml:space="preserve"> </w:t>
      </w:r>
      <w:r w:rsidRPr="009B3E4B">
        <w:rPr>
          <w:i/>
          <w:iCs/>
        </w:rPr>
        <w:t xml:space="preserve">McKinney </w:t>
      </w:r>
      <w:r w:rsidRPr="00832F8B">
        <w:t>(SCC</w:t>
      </w:r>
      <w:r>
        <w:rPr>
          <w:i/>
          <w:iCs/>
        </w:rPr>
        <w:t xml:space="preserve">) </w:t>
      </w:r>
      <w:r w:rsidRPr="009B3E4B">
        <w:t>at page 282</w:t>
      </w:r>
      <w:r>
        <w:t>.</w:t>
      </w:r>
    </w:p>
  </w:endnote>
  <w:endnote w:id="3">
    <w:p w14:paraId="002D66C9" w14:textId="77777777" w:rsidR="00BC1B95" w:rsidRPr="009B3E4B" w:rsidRDefault="00BC1B95" w:rsidP="00BC1B95">
      <w:pPr>
        <w:pStyle w:val="EndnoteText"/>
        <w:rPr>
          <w:lang w:val="en-CA"/>
        </w:rPr>
      </w:pPr>
      <w:r>
        <w:rPr>
          <w:rStyle w:val="EndnoteReference"/>
        </w:rPr>
        <w:endnoteRef/>
      </w:r>
      <w:r>
        <w:t xml:space="preserve"> </w:t>
      </w:r>
      <w:bookmarkStart w:id="0" w:name="_Hlk63332735"/>
      <w:r w:rsidRPr="009B3E4B">
        <w:rPr>
          <w:i/>
          <w:iCs/>
        </w:rPr>
        <w:t xml:space="preserve">McKinney </w:t>
      </w:r>
      <w:r w:rsidRPr="00832F8B">
        <w:t>(SCC)</w:t>
      </w:r>
      <w:r>
        <w:rPr>
          <w:i/>
          <w:iCs/>
        </w:rPr>
        <w:t xml:space="preserve"> </w:t>
      </w:r>
      <w:r w:rsidRPr="00135FEA">
        <w:t>at p</w:t>
      </w:r>
      <w:r>
        <w:t>ages</w:t>
      </w:r>
      <w:r w:rsidRPr="00135FEA">
        <w:t xml:space="preserve"> 286-287.</w:t>
      </w:r>
      <w:bookmarkEnd w:id="0"/>
    </w:p>
  </w:endnote>
  <w:endnote w:id="4">
    <w:p w14:paraId="68CCDB19" w14:textId="77777777" w:rsidR="00BC1B95" w:rsidRPr="005D28EA" w:rsidRDefault="00BC1B95" w:rsidP="00BC1B95">
      <w:pPr>
        <w:pStyle w:val="EndnoteText"/>
        <w:rPr>
          <w:lang w:val="en-CA"/>
        </w:rPr>
      </w:pPr>
      <w:r>
        <w:rPr>
          <w:rStyle w:val="EndnoteReference"/>
        </w:rPr>
        <w:endnoteRef/>
      </w:r>
      <w:r>
        <w:t xml:space="preserve"> </w:t>
      </w:r>
      <w:r w:rsidRPr="005D28EA">
        <w:rPr>
          <w:i/>
          <w:iCs/>
          <w:lang w:val="en-CA"/>
        </w:rPr>
        <w:t>Maugh</w:t>
      </w:r>
      <w:r>
        <w:rPr>
          <w:i/>
          <w:iCs/>
          <w:lang w:val="en-CA"/>
        </w:rPr>
        <w:t>a</w:t>
      </w:r>
      <w:r w:rsidRPr="005D28EA">
        <w:rPr>
          <w:i/>
          <w:iCs/>
          <w:lang w:val="en-CA"/>
        </w:rPr>
        <w:t>n v. UBC</w:t>
      </w:r>
      <w:r>
        <w:rPr>
          <w:lang w:val="en-CA"/>
        </w:rPr>
        <w:t>, 2008 BCSC 14, at para. 2.</w:t>
      </w:r>
    </w:p>
  </w:endnote>
  <w:endnote w:id="5">
    <w:p w14:paraId="15FE4320" w14:textId="77777777" w:rsidR="00BC1B95" w:rsidRPr="005D28EA" w:rsidRDefault="00BC1B95" w:rsidP="00BC1B95">
      <w:pPr>
        <w:pStyle w:val="EndnoteText"/>
        <w:rPr>
          <w:lang w:val="en-CA"/>
        </w:rPr>
      </w:pPr>
      <w:r>
        <w:rPr>
          <w:rStyle w:val="EndnoteReference"/>
        </w:rPr>
        <w:endnoteRef/>
      </w:r>
      <w:r>
        <w:t xml:space="preserve"> </w:t>
      </w:r>
      <w:r w:rsidRPr="005D28EA">
        <w:rPr>
          <w:i/>
          <w:iCs/>
          <w:lang w:val="en-CA"/>
        </w:rPr>
        <w:t>Maugh</w:t>
      </w:r>
      <w:r>
        <w:rPr>
          <w:i/>
          <w:iCs/>
          <w:lang w:val="en-CA"/>
        </w:rPr>
        <w:t>a</w:t>
      </w:r>
      <w:r w:rsidRPr="005D28EA">
        <w:rPr>
          <w:i/>
          <w:iCs/>
          <w:lang w:val="en-CA"/>
        </w:rPr>
        <w:t>n</w:t>
      </w:r>
      <w:r>
        <w:rPr>
          <w:lang w:val="en-CA"/>
        </w:rPr>
        <w:t xml:space="preserve"> (BCSC)</w:t>
      </w:r>
      <w:r w:rsidRPr="005D28EA">
        <w:rPr>
          <w:i/>
          <w:iCs/>
          <w:lang w:val="en-CA"/>
        </w:rPr>
        <w:t xml:space="preserve"> ibid</w:t>
      </w:r>
      <w:r>
        <w:rPr>
          <w:lang w:val="en-CA"/>
        </w:rPr>
        <w:t xml:space="preserve"> at para. 2. </w:t>
      </w:r>
    </w:p>
  </w:endnote>
  <w:endnote w:id="6">
    <w:p w14:paraId="5661D9D9" w14:textId="77777777" w:rsidR="00BC1B95" w:rsidRPr="00391BB2" w:rsidRDefault="00BC1B95" w:rsidP="00BC1B95">
      <w:pPr>
        <w:pStyle w:val="EndnoteText"/>
        <w:rPr>
          <w:lang w:val="en-CA"/>
        </w:rPr>
      </w:pPr>
      <w:r>
        <w:rPr>
          <w:rStyle w:val="EndnoteReference"/>
        </w:rPr>
        <w:endnoteRef/>
      </w:r>
      <w:r>
        <w:t xml:space="preserve"> </w:t>
      </w:r>
      <w:r w:rsidRPr="003129D4">
        <w:rPr>
          <w:i/>
          <w:iCs/>
          <w:lang w:val="en-CA"/>
        </w:rPr>
        <w:t>Pridgen v. University of Calgary</w:t>
      </w:r>
      <w:r w:rsidRPr="003129D4">
        <w:rPr>
          <w:lang w:val="en-CA"/>
        </w:rPr>
        <w:t>, 2012 ABCA 139</w:t>
      </w:r>
      <w:r>
        <w:rPr>
          <w:lang w:val="en-CA"/>
        </w:rPr>
        <w:t>, at para. 117.</w:t>
      </w:r>
      <w:r w:rsidRPr="003129D4">
        <w:rPr>
          <w:lang w:val="en-CA"/>
        </w:rPr>
        <w:t> </w:t>
      </w:r>
    </w:p>
  </w:endnote>
  <w:endnote w:id="7">
    <w:p w14:paraId="02EF2EA8" w14:textId="77777777" w:rsidR="00BC1B95" w:rsidRPr="009B3E4B" w:rsidRDefault="00BC1B95" w:rsidP="00BC1B95">
      <w:pPr>
        <w:pStyle w:val="EndnoteText"/>
        <w:rPr>
          <w:lang w:val="en-CA"/>
        </w:rPr>
      </w:pPr>
      <w:r>
        <w:rPr>
          <w:rStyle w:val="EndnoteReference"/>
        </w:rPr>
        <w:endnoteRef/>
      </w:r>
      <w:r>
        <w:t xml:space="preserve"> </w:t>
      </w:r>
      <w:r w:rsidRPr="009B3E4B">
        <w:rPr>
          <w:i/>
          <w:iCs/>
        </w:rPr>
        <w:t>Parent c. R</w:t>
      </w:r>
      <w:r w:rsidRPr="009B3E4B">
        <w:t>., 2014 QCCS 132</w:t>
      </w:r>
      <w:r>
        <w:t>, at para. 123.</w:t>
      </w:r>
    </w:p>
  </w:endnote>
  <w:endnote w:id="8">
    <w:p w14:paraId="2370B116" w14:textId="77777777" w:rsidR="007B5494" w:rsidRPr="006C0AC1" w:rsidRDefault="007B5494" w:rsidP="007B5494">
      <w:pPr>
        <w:pStyle w:val="EndnoteText"/>
        <w:rPr>
          <w:lang w:val="en-CA"/>
        </w:rPr>
      </w:pPr>
      <w:r>
        <w:rPr>
          <w:rStyle w:val="EndnoteReference"/>
        </w:rPr>
        <w:endnoteRef/>
      </w:r>
      <w:r>
        <w:t xml:space="preserve"> </w:t>
      </w:r>
      <w:r w:rsidRPr="006C0AC1">
        <w:rPr>
          <w:i/>
          <w:iCs/>
          <w:lang w:val="en-CA"/>
        </w:rPr>
        <w:t xml:space="preserve">University of Saskatchewan v University of Saskatchewan Faculty Association, </w:t>
      </w:r>
      <w:r w:rsidRPr="006C0AC1">
        <w:rPr>
          <w:lang w:val="en-CA"/>
        </w:rPr>
        <w:t>2015 CanLII 27479 (SK LA),</w:t>
      </w:r>
      <w:r w:rsidRPr="006C0AC1">
        <w:rPr>
          <w:i/>
          <w:iCs/>
          <w:lang w:val="en-CA"/>
        </w:rPr>
        <w:t xml:space="preserve"> </w:t>
      </w:r>
      <w:r w:rsidRPr="006C0AC1">
        <w:rPr>
          <w:lang w:val="en-CA"/>
        </w:rPr>
        <w:t>&lt;</w:t>
      </w:r>
      <w:hyperlink r:id="rId1" w:history="1">
        <w:r w:rsidRPr="006C0AC1">
          <w:rPr>
            <w:rStyle w:val="Hyperlink"/>
            <w:lang w:val="en-CA"/>
          </w:rPr>
          <w:t>https://canlii.ca/t/gj429</w:t>
        </w:r>
      </w:hyperlink>
      <w:r w:rsidRPr="006C0AC1">
        <w:rPr>
          <w:lang w:val="en-CA"/>
        </w:rPr>
        <w:t>&gt;</w:t>
      </w:r>
      <w:r>
        <w:rPr>
          <w:lang w:val="en-CA"/>
        </w:rPr>
        <w:t>.</w:t>
      </w:r>
    </w:p>
  </w:endnote>
  <w:endnote w:id="9">
    <w:p w14:paraId="35466605" w14:textId="77777777" w:rsidR="007B5494" w:rsidRPr="00E34B22" w:rsidRDefault="007B5494" w:rsidP="007B5494">
      <w:pPr>
        <w:pStyle w:val="EndnoteText"/>
        <w:rPr>
          <w:lang w:val="en-CA"/>
        </w:rPr>
      </w:pPr>
      <w:r>
        <w:rPr>
          <w:rStyle w:val="EndnoteReference"/>
        </w:rPr>
        <w:endnoteRef/>
      </w:r>
      <w:r>
        <w:t xml:space="preserve"> </w:t>
      </w:r>
      <w:r w:rsidRPr="00E34B22">
        <w:rPr>
          <w:i/>
          <w:iCs/>
          <w:lang w:val="en-CA"/>
        </w:rPr>
        <w:t>University of Manitoba Faculty Association and University of Manitoba</w:t>
      </w:r>
      <w:r w:rsidRPr="00E34B22">
        <w:rPr>
          <w:lang w:val="en-CA"/>
        </w:rPr>
        <w:t>, 1991 CanLII 13023 (MB LA), &lt;</w:t>
      </w:r>
      <w:hyperlink r:id="rId2" w:history="1">
        <w:r w:rsidRPr="00E34B22">
          <w:rPr>
            <w:rStyle w:val="Hyperlink"/>
            <w:lang w:val="en-CA"/>
          </w:rPr>
          <w:t>https://canlii.ca/t/jbgl2</w:t>
        </w:r>
      </w:hyperlink>
      <w:r w:rsidRPr="00E34B22">
        <w:rPr>
          <w:lang w:val="en-CA"/>
        </w:rPr>
        <w:t>&gt;</w:t>
      </w:r>
      <w:r>
        <w:rPr>
          <w:lang w:val="en-CA"/>
        </w:rPr>
        <w:t>.</w:t>
      </w:r>
    </w:p>
  </w:endnote>
  <w:endnote w:id="10">
    <w:p w14:paraId="68C49D2A" w14:textId="77777777" w:rsidR="007B5494" w:rsidRPr="00BD5A70" w:rsidRDefault="007B5494" w:rsidP="007B5494">
      <w:pPr>
        <w:pStyle w:val="EndnoteText"/>
        <w:rPr>
          <w:lang w:val="en-CA"/>
        </w:rPr>
      </w:pPr>
      <w:r>
        <w:rPr>
          <w:rStyle w:val="EndnoteReference"/>
        </w:rPr>
        <w:endnoteRef/>
      </w:r>
      <w:r>
        <w:t xml:space="preserve"> </w:t>
      </w:r>
      <w:r w:rsidRPr="00BD5A70">
        <w:rPr>
          <w:i/>
          <w:iCs/>
          <w:lang w:val="en-CA"/>
        </w:rPr>
        <w:t>York University and York University Faculty Association</w:t>
      </w:r>
      <w:r w:rsidRPr="00BD5A70">
        <w:rPr>
          <w:lang w:val="en-CA"/>
        </w:rPr>
        <w:t>, 2007 CanLII 50108 (ON LA), &lt;</w:t>
      </w:r>
      <w:hyperlink r:id="rId3" w:history="1">
        <w:r w:rsidRPr="00BD5A70">
          <w:rPr>
            <w:rStyle w:val="Hyperlink"/>
            <w:lang w:val="en-CA"/>
          </w:rPr>
          <w:t>https://canlii.ca/t/1ts19</w:t>
        </w:r>
      </w:hyperlink>
      <w:r w:rsidRPr="00BD5A70">
        <w:rPr>
          <w:lang w:val="en-CA"/>
        </w:rPr>
        <w:t>&gt;,</w:t>
      </w:r>
      <w:r>
        <w:rPr>
          <w:lang w:val="en-CA"/>
        </w:rPr>
        <w:t xml:space="preserve"> pp. 14-15.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030131"/>
      <w:docPartObj>
        <w:docPartGallery w:val="Page Numbers (Bottom of Page)"/>
        <w:docPartUnique/>
      </w:docPartObj>
    </w:sdtPr>
    <w:sdtEndPr>
      <w:rPr>
        <w:noProof/>
      </w:rPr>
    </w:sdtEndPr>
    <w:sdtContent>
      <w:p w14:paraId="2C3F6474" w14:textId="2E52796A" w:rsidR="00550BFA" w:rsidRDefault="00550B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76FBBF" w14:textId="77777777" w:rsidR="00D4007B" w:rsidRDefault="00D4007B" w:rsidP="00F80A14">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E51E" w14:textId="10E5290A" w:rsidR="00EF2930" w:rsidRDefault="00EF2930" w:rsidP="000F2385">
    <w:pPr>
      <w:autoSpaceDE w:val="0"/>
      <w:autoSpaceDN w:val="0"/>
      <w:adjustRightInd w:val="0"/>
      <w:rPr>
        <w:rFonts w:ascii="TimesNewRoman" w:hAnsi="TimesNewRoman" w:cs="TimesNewRoman"/>
        <w:sz w:val="24"/>
        <w:szCs w:val="24"/>
        <w:lang w:eastAsia="en-GB"/>
      </w:rPr>
    </w:pPr>
  </w:p>
  <w:p w14:paraId="42642CDD" w14:textId="77777777" w:rsidR="00EF2930" w:rsidRPr="00683D25" w:rsidRDefault="00EF2930" w:rsidP="000F2385">
    <w:pPr>
      <w:autoSpaceDE w:val="0"/>
      <w:autoSpaceDN w:val="0"/>
      <w:adjustRightInd w:val="0"/>
      <w:rPr>
        <w:rFonts w:ascii="TimesNewRoman" w:hAnsi="TimesNew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9F4B2" w14:textId="77777777" w:rsidR="00821F15" w:rsidRDefault="00821F15">
      <w:r>
        <w:separator/>
      </w:r>
    </w:p>
  </w:footnote>
  <w:footnote w:type="continuationSeparator" w:id="0">
    <w:p w14:paraId="0363CCF4" w14:textId="77777777" w:rsidR="00821F15" w:rsidRDefault="00821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6FBBE" w14:textId="5C9DAF67" w:rsidR="00D4007B" w:rsidRPr="00AD4CA9" w:rsidRDefault="00D4007B" w:rsidP="00F80A14">
    <w:pPr>
      <w:pStyle w:val="Header"/>
      <w:tabs>
        <w:tab w:val="clear" w:pos="4153"/>
        <w:tab w:val="clear" w:pos="8306"/>
        <w:tab w:val="right" w:pos="9214"/>
      </w:tabs>
      <w:spacing w:before="360" w:after="840"/>
      <w:rPr>
        <w:sz w:val="14"/>
        <w:szCs w:val="14"/>
        <w:lang w:val="en-GB"/>
      </w:rPr>
    </w:pPr>
    <w:r>
      <w:rPr>
        <w:sz w:val="14"/>
        <w:szCs w:val="14"/>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4" w15:restartNumberingAfterBreak="0">
    <w:nsid w:val="0C4C7A6A"/>
    <w:multiLevelType w:val="hybridMultilevel"/>
    <w:tmpl w:val="9B8E343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156B5507"/>
    <w:multiLevelType w:val="multilevel"/>
    <w:tmpl w:val="0AE4334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15B74ECC"/>
    <w:multiLevelType w:val="multilevel"/>
    <w:tmpl w:val="6C7C51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0" w15:restartNumberingAfterBreak="0">
    <w:nsid w:val="1E84553D"/>
    <w:multiLevelType w:val="multilevel"/>
    <w:tmpl w:val="879044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4D7AE8"/>
    <w:multiLevelType w:val="multilevel"/>
    <w:tmpl w:val="F306ED4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F610E4"/>
    <w:multiLevelType w:val="multilevel"/>
    <w:tmpl w:val="85E64ED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DB710E"/>
    <w:multiLevelType w:val="multilevel"/>
    <w:tmpl w:val="0144C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18"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924561"/>
    <w:multiLevelType w:val="hybridMultilevel"/>
    <w:tmpl w:val="AC40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1"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2"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8" w15:restartNumberingAfterBreak="0">
    <w:nsid w:val="63895BB1"/>
    <w:multiLevelType w:val="hybridMultilevel"/>
    <w:tmpl w:val="9DF071D8"/>
    <w:lvl w:ilvl="0" w:tplc="10090011">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0" w15:restartNumberingAfterBreak="0">
    <w:nsid w:val="6B5573AC"/>
    <w:multiLevelType w:val="multilevel"/>
    <w:tmpl w:val="CB588F5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6E6D18CC"/>
    <w:multiLevelType w:val="hybridMultilevel"/>
    <w:tmpl w:val="DD3CD03E"/>
    <w:lvl w:ilvl="0" w:tplc="10090017">
      <w:start w:val="1"/>
      <w:numFmt w:val="lowerLetter"/>
      <w:lvlText w:val="%1)"/>
      <w:lvlJc w:val="left"/>
      <w:pPr>
        <w:ind w:left="2576" w:hanging="360"/>
      </w:pPr>
    </w:lvl>
    <w:lvl w:ilvl="1" w:tplc="FFFFFFFF" w:tentative="1">
      <w:start w:val="1"/>
      <w:numFmt w:val="lowerLetter"/>
      <w:lvlText w:val="%2."/>
      <w:lvlJc w:val="left"/>
      <w:pPr>
        <w:ind w:left="3296" w:hanging="360"/>
      </w:pPr>
    </w:lvl>
    <w:lvl w:ilvl="2" w:tplc="FFFFFFFF" w:tentative="1">
      <w:start w:val="1"/>
      <w:numFmt w:val="lowerRoman"/>
      <w:lvlText w:val="%3."/>
      <w:lvlJc w:val="right"/>
      <w:pPr>
        <w:ind w:left="4016" w:hanging="180"/>
      </w:pPr>
    </w:lvl>
    <w:lvl w:ilvl="3" w:tplc="FFFFFFFF" w:tentative="1">
      <w:start w:val="1"/>
      <w:numFmt w:val="decimal"/>
      <w:lvlText w:val="%4."/>
      <w:lvlJc w:val="left"/>
      <w:pPr>
        <w:ind w:left="4736" w:hanging="360"/>
      </w:pPr>
    </w:lvl>
    <w:lvl w:ilvl="4" w:tplc="FFFFFFFF" w:tentative="1">
      <w:start w:val="1"/>
      <w:numFmt w:val="lowerLetter"/>
      <w:lvlText w:val="%5."/>
      <w:lvlJc w:val="left"/>
      <w:pPr>
        <w:ind w:left="5456" w:hanging="360"/>
      </w:pPr>
    </w:lvl>
    <w:lvl w:ilvl="5" w:tplc="FFFFFFFF" w:tentative="1">
      <w:start w:val="1"/>
      <w:numFmt w:val="lowerRoman"/>
      <w:lvlText w:val="%6."/>
      <w:lvlJc w:val="right"/>
      <w:pPr>
        <w:ind w:left="6176" w:hanging="180"/>
      </w:pPr>
    </w:lvl>
    <w:lvl w:ilvl="6" w:tplc="FFFFFFFF" w:tentative="1">
      <w:start w:val="1"/>
      <w:numFmt w:val="decimal"/>
      <w:lvlText w:val="%7."/>
      <w:lvlJc w:val="left"/>
      <w:pPr>
        <w:ind w:left="6896" w:hanging="360"/>
      </w:pPr>
    </w:lvl>
    <w:lvl w:ilvl="7" w:tplc="FFFFFFFF" w:tentative="1">
      <w:start w:val="1"/>
      <w:numFmt w:val="lowerLetter"/>
      <w:lvlText w:val="%8."/>
      <w:lvlJc w:val="left"/>
      <w:pPr>
        <w:ind w:left="7616" w:hanging="360"/>
      </w:pPr>
    </w:lvl>
    <w:lvl w:ilvl="8" w:tplc="FFFFFFFF" w:tentative="1">
      <w:start w:val="1"/>
      <w:numFmt w:val="lowerRoman"/>
      <w:lvlText w:val="%9."/>
      <w:lvlJc w:val="right"/>
      <w:pPr>
        <w:ind w:left="8336" w:hanging="180"/>
      </w:pPr>
    </w:lvl>
  </w:abstractNum>
  <w:abstractNum w:abstractNumId="32"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5402A7"/>
    <w:multiLevelType w:val="multilevel"/>
    <w:tmpl w:val="C04EF0B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4"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C3340F"/>
    <w:multiLevelType w:val="multilevel"/>
    <w:tmpl w:val="1C3803A2"/>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16cid:durableId="177813922">
    <w:abstractNumId w:val="22"/>
  </w:num>
  <w:num w:numId="2" w16cid:durableId="41102181">
    <w:abstractNumId w:val="34"/>
  </w:num>
  <w:num w:numId="3" w16cid:durableId="1383209208">
    <w:abstractNumId w:val="24"/>
  </w:num>
  <w:num w:numId="4" w16cid:durableId="1223062930">
    <w:abstractNumId w:val="11"/>
  </w:num>
  <w:num w:numId="5" w16cid:durableId="2118941600">
    <w:abstractNumId w:val="25"/>
  </w:num>
  <w:num w:numId="6" w16cid:durableId="337465453">
    <w:abstractNumId w:val="15"/>
  </w:num>
  <w:num w:numId="7" w16cid:durableId="1254700196">
    <w:abstractNumId w:val="2"/>
  </w:num>
  <w:num w:numId="8" w16cid:durableId="1317997900">
    <w:abstractNumId w:val="17"/>
  </w:num>
  <w:num w:numId="9" w16cid:durableId="695038539">
    <w:abstractNumId w:val="3"/>
  </w:num>
  <w:num w:numId="10" w16cid:durableId="2044551335">
    <w:abstractNumId w:val="1"/>
  </w:num>
  <w:num w:numId="11" w16cid:durableId="1306617363">
    <w:abstractNumId w:val="13"/>
  </w:num>
  <w:num w:numId="12" w16cid:durableId="528297581">
    <w:abstractNumId w:val="29"/>
  </w:num>
  <w:num w:numId="13" w16cid:durableId="687371278">
    <w:abstractNumId w:val="32"/>
  </w:num>
  <w:num w:numId="14" w16cid:durableId="1543320972">
    <w:abstractNumId w:val="21"/>
  </w:num>
  <w:num w:numId="15" w16cid:durableId="1306398189">
    <w:abstractNumId w:val="8"/>
  </w:num>
  <w:num w:numId="16" w16cid:durableId="1956328715">
    <w:abstractNumId w:val="0"/>
  </w:num>
  <w:num w:numId="17" w16cid:durableId="1002508268">
    <w:abstractNumId w:val="27"/>
  </w:num>
  <w:num w:numId="18" w16cid:durableId="1429934609">
    <w:abstractNumId w:val="9"/>
  </w:num>
  <w:num w:numId="19" w16cid:durableId="2054229550">
    <w:abstractNumId w:val="20"/>
  </w:num>
  <w:num w:numId="20" w16cid:durableId="457915957">
    <w:abstractNumId w:val="5"/>
  </w:num>
  <w:num w:numId="21" w16cid:durableId="1844466440">
    <w:abstractNumId w:val="26"/>
  </w:num>
  <w:num w:numId="22" w16cid:durableId="636640606">
    <w:abstractNumId w:val="23"/>
  </w:num>
  <w:num w:numId="23" w16cid:durableId="555507400">
    <w:abstractNumId w:val="18"/>
  </w:num>
  <w:num w:numId="24" w16cid:durableId="1061829933">
    <w:abstractNumId w:val="7"/>
  </w:num>
  <w:num w:numId="25" w16cid:durableId="1383481887">
    <w:abstractNumId w:val="16"/>
  </w:num>
  <w:num w:numId="26" w16cid:durableId="2013487960">
    <w:abstractNumId w:val="12"/>
  </w:num>
  <w:num w:numId="27" w16cid:durableId="1653145641">
    <w:abstractNumId w:val="10"/>
  </w:num>
  <w:num w:numId="28" w16cid:durableId="1329018598">
    <w:abstractNumId w:val="19"/>
  </w:num>
  <w:num w:numId="29" w16cid:durableId="14049130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188958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64040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03866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786538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538383">
    <w:abstractNumId w:val="28"/>
  </w:num>
  <w:num w:numId="35" w16cid:durableId="158695020">
    <w:abstractNumId w:val="4"/>
  </w:num>
  <w:num w:numId="36" w16cid:durableId="23678836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1C6"/>
    <w:rsid w:val="000003A9"/>
    <w:rsid w:val="0000105C"/>
    <w:rsid w:val="000138F6"/>
    <w:rsid w:val="00014D92"/>
    <w:rsid w:val="000225FC"/>
    <w:rsid w:val="00026D1F"/>
    <w:rsid w:val="0003674D"/>
    <w:rsid w:val="0005390B"/>
    <w:rsid w:val="00063BFD"/>
    <w:rsid w:val="00077294"/>
    <w:rsid w:val="000875C6"/>
    <w:rsid w:val="00091AC2"/>
    <w:rsid w:val="00091BF0"/>
    <w:rsid w:val="000A2B89"/>
    <w:rsid w:val="000A6F03"/>
    <w:rsid w:val="000C233E"/>
    <w:rsid w:val="000C7660"/>
    <w:rsid w:val="000D210E"/>
    <w:rsid w:val="000D34F2"/>
    <w:rsid w:val="000D5600"/>
    <w:rsid w:val="000E2860"/>
    <w:rsid w:val="000E42EE"/>
    <w:rsid w:val="000E7AF7"/>
    <w:rsid w:val="000F183C"/>
    <w:rsid w:val="000F2385"/>
    <w:rsid w:val="00103AE3"/>
    <w:rsid w:val="00106F64"/>
    <w:rsid w:val="00115798"/>
    <w:rsid w:val="00117F5F"/>
    <w:rsid w:val="001205D6"/>
    <w:rsid w:val="00131839"/>
    <w:rsid w:val="0013487C"/>
    <w:rsid w:val="001456CB"/>
    <w:rsid w:val="001537CC"/>
    <w:rsid w:val="00153DB2"/>
    <w:rsid w:val="0015615C"/>
    <w:rsid w:val="001676BA"/>
    <w:rsid w:val="00183B60"/>
    <w:rsid w:val="00186C4F"/>
    <w:rsid w:val="00194332"/>
    <w:rsid w:val="00196A2E"/>
    <w:rsid w:val="001A46C3"/>
    <w:rsid w:val="001B0523"/>
    <w:rsid w:val="001B7B09"/>
    <w:rsid w:val="001C4360"/>
    <w:rsid w:val="001D3313"/>
    <w:rsid w:val="001E3384"/>
    <w:rsid w:val="0020144A"/>
    <w:rsid w:val="002028A9"/>
    <w:rsid w:val="0021296A"/>
    <w:rsid w:val="002129D5"/>
    <w:rsid w:val="00221893"/>
    <w:rsid w:val="00224386"/>
    <w:rsid w:val="00227E2F"/>
    <w:rsid w:val="00230775"/>
    <w:rsid w:val="00235A1A"/>
    <w:rsid w:val="002431DB"/>
    <w:rsid w:val="00244860"/>
    <w:rsid w:val="0024583B"/>
    <w:rsid w:val="002470BE"/>
    <w:rsid w:val="0025174E"/>
    <w:rsid w:val="002548C1"/>
    <w:rsid w:val="00257195"/>
    <w:rsid w:val="00262524"/>
    <w:rsid w:val="00266D70"/>
    <w:rsid w:val="00272201"/>
    <w:rsid w:val="00282E14"/>
    <w:rsid w:val="0028624E"/>
    <w:rsid w:val="002863A2"/>
    <w:rsid w:val="002873B2"/>
    <w:rsid w:val="00293243"/>
    <w:rsid w:val="002969BF"/>
    <w:rsid w:val="002975C1"/>
    <w:rsid w:val="002A2F06"/>
    <w:rsid w:val="002A5AA8"/>
    <w:rsid w:val="002B3D33"/>
    <w:rsid w:val="002B4B8A"/>
    <w:rsid w:val="002D21F2"/>
    <w:rsid w:val="002E65F4"/>
    <w:rsid w:val="002F68F0"/>
    <w:rsid w:val="00305B08"/>
    <w:rsid w:val="00315EA1"/>
    <w:rsid w:val="00317F0A"/>
    <w:rsid w:val="00335FB9"/>
    <w:rsid w:val="003376D0"/>
    <w:rsid w:val="00340E8C"/>
    <w:rsid w:val="00356299"/>
    <w:rsid w:val="003577DB"/>
    <w:rsid w:val="00360493"/>
    <w:rsid w:val="00380489"/>
    <w:rsid w:val="00384E88"/>
    <w:rsid w:val="00386C90"/>
    <w:rsid w:val="003956EF"/>
    <w:rsid w:val="00396E4C"/>
    <w:rsid w:val="003A3957"/>
    <w:rsid w:val="003B488C"/>
    <w:rsid w:val="003C0090"/>
    <w:rsid w:val="003C37C3"/>
    <w:rsid w:val="003D0C10"/>
    <w:rsid w:val="003D3D66"/>
    <w:rsid w:val="003E552B"/>
    <w:rsid w:val="00401FD2"/>
    <w:rsid w:val="00410560"/>
    <w:rsid w:val="00411C0A"/>
    <w:rsid w:val="004153DE"/>
    <w:rsid w:val="00415EFC"/>
    <w:rsid w:val="0043060F"/>
    <w:rsid w:val="00440385"/>
    <w:rsid w:val="00440E30"/>
    <w:rsid w:val="00440ED0"/>
    <w:rsid w:val="00443DF5"/>
    <w:rsid w:val="004454D0"/>
    <w:rsid w:val="00447412"/>
    <w:rsid w:val="00454EC3"/>
    <w:rsid w:val="00455C6D"/>
    <w:rsid w:val="00456419"/>
    <w:rsid w:val="00460258"/>
    <w:rsid w:val="004614D4"/>
    <w:rsid w:val="00483FC0"/>
    <w:rsid w:val="00485B7C"/>
    <w:rsid w:val="00495C01"/>
    <w:rsid w:val="004A5D9B"/>
    <w:rsid w:val="004B4CAC"/>
    <w:rsid w:val="004B709A"/>
    <w:rsid w:val="004C044F"/>
    <w:rsid w:val="004C3786"/>
    <w:rsid w:val="004C72E6"/>
    <w:rsid w:val="004D14C7"/>
    <w:rsid w:val="004D21C9"/>
    <w:rsid w:val="004D3D30"/>
    <w:rsid w:val="004D46FD"/>
    <w:rsid w:val="004D5717"/>
    <w:rsid w:val="004D5D19"/>
    <w:rsid w:val="004E0AB6"/>
    <w:rsid w:val="004E49EC"/>
    <w:rsid w:val="004E4D86"/>
    <w:rsid w:val="004F4DB0"/>
    <w:rsid w:val="0050455C"/>
    <w:rsid w:val="00506218"/>
    <w:rsid w:val="005167F0"/>
    <w:rsid w:val="00520DCB"/>
    <w:rsid w:val="005245DD"/>
    <w:rsid w:val="00530EF5"/>
    <w:rsid w:val="00535992"/>
    <w:rsid w:val="005417E4"/>
    <w:rsid w:val="005455F8"/>
    <w:rsid w:val="00550BFA"/>
    <w:rsid w:val="0055573E"/>
    <w:rsid w:val="00562D63"/>
    <w:rsid w:val="00570A1B"/>
    <w:rsid w:val="00570E41"/>
    <w:rsid w:val="00576638"/>
    <w:rsid w:val="005849E6"/>
    <w:rsid w:val="00585F8E"/>
    <w:rsid w:val="005871D9"/>
    <w:rsid w:val="00590218"/>
    <w:rsid w:val="005957ED"/>
    <w:rsid w:val="005A5A1D"/>
    <w:rsid w:val="005A5C51"/>
    <w:rsid w:val="005B284C"/>
    <w:rsid w:val="005B744E"/>
    <w:rsid w:val="005C677D"/>
    <w:rsid w:val="005D622D"/>
    <w:rsid w:val="005E7C37"/>
    <w:rsid w:val="005F283E"/>
    <w:rsid w:val="0060068B"/>
    <w:rsid w:val="0060785C"/>
    <w:rsid w:val="00627A52"/>
    <w:rsid w:val="0063240F"/>
    <w:rsid w:val="00635102"/>
    <w:rsid w:val="00636BD7"/>
    <w:rsid w:val="006375A5"/>
    <w:rsid w:val="006412EA"/>
    <w:rsid w:val="00645695"/>
    <w:rsid w:val="00650CD4"/>
    <w:rsid w:val="006532CA"/>
    <w:rsid w:val="006605E5"/>
    <w:rsid w:val="00660EDA"/>
    <w:rsid w:val="006617A4"/>
    <w:rsid w:val="00661BF1"/>
    <w:rsid w:val="00667227"/>
    <w:rsid w:val="006749F6"/>
    <w:rsid w:val="00682D26"/>
    <w:rsid w:val="00682DDB"/>
    <w:rsid w:val="006834E4"/>
    <w:rsid w:val="00683D25"/>
    <w:rsid w:val="00687E4F"/>
    <w:rsid w:val="006924CF"/>
    <w:rsid w:val="00695D3E"/>
    <w:rsid w:val="006A07AD"/>
    <w:rsid w:val="006A7352"/>
    <w:rsid w:val="006B5A71"/>
    <w:rsid w:val="006D0D94"/>
    <w:rsid w:val="006D37D7"/>
    <w:rsid w:val="006D5B97"/>
    <w:rsid w:val="006E6CC3"/>
    <w:rsid w:val="006F4B15"/>
    <w:rsid w:val="006F790C"/>
    <w:rsid w:val="007114F8"/>
    <w:rsid w:val="00711F29"/>
    <w:rsid w:val="00712363"/>
    <w:rsid w:val="00712EFD"/>
    <w:rsid w:val="00716886"/>
    <w:rsid w:val="00716D30"/>
    <w:rsid w:val="007210F6"/>
    <w:rsid w:val="00723438"/>
    <w:rsid w:val="00733660"/>
    <w:rsid w:val="00741EBC"/>
    <w:rsid w:val="007432E5"/>
    <w:rsid w:val="007450E8"/>
    <w:rsid w:val="00756E9B"/>
    <w:rsid w:val="007625BA"/>
    <w:rsid w:val="00776BDB"/>
    <w:rsid w:val="007846E5"/>
    <w:rsid w:val="007877AB"/>
    <w:rsid w:val="00790C76"/>
    <w:rsid w:val="00790CBE"/>
    <w:rsid w:val="0079503A"/>
    <w:rsid w:val="00795469"/>
    <w:rsid w:val="00796729"/>
    <w:rsid w:val="00797214"/>
    <w:rsid w:val="007A4975"/>
    <w:rsid w:val="007B01A6"/>
    <w:rsid w:val="007B5494"/>
    <w:rsid w:val="007B5929"/>
    <w:rsid w:val="007C4483"/>
    <w:rsid w:val="007C4A8E"/>
    <w:rsid w:val="007C5369"/>
    <w:rsid w:val="007D1657"/>
    <w:rsid w:val="007D47FE"/>
    <w:rsid w:val="007D78F9"/>
    <w:rsid w:val="007E39E1"/>
    <w:rsid w:val="007F7DA3"/>
    <w:rsid w:val="00807D4D"/>
    <w:rsid w:val="0081788D"/>
    <w:rsid w:val="00821F15"/>
    <w:rsid w:val="00842120"/>
    <w:rsid w:val="00842220"/>
    <w:rsid w:val="008427AA"/>
    <w:rsid w:val="00845C19"/>
    <w:rsid w:val="00846B4A"/>
    <w:rsid w:val="00851B7C"/>
    <w:rsid w:val="008553DE"/>
    <w:rsid w:val="008568EA"/>
    <w:rsid w:val="00863357"/>
    <w:rsid w:val="008656FA"/>
    <w:rsid w:val="0086736C"/>
    <w:rsid w:val="00867935"/>
    <w:rsid w:val="00871B94"/>
    <w:rsid w:val="00874280"/>
    <w:rsid w:val="008774E3"/>
    <w:rsid w:val="008900C5"/>
    <w:rsid w:val="008A2623"/>
    <w:rsid w:val="008A2957"/>
    <w:rsid w:val="008B33E8"/>
    <w:rsid w:val="008B4DD7"/>
    <w:rsid w:val="008B4F3E"/>
    <w:rsid w:val="008B6B53"/>
    <w:rsid w:val="008C2924"/>
    <w:rsid w:val="008C60C0"/>
    <w:rsid w:val="008D1A3C"/>
    <w:rsid w:val="008D3B8A"/>
    <w:rsid w:val="008E0B63"/>
    <w:rsid w:val="008E46C1"/>
    <w:rsid w:val="008F3473"/>
    <w:rsid w:val="009066BC"/>
    <w:rsid w:val="009240B2"/>
    <w:rsid w:val="00925A9D"/>
    <w:rsid w:val="009337F5"/>
    <w:rsid w:val="009358CD"/>
    <w:rsid w:val="00944040"/>
    <w:rsid w:val="00944E25"/>
    <w:rsid w:val="00945265"/>
    <w:rsid w:val="009469B5"/>
    <w:rsid w:val="00946B6F"/>
    <w:rsid w:val="00951601"/>
    <w:rsid w:val="009658A9"/>
    <w:rsid w:val="00977C96"/>
    <w:rsid w:val="00982FCF"/>
    <w:rsid w:val="00983FB8"/>
    <w:rsid w:val="0098565E"/>
    <w:rsid w:val="00986237"/>
    <w:rsid w:val="00987912"/>
    <w:rsid w:val="00990830"/>
    <w:rsid w:val="00997618"/>
    <w:rsid w:val="009A2849"/>
    <w:rsid w:val="009B459A"/>
    <w:rsid w:val="009C72D8"/>
    <w:rsid w:val="009D76A9"/>
    <w:rsid w:val="009E00AF"/>
    <w:rsid w:val="009F18EC"/>
    <w:rsid w:val="009F2043"/>
    <w:rsid w:val="00A00A6E"/>
    <w:rsid w:val="00A01741"/>
    <w:rsid w:val="00A06803"/>
    <w:rsid w:val="00A153DB"/>
    <w:rsid w:val="00A21EF1"/>
    <w:rsid w:val="00A2631E"/>
    <w:rsid w:val="00A34DA7"/>
    <w:rsid w:val="00A364CF"/>
    <w:rsid w:val="00A3761B"/>
    <w:rsid w:val="00A40490"/>
    <w:rsid w:val="00A439B9"/>
    <w:rsid w:val="00A54482"/>
    <w:rsid w:val="00A564C7"/>
    <w:rsid w:val="00A61B32"/>
    <w:rsid w:val="00A61E26"/>
    <w:rsid w:val="00A63977"/>
    <w:rsid w:val="00A86B19"/>
    <w:rsid w:val="00A86E08"/>
    <w:rsid w:val="00A9048E"/>
    <w:rsid w:val="00A92159"/>
    <w:rsid w:val="00AA1AE0"/>
    <w:rsid w:val="00AA2691"/>
    <w:rsid w:val="00AA3895"/>
    <w:rsid w:val="00AB3535"/>
    <w:rsid w:val="00AB763F"/>
    <w:rsid w:val="00AC015D"/>
    <w:rsid w:val="00AC50E4"/>
    <w:rsid w:val="00AD1796"/>
    <w:rsid w:val="00AD4CA9"/>
    <w:rsid w:val="00AD75DC"/>
    <w:rsid w:val="00AE2231"/>
    <w:rsid w:val="00AE3819"/>
    <w:rsid w:val="00AE69A2"/>
    <w:rsid w:val="00AE796C"/>
    <w:rsid w:val="00AF291B"/>
    <w:rsid w:val="00AF3626"/>
    <w:rsid w:val="00AF73D0"/>
    <w:rsid w:val="00B04529"/>
    <w:rsid w:val="00B07B15"/>
    <w:rsid w:val="00B10799"/>
    <w:rsid w:val="00B13589"/>
    <w:rsid w:val="00B14752"/>
    <w:rsid w:val="00B234F6"/>
    <w:rsid w:val="00B246B4"/>
    <w:rsid w:val="00B2618C"/>
    <w:rsid w:val="00B30EA6"/>
    <w:rsid w:val="00B31236"/>
    <w:rsid w:val="00B41AEA"/>
    <w:rsid w:val="00B42B30"/>
    <w:rsid w:val="00B43D96"/>
    <w:rsid w:val="00B4534B"/>
    <w:rsid w:val="00B458F6"/>
    <w:rsid w:val="00B54DD5"/>
    <w:rsid w:val="00B61545"/>
    <w:rsid w:val="00B73FA8"/>
    <w:rsid w:val="00B73FD1"/>
    <w:rsid w:val="00B7425B"/>
    <w:rsid w:val="00B84F46"/>
    <w:rsid w:val="00BA0460"/>
    <w:rsid w:val="00BB3F81"/>
    <w:rsid w:val="00BB5492"/>
    <w:rsid w:val="00BC009B"/>
    <w:rsid w:val="00BC1B95"/>
    <w:rsid w:val="00BD2C78"/>
    <w:rsid w:val="00BD6119"/>
    <w:rsid w:val="00BE218C"/>
    <w:rsid w:val="00BF539E"/>
    <w:rsid w:val="00BF69D2"/>
    <w:rsid w:val="00C02DDB"/>
    <w:rsid w:val="00C07B5F"/>
    <w:rsid w:val="00C12BED"/>
    <w:rsid w:val="00C162CD"/>
    <w:rsid w:val="00C17B65"/>
    <w:rsid w:val="00C234D8"/>
    <w:rsid w:val="00C23DDD"/>
    <w:rsid w:val="00C30506"/>
    <w:rsid w:val="00C35851"/>
    <w:rsid w:val="00C427D7"/>
    <w:rsid w:val="00C50365"/>
    <w:rsid w:val="00C56B9F"/>
    <w:rsid w:val="00C6141D"/>
    <w:rsid w:val="00C64254"/>
    <w:rsid w:val="00C707EA"/>
    <w:rsid w:val="00C73CD7"/>
    <w:rsid w:val="00C74811"/>
    <w:rsid w:val="00C772EF"/>
    <w:rsid w:val="00C82CCE"/>
    <w:rsid w:val="00C841B9"/>
    <w:rsid w:val="00C91085"/>
    <w:rsid w:val="00CA65D2"/>
    <w:rsid w:val="00CB1C6E"/>
    <w:rsid w:val="00CB643F"/>
    <w:rsid w:val="00CC5BEF"/>
    <w:rsid w:val="00CD67FB"/>
    <w:rsid w:val="00CE3298"/>
    <w:rsid w:val="00CE6A0E"/>
    <w:rsid w:val="00D00DDC"/>
    <w:rsid w:val="00D018B1"/>
    <w:rsid w:val="00D02F61"/>
    <w:rsid w:val="00D075E5"/>
    <w:rsid w:val="00D1125E"/>
    <w:rsid w:val="00D115F7"/>
    <w:rsid w:val="00D129FA"/>
    <w:rsid w:val="00D16D56"/>
    <w:rsid w:val="00D230B7"/>
    <w:rsid w:val="00D32E5B"/>
    <w:rsid w:val="00D337A9"/>
    <w:rsid w:val="00D3608E"/>
    <w:rsid w:val="00D36635"/>
    <w:rsid w:val="00D4007B"/>
    <w:rsid w:val="00D458A1"/>
    <w:rsid w:val="00D4635B"/>
    <w:rsid w:val="00D5082F"/>
    <w:rsid w:val="00D67524"/>
    <w:rsid w:val="00D70178"/>
    <w:rsid w:val="00D82BE4"/>
    <w:rsid w:val="00D84C7E"/>
    <w:rsid w:val="00D963DD"/>
    <w:rsid w:val="00D968C8"/>
    <w:rsid w:val="00DA5FC2"/>
    <w:rsid w:val="00DB007B"/>
    <w:rsid w:val="00DB33A4"/>
    <w:rsid w:val="00DB415F"/>
    <w:rsid w:val="00DB5055"/>
    <w:rsid w:val="00DB5616"/>
    <w:rsid w:val="00DC0CA6"/>
    <w:rsid w:val="00DD4909"/>
    <w:rsid w:val="00DE0B44"/>
    <w:rsid w:val="00DE5C84"/>
    <w:rsid w:val="00E14B3F"/>
    <w:rsid w:val="00E15347"/>
    <w:rsid w:val="00E22392"/>
    <w:rsid w:val="00E30296"/>
    <w:rsid w:val="00E4367D"/>
    <w:rsid w:val="00E47F1B"/>
    <w:rsid w:val="00E56372"/>
    <w:rsid w:val="00E60057"/>
    <w:rsid w:val="00E6747D"/>
    <w:rsid w:val="00E679E8"/>
    <w:rsid w:val="00E73F13"/>
    <w:rsid w:val="00E84288"/>
    <w:rsid w:val="00E95052"/>
    <w:rsid w:val="00E95A48"/>
    <w:rsid w:val="00E97A8F"/>
    <w:rsid w:val="00EA0D6A"/>
    <w:rsid w:val="00EA6B3E"/>
    <w:rsid w:val="00EB2578"/>
    <w:rsid w:val="00EB4CDE"/>
    <w:rsid w:val="00EC123F"/>
    <w:rsid w:val="00EC3E83"/>
    <w:rsid w:val="00EC6F64"/>
    <w:rsid w:val="00EE0A7C"/>
    <w:rsid w:val="00EE5BA8"/>
    <w:rsid w:val="00EE6765"/>
    <w:rsid w:val="00EF0B0D"/>
    <w:rsid w:val="00EF2930"/>
    <w:rsid w:val="00F006B5"/>
    <w:rsid w:val="00F0710E"/>
    <w:rsid w:val="00F07C8F"/>
    <w:rsid w:val="00F130B3"/>
    <w:rsid w:val="00F14740"/>
    <w:rsid w:val="00F161EC"/>
    <w:rsid w:val="00F44EA7"/>
    <w:rsid w:val="00F47B64"/>
    <w:rsid w:val="00F611C6"/>
    <w:rsid w:val="00F62027"/>
    <w:rsid w:val="00F6733B"/>
    <w:rsid w:val="00F76934"/>
    <w:rsid w:val="00F80A14"/>
    <w:rsid w:val="00F80D28"/>
    <w:rsid w:val="00F80E97"/>
    <w:rsid w:val="00F927D4"/>
    <w:rsid w:val="00FA61F7"/>
    <w:rsid w:val="00FB1650"/>
    <w:rsid w:val="00FB32FB"/>
    <w:rsid w:val="00FB365F"/>
    <w:rsid w:val="00FB41B6"/>
    <w:rsid w:val="00FC0B84"/>
    <w:rsid w:val="00FC1DDB"/>
    <w:rsid w:val="00FD41D3"/>
    <w:rsid w:val="00FD659F"/>
    <w:rsid w:val="00FE18A9"/>
    <w:rsid w:val="00FE6E4C"/>
    <w:rsid w:val="00FE7B9D"/>
    <w:rsid w:val="00FF3CEE"/>
    <w:rsid w:val="00FF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76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uiPriority w:val="99"/>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rsid w:val="008A2957"/>
    <w:rPr>
      <w:sz w:val="16"/>
      <w:szCs w:val="16"/>
    </w:rPr>
  </w:style>
  <w:style w:type="paragraph" w:styleId="CommentText">
    <w:name w:val="annotation text"/>
    <w:basedOn w:val="Normal"/>
    <w:link w:val="CommentTextChar"/>
    <w:rsid w:val="008A2957"/>
  </w:style>
  <w:style w:type="character" w:customStyle="1" w:styleId="CommentTextChar">
    <w:name w:val="Comment Text Char"/>
    <w:link w:val="CommentText"/>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basedOn w:val="Normal"/>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customStyle="1" w:styleId="BodyA">
    <w:name w:val="Body A"/>
    <w:uiPriority w:val="99"/>
    <w:rsid w:val="000F2385"/>
    <w:pPr>
      <w:pBdr>
        <w:top w:val="nil"/>
        <w:left w:val="nil"/>
        <w:bottom w:val="nil"/>
        <w:right w:val="nil"/>
        <w:between w:val="nil"/>
        <w:bar w:val="nil"/>
      </w:pBdr>
    </w:pPr>
    <w:rPr>
      <w:rFonts w:ascii="Cambria" w:eastAsia="Arial Unicode MS" w:hAnsi="Cambria" w:cs="Arial Unicode MS"/>
      <w:color w:val="000000"/>
      <w:sz w:val="24"/>
      <w:szCs w:val="24"/>
      <w:u w:color="000000"/>
      <w:bdr w:val="nil"/>
      <w:lang w:val="en-US"/>
      <w14:textOutline w14:w="12700" w14:cap="flat" w14:cmpd="sng" w14:algn="ctr">
        <w14:noFill/>
        <w14:prstDash w14:val="solid"/>
        <w14:miter w14:lim="400000"/>
      </w14:textOutline>
    </w:rPr>
  </w:style>
  <w:style w:type="paragraph" w:customStyle="1" w:styleId="Default">
    <w:name w:val="Default"/>
    <w:uiPriority w:val="99"/>
    <w:rsid w:val="000F2385"/>
    <w:pPr>
      <w:autoSpaceDE w:val="0"/>
      <w:autoSpaceDN w:val="0"/>
      <w:adjustRightInd w:val="0"/>
    </w:pPr>
    <w:rPr>
      <w:rFonts w:ascii="Calibri" w:hAnsi="Calibri" w:cs="Calibri"/>
      <w:color w:val="000000"/>
      <w:sz w:val="24"/>
      <w:szCs w:val="24"/>
    </w:rPr>
  </w:style>
  <w:style w:type="character" w:customStyle="1" w:styleId="None">
    <w:name w:val="None"/>
    <w:rsid w:val="000F2385"/>
  </w:style>
  <w:style w:type="character" w:customStyle="1" w:styleId="Hyperlink1">
    <w:name w:val="Hyperlink.1"/>
    <w:basedOn w:val="None"/>
    <w:rsid w:val="000F2385"/>
    <w:rPr>
      <w:rFonts w:ascii="Times New Roman" w:eastAsia="Times New Roman" w:hAnsi="Times New Roman" w:cs="Times New Roman"/>
      <w:outline w:val="0"/>
      <w:color w:val="0000FF"/>
      <w:u w:val="single" w:color="0000FF"/>
      <w:lang w:val="pt-PT"/>
    </w:rPr>
  </w:style>
  <w:style w:type="character" w:styleId="UnresolvedMention">
    <w:name w:val="Unresolved Mention"/>
    <w:basedOn w:val="DefaultParagraphFont"/>
    <w:uiPriority w:val="99"/>
    <w:semiHidden/>
    <w:unhideWhenUsed/>
    <w:rsid w:val="009658A9"/>
    <w:rPr>
      <w:color w:val="605E5C"/>
      <w:shd w:val="clear" w:color="auto" w:fill="E1DFDD"/>
    </w:rPr>
  </w:style>
  <w:style w:type="character" w:styleId="FollowedHyperlink">
    <w:name w:val="FollowedHyperlink"/>
    <w:basedOn w:val="DefaultParagraphFont"/>
    <w:semiHidden/>
    <w:unhideWhenUsed/>
    <w:rsid w:val="005A5C51"/>
    <w:rPr>
      <w:color w:val="800080" w:themeColor="followedHyperlink"/>
      <w:u w:val="single"/>
    </w:rPr>
  </w:style>
  <w:style w:type="character" w:customStyle="1" w:styleId="normaltextrun">
    <w:name w:val="normaltextrun"/>
    <w:basedOn w:val="DefaultParagraphFont"/>
    <w:rsid w:val="00987912"/>
  </w:style>
  <w:style w:type="paragraph" w:styleId="EndnoteText">
    <w:name w:val="endnote text"/>
    <w:basedOn w:val="Normal"/>
    <w:link w:val="EndnoteTextChar"/>
    <w:semiHidden/>
    <w:unhideWhenUsed/>
    <w:rsid w:val="007B5494"/>
  </w:style>
  <w:style w:type="character" w:customStyle="1" w:styleId="EndnoteTextChar">
    <w:name w:val="Endnote Text Char"/>
    <w:basedOn w:val="DefaultParagraphFont"/>
    <w:link w:val="EndnoteText"/>
    <w:semiHidden/>
    <w:rsid w:val="007B5494"/>
    <w:rPr>
      <w:lang w:eastAsia="en-US"/>
    </w:rPr>
  </w:style>
  <w:style w:type="character" w:styleId="EndnoteReference">
    <w:name w:val="endnote reference"/>
    <w:semiHidden/>
    <w:rsid w:val="007B5494"/>
    <w:rPr>
      <w:vertAlign w:val="superscript"/>
    </w:rPr>
  </w:style>
  <w:style w:type="paragraph" w:styleId="FootnoteText">
    <w:name w:val="footnote text"/>
    <w:basedOn w:val="Normal"/>
    <w:link w:val="FootnoteTextChar"/>
    <w:uiPriority w:val="99"/>
    <w:semiHidden/>
    <w:unhideWhenUsed/>
    <w:rsid w:val="00661BF1"/>
    <w:rPr>
      <w:rFonts w:asciiTheme="minorHAnsi" w:eastAsiaTheme="minorHAnsi" w:hAnsiTheme="minorHAnsi" w:cstheme="minorBidi"/>
      <w:lang w:val="en-CA"/>
    </w:rPr>
  </w:style>
  <w:style w:type="character" w:customStyle="1" w:styleId="FootnoteTextChar">
    <w:name w:val="Footnote Text Char"/>
    <w:basedOn w:val="DefaultParagraphFont"/>
    <w:link w:val="FootnoteText"/>
    <w:uiPriority w:val="99"/>
    <w:semiHidden/>
    <w:rsid w:val="00661BF1"/>
    <w:rPr>
      <w:rFonts w:asciiTheme="minorHAnsi" w:eastAsiaTheme="minorHAnsi" w:hAnsiTheme="minorHAnsi" w:cstheme="minorBidi"/>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336">
      <w:bodyDiv w:val="1"/>
      <w:marLeft w:val="0"/>
      <w:marRight w:val="0"/>
      <w:marTop w:val="0"/>
      <w:marBottom w:val="0"/>
      <w:divBdr>
        <w:top w:val="none" w:sz="0" w:space="0" w:color="auto"/>
        <w:left w:val="none" w:sz="0" w:space="0" w:color="auto"/>
        <w:bottom w:val="none" w:sz="0" w:space="0" w:color="auto"/>
        <w:right w:val="none" w:sz="0" w:space="0" w:color="auto"/>
      </w:divBdr>
    </w:div>
    <w:div w:id="359285288">
      <w:bodyDiv w:val="1"/>
      <w:marLeft w:val="0"/>
      <w:marRight w:val="0"/>
      <w:marTop w:val="0"/>
      <w:marBottom w:val="0"/>
      <w:divBdr>
        <w:top w:val="none" w:sz="0" w:space="0" w:color="auto"/>
        <w:left w:val="none" w:sz="0" w:space="0" w:color="auto"/>
        <w:bottom w:val="none" w:sz="0" w:space="0" w:color="auto"/>
        <w:right w:val="none" w:sz="0" w:space="0" w:color="auto"/>
      </w:divBdr>
    </w:div>
    <w:div w:id="619797063">
      <w:bodyDiv w:val="1"/>
      <w:marLeft w:val="0"/>
      <w:marRight w:val="0"/>
      <w:marTop w:val="0"/>
      <w:marBottom w:val="0"/>
      <w:divBdr>
        <w:top w:val="none" w:sz="0" w:space="0" w:color="auto"/>
        <w:left w:val="none" w:sz="0" w:space="0" w:color="auto"/>
        <w:bottom w:val="none" w:sz="0" w:space="0" w:color="auto"/>
        <w:right w:val="none" w:sz="0" w:space="0" w:color="auto"/>
      </w:divBdr>
    </w:div>
    <w:div w:id="840782176">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732685">
      <w:bodyDiv w:val="1"/>
      <w:marLeft w:val="0"/>
      <w:marRight w:val="0"/>
      <w:marTop w:val="0"/>
      <w:marBottom w:val="0"/>
      <w:divBdr>
        <w:top w:val="none" w:sz="0" w:space="0" w:color="auto"/>
        <w:left w:val="none" w:sz="0" w:space="0" w:color="auto"/>
        <w:bottom w:val="none" w:sz="0" w:space="0" w:color="auto"/>
        <w:right w:val="none" w:sz="0" w:space="0" w:color="auto"/>
      </w:divBdr>
    </w:div>
    <w:div w:id="1287349470">
      <w:bodyDiv w:val="1"/>
      <w:marLeft w:val="0"/>
      <w:marRight w:val="0"/>
      <w:marTop w:val="0"/>
      <w:marBottom w:val="0"/>
      <w:divBdr>
        <w:top w:val="none" w:sz="0" w:space="0" w:color="auto"/>
        <w:left w:val="none" w:sz="0" w:space="0" w:color="auto"/>
        <w:bottom w:val="none" w:sz="0" w:space="0" w:color="auto"/>
        <w:right w:val="none" w:sz="0" w:space="0" w:color="auto"/>
      </w:divBdr>
    </w:div>
    <w:div w:id="1561287977">
      <w:bodyDiv w:val="1"/>
      <w:marLeft w:val="0"/>
      <w:marRight w:val="0"/>
      <w:marTop w:val="0"/>
      <w:marBottom w:val="0"/>
      <w:divBdr>
        <w:top w:val="none" w:sz="0" w:space="0" w:color="auto"/>
        <w:left w:val="none" w:sz="0" w:space="0" w:color="auto"/>
        <w:bottom w:val="none" w:sz="0" w:space="0" w:color="auto"/>
        <w:right w:val="none" w:sz="0" w:space="0" w:color="auto"/>
      </w:divBdr>
    </w:div>
    <w:div w:id="211852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gc.ca/site/science/en/safeguarding-your-research/guidelines-and-tools-implement-research-security/policy-sensitive-technology-research-and-affiliations-concer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aut.ca/docs/af-reports-indepedent-committees-of-inquiry/the-olivieri-report.pdf?sfvrsn=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anlii.ca/t/fxhj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ma.cc/2UGL-L8KR" TargetMode="External"/><Relationship Id="rId5" Type="http://schemas.openxmlformats.org/officeDocument/2006/relationships/numbering" Target="numbering.xml"/><Relationship Id="rId15" Type="http://schemas.openxmlformats.org/officeDocument/2006/relationships/hyperlink" Target="https://www.caut.ca/sites/default/files/guiding-principles-for-university-collaborations-april-20121.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vost.utoronto.ca/planning-policy/donations-provostial-guidelines/"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canlii.ca/t/1ts19" TargetMode="External"/><Relationship Id="rId2" Type="http://schemas.openxmlformats.org/officeDocument/2006/relationships/hyperlink" Target="https://canlii.ca/t/jbgl2" TargetMode="External"/><Relationship Id="rId1" Type="http://schemas.openxmlformats.org/officeDocument/2006/relationships/hyperlink" Target="https://canlii.ca/t/gj4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Canadian Association of University Teachers</Contributor>
    <Postingdate xmlns="d42e65b2-cf21-49c1-b27d-d23f90380c0e" xsi:nil="true"/>
    <Postedonline xmlns="d42e65b2-cf21-49c1-b27d-d23f90380c0e">false</Postedonlin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1197-64E8-4CDB-94D4-B18B6C19301B}">
  <ds:schemaRefs>
    <ds:schemaRef ds:uri="d42e65b2-cf21-49c1-b27d-d23f90380c0e"/>
    <ds:schemaRef ds:uri="http://www.w3.org/XML/1998/namespace"/>
    <ds:schemaRef ds:uri="http://schemas.microsoft.com/office/2006/documentManagement/types"/>
    <ds:schemaRef ds:uri="http://purl.org/dc/elements/1.1/"/>
    <ds:schemaRef ds:uri="http://purl.org/dc/dcmitype/"/>
    <ds:schemaRef ds:uri="http://purl.org/dc/terms/"/>
    <ds:schemaRef ds:uri="http://schemas.openxmlformats.org/package/2006/metadata/core-properties"/>
    <ds:schemaRef ds:uri="http://schemas.microsoft.com/office/infopath/2007/PartnerControls"/>
    <ds:schemaRef ds:uri="9c2e4527-2efa-4ade-b3d6-b2418af14986"/>
    <ds:schemaRef ds:uri="http://schemas.microsoft.com/office/2006/metadata/properties"/>
  </ds:schemaRefs>
</ds:datastoreItem>
</file>

<file path=customXml/itemProps2.xml><?xml version="1.0" encoding="utf-8"?>
<ds:datastoreItem xmlns:ds="http://schemas.openxmlformats.org/officeDocument/2006/customXml" ds:itemID="{86333B8F-C3DE-4EE1-9944-B2CB53AC0E73}">
  <ds:schemaRefs>
    <ds:schemaRef ds:uri="http://schemas.openxmlformats.org/officeDocument/2006/bibliography"/>
  </ds:schemaRefs>
</ds:datastoreItem>
</file>

<file path=customXml/itemProps3.xml><?xml version="1.0" encoding="utf-8"?>
<ds:datastoreItem xmlns:ds="http://schemas.openxmlformats.org/officeDocument/2006/customXml" ds:itemID="{2AA97D9D-B806-44D4-AB63-373517796834}">
  <ds:schemaRefs>
    <ds:schemaRef ds:uri="http://schemas.microsoft.com/sharepoint/v3/contenttype/forms"/>
  </ds:schemaRefs>
</ds:datastoreItem>
</file>

<file path=customXml/itemProps4.xml><?xml version="1.0" encoding="utf-8"?>
<ds:datastoreItem xmlns:ds="http://schemas.openxmlformats.org/officeDocument/2006/customXml" ds:itemID="{7DA9A151-B01A-4B32-82C4-13C1ECCA7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2e65b2-cf21-49c1-b27d-d23f90380c0e"/>
    <ds:schemaRef ds:uri="9c2e4527-2efa-4ade-b3d6-b2418af149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2080</Words>
  <Characters>12735</Characters>
  <Application>Microsoft Office Word</Application>
  <DocSecurity>0</DocSecurity>
  <Lines>106</Lines>
  <Paragraphs>29</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2024-02-01T18:06:00Z</dcterms:created>
  <dcterms:modified xsi:type="dcterms:W3CDTF">2024-04-30T13:13:00Z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Lang">
    <vt:lpwstr>en</vt:lpwstr>
  </property>
  <property fmtid="{D5CDD505-2E9C-101B-9397-08002B2CF9AE}" pid="4" name="CycleNumber">
    <vt:r8>2</vt:r8>
  </property>
  <property fmtid="{D5CDD505-2E9C-101B-9397-08002B2CF9AE}" pid="5" name="StaffResponsible">
    <vt:lpwstr>2680</vt:lpwstr>
  </property>
  <property fmtid="{D5CDD505-2E9C-101B-9397-08002B2CF9AE}" pid="6" name="Source">
    <vt:lpwstr>CVDB</vt:lpwstr>
  </property>
  <property fmtid="{D5CDD505-2E9C-101B-9397-08002B2CF9AE}" pid="7" name="Drafter">
    <vt:lpwstr>4559</vt:lpwstr>
  </property>
  <property fmtid="{D5CDD505-2E9C-101B-9397-08002B2CF9AE}" pid="8" name="NeedsAditionalReview">
    <vt:bool>false</vt:bool>
  </property>
  <property fmtid="{D5CDD505-2E9C-101B-9397-08002B2CF9AE}" pid="9" name="DocID">
    <vt:r8>23763</vt:r8>
  </property>
  <property fmtid="{D5CDD505-2E9C-101B-9397-08002B2CF9AE}" pid="10" name="DocUniqueID">
    <vt:lpwstr>b2dd1eb0-6eb9-4611-af6e-d87ff85a72bf</vt:lpwstr>
  </property>
  <property fmtid="{D5CDD505-2E9C-101B-9397-08002B2CF9AE}" pid="11" name="IsVisible">
    <vt:bool>true</vt:bool>
  </property>
  <property fmtid="{D5CDD505-2E9C-101B-9397-08002B2CF9AE}" pid="12" name="1st person notified">
    <vt:lpwstr>381</vt:lpwstr>
  </property>
  <property fmtid="{D5CDD505-2E9C-101B-9397-08002B2CF9AE}" pid="13" name="1st Approver">
    <vt:lpwstr>381</vt:lpwstr>
  </property>
  <property fmtid="{D5CDD505-2E9C-101B-9397-08002B2CF9AE}" pid="14" name="1st Approver DateTime">
    <vt:filetime>2021-12-08T23:00:00Z</vt:filetime>
  </property>
  <property fmtid="{D5CDD505-2E9C-101B-9397-08002B2CF9AE}" pid="15" name="3Signatures1stGroup">
    <vt:lpwstr/>
  </property>
  <property fmtid="{D5CDD505-2E9C-101B-9397-08002B2CF9AE}" pid="16" name="3Signatures2ndGroup">
    <vt:lpwstr/>
  </property>
  <property fmtid="{D5CDD505-2E9C-101B-9397-08002B2CF9AE}" pid="17" name="JPSRU 1st approval rejected">
    <vt:lpwstr>https://intranet.ohchr.org/Offices/Geneva/TESPRDD/Approval/_layouts/15/wrkstat.aspx?List=b421062c-ed2a-46b3-a1ae-b0723557a27c&amp;WorkflowInstanceName=84f4a279-7927-4ef8-bd7e-b2bd35fd9e52, Rejected by 1st approverJPSRU KORLJAN Dragana</vt:lpwstr>
  </property>
  <property fmtid="{D5CDD505-2E9C-101B-9397-08002B2CF9AE}" pid="18" name="3Signatures3rdGroup">
    <vt:lpwstr/>
  </property>
  <property fmtid="{D5CDD505-2E9C-101B-9397-08002B2CF9AE}" pid="19" name="JPSRU 1st approval accepted">
    <vt:lpwstr>, </vt:lpwstr>
  </property>
  <property fmtid="{D5CDD505-2E9C-101B-9397-08002B2CF9AE}" pid="20" name="JSPRU Three signatures approval workflow 1st Approval part">
    <vt:lpwstr>https://intranet.ohchr.org/Offices/Geneva/TESPRDD/Approval/_layouts/15/wrkstat.aspx?List=b421062c-ed2a-46b3-a1ae-b0723557a27c&amp;WorkflowInstanceName=5a4ccd0c-b8cb-4929-aa9a-ecd08e76522d, Pending 1st approver approval</vt:lpwstr>
  </property>
  <property fmtid="{D5CDD505-2E9C-101B-9397-08002B2CF9AE}" pid="21" name="2nd person notified">
    <vt:lpwstr>46</vt:lpwstr>
  </property>
  <property fmtid="{D5CDD505-2E9C-101B-9397-08002B2CF9AE}" pid="22" name="2nd Approver DateTime">
    <vt:filetime>2021-12-08T23:00:00Z</vt:filetime>
  </property>
  <property fmtid="{D5CDD505-2E9C-101B-9397-08002B2CF9AE}" pid="23" name="2nd Approver">
    <vt:lpwstr>46</vt:lpwstr>
  </property>
  <property fmtid="{D5CDD505-2E9C-101B-9397-08002B2CF9AE}" pid="24" name="Three signatures approval workflow 2nd Approval part">
    <vt:lpwstr>https://intranet.ohchr.org/Offices/Geneva/TESPRDD/Approval/_layouts/15/wrkstat.aspx?List=20fdd81d-df50-4b89-ac61-c384ed5ea51a&amp;WorkflowInstanceName=722e6318-be42-4e40-9305-2e3c2198a7d2, Pending 2nd approver approval</vt:lpwstr>
  </property>
  <property fmtid="{D5CDD505-2E9C-101B-9397-08002B2CF9AE}" pid="25" name="2nd approval rejected">
    <vt:lpwstr>, </vt:lpwstr>
  </property>
  <property fmtid="{D5CDD505-2E9C-101B-9397-08002B2CF9AE}" pid="26" name="2nd approval accepted">
    <vt:lpwstr>https://intranet.ohchr.org/Offices/Geneva/TESPRDD/Approval/_layouts/15/wrkstat.aspx?List=20fdd81d-df50-4b89-ac61-c384ed5ea51a&amp;WorkflowInstanceName=ad94a5e7-2575-4673-bad6-ee7b67bc0ff3, Approved by 2nd approver </vt:lpwstr>
  </property>
  <property fmtid="{D5CDD505-2E9C-101B-9397-08002B2CF9AE}" pid="27" name="3rd person notified">
    <vt:lpwstr>1132</vt:lpwstr>
  </property>
  <property fmtid="{D5CDD505-2E9C-101B-9397-08002B2CF9AE}" pid="28" name="3rd Approver">
    <vt:lpwstr>1132</vt:lpwstr>
  </property>
  <property fmtid="{D5CDD505-2E9C-101B-9397-08002B2CF9AE}" pid="29" name="3rd Approver DateTime">
    <vt:filetime>2021-12-08T23:00:00Z</vt:filetime>
  </property>
  <property fmtid="{D5CDD505-2E9C-101B-9397-08002B2CF9AE}" pid="30" name="3rd approval rejected">
    <vt:lpwstr>, </vt:lpwstr>
  </property>
  <property fmtid="{D5CDD505-2E9C-101B-9397-08002B2CF9AE}" pid="31" name="3rd approval accepted">
    <vt:lpwstr>https://intranet.ohchr.org/Offices/Geneva/TESPRDD/Approval/_layouts/15/wrkstat.aspx?List=b7f66f0c-f14d-4c89-a6ae-ce046235cbb1&amp;WorkflowInstanceName=6b329923-ba68-4ed8-8b22-55a895ee08ac, Approved by 3rd approver </vt:lpwstr>
  </property>
  <property fmtid="{D5CDD505-2E9C-101B-9397-08002B2CF9AE}" pid="32" name="Three signatures approval workflow 3rd Approval part">
    <vt:lpwstr>https://intranet.ohchr.org/Offices/Geneva/TESPRDD/Approval/_layouts/15/wrkstat.aspx?List=b7f66f0c-f14d-4c89-a6ae-ce046235cbb1&amp;WorkflowInstanceName=6637cb06-a349-447f-bbd2-df4cb1d395b3, Pending 3rd approver approval</vt:lpwstr>
  </property>
  <property fmtid="{D5CDD505-2E9C-101B-9397-08002B2CF9AE}" pid="33" name="MSIP_Label_bd3968e8-c45d-45f4-aba1-48bd0eaca326_Enabled">
    <vt:lpwstr>true</vt:lpwstr>
  </property>
  <property fmtid="{D5CDD505-2E9C-101B-9397-08002B2CF9AE}" pid="34" name="MSIP_Label_bd3968e8-c45d-45f4-aba1-48bd0eaca326_SetDate">
    <vt:lpwstr>2024-02-01T17:24:38Z</vt:lpwstr>
  </property>
  <property fmtid="{D5CDD505-2E9C-101B-9397-08002B2CF9AE}" pid="35" name="MSIP_Label_bd3968e8-c45d-45f4-aba1-48bd0eaca326_Method">
    <vt:lpwstr>Standard</vt:lpwstr>
  </property>
  <property fmtid="{D5CDD505-2E9C-101B-9397-08002B2CF9AE}" pid="36" name="MSIP_Label_bd3968e8-c45d-45f4-aba1-48bd0eaca326_Name">
    <vt:lpwstr>General</vt:lpwstr>
  </property>
  <property fmtid="{D5CDD505-2E9C-101B-9397-08002B2CF9AE}" pid="37" name="MSIP_Label_bd3968e8-c45d-45f4-aba1-48bd0eaca326_SiteId">
    <vt:lpwstr>d532e20f-5090-4383-a7b9-aa5204b87eed</vt:lpwstr>
  </property>
  <property fmtid="{D5CDD505-2E9C-101B-9397-08002B2CF9AE}" pid="38" name="MSIP_Label_bd3968e8-c45d-45f4-aba1-48bd0eaca326_ActionId">
    <vt:lpwstr>dc70ee0a-1b0d-44a5-b8af-048f81abdccf</vt:lpwstr>
  </property>
  <property fmtid="{D5CDD505-2E9C-101B-9397-08002B2CF9AE}" pid="39" name="MSIP_Label_bd3968e8-c45d-45f4-aba1-48bd0eaca326_ContentBits">
    <vt:lpwstr>0</vt:lpwstr>
  </property>
  <property fmtid="{D5CDD505-2E9C-101B-9397-08002B2CF9AE}" pid="40" name="MediaServiceImageTags">
    <vt:lpwstr/>
  </property>
</Properties>
</file>