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CA209" w14:textId="77777777" w:rsidR="008A23CB" w:rsidRDefault="007A0F27" w:rsidP="00B73FD1">
      <w:pPr>
        <w:jc w:val="center"/>
        <w:rPr>
          <w:rStyle w:val="normaltextrun"/>
          <w:b/>
          <w:bCs/>
          <w:color w:val="000000"/>
          <w:sz w:val="24"/>
          <w:szCs w:val="24"/>
          <w:shd w:val="clear" w:color="auto" w:fill="FFFFFF"/>
          <w:lang w:val="en-US"/>
        </w:rPr>
      </w:pPr>
      <w:r>
        <w:rPr>
          <w:rStyle w:val="normaltextrun"/>
          <w:b/>
          <w:bCs/>
          <w:color w:val="000000"/>
          <w:sz w:val="24"/>
          <w:szCs w:val="24"/>
          <w:shd w:val="clear" w:color="auto" w:fill="FFFFFF"/>
          <w:lang w:val="en-US"/>
        </w:rPr>
        <w:t>C</w:t>
      </w:r>
      <w:r w:rsidR="008A23CB">
        <w:rPr>
          <w:rStyle w:val="normaltextrun"/>
          <w:b/>
          <w:bCs/>
          <w:color w:val="000000"/>
          <w:sz w:val="24"/>
          <w:szCs w:val="24"/>
          <w:shd w:val="clear" w:color="auto" w:fill="FFFFFF"/>
          <w:lang w:val="en-US"/>
        </w:rPr>
        <w:t>ONTRIBUTION: ACADEMIC FREEDOM</w:t>
      </w:r>
    </w:p>
    <w:p w14:paraId="20304AAA" w14:textId="77777777" w:rsidR="00DF2181" w:rsidRPr="00DF2181" w:rsidRDefault="008A23CB" w:rsidP="00B73FD1">
      <w:pPr>
        <w:jc w:val="center"/>
        <w:rPr>
          <w:rStyle w:val="normaltextrun"/>
          <w:b/>
          <w:bCs/>
          <w:color w:val="000000"/>
          <w:sz w:val="26"/>
          <w:szCs w:val="26"/>
          <w:shd w:val="clear" w:color="auto" w:fill="FFFFFF"/>
          <w:lang w:val="en-US"/>
        </w:rPr>
      </w:pPr>
      <w:r w:rsidRPr="00DF2181">
        <w:rPr>
          <w:rStyle w:val="normaltextrun"/>
          <w:b/>
          <w:bCs/>
          <w:color w:val="000000"/>
          <w:sz w:val="26"/>
          <w:szCs w:val="26"/>
          <w:shd w:val="clear" w:color="auto" w:fill="FFFFFF"/>
          <w:lang w:val="en-US"/>
        </w:rPr>
        <w:t>United States</w:t>
      </w:r>
    </w:p>
    <w:p w14:paraId="0E117056" w14:textId="66A3701B" w:rsidR="00351E6A" w:rsidRPr="00DF2181" w:rsidRDefault="00DF2181" w:rsidP="00B73FD1">
      <w:pPr>
        <w:jc w:val="center"/>
        <w:rPr>
          <w:rStyle w:val="normaltextrun"/>
          <w:b/>
          <w:bCs/>
          <w:color w:val="000000"/>
          <w:sz w:val="22"/>
          <w:szCs w:val="22"/>
          <w:shd w:val="clear" w:color="auto" w:fill="FFFFFF"/>
          <w:lang w:val="en-US"/>
        </w:rPr>
      </w:pPr>
      <w:r w:rsidRPr="00DF2181">
        <w:rPr>
          <w:rStyle w:val="normaltextrun"/>
          <w:b/>
          <w:bCs/>
          <w:color w:val="000000"/>
          <w:sz w:val="22"/>
          <w:szCs w:val="22"/>
          <w:shd w:val="clear" w:color="auto" w:fill="FFFFFF"/>
          <w:lang w:val="en-US"/>
        </w:rPr>
        <w:t xml:space="preserve">February </w:t>
      </w:r>
      <w:r w:rsidR="000C38A3">
        <w:rPr>
          <w:rStyle w:val="normaltextrun"/>
          <w:b/>
          <w:bCs/>
          <w:color w:val="000000"/>
          <w:sz w:val="22"/>
          <w:szCs w:val="22"/>
          <w:shd w:val="clear" w:color="auto" w:fill="FFFFFF"/>
          <w:lang w:val="en-US"/>
        </w:rPr>
        <w:t>4</w:t>
      </w:r>
      <w:r w:rsidRPr="00DF2181">
        <w:rPr>
          <w:rStyle w:val="normaltextrun"/>
          <w:b/>
          <w:bCs/>
          <w:color w:val="000000"/>
          <w:sz w:val="22"/>
          <w:szCs w:val="22"/>
          <w:shd w:val="clear" w:color="auto" w:fill="FFFFFF"/>
          <w:lang w:val="en-US"/>
        </w:rPr>
        <w:t>, 2024</w:t>
      </w:r>
    </w:p>
    <w:p w14:paraId="3D2D7046" w14:textId="77777777" w:rsidR="00DF2181" w:rsidRDefault="00DF2181" w:rsidP="00B73FD1">
      <w:pPr>
        <w:jc w:val="center"/>
        <w:rPr>
          <w:rStyle w:val="normaltextrun"/>
          <w:b/>
          <w:bCs/>
          <w:color w:val="000000"/>
          <w:sz w:val="24"/>
          <w:szCs w:val="24"/>
          <w:shd w:val="clear" w:color="auto" w:fill="FFFFFF"/>
          <w:lang w:val="en-US"/>
        </w:rPr>
      </w:pPr>
    </w:p>
    <w:p w14:paraId="684C8BEF" w14:textId="77777777" w:rsidR="00DF2181" w:rsidRDefault="00DF2181" w:rsidP="00351E6A">
      <w:pPr>
        <w:rPr>
          <w:rStyle w:val="normaltextrun"/>
          <w:b/>
          <w:bCs/>
          <w:color w:val="000000"/>
          <w:sz w:val="24"/>
          <w:szCs w:val="24"/>
          <w:shd w:val="clear" w:color="auto" w:fill="FFFFFF"/>
          <w:lang w:val="en-US"/>
        </w:rPr>
      </w:pPr>
    </w:p>
    <w:p w14:paraId="2D41EBB0" w14:textId="59854247" w:rsidR="00351E6A" w:rsidRPr="00351E6A" w:rsidRDefault="00351E6A" w:rsidP="00351E6A">
      <w:pPr>
        <w:rPr>
          <w:rStyle w:val="normaltextrun"/>
          <w:b/>
          <w:bCs/>
          <w:color w:val="000000"/>
          <w:sz w:val="24"/>
          <w:szCs w:val="24"/>
          <w:shd w:val="clear" w:color="auto" w:fill="FFFFFF"/>
          <w:lang w:val="en-US"/>
        </w:rPr>
      </w:pPr>
      <w:r w:rsidRPr="00351E6A">
        <w:rPr>
          <w:rStyle w:val="normaltextrun"/>
          <w:b/>
          <w:bCs/>
          <w:color w:val="000000"/>
          <w:sz w:val="24"/>
          <w:szCs w:val="24"/>
          <w:shd w:val="clear" w:color="auto" w:fill="FFFFFF"/>
          <w:lang w:val="en-US"/>
        </w:rPr>
        <w:t>F</w:t>
      </w:r>
      <w:r w:rsidR="00DF2181">
        <w:rPr>
          <w:rStyle w:val="normaltextrun"/>
          <w:b/>
          <w:bCs/>
          <w:color w:val="000000"/>
          <w:sz w:val="24"/>
          <w:szCs w:val="24"/>
          <w:shd w:val="clear" w:color="auto" w:fill="FFFFFF"/>
          <w:lang w:val="en-US"/>
        </w:rPr>
        <w:t>rom</w:t>
      </w:r>
      <w:r w:rsidRPr="00351E6A">
        <w:rPr>
          <w:rStyle w:val="normaltextrun"/>
          <w:b/>
          <w:bCs/>
          <w:color w:val="000000"/>
          <w:sz w:val="24"/>
          <w:szCs w:val="24"/>
          <w:shd w:val="clear" w:color="auto" w:fill="FFFFFF"/>
          <w:lang w:val="en-US"/>
        </w:rPr>
        <w:t xml:space="preserve">:  </w:t>
      </w:r>
      <w:r w:rsidR="006C7762" w:rsidRPr="00351E6A">
        <w:rPr>
          <w:rStyle w:val="normaltextrun"/>
          <w:b/>
          <w:bCs/>
          <w:color w:val="000000"/>
          <w:sz w:val="24"/>
          <w:szCs w:val="24"/>
          <w:shd w:val="clear" w:color="auto" w:fill="FFFFFF"/>
          <w:lang w:val="en-US"/>
        </w:rPr>
        <w:t>Critical</w:t>
      </w:r>
      <w:r w:rsidRPr="00351E6A">
        <w:rPr>
          <w:rStyle w:val="normaltextrun"/>
          <w:b/>
          <w:bCs/>
          <w:color w:val="000000"/>
          <w:sz w:val="24"/>
          <w:szCs w:val="24"/>
          <w:shd w:val="clear" w:color="auto" w:fill="FFFFFF"/>
          <w:lang w:val="en-US"/>
        </w:rPr>
        <w:t xml:space="preserve"> (Legal) </w:t>
      </w:r>
      <w:r w:rsidR="006C7762" w:rsidRPr="00351E6A">
        <w:rPr>
          <w:rStyle w:val="normaltextrun"/>
          <w:b/>
          <w:bCs/>
          <w:color w:val="000000"/>
          <w:sz w:val="24"/>
          <w:szCs w:val="24"/>
          <w:shd w:val="clear" w:color="auto" w:fill="FFFFFF"/>
          <w:lang w:val="en-US"/>
        </w:rPr>
        <w:t>Collective</w:t>
      </w:r>
      <w:r w:rsidR="0031438B">
        <w:rPr>
          <w:rStyle w:val="normaltextrun"/>
          <w:b/>
          <w:bCs/>
          <w:color w:val="000000"/>
          <w:sz w:val="24"/>
          <w:szCs w:val="24"/>
          <w:shd w:val="clear" w:color="auto" w:fill="FFFFFF"/>
          <w:lang w:val="en-US"/>
        </w:rPr>
        <w:t xml:space="preserve"> (CLC</w:t>
      </w:r>
      <w:r w:rsidR="00DF2181">
        <w:rPr>
          <w:rStyle w:val="normaltextrun"/>
          <w:b/>
          <w:bCs/>
          <w:color w:val="000000"/>
          <w:sz w:val="24"/>
          <w:szCs w:val="24"/>
          <w:shd w:val="clear" w:color="auto" w:fill="FFFFFF"/>
          <w:lang w:val="en-US"/>
        </w:rPr>
        <w:t>)</w:t>
      </w:r>
    </w:p>
    <w:p w14:paraId="58D7120E" w14:textId="081645ED" w:rsidR="00DF2181" w:rsidRDefault="00DF2181" w:rsidP="00DF2181">
      <w:pPr>
        <w:pStyle w:val="xmsonormal"/>
        <w:rPr>
          <w:rStyle w:val="Hyperlink"/>
          <w:rFonts w:ascii="Times New Roman" w:hAnsi="Times New Roman" w:cs="Times New Roman"/>
          <w:color w:val="0563C1"/>
          <w:sz w:val="20"/>
          <w:szCs w:val="20"/>
        </w:rPr>
      </w:pPr>
      <w:r>
        <w:rPr>
          <w:rStyle w:val="normaltextrun"/>
          <w:rFonts w:ascii="Times New Roman" w:hAnsi="Times New Roman" w:cs="Times New Roman"/>
          <w:bCs/>
          <w:color w:val="000000"/>
          <w:sz w:val="20"/>
          <w:szCs w:val="20"/>
          <w:shd w:val="clear" w:color="auto" w:fill="FFFFFF"/>
        </w:rPr>
        <w:t>(</w:t>
      </w:r>
      <w:r w:rsidR="00351E6A" w:rsidRPr="0031438B">
        <w:rPr>
          <w:rStyle w:val="normaltextrun"/>
          <w:rFonts w:ascii="Times New Roman" w:hAnsi="Times New Roman" w:cs="Times New Roman"/>
          <w:bCs/>
          <w:color w:val="000000"/>
          <w:sz w:val="20"/>
          <w:szCs w:val="20"/>
          <w:shd w:val="clear" w:color="auto" w:fill="FFFFFF"/>
        </w:rPr>
        <w:t>Contact</w:t>
      </w:r>
      <w:r w:rsidR="00351E6A" w:rsidRPr="0031438B">
        <w:rPr>
          <w:rStyle w:val="normaltextrun"/>
          <w:rFonts w:ascii="Times New Roman" w:hAnsi="Times New Roman" w:cs="Times New Roman"/>
          <w:b/>
          <w:bCs/>
          <w:color w:val="000000"/>
          <w:sz w:val="20"/>
          <w:szCs w:val="20"/>
          <w:shd w:val="clear" w:color="auto" w:fill="FFFFFF"/>
        </w:rPr>
        <w:t xml:space="preserve">: </w:t>
      </w:r>
      <w:r w:rsidR="00351E6A" w:rsidRPr="0031438B">
        <w:rPr>
          <w:rFonts w:ascii="Times New Roman" w:hAnsi="Times New Roman" w:cs="Times New Roman"/>
          <w:sz w:val="20"/>
          <w:szCs w:val="20"/>
        </w:rPr>
        <w:t>A</w:t>
      </w:r>
      <w:r w:rsidR="002C2A0B">
        <w:rPr>
          <w:rFonts w:ascii="Times New Roman" w:hAnsi="Times New Roman" w:cs="Times New Roman"/>
          <w:sz w:val="20"/>
          <w:szCs w:val="20"/>
        </w:rPr>
        <w:t>t</w:t>
      </w:r>
      <w:r w:rsidR="00351E6A" w:rsidRPr="0031438B">
        <w:rPr>
          <w:rFonts w:ascii="Times New Roman" w:hAnsi="Times New Roman" w:cs="Times New Roman"/>
          <w:sz w:val="20"/>
          <w:szCs w:val="20"/>
        </w:rPr>
        <w:t xml:space="preserve">hena D. Mutua, Professor of Law, University at Buffalo School of Law; </w:t>
      </w:r>
      <w:hyperlink r:id="rId11" w:history="1">
        <w:r w:rsidR="00351E6A" w:rsidRPr="0031438B">
          <w:rPr>
            <w:rStyle w:val="Hyperlink"/>
            <w:rFonts w:ascii="Times New Roman" w:hAnsi="Times New Roman" w:cs="Times New Roman"/>
            <w:color w:val="0563C1"/>
            <w:sz w:val="20"/>
            <w:szCs w:val="20"/>
          </w:rPr>
          <w:t>admutua@buffalo.edu</w:t>
        </w:r>
      </w:hyperlink>
      <w:r>
        <w:rPr>
          <w:rStyle w:val="Hyperlink"/>
          <w:rFonts w:ascii="Times New Roman" w:hAnsi="Times New Roman" w:cs="Times New Roman"/>
          <w:color w:val="0563C1"/>
          <w:sz w:val="20"/>
          <w:szCs w:val="20"/>
        </w:rPr>
        <w:t>)</w:t>
      </w:r>
    </w:p>
    <w:p w14:paraId="43700E2A" w14:textId="6E05538D" w:rsidR="00351E6A" w:rsidRPr="0031438B" w:rsidRDefault="00351E6A" w:rsidP="00351E6A">
      <w:pPr>
        <w:pStyle w:val="xmsonormal"/>
        <w:ind w:left="2160"/>
        <w:rPr>
          <w:rFonts w:ascii="Times New Roman" w:hAnsi="Times New Roman" w:cs="Times New Roman"/>
          <w:sz w:val="20"/>
          <w:szCs w:val="20"/>
        </w:rPr>
      </w:pPr>
    </w:p>
    <w:p w14:paraId="512A8B70" w14:textId="12EBC5F9" w:rsidR="00A927BA" w:rsidRDefault="00A927BA" w:rsidP="00930656">
      <w:pPr>
        <w:rPr>
          <w:b/>
          <w:bCs/>
          <w:sz w:val="28"/>
          <w:szCs w:val="28"/>
          <w:lang w:val="en-US"/>
        </w:rPr>
      </w:pPr>
      <w:r w:rsidRPr="00131E69">
        <w:rPr>
          <w:b/>
          <w:bCs/>
          <w:sz w:val="28"/>
          <w:szCs w:val="28"/>
          <w:lang w:val="en-US"/>
        </w:rPr>
        <w:t>Overvi</w:t>
      </w:r>
      <w:r w:rsidR="004C2608" w:rsidRPr="00131E69">
        <w:rPr>
          <w:b/>
          <w:bCs/>
          <w:sz w:val="28"/>
          <w:szCs w:val="28"/>
          <w:lang w:val="en-US"/>
        </w:rPr>
        <w:t>ew</w:t>
      </w:r>
    </w:p>
    <w:p w14:paraId="7A169262" w14:textId="77777777" w:rsidR="00930656" w:rsidRPr="00131E69" w:rsidRDefault="00930656" w:rsidP="00930656">
      <w:pPr>
        <w:rPr>
          <w:b/>
          <w:bCs/>
          <w:sz w:val="28"/>
          <w:szCs w:val="28"/>
          <w:lang w:val="en-US"/>
        </w:rPr>
      </w:pPr>
    </w:p>
    <w:p w14:paraId="426F3D8B" w14:textId="6D51420D" w:rsidR="006F63D3" w:rsidRPr="00131E69" w:rsidRDefault="00A927BA" w:rsidP="00E662DA">
      <w:pPr>
        <w:spacing w:before="120" w:after="120"/>
        <w:jc w:val="both"/>
        <w:rPr>
          <w:sz w:val="28"/>
          <w:szCs w:val="28"/>
          <w:lang w:val="en-US"/>
        </w:rPr>
      </w:pPr>
      <w:r w:rsidRPr="00131E69">
        <w:rPr>
          <w:sz w:val="28"/>
          <w:szCs w:val="28"/>
          <w:lang w:val="en-US"/>
        </w:rPr>
        <w:t xml:space="preserve">1. </w:t>
      </w:r>
      <w:r w:rsidR="006F63D3" w:rsidRPr="00131E69">
        <w:rPr>
          <w:sz w:val="28"/>
          <w:szCs w:val="28"/>
          <w:lang w:val="en-US"/>
        </w:rPr>
        <w:t>Academic freedom is under attack in the United States.</w:t>
      </w:r>
      <w:r w:rsidR="004C2608" w:rsidRPr="00131E69">
        <w:rPr>
          <w:sz w:val="28"/>
          <w:szCs w:val="28"/>
          <w:lang w:val="en-US"/>
        </w:rPr>
        <w:t xml:space="preserve"> </w:t>
      </w:r>
      <w:r w:rsidR="006F63D3" w:rsidRPr="00131E69">
        <w:rPr>
          <w:sz w:val="28"/>
          <w:szCs w:val="28"/>
          <w:lang w:val="en-US"/>
        </w:rPr>
        <w:t xml:space="preserve"> Like the authoritarian populism rising in countries across the globe, the attack in the U.S. is part of a broader multifaceted assault on democracy and democratic institutions.  These include attacks on the electoral process, on the civil rights and liberties of minoritized populations, women, LGBTQ+ people, and activists (recently </w:t>
      </w:r>
      <w:r w:rsidR="000013FC">
        <w:rPr>
          <w:sz w:val="28"/>
          <w:szCs w:val="28"/>
          <w:lang w:val="en-US"/>
        </w:rPr>
        <w:t xml:space="preserve">escalated against </w:t>
      </w:r>
      <w:r w:rsidR="006F63D3" w:rsidRPr="00131E69">
        <w:rPr>
          <w:sz w:val="28"/>
          <w:szCs w:val="28"/>
          <w:lang w:val="en-US"/>
        </w:rPr>
        <w:t>Pro-Palestinian activists), among others; and on various independent social and governmental</w:t>
      </w:r>
      <w:r w:rsidR="00C36DD3" w:rsidRPr="00131E69">
        <w:rPr>
          <w:sz w:val="28"/>
          <w:szCs w:val="28"/>
          <w:lang w:val="en-US"/>
        </w:rPr>
        <w:t xml:space="preserve"> institutions</w:t>
      </w:r>
      <w:r w:rsidR="006F63D3" w:rsidRPr="00131E69">
        <w:rPr>
          <w:sz w:val="28"/>
          <w:szCs w:val="28"/>
          <w:lang w:val="en-US"/>
        </w:rPr>
        <w:t xml:space="preserve"> for the purpose of</w:t>
      </w:r>
      <w:r w:rsidR="006C177C">
        <w:rPr>
          <w:sz w:val="28"/>
          <w:szCs w:val="28"/>
          <w:lang w:val="en-US"/>
        </w:rPr>
        <w:t xml:space="preserve"> </w:t>
      </w:r>
      <w:r w:rsidR="006F63D3" w:rsidRPr="00131E69">
        <w:rPr>
          <w:sz w:val="28"/>
          <w:szCs w:val="28"/>
          <w:lang w:val="en-US"/>
        </w:rPr>
        <w:t xml:space="preserve"> undermining</w:t>
      </w:r>
      <w:r w:rsidR="006C177C">
        <w:rPr>
          <w:sz w:val="28"/>
          <w:szCs w:val="28"/>
          <w:lang w:val="en-US"/>
        </w:rPr>
        <w:t xml:space="preserve"> and delegitimizing </w:t>
      </w:r>
      <w:r w:rsidR="006F63D3" w:rsidRPr="00131E69">
        <w:rPr>
          <w:sz w:val="28"/>
          <w:szCs w:val="28"/>
          <w:lang w:val="en-US"/>
        </w:rPr>
        <w:t xml:space="preserve">them.  </w:t>
      </w:r>
    </w:p>
    <w:p w14:paraId="31226117" w14:textId="6E48E26E" w:rsidR="007F590A" w:rsidRPr="00131E69" w:rsidRDefault="006F63D3" w:rsidP="00E662DA">
      <w:pPr>
        <w:jc w:val="both"/>
        <w:rPr>
          <w:sz w:val="28"/>
          <w:szCs w:val="28"/>
          <w:lang w:val="en-US"/>
        </w:rPr>
      </w:pPr>
      <w:r w:rsidRPr="00131E69">
        <w:rPr>
          <w:sz w:val="28"/>
          <w:szCs w:val="28"/>
          <w:lang w:val="en-US"/>
        </w:rPr>
        <w:t xml:space="preserve">2.  </w:t>
      </w:r>
      <w:r w:rsidR="00111191">
        <w:rPr>
          <w:sz w:val="28"/>
          <w:szCs w:val="28"/>
          <w:lang w:val="en-US"/>
        </w:rPr>
        <w:t>E</w:t>
      </w:r>
      <w:r w:rsidR="00400FFE" w:rsidRPr="00131E69">
        <w:rPr>
          <w:sz w:val="28"/>
          <w:szCs w:val="28"/>
          <w:lang w:val="en-US"/>
        </w:rPr>
        <w:t>ducation generally</w:t>
      </w:r>
      <w:r w:rsidR="00C36DD3" w:rsidRPr="00131E69">
        <w:rPr>
          <w:sz w:val="28"/>
          <w:szCs w:val="28"/>
          <w:lang w:val="en-US"/>
        </w:rPr>
        <w:t>,</w:t>
      </w:r>
      <w:r w:rsidR="00400FFE" w:rsidRPr="00131E69">
        <w:rPr>
          <w:sz w:val="28"/>
          <w:szCs w:val="28"/>
          <w:lang w:val="en-US"/>
        </w:rPr>
        <w:t xml:space="preserve"> and </w:t>
      </w:r>
      <w:r w:rsidRPr="00131E69">
        <w:rPr>
          <w:sz w:val="28"/>
          <w:szCs w:val="28"/>
          <w:lang w:val="en-US"/>
        </w:rPr>
        <w:t>academic freedom</w:t>
      </w:r>
      <w:r w:rsidR="00400FFE" w:rsidRPr="00131E69">
        <w:rPr>
          <w:sz w:val="28"/>
          <w:szCs w:val="28"/>
          <w:lang w:val="en-US"/>
        </w:rPr>
        <w:t xml:space="preserve"> in particular</w:t>
      </w:r>
      <w:r w:rsidRPr="00131E69">
        <w:rPr>
          <w:sz w:val="28"/>
          <w:szCs w:val="28"/>
          <w:lang w:val="en-US"/>
        </w:rPr>
        <w:t>,</w:t>
      </w:r>
      <w:r w:rsidR="00C36DD3" w:rsidRPr="00131E69">
        <w:rPr>
          <w:sz w:val="28"/>
          <w:szCs w:val="28"/>
          <w:lang w:val="en-US"/>
        </w:rPr>
        <w:t xml:space="preserve"> </w:t>
      </w:r>
      <w:r w:rsidR="00466255" w:rsidRPr="00131E69">
        <w:rPr>
          <w:sz w:val="28"/>
          <w:szCs w:val="28"/>
          <w:lang w:val="en-US"/>
        </w:rPr>
        <w:t>is</w:t>
      </w:r>
      <w:r w:rsidRPr="00131E69">
        <w:rPr>
          <w:sz w:val="28"/>
          <w:szCs w:val="28"/>
          <w:lang w:val="en-US"/>
        </w:rPr>
        <w:t xml:space="preserve"> currently the </w:t>
      </w:r>
      <w:r w:rsidR="00C36DD3" w:rsidRPr="00131E69">
        <w:rPr>
          <w:sz w:val="28"/>
          <w:szCs w:val="28"/>
          <w:lang w:val="en-US"/>
        </w:rPr>
        <w:t xml:space="preserve">specific </w:t>
      </w:r>
      <w:r w:rsidRPr="00131E69">
        <w:rPr>
          <w:sz w:val="28"/>
          <w:szCs w:val="28"/>
          <w:lang w:val="en-US"/>
        </w:rPr>
        <w:t xml:space="preserve">target of </w:t>
      </w:r>
      <w:r w:rsidR="007F590A" w:rsidRPr="00131E69">
        <w:rPr>
          <w:sz w:val="28"/>
          <w:szCs w:val="28"/>
          <w:lang w:val="en-US"/>
        </w:rPr>
        <w:t xml:space="preserve">interlocking </w:t>
      </w:r>
      <w:r w:rsidR="00466255" w:rsidRPr="00131E69">
        <w:rPr>
          <w:sz w:val="28"/>
          <w:szCs w:val="28"/>
          <w:lang w:val="en-US"/>
        </w:rPr>
        <w:t>an</w:t>
      </w:r>
      <w:r w:rsidR="007F590A" w:rsidRPr="00131E69">
        <w:rPr>
          <w:sz w:val="28"/>
          <w:szCs w:val="28"/>
          <w:lang w:val="en-US"/>
        </w:rPr>
        <w:t>d</w:t>
      </w:r>
      <w:r w:rsidR="00466255" w:rsidRPr="00131E69">
        <w:rPr>
          <w:sz w:val="28"/>
          <w:szCs w:val="28"/>
          <w:lang w:val="en-US"/>
        </w:rPr>
        <w:t xml:space="preserve"> </w:t>
      </w:r>
      <w:r w:rsidR="006C7762" w:rsidRPr="00131E69">
        <w:rPr>
          <w:sz w:val="28"/>
          <w:szCs w:val="28"/>
          <w:lang w:val="en-US"/>
        </w:rPr>
        <w:t>extremely</w:t>
      </w:r>
      <w:r w:rsidRPr="00131E69">
        <w:rPr>
          <w:sz w:val="28"/>
          <w:szCs w:val="28"/>
          <w:lang w:val="en-US"/>
        </w:rPr>
        <w:t xml:space="preserve"> well-funded </w:t>
      </w:r>
      <w:r w:rsidR="00C36DD3" w:rsidRPr="00131E69">
        <w:rPr>
          <w:sz w:val="28"/>
          <w:szCs w:val="28"/>
          <w:lang w:val="en-US"/>
        </w:rPr>
        <w:t xml:space="preserve">reactionary </w:t>
      </w:r>
      <w:r w:rsidR="00466255" w:rsidRPr="00131E69">
        <w:rPr>
          <w:sz w:val="28"/>
          <w:szCs w:val="28"/>
          <w:lang w:val="en-US"/>
        </w:rPr>
        <w:t xml:space="preserve">ideological </w:t>
      </w:r>
      <w:r w:rsidRPr="00131E69">
        <w:rPr>
          <w:sz w:val="28"/>
          <w:szCs w:val="28"/>
          <w:lang w:val="en-US"/>
        </w:rPr>
        <w:t>campaign</w:t>
      </w:r>
      <w:r w:rsidR="007F590A" w:rsidRPr="00131E69">
        <w:rPr>
          <w:sz w:val="28"/>
          <w:szCs w:val="28"/>
          <w:lang w:val="en-US"/>
        </w:rPr>
        <w:t>s</w:t>
      </w:r>
      <w:r w:rsidR="00C36DD3" w:rsidRPr="00131E69">
        <w:rPr>
          <w:sz w:val="28"/>
          <w:szCs w:val="28"/>
          <w:lang w:val="en-US"/>
        </w:rPr>
        <w:t xml:space="preserve"> that seek to </w:t>
      </w:r>
      <w:r w:rsidR="00466255" w:rsidRPr="00131E69">
        <w:rPr>
          <w:sz w:val="28"/>
          <w:szCs w:val="28"/>
          <w:lang w:val="en-US"/>
        </w:rPr>
        <w:t>impose</w:t>
      </w:r>
      <w:r w:rsidR="005A7F75" w:rsidRPr="00131E69">
        <w:rPr>
          <w:sz w:val="28"/>
          <w:szCs w:val="28"/>
          <w:lang w:val="en-US"/>
        </w:rPr>
        <w:t xml:space="preserve"> - through law -</w:t>
      </w:r>
      <w:r w:rsidR="00466255" w:rsidRPr="00131E69">
        <w:rPr>
          <w:sz w:val="28"/>
          <w:szCs w:val="28"/>
          <w:lang w:val="en-US"/>
        </w:rPr>
        <w:t xml:space="preserve"> </w:t>
      </w:r>
      <w:r w:rsidR="005A7F75" w:rsidRPr="00131E69">
        <w:rPr>
          <w:sz w:val="28"/>
          <w:szCs w:val="28"/>
          <w:lang w:val="en-US"/>
        </w:rPr>
        <w:t>restrictions on educational discussions of the role of race</w:t>
      </w:r>
      <w:r w:rsidR="0054619A" w:rsidRPr="00131E69">
        <w:rPr>
          <w:sz w:val="28"/>
          <w:szCs w:val="28"/>
          <w:lang w:val="en-US"/>
        </w:rPr>
        <w:t>,</w:t>
      </w:r>
      <w:r w:rsidR="005A7F75" w:rsidRPr="00131E69">
        <w:rPr>
          <w:sz w:val="28"/>
          <w:szCs w:val="28"/>
          <w:lang w:val="en-US"/>
        </w:rPr>
        <w:t xml:space="preserve"> gender</w:t>
      </w:r>
      <w:r w:rsidR="0054619A" w:rsidRPr="00131E69">
        <w:rPr>
          <w:sz w:val="28"/>
          <w:szCs w:val="28"/>
          <w:lang w:val="en-US"/>
        </w:rPr>
        <w:t>, and inclusionary policies</w:t>
      </w:r>
      <w:r w:rsidR="005A7F75" w:rsidRPr="00131E69">
        <w:rPr>
          <w:sz w:val="28"/>
          <w:szCs w:val="28"/>
          <w:lang w:val="en-US"/>
        </w:rPr>
        <w:t xml:space="preserve"> in American society</w:t>
      </w:r>
      <w:r w:rsidR="001252C8" w:rsidRPr="00131E69">
        <w:rPr>
          <w:sz w:val="28"/>
          <w:szCs w:val="28"/>
          <w:lang w:val="en-US"/>
        </w:rPr>
        <w:t>.</w:t>
      </w:r>
      <w:r w:rsidRPr="00131E69">
        <w:rPr>
          <w:sz w:val="28"/>
          <w:szCs w:val="28"/>
          <w:lang w:val="en-US"/>
        </w:rPr>
        <w:t xml:space="preserve"> Launched by a network of </w:t>
      </w:r>
      <w:r w:rsidR="00531AFA" w:rsidRPr="00131E69">
        <w:rPr>
          <w:sz w:val="28"/>
          <w:szCs w:val="28"/>
          <w:lang w:val="en-US"/>
        </w:rPr>
        <w:t>c</w:t>
      </w:r>
      <w:r w:rsidR="001252C8" w:rsidRPr="00131E69">
        <w:rPr>
          <w:sz w:val="28"/>
          <w:szCs w:val="28"/>
          <w:lang w:val="en-US"/>
        </w:rPr>
        <w:t xml:space="preserve">onservative </w:t>
      </w:r>
      <w:r w:rsidRPr="00131E69">
        <w:rPr>
          <w:sz w:val="28"/>
          <w:szCs w:val="28"/>
          <w:lang w:val="en-US"/>
        </w:rPr>
        <w:t xml:space="preserve">billionaire donors, corporations, think tanks, media outlets, </w:t>
      </w:r>
      <w:r w:rsidR="00E92B75" w:rsidRPr="00131E69">
        <w:rPr>
          <w:sz w:val="28"/>
          <w:szCs w:val="28"/>
          <w:lang w:val="en-US"/>
        </w:rPr>
        <w:t xml:space="preserve">and </w:t>
      </w:r>
      <w:r w:rsidRPr="00131E69">
        <w:rPr>
          <w:sz w:val="28"/>
          <w:szCs w:val="28"/>
          <w:lang w:val="en-US"/>
        </w:rPr>
        <w:t>legal and legislative associations</w:t>
      </w:r>
      <w:r w:rsidR="00531AFA" w:rsidRPr="00131E69">
        <w:rPr>
          <w:sz w:val="28"/>
          <w:szCs w:val="28"/>
          <w:lang w:val="en-US"/>
        </w:rPr>
        <w:t xml:space="preserve">, </w:t>
      </w:r>
      <w:r w:rsidR="00D27B4E">
        <w:rPr>
          <w:sz w:val="28"/>
          <w:szCs w:val="28"/>
          <w:lang w:val="en-US"/>
        </w:rPr>
        <w:t xml:space="preserve">adherents of </w:t>
      </w:r>
      <w:r w:rsidR="001252C8" w:rsidRPr="00131E69">
        <w:rPr>
          <w:sz w:val="28"/>
          <w:szCs w:val="28"/>
          <w:lang w:val="en-US"/>
        </w:rPr>
        <w:t>this ideology now dominate one of the major political parties in the United State</w:t>
      </w:r>
      <w:r w:rsidR="007F590A" w:rsidRPr="00131E69">
        <w:rPr>
          <w:sz w:val="28"/>
          <w:szCs w:val="28"/>
          <w:lang w:val="en-US"/>
        </w:rPr>
        <w:t>s</w:t>
      </w:r>
      <w:r w:rsidR="001252C8" w:rsidRPr="00131E69">
        <w:rPr>
          <w:sz w:val="28"/>
          <w:szCs w:val="28"/>
          <w:lang w:val="en-US"/>
        </w:rPr>
        <w:t>, the Republican party (GOP)</w:t>
      </w:r>
      <w:r w:rsidR="00531AFA" w:rsidRPr="00131E69">
        <w:rPr>
          <w:sz w:val="28"/>
          <w:szCs w:val="28"/>
          <w:lang w:val="en-US"/>
        </w:rPr>
        <w:t>.</w:t>
      </w:r>
      <w:r w:rsidR="00930656">
        <w:rPr>
          <w:sz w:val="28"/>
          <w:szCs w:val="28"/>
          <w:lang w:val="en-US"/>
        </w:rPr>
        <w:t xml:space="preserve"> </w:t>
      </w:r>
      <w:r w:rsidR="00531AFA" w:rsidRPr="00131E69">
        <w:rPr>
          <w:sz w:val="28"/>
          <w:szCs w:val="28"/>
          <w:lang w:val="en-US"/>
        </w:rPr>
        <w:t>The</w:t>
      </w:r>
      <w:r w:rsidR="0054619A" w:rsidRPr="00131E69">
        <w:rPr>
          <w:sz w:val="28"/>
          <w:szCs w:val="28"/>
          <w:lang w:val="en-US"/>
        </w:rPr>
        <w:t xml:space="preserve">se politicians </w:t>
      </w:r>
      <w:r w:rsidR="007F590A" w:rsidRPr="00131E69">
        <w:rPr>
          <w:sz w:val="28"/>
          <w:szCs w:val="28"/>
          <w:lang w:val="en-US"/>
        </w:rPr>
        <w:t xml:space="preserve">control not only </w:t>
      </w:r>
      <w:r w:rsidRPr="00131E69">
        <w:rPr>
          <w:sz w:val="28"/>
          <w:szCs w:val="28"/>
          <w:lang w:val="en-US"/>
        </w:rPr>
        <w:t xml:space="preserve">various state and local administrations, </w:t>
      </w:r>
      <w:r w:rsidR="007F590A" w:rsidRPr="00131E69">
        <w:rPr>
          <w:sz w:val="28"/>
          <w:szCs w:val="28"/>
          <w:lang w:val="en-US"/>
        </w:rPr>
        <w:t>but occupy legislative and judicial positions at the national level.</w:t>
      </w:r>
      <w:r w:rsidR="008A23CB">
        <w:rPr>
          <w:rStyle w:val="FootnoteReference"/>
          <w:sz w:val="28"/>
          <w:szCs w:val="28"/>
          <w:lang w:val="en-US"/>
        </w:rPr>
        <w:footnoteReference w:id="1"/>
      </w:r>
    </w:p>
    <w:p w14:paraId="2F8FB896" w14:textId="77777777" w:rsidR="007F590A" w:rsidRPr="00131E69" w:rsidRDefault="007F590A" w:rsidP="00E662DA">
      <w:pPr>
        <w:jc w:val="both"/>
        <w:rPr>
          <w:sz w:val="28"/>
          <w:szCs w:val="28"/>
          <w:lang w:val="en-US"/>
        </w:rPr>
      </w:pPr>
    </w:p>
    <w:p w14:paraId="4F72D515" w14:textId="2719C51A" w:rsidR="006F63D3" w:rsidRPr="00131E69" w:rsidRDefault="007F590A" w:rsidP="00E662DA">
      <w:pPr>
        <w:jc w:val="both"/>
        <w:rPr>
          <w:sz w:val="28"/>
          <w:szCs w:val="28"/>
          <w:lang w:val="en-US"/>
        </w:rPr>
      </w:pPr>
      <w:r w:rsidRPr="00131E69">
        <w:rPr>
          <w:sz w:val="28"/>
          <w:szCs w:val="28"/>
          <w:lang w:val="en-US"/>
        </w:rPr>
        <w:t xml:space="preserve">3.  The campaigns </w:t>
      </w:r>
      <w:r w:rsidR="006F63D3" w:rsidRPr="00131E69">
        <w:rPr>
          <w:sz w:val="28"/>
          <w:szCs w:val="28"/>
          <w:lang w:val="en-US"/>
        </w:rPr>
        <w:t xml:space="preserve">have resulted in </w:t>
      </w:r>
      <w:r w:rsidR="00D006F7" w:rsidRPr="00131E69">
        <w:rPr>
          <w:sz w:val="28"/>
          <w:szCs w:val="28"/>
          <w:lang w:val="en-US"/>
        </w:rPr>
        <w:t xml:space="preserve"> </w:t>
      </w:r>
      <w:r w:rsidR="006F63D3" w:rsidRPr="00131E69">
        <w:rPr>
          <w:sz w:val="28"/>
          <w:szCs w:val="28"/>
          <w:lang w:val="en-US"/>
        </w:rPr>
        <w:t xml:space="preserve">almost 800 </w:t>
      </w:r>
      <w:r w:rsidR="006C177C">
        <w:rPr>
          <w:sz w:val="28"/>
          <w:szCs w:val="28"/>
          <w:lang w:val="en-US"/>
        </w:rPr>
        <w:t xml:space="preserve">proposals of </w:t>
      </w:r>
      <w:r w:rsidR="006F63D3" w:rsidRPr="00131E69">
        <w:rPr>
          <w:sz w:val="28"/>
          <w:szCs w:val="28"/>
          <w:lang w:val="en-US"/>
        </w:rPr>
        <w:t>“discriminatory censorship</w:t>
      </w:r>
      <w:r w:rsidR="00D006F7" w:rsidRPr="00131E69">
        <w:rPr>
          <w:sz w:val="28"/>
          <w:szCs w:val="28"/>
          <w:lang w:val="en-US"/>
        </w:rPr>
        <w:t>”</w:t>
      </w:r>
      <w:r w:rsidR="006F63D3" w:rsidRPr="00131E69">
        <w:rPr>
          <w:sz w:val="28"/>
          <w:szCs w:val="28"/>
          <w:lang w:val="en-US"/>
        </w:rPr>
        <w:t xml:space="preserve"> laws, </w:t>
      </w:r>
      <w:r w:rsidR="00466255" w:rsidRPr="00131E69">
        <w:rPr>
          <w:sz w:val="28"/>
          <w:szCs w:val="28"/>
          <w:lang w:val="en-US"/>
        </w:rPr>
        <w:t>directives</w:t>
      </w:r>
      <w:r w:rsidR="006F63D3" w:rsidRPr="00131E69">
        <w:rPr>
          <w:sz w:val="28"/>
          <w:szCs w:val="28"/>
          <w:lang w:val="en-US"/>
        </w:rPr>
        <w:t xml:space="preserve"> and</w:t>
      </w:r>
      <w:r w:rsidR="00C36DD3" w:rsidRPr="00131E69">
        <w:rPr>
          <w:sz w:val="28"/>
          <w:szCs w:val="28"/>
          <w:lang w:val="en-US"/>
        </w:rPr>
        <w:t xml:space="preserve"> </w:t>
      </w:r>
      <w:r w:rsidR="006F63D3" w:rsidRPr="00131E69">
        <w:rPr>
          <w:sz w:val="28"/>
          <w:szCs w:val="28"/>
          <w:lang w:val="en-US"/>
        </w:rPr>
        <w:t xml:space="preserve">resolutions across </w:t>
      </w:r>
      <w:r w:rsidRPr="00131E69">
        <w:rPr>
          <w:sz w:val="28"/>
          <w:szCs w:val="28"/>
          <w:lang w:val="en-US"/>
        </w:rPr>
        <w:t>the country</w:t>
      </w:r>
      <w:r w:rsidR="002E088D" w:rsidRPr="00131E69">
        <w:rPr>
          <w:sz w:val="28"/>
          <w:szCs w:val="28"/>
          <w:lang w:val="en-US"/>
        </w:rPr>
        <w:t>,</w:t>
      </w:r>
      <w:r w:rsidR="007C30DE" w:rsidRPr="00131E69">
        <w:rPr>
          <w:rStyle w:val="FootnoteReference"/>
          <w:sz w:val="28"/>
          <w:szCs w:val="28"/>
          <w:lang w:val="en-US"/>
        </w:rPr>
        <w:footnoteReference w:id="2"/>
      </w:r>
      <w:r w:rsidR="002E088D" w:rsidRPr="00131E69">
        <w:rPr>
          <w:sz w:val="28"/>
          <w:szCs w:val="28"/>
          <w:lang w:val="en-US"/>
        </w:rPr>
        <w:t xml:space="preserve"> representing </w:t>
      </w:r>
      <w:r w:rsidR="006F63D3" w:rsidRPr="00131E69">
        <w:rPr>
          <w:sz w:val="28"/>
          <w:szCs w:val="28"/>
          <w:lang w:val="en-US"/>
        </w:rPr>
        <w:t>all but one state</w:t>
      </w:r>
      <w:r w:rsidRPr="00131E69">
        <w:rPr>
          <w:sz w:val="28"/>
          <w:szCs w:val="28"/>
          <w:lang w:val="en-US"/>
        </w:rPr>
        <w:t>;</w:t>
      </w:r>
      <w:r w:rsidR="004C69B4">
        <w:rPr>
          <w:rStyle w:val="FootnoteReference"/>
          <w:sz w:val="28"/>
          <w:szCs w:val="28"/>
          <w:lang w:val="en-US"/>
        </w:rPr>
        <w:footnoteReference w:id="3"/>
      </w:r>
      <w:r w:rsidRPr="00131E69">
        <w:rPr>
          <w:sz w:val="28"/>
          <w:szCs w:val="28"/>
          <w:lang w:val="en-US"/>
        </w:rPr>
        <w:t xml:space="preserve"> </w:t>
      </w:r>
      <w:r w:rsidR="006F63D3" w:rsidRPr="00131E69">
        <w:rPr>
          <w:sz w:val="28"/>
          <w:szCs w:val="28"/>
          <w:lang w:val="en-US"/>
        </w:rPr>
        <w:t xml:space="preserve">and </w:t>
      </w:r>
      <w:r w:rsidR="002E088D" w:rsidRPr="00131E69">
        <w:rPr>
          <w:sz w:val="28"/>
          <w:szCs w:val="28"/>
          <w:lang w:val="en-US"/>
        </w:rPr>
        <w:t>almost 6000</w:t>
      </w:r>
      <w:r w:rsidR="006F63D3" w:rsidRPr="00131E69">
        <w:rPr>
          <w:sz w:val="28"/>
          <w:szCs w:val="28"/>
          <w:lang w:val="en-US"/>
        </w:rPr>
        <w:t xml:space="preserve"> instances of book bans across 41 states and 247 public school districts.</w:t>
      </w:r>
      <w:r w:rsidR="007C30DE" w:rsidRPr="00131E69">
        <w:rPr>
          <w:rStyle w:val="FootnoteReference"/>
          <w:sz w:val="28"/>
          <w:szCs w:val="28"/>
          <w:lang w:val="en-US"/>
        </w:rPr>
        <w:footnoteReference w:id="4"/>
      </w:r>
      <w:r w:rsidR="006F63D3" w:rsidRPr="00131E69">
        <w:rPr>
          <w:sz w:val="28"/>
          <w:szCs w:val="28"/>
          <w:lang w:val="en-US"/>
        </w:rPr>
        <w:t xml:space="preserve">  </w:t>
      </w:r>
      <w:r w:rsidR="002E088D" w:rsidRPr="00131E69">
        <w:rPr>
          <w:sz w:val="28"/>
          <w:szCs w:val="28"/>
          <w:lang w:val="en-US"/>
        </w:rPr>
        <w:t xml:space="preserve">While discriminatory censorship laws </w:t>
      </w:r>
      <w:r w:rsidR="00D006F7" w:rsidRPr="00131E69">
        <w:rPr>
          <w:sz w:val="28"/>
          <w:szCs w:val="28"/>
          <w:lang w:val="en-US"/>
        </w:rPr>
        <w:t xml:space="preserve">and rules </w:t>
      </w:r>
      <w:r w:rsidR="002E088D" w:rsidRPr="00131E69">
        <w:rPr>
          <w:sz w:val="28"/>
          <w:szCs w:val="28"/>
          <w:lang w:val="en-US"/>
        </w:rPr>
        <w:t xml:space="preserve">apply to educators and institutions at the </w:t>
      </w:r>
      <w:r w:rsidR="00E310C9">
        <w:rPr>
          <w:sz w:val="28"/>
          <w:szCs w:val="28"/>
          <w:lang w:val="en-US"/>
        </w:rPr>
        <w:t>primary and secondary (“K-12”)</w:t>
      </w:r>
      <w:r w:rsidR="002E088D" w:rsidRPr="00131E69">
        <w:rPr>
          <w:sz w:val="28"/>
          <w:szCs w:val="28"/>
          <w:lang w:val="en-US"/>
        </w:rPr>
        <w:t xml:space="preserve"> and higher educational levels, </w:t>
      </w:r>
      <w:r w:rsidR="00E92B75" w:rsidRPr="00131E69">
        <w:rPr>
          <w:sz w:val="28"/>
          <w:szCs w:val="28"/>
          <w:lang w:val="en-US"/>
        </w:rPr>
        <w:t>several</w:t>
      </w:r>
      <w:r w:rsidR="002E088D" w:rsidRPr="00131E69">
        <w:rPr>
          <w:sz w:val="28"/>
          <w:szCs w:val="28"/>
          <w:lang w:val="en-US"/>
        </w:rPr>
        <w:t xml:space="preserve"> states have enacted laws that </w:t>
      </w:r>
      <w:r w:rsidR="00D006F7" w:rsidRPr="00131E69">
        <w:rPr>
          <w:sz w:val="28"/>
          <w:szCs w:val="28"/>
          <w:lang w:val="en-US"/>
        </w:rPr>
        <w:t xml:space="preserve">also </w:t>
      </w:r>
      <w:r w:rsidR="00E217AB" w:rsidRPr="00131E69">
        <w:rPr>
          <w:sz w:val="28"/>
          <w:szCs w:val="28"/>
          <w:lang w:val="en-US"/>
        </w:rPr>
        <w:lastRenderedPageBreak/>
        <w:t>expand government</w:t>
      </w:r>
      <w:r w:rsidR="00D006F7" w:rsidRPr="00131E69">
        <w:rPr>
          <w:sz w:val="28"/>
          <w:szCs w:val="28"/>
          <w:lang w:val="en-US"/>
        </w:rPr>
        <w:t>al</w:t>
      </w:r>
      <w:r w:rsidR="00E217AB" w:rsidRPr="00131E69">
        <w:rPr>
          <w:sz w:val="28"/>
          <w:szCs w:val="28"/>
          <w:lang w:val="en-US"/>
        </w:rPr>
        <w:t xml:space="preserve"> control over curricular content in public colleges and universities, </w:t>
      </w:r>
      <w:r w:rsidR="002E088D" w:rsidRPr="00131E69">
        <w:rPr>
          <w:sz w:val="28"/>
          <w:szCs w:val="28"/>
          <w:lang w:val="en-US"/>
        </w:rPr>
        <w:t xml:space="preserve">restrict </w:t>
      </w:r>
      <w:r w:rsidR="00E217AB" w:rsidRPr="00131E69">
        <w:rPr>
          <w:sz w:val="28"/>
          <w:szCs w:val="28"/>
          <w:lang w:val="en-US"/>
        </w:rPr>
        <w:t>t</w:t>
      </w:r>
      <w:r w:rsidR="002E088D" w:rsidRPr="00131E69">
        <w:rPr>
          <w:sz w:val="28"/>
          <w:szCs w:val="28"/>
          <w:lang w:val="en-US"/>
        </w:rPr>
        <w:t>enure</w:t>
      </w:r>
      <w:r w:rsidR="00E217AB" w:rsidRPr="00131E69">
        <w:rPr>
          <w:sz w:val="28"/>
          <w:szCs w:val="28"/>
          <w:lang w:val="en-US"/>
        </w:rPr>
        <w:t>, exert “direct ideological control over how universities operate” through bans on Diversity, Equity, and Inclusion</w:t>
      </w:r>
      <w:r w:rsidR="002E2F61" w:rsidRPr="00131E69">
        <w:rPr>
          <w:sz w:val="28"/>
          <w:szCs w:val="28"/>
          <w:lang w:val="en-US"/>
        </w:rPr>
        <w:t xml:space="preserve"> (DEI) programs, and restrict accreditation agencies</w:t>
      </w:r>
      <w:r w:rsidR="00820F9C" w:rsidRPr="00131E69">
        <w:rPr>
          <w:sz w:val="28"/>
          <w:szCs w:val="28"/>
          <w:lang w:val="en-US"/>
        </w:rPr>
        <w:t>.</w:t>
      </w:r>
      <w:r w:rsidR="002E2F61" w:rsidRPr="00131E69">
        <w:rPr>
          <w:rStyle w:val="FootnoteReference"/>
          <w:sz w:val="28"/>
          <w:szCs w:val="28"/>
          <w:lang w:val="en-US"/>
        </w:rPr>
        <w:footnoteReference w:id="5"/>
      </w:r>
      <w:r w:rsidR="002E2F61" w:rsidRPr="00131E69">
        <w:rPr>
          <w:sz w:val="28"/>
          <w:szCs w:val="28"/>
          <w:lang w:val="en-US"/>
        </w:rPr>
        <w:t xml:space="preserve"> </w:t>
      </w:r>
      <w:r w:rsidR="00820F9C" w:rsidRPr="00131E69">
        <w:rPr>
          <w:sz w:val="28"/>
          <w:szCs w:val="28"/>
          <w:lang w:val="en-US"/>
        </w:rPr>
        <w:t>A</w:t>
      </w:r>
      <w:r w:rsidR="002E2F61" w:rsidRPr="00131E69">
        <w:rPr>
          <w:sz w:val="28"/>
          <w:szCs w:val="28"/>
          <w:lang w:val="en-US"/>
        </w:rPr>
        <w:t>ll</w:t>
      </w:r>
      <w:r w:rsidR="00820F9C" w:rsidRPr="00131E69">
        <w:rPr>
          <w:sz w:val="28"/>
          <w:szCs w:val="28"/>
          <w:lang w:val="en-US"/>
        </w:rPr>
        <w:t xml:space="preserve"> of these are</w:t>
      </w:r>
      <w:r w:rsidR="002E2F61" w:rsidRPr="00131E69">
        <w:rPr>
          <w:sz w:val="28"/>
          <w:szCs w:val="28"/>
          <w:lang w:val="en-US"/>
        </w:rPr>
        <w:t xml:space="preserve"> </w:t>
      </w:r>
      <w:r w:rsidR="00E92B75" w:rsidRPr="00131E69">
        <w:rPr>
          <w:sz w:val="28"/>
          <w:szCs w:val="28"/>
          <w:lang w:val="en-US"/>
        </w:rPr>
        <w:t>essential component</w:t>
      </w:r>
      <w:r w:rsidR="002E2F61" w:rsidRPr="00131E69">
        <w:rPr>
          <w:sz w:val="28"/>
          <w:szCs w:val="28"/>
          <w:lang w:val="en-US"/>
        </w:rPr>
        <w:t>s</w:t>
      </w:r>
      <w:r w:rsidR="00E92B75" w:rsidRPr="00131E69">
        <w:rPr>
          <w:sz w:val="28"/>
          <w:szCs w:val="28"/>
          <w:lang w:val="en-US"/>
        </w:rPr>
        <w:t xml:space="preserve"> of academic freedom </w:t>
      </w:r>
      <w:r w:rsidR="002E088D" w:rsidRPr="00131E69">
        <w:rPr>
          <w:sz w:val="28"/>
          <w:szCs w:val="28"/>
          <w:lang w:val="en-US"/>
        </w:rPr>
        <w:t xml:space="preserve">in </w:t>
      </w:r>
      <w:r w:rsidR="00E92B75" w:rsidRPr="00131E69">
        <w:rPr>
          <w:sz w:val="28"/>
          <w:szCs w:val="28"/>
          <w:lang w:val="en-US"/>
        </w:rPr>
        <w:t>the United States.  Ultimately, t</w:t>
      </w:r>
      <w:r w:rsidR="006F63D3" w:rsidRPr="00131E69">
        <w:rPr>
          <w:sz w:val="28"/>
          <w:szCs w:val="28"/>
          <w:lang w:val="en-US"/>
        </w:rPr>
        <w:t>he goal is to silence educators</w:t>
      </w:r>
      <w:r w:rsidR="006C7762" w:rsidRPr="00131E69">
        <w:rPr>
          <w:sz w:val="28"/>
          <w:szCs w:val="28"/>
          <w:lang w:val="en-US"/>
        </w:rPr>
        <w:t>: “</w:t>
      </w:r>
      <w:r w:rsidR="006F63D3" w:rsidRPr="00131E69">
        <w:rPr>
          <w:sz w:val="28"/>
          <w:szCs w:val="28"/>
          <w:lang w:val="en-US"/>
        </w:rPr>
        <w:t>[T]o silence ideas and identities that some find uncomfortable; control narratives about the past; and ensure that only one set of values, viewpoints, and ideologies makes it past the schoolhouse gate.</w:t>
      </w:r>
      <w:r w:rsidR="006A3798" w:rsidRPr="00131E69">
        <w:rPr>
          <w:sz w:val="28"/>
          <w:szCs w:val="28"/>
          <w:lang w:val="en-US"/>
        </w:rPr>
        <w:t>”</w:t>
      </w:r>
      <w:r w:rsidR="006A3798" w:rsidRPr="00131E69">
        <w:rPr>
          <w:rStyle w:val="FootnoteReference"/>
          <w:sz w:val="28"/>
          <w:szCs w:val="28"/>
          <w:lang w:val="en-US"/>
        </w:rPr>
        <w:footnoteReference w:id="6"/>
      </w:r>
    </w:p>
    <w:p w14:paraId="280BAF4D" w14:textId="6177E897" w:rsidR="006F63D3" w:rsidRPr="00131E69" w:rsidRDefault="00034133" w:rsidP="00E662DA">
      <w:pPr>
        <w:spacing w:before="120" w:after="120"/>
        <w:jc w:val="both"/>
        <w:rPr>
          <w:sz w:val="28"/>
          <w:szCs w:val="28"/>
          <w:lang w:val="en-US"/>
        </w:rPr>
      </w:pPr>
      <w:r w:rsidRPr="00131E69">
        <w:rPr>
          <w:sz w:val="28"/>
          <w:szCs w:val="28"/>
          <w:lang w:val="en-US"/>
        </w:rPr>
        <w:t>4</w:t>
      </w:r>
      <w:r w:rsidR="006F63D3" w:rsidRPr="00131E69">
        <w:rPr>
          <w:sz w:val="28"/>
          <w:szCs w:val="28"/>
          <w:lang w:val="en-US"/>
        </w:rPr>
        <w:t xml:space="preserve">.  However, academic freedom is not only under attack from conservative </w:t>
      </w:r>
      <w:r w:rsidR="006C7762" w:rsidRPr="00131E69">
        <w:rPr>
          <w:sz w:val="28"/>
          <w:szCs w:val="28"/>
          <w:lang w:val="en-US"/>
        </w:rPr>
        <w:t>– “</w:t>
      </w:r>
      <w:r w:rsidR="006F63D3" w:rsidRPr="00131E69">
        <w:rPr>
          <w:sz w:val="28"/>
          <w:szCs w:val="28"/>
          <w:lang w:val="en-US"/>
        </w:rPr>
        <w:t>right-wing”</w:t>
      </w:r>
      <w:r w:rsidR="006A3798" w:rsidRPr="00131E69">
        <w:rPr>
          <w:sz w:val="28"/>
          <w:szCs w:val="28"/>
          <w:lang w:val="en-US"/>
        </w:rPr>
        <w:t xml:space="preserve"> -</w:t>
      </w:r>
      <w:r w:rsidR="006F63D3" w:rsidRPr="00131E69">
        <w:rPr>
          <w:sz w:val="28"/>
          <w:szCs w:val="28"/>
          <w:lang w:val="en-US"/>
        </w:rPr>
        <w:t xml:space="preserve"> ideology, but also from decades of “neoliberal” </w:t>
      </w:r>
      <w:r w:rsidR="00EF0FB1" w:rsidRPr="00131E69">
        <w:rPr>
          <w:sz w:val="28"/>
          <w:szCs w:val="28"/>
          <w:lang w:val="en-US"/>
        </w:rPr>
        <w:t xml:space="preserve">ideology and </w:t>
      </w:r>
      <w:r w:rsidR="006F63D3" w:rsidRPr="00131E69">
        <w:rPr>
          <w:sz w:val="28"/>
          <w:szCs w:val="28"/>
          <w:lang w:val="en-US"/>
        </w:rPr>
        <w:t>policies advanced by both Democrats and Republicans.</w:t>
      </w:r>
      <w:r w:rsidR="00EF0FB1" w:rsidRPr="00131E69">
        <w:rPr>
          <w:sz w:val="28"/>
          <w:szCs w:val="28"/>
          <w:lang w:val="en-US"/>
        </w:rPr>
        <w:t xml:space="preserve"> </w:t>
      </w:r>
      <w:r w:rsidR="0054619A" w:rsidRPr="00131E69">
        <w:rPr>
          <w:sz w:val="28"/>
          <w:szCs w:val="28"/>
          <w:lang w:val="en-US"/>
        </w:rPr>
        <w:t>Neoliberal</w:t>
      </w:r>
      <w:r w:rsidR="006F63D3" w:rsidRPr="00131E69">
        <w:rPr>
          <w:sz w:val="28"/>
          <w:szCs w:val="28"/>
          <w:lang w:val="en-US"/>
        </w:rPr>
        <w:t xml:space="preserve"> policies have fueled the corporatization of the academy and enhanced control of it by </w:t>
      </w:r>
      <w:r w:rsidR="00E310C9">
        <w:rPr>
          <w:sz w:val="28"/>
          <w:szCs w:val="28"/>
          <w:lang w:val="en-US"/>
        </w:rPr>
        <w:t xml:space="preserve">corporations and </w:t>
      </w:r>
      <w:r w:rsidR="006F63D3" w:rsidRPr="00131E69">
        <w:rPr>
          <w:sz w:val="28"/>
          <w:szCs w:val="28"/>
          <w:lang w:val="en-US"/>
        </w:rPr>
        <w:t xml:space="preserve">the wealthy. </w:t>
      </w:r>
      <w:r w:rsidR="006C177C">
        <w:rPr>
          <w:sz w:val="28"/>
          <w:szCs w:val="28"/>
          <w:lang w:val="en-US"/>
        </w:rPr>
        <w:t>Neoliberalism</w:t>
      </w:r>
      <w:r w:rsidR="006F63D3" w:rsidRPr="00131E69">
        <w:rPr>
          <w:sz w:val="28"/>
          <w:szCs w:val="28"/>
          <w:lang w:val="en-US"/>
        </w:rPr>
        <w:t xml:space="preserve"> theorizes that “governmental power is inherently prone to corruption, and that private markets freed from burdensome regulations are the best way to build wealth… and distribute the goods and services necessary for human flourishing.”</w:t>
      </w:r>
      <w:r w:rsidR="00E310C9">
        <w:rPr>
          <w:rStyle w:val="FootnoteReference"/>
          <w:sz w:val="28"/>
          <w:szCs w:val="28"/>
          <w:lang w:val="en-US"/>
        </w:rPr>
        <w:footnoteReference w:id="7"/>
      </w:r>
      <w:r w:rsidR="006F63D3" w:rsidRPr="00131E69">
        <w:rPr>
          <w:sz w:val="28"/>
          <w:szCs w:val="28"/>
          <w:lang w:val="en-US"/>
        </w:rPr>
        <w:t xml:space="preserve"> In reality, “neoliberal policy has dramatically increased economic precarity </w:t>
      </w:r>
      <w:r w:rsidR="00E310C9">
        <w:rPr>
          <w:sz w:val="28"/>
          <w:szCs w:val="28"/>
          <w:lang w:val="en-US"/>
        </w:rPr>
        <w:t xml:space="preserve">[in the United States] </w:t>
      </w:r>
      <w:r w:rsidR="006F63D3" w:rsidRPr="00131E69">
        <w:rPr>
          <w:sz w:val="28"/>
          <w:szCs w:val="28"/>
          <w:lang w:val="en-US"/>
        </w:rPr>
        <w:t>and concentrated wealth in fewer and fewer hands</w:t>
      </w:r>
      <w:r w:rsidR="00E310C9">
        <w:rPr>
          <w:sz w:val="28"/>
          <w:szCs w:val="28"/>
          <w:lang w:val="en-US"/>
        </w:rPr>
        <w:t>.</w:t>
      </w:r>
      <w:r w:rsidR="006F63D3" w:rsidRPr="00131E69">
        <w:rPr>
          <w:sz w:val="28"/>
          <w:szCs w:val="28"/>
          <w:lang w:val="en-US"/>
        </w:rPr>
        <w:t>”</w:t>
      </w:r>
      <w:r w:rsidR="00E310C9">
        <w:rPr>
          <w:rStyle w:val="FootnoteReference"/>
          <w:sz w:val="28"/>
          <w:szCs w:val="28"/>
          <w:lang w:val="en-US"/>
        </w:rPr>
        <w:footnoteReference w:id="8"/>
      </w:r>
      <w:r w:rsidR="006F63D3" w:rsidRPr="00131E69">
        <w:rPr>
          <w:sz w:val="28"/>
          <w:szCs w:val="28"/>
          <w:lang w:val="en-US"/>
        </w:rPr>
        <w:t xml:space="preserve"> </w:t>
      </w:r>
    </w:p>
    <w:p w14:paraId="3585B730" w14:textId="1A851816" w:rsidR="00A927BA" w:rsidRPr="00131E69" w:rsidRDefault="00034133" w:rsidP="00E662DA">
      <w:pPr>
        <w:spacing w:before="120" w:after="120"/>
        <w:jc w:val="both"/>
        <w:rPr>
          <w:sz w:val="28"/>
          <w:szCs w:val="28"/>
          <w:lang w:val="en-US"/>
        </w:rPr>
      </w:pPr>
      <w:r w:rsidRPr="00131E69">
        <w:rPr>
          <w:sz w:val="28"/>
          <w:szCs w:val="28"/>
          <w:lang w:val="en-US"/>
        </w:rPr>
        <w:t>5</w:t>
      </w:r>
      <w:r w:rsidR="006F63D3" w:rsidRPr="00131E69">
        <w:rPr>
          <w:sz w:val="28"/>
          <w:szCs w:val="28"/>
          <w:lang w:val="en-US"/>
        </w:rPr>
        <w:t xml:space="preserve">.  In the K-12 context, “neoliberal initiatives such as voucher programs, charter schools, state funding for parochial schools, and attacks on teachers and teacher unions seek to undermine public </w:t>
      </w:r>
      <w:r w:rsidR="006A3798" w:rsidRPr="00131E69">
        <w:rPr>
          <w:sz w:val="28"/>
          <w:szCs w:val="28"/>
          <w:lang w:val="en-US"/>
        </w:rPr>
        <w:t xml:space="preserve">K-12 </w:t>
      </w:r>
      <w:r w:rsidR="006F63D3" w:rsidRPr="00131E69">
        <w:rPr>
          <w:sz w:val="28"/>
          <w:szCs w:val="28"/>
          <w:lang w:val="en-US"/>
        </w:rPr>
        <w:t>education and create opportunities for private profiteering.”</w:t>
      </w:r>
      <w:r w:rsidR="006C177C">
        <w:rPr>
          <w:rStyle w:val="FootnoteReference"/>
          <w:sz w:val="28"/>
          <w:szCs w:val="28"/>
          <w:lang w:val="en-US"/>
        </w:rPr>
        <w:footnoteReference w:id="9"/>
      </w:r>
      <w:r w:rsidR="006F63D3" w:rsidRPr="00131E69">
        <w:rPr>
          <w:sz w:val="28"/>
          <w:szCs w:val="28"/>
          <w:lang w:val="en-US"/>
        </w:rPr>
        <w:t xml:space="preserve">  In</w:t>
      </w:r>
      <w:r w:rsidR="00862EDA">
        <w:rPr>
          <w:sz w:val="28"/>
          <w:szCs w:val="28"/>
          <w:lang w:val="en-US"/>
        </w:rPr>
        <w:t xml:space="preserve"> </w:t>
      </w:r>
      <w:r w:rsidR="006F63D3" w:rsidRPr="00131E69">
        <w:rPr>
          <w:sz w:val="28"/>
          <w:szCs w:val="28"/>
          <w:lang w:val="en-US"/>
        </w:rPr>
        <w:t>higher education, neoliberal policy has resulted in “dramatic reductions in state funding…which… have rendered colleges and universities increasingly dependent on</w:t>
      </w:r>
      <w:r w:rsidR="00820F9C" w:rsidRPr="00131E69">
        <w:rPr>
          <w:sz w:val="28"/>
          <w:szCs w:val="28"/>
          <w:lang w:val="en-US"/>
        </w:rPr>
        <w:t>”</w:t>
      </w:r>
      <w:r w:rsidR="006F63D3" w:rsidRPr="00131E69">
        <w:rPr>
          <w:sz w:val="28"/>
          <w:szCs w:val="28"/>
          <w:lang w:val="en-US"/>
        </w:rPr>
        <w:t xml:space="preserve"> </w:t>
      </w:r>
      <w:r w:rsidR="00820F9C" w:rsidRPr="00131E69">
        <w:rPr>
          <w:sz w:val="28"/>
          <w:szCs w:val="28"/>
          <w:lang w:val="en-US"/>
        </w:rPr>
        <w:t xml:space="preserve">private sources and </w:t>
      </w:r>
      <w:r w:rsidR="006F63D3" w:rsidRPr="00131E69">
        <w:rPr>
          <w:sz w:val="28"/>
          <w:szCs w:val="28"/>
          <w:lang w:val="en-US"/>
        </w:rPr>
        <w:t>student tuition</w:t>
      </w:r>
      <w:r w:rsidR="00820F9C" w:rsidRPr="00131E69">
        <w:rPr>
          <w:sz w:val="28"/>
          <w:szCs w:val="28"/>
          <w:lang w:val="en-US"/>
        </w:rPr>
        <w:t>, with</w:t>
      </w:r>
      <w:r w:rsidR="006F63D3" w:rsidRPr="00131E69">
        <w:rPr>
          <w:sz w:val="28"/>
          <w:szCs w:val="28"/>
          <w:lang w:val="en-US"/>
        </w:rPr>
        <w:t xml:space="preserve"> students increasingly dependent on loans</w:t>
      </w:r>
      <w:r w:rsidR="0054619A" w:rsidRPr="00131E69">
        <w:rPr>
          <w:sz w:val="28"/>
          <w:szCs w:val="28"/>
          <w:lang w:val="en-US"/>
        </w:rPr>
        <w:t>.</w:t>
      </w:r>
      <w:r w:rsidR="00A2100F">
        <w:rPr>
          <w:rStyle w:val="FootnoteReference"/>
          <w:sz w:val="28"/>
          <w:szCs w:val="28"/>
          <w:lang w:val="en-US"/>
        </w:rPr>
        <w:footnoteReference w:id="10"/>
      </w:r>
      <w:r w:rsidR="006F63D3" w:rsidRPr="00131E69">
        <w:rPr>
          <w:sz w:val="28"/>
          <w:szCs w:val="28"/>
          <w:lang w:val="en-US"/>
        </w:rPr>
        <w:t xml:space="preserve"> </w:t>
      </w:r>
      <w:r w:rsidR="0054619A" w:rsidRPr="00131E69">
        <w:rPr>
          <w:sz w:val="28"/>
          <w:szCs w:val="28"/>
          <w:lang w:val="en-US"/>
        </w:rPr>
        <w:t xml:space="preserve">It has also </w:t>
      </w:r>
      <w:r w:rsidR="006F63D3" w:rsidRPr="00131E69">
        <w:rPr>
          <w:sz w:val="28"/>
          <w:szCs w:val="28"/>
          <w:lang w:val="en-US"/>
        </w:rPr>
        <w:t>stimulat</w:t>
      </w:r>
      <w:r w:rsidR="0054619A" w:rsidRPr="00131E69">
        <w:rPr>
          <w:sz w:val="28"/>
          <w:szCs w:val="28"/>
          <w:lang w:val="en-US"/>
        </w:rPr>
        <w:t>ed</w:t>
      </w:r>
      <w:r w:rsidR="006F63D3" w:rsidRPr="00131E69">
        <w:rPr>
          <w:sz w:val="28"/>
          <w:szCs w:val="28"/>
          <w:lang w:val="en-US"/>
        </w:rPr>
        <w:t xml:space="preserve"> “the gradual replacement of tenure-track faculty with poorly paid adjuncts denied security of employment</w:t>
      </w:r>
      <w:r w:rsidR="0054619A" w:rsidRPr="00131E69">
        <w:rPr>
          <w:sz w:val="28"/>
          <w:szCs w:val="28"/>
          <w:lang w:val="en-US"/>
        </w:rPr>
        <w:t xml:space="preserve"> (and therefore security for expression)</w:t>
      </w:r>
      <w:r w:rsidR="006F63D3" w:rsidRPr="00131E69">
        <w:rPr>
          <w:sz w:val="28"/>
          <w:szCs w:val="28"/>
          <w:lang w:val="en-US"/>
        </w:rPr>
        <w:t>, and the closing of humanities departments and programs that teach students to think critically.”</w:t>
      </w:r>
      <w:r w:rsidR="00A2100F">
        <w:rPr>
          <w:rStyle w:val="FootnoteReference"/>
          <w:sz w:val="28"/>
          <w:szCs w:val="28"/>
          <w:lang w:val="en-US"/>
        </w:rPr>
        <w:footnoteReference w:id="11"/>
      </w:r>
      <w:r w:rsidR="006F63D3" w:rsidRPr="00131E69">
        <w:rPr>
          <w:sz w:val="28"/>
          <w:szCs w:val="28"/>
          <w:lang w:val="en-US"/>
        </w:rPr>
        <w:t xml:space="preserve"> </w:t>
      </w:r>
      <w:r w:rsidR="00A927BA" w:rsidRPr="00131E69">
        <w:rPr>
          <w:sz w:val="28"/>
          <w:szCs w:val="28"/>
          <w:lang w:val="en-US"/>
        </w:rPr>
        <w:t xml:space="preserve"> </w:t>
      </w:r>
    </w:p>
    <w:p w14:paraId="58B68F3E" w14:textId="6BE667AA" w:rsidR="00D21936" w:rsidRPr="00131E69" w:rsidRDefault="00034133" w:rsidP="00E662DA">
      <w:pPr>
        <w:spacing w:before="120" w:after="120"/>
        <w:jc w:val="both"/>
        <w:rPr>
          <w:sz w:val="28"/>
          <w:szCs w:val="28"/>
          <w:lang w:val="en-US"/>
        </w:rPr>
      </w:pPr>
      <w:r w:rsidRPr="00131E69">
        <w:rPr>
          <w:sz w:val="28"/>
          <w:szCs w:val="28"/>
          <w:lang w:val="en-US"/>
        </w:rPr>
        <w:t>6</w:t>
      </w:r>
      <w:r w:rsidR="006F63D3" w:rsidRPr="00131E69">
        <w:rPr>
          <w:sz w:val="28"/>
          <w:szCs w:val="28"/>
          <w:lang w:val="en-US"/>
        </w:rPr>
        <w:t xml:space="preserve">.  </w:t>
      </w:r>
      <w:r w:rsidR="00EF0FB1" w:rsidRPr="00131E69">
        <w:rPr>
          <w:sz w:val="28"/>
          <w:szCs w:val="28"/>
          <w:lang w:val="en-US"/>
        </w:rPr>
        <w:t xml:space="preserve">The </w:t>
      </w:r>
      <w:r w:rsidR="006F63D3" w:rsidRPr="00131E69">
        <w:rPr>
          <w:sz w:val="28"/>
          <w:szCs w:val="28"/>
          <w:lang w:val="en-US"/>
        </w:rPr>
        <w:t xml:space="preserve">campaign </w:t>
      </w:r>
      <w:r w:rsidR="00EF0FB1" w:rsidRPr="00131E69">
        <w:rPr>
          <w:sz w:val="28"/>
          <w:szCs w:val="28"/>
          <w:lang w:val="en-US"/>
        </w:rPr>
        <w:t>has grown in three phases</w:t>
      </w:r>
      <w:r w:rsidR="006B72E8" w:rsidRPr="00131E69">
        <w:rPr>
          <w:sz w:val="28"/>
          <w:szCs w:val="28"/>
          <w:lang w:val="en-US"/>
        </w:rPr>
        <w:t xml:space="preserve">, each with a set of deceptive messages and varying institutional </w:t>
      </w:r>
      <w:r w:rsidR="00820F9C" w:rsidRPr="00131E69">
        <w:rPr>
          <w:sz w:val="28"/>
          <w:szCs w:val="28"/>
          <w:lang w:val="en-US"/>
        </w:rPr>
        <w:t xml:space="preserve">and other </w:t>
      </w:r>
      <w:r w:rsidR="006B72E8" w:rsidRPr="00131E69">
        <w:rPr>
          <w:sz w:val="28"/>
          <w:szCs w:val="28"/>
          <w:lang w:val="en-US"/>
        </w:rPr>
        <w:t>targets.</w:t>
      </w:r>
      <w:r w:rsidR="00944423" w:rsidRPr="00131E69">
        <w:rPr>
          <w:rStyle w:val="FootnoteReference"/>
          <w:sz w:val="28"/>
          <w:szCs w:val="28"/>
          <w:lang w:val="en-US"/>
        </w:rPr>
        <w:footnoteReference w:id="12"/>
      </w:r>
      <w:r w:rsidR="00EF0FB1" w:rsidRPr="00131E69">
        <w:rPr>
          <w:sz w:val="28"/>
          <w:szCs w:val="28"/>
          <w:lang w:val="en-US"/>
        </w:rPr>
        <w:t xml:space="preserve">  </w:t>
      </w:r>
    </w:p>
    <w:p w14:paraId="168DD781" w14:textId="1C9ABE44" w:rsidR="00944423" w:rsidRPr="00131E69" w:rsidRDefault="00D21936" w:rsidP="00E662DA">
      <w:pPr>
        <w:pStyle w:val="ListParagraph"/>
        <w:numPr>
          <w:ilvl w:val="0"/>
          <w:numId w:val="40"/>
        </w:numPr>
        <w:spacing w:before="120" w:after="120"/>
        <w:jc w:val="both"/>
        <w:rPr>
          <w:sz w:val="28"/>
          <w:szCs w:val="28"/>
          <w:lang w:val="en-US"/>
        </w:rPr>
      </w:pPr>
      <w:r w:rsidRPr="00131E69">
        <w:rPr>
          <w:sz w:val="28"/>
          <w:szCs w:val="28"/>
          <w:lang w:val="en-US"/>
        </w:rPr>
        <w:t>Phase 1</w:t>
      </w:r>
      <w:r w:rsidR="00944423" w:rsidRPr="00131E69">
        <w:rPr>
          <w:sz w:val="28"/>
          <w:szCs w:val="28"/>
          <w:lang w:val="en-US"/>
        </w:rPr>
        <w:t xml:space="preserve">- Attacks </w:t>
      </w:r>
      <w:r w:rsidR="0054619A" w:rsidRPr="00131E69">
        <w:rPr>
          <w:i/>
          <w:sz w:val="28"/>
          <w:szCs w:val="28"/>
          <w:lang w:val="en-US"/>
        </w:rPr>
        <w:t>anti-racis</w:t>
      </w:r>
      <w:r w:rsidR="006B72E8" w:rsidRPr="00131E69">
        <w:rPr>
          <w:i/>
          <w:sz w:val="28"/>
          <w:szCs w:val="28"/>
          <w:lang w:val="en-US"/>
        </w:rPr>
        <w:t>m,</w:t>
      </w:r>
      <w:r w:rsidR="0054619A" w:rsidRPr="00131E69">
        <w:rPr>
          <w:sz w:val="28"/>
          <w:szCs w:val="28"/>
          <w:lang w:val="en-US"/>
        </w:rPr>
        <w:t xml:space="preserve"> equating</w:t>
      </w:r>
      <w:r w:rsidR="007235E7" w:rsidRPr="00131E69">
        <w:rPr>
          <w:sz w:val="28"/>
          <w:szCs w:val="28"/>
          <w:lang w:val="en-US"/>
        </w:rPr>
        <w:t xml:space="preserve"> efforts to promote racial justice</w:t>
      </w:r>
      <w:r w:rsidR="00BE7F21" w:rsidRPr="00131E69">
        <w:rPr>
          <w:sz w:val="28"/>
          <w:szCs w:val="28"/>
          <w:lang w:val="en-US"/>
        </w:rPr>
        <w:t xml:space="preserve"> and c</w:t>
      </w:r>
      <w:r w:rsidR="007235E7" w:rsidRPr="00131E69">
        <w:rPr>
          <w:sz w:val="28"/>
          <w:szCs w:val="28"/>
          <w:lang w:val="en-US"/>
        </w:rPr>
        <w:t xml:space="preserve">ombat racism, including its inclusionary </w:t>
      </w:r>
      <w:r w:rsidR="006A3798" w:rsidRPr="00131E69">
        <w:rPr>
          <w:sz w:val="28"/>
          <w:szCs w:val="28"/>
          <w:lang w:val="en-US"/>
        </w:rPr>
        <w:t>vision</w:t>
      </w:r>
      <w:r w:rsidR="00A572A9" w:rsidRPr="00131E69">
        <w:rPr>
          <w:sz w:val="28"/>
          <w:szCs w:val="28"/>
          <w:lang w:val="en-US"/>
        </w:rPr>
        <w:t>,</w:t>
      </w:r>
      <w:r w:rsidR="007235E7" w:rsidRPr="00131E69">
        <w:rPr>
          <w:sz w:val="28"/>
          <w:szCs w:val="28"/>
          <w:lang w:val="en-US"/>
        </w:rPr>
        <w:t xml:space="preserve"> </w:t>
      </w:r>
      <w:r w:rsidR="007235E7" w:rsidRPr="00131E69">
        <w:rPr>
          <w:i/>
          <w:sz w:val="28"/>
          <w:szCs w:val="28"/>
          <w:lang w:val="en-US"/>
        </w:rPr>
        <w:t>as racist</w:t>
      </w:r>
      <w:r w:rsidR="007235E7" w:rsidRPr="00131E69">
        <w:rPr>
          <w:sz w:val="28"/>
          <w:szCs w:val="28"/>
          <w:lang w:val="en-US"/>
        </w:rPr>
        <w:t xml:space="preserve">, and </w:t>
      </w:r>
      <w:r w:rsidR="00D9452C" w:rsidRPr="00131E69">
        <w:rPr>
          <w:sz w:val="28"/>
          <w:szCs w:val="28"/>
          <w:lang w:val="en-US"/>
        </w:rPr>
        <w:t xml:space="preserve">capturing this inversion </w:t>
      </w:r>
      <w:r w:rsidR="007235E7" w:rsidRPr="00131E69">
        <w:rPr>
          <w:sz w:val="28"/>
          <w:szCs w:val="28"/>
          <w:lang w:val="en-US"/>
        </w:rPr>
        <w:t>in the phrase “Critical Race Theory</w:t>
      </w:r>
      <w:r w:rsidR="006B72E8" w:rsidRPr="00131E69">
        <w:rPr>
          <w:sz w:val="28"/>
          <w:szCs w:val="28"/>
          <w:lang w:val="en-US"/>
        </w:rPr>
        <w:t>”</w:t>
      </w:r>
      <w:r w:rsidR="000B56AC" w:rsidRPr="00131E69">
        <w:rPr>
          <w:sz w:val="28"/>
          <w:szCs w:val="28"/>
          <w:lang w:val="en-US"/>
        </w:rPr>
        <w:t xml:space="preserve"> </w:t>
      </w:r>
      <w:r w:rsidR="0017491B" w:rsidRPr="00131E69">
        <w:rPr>
          <w:sz w:val="28"/>
          <w:szCs w:val="28"/>
          <w:lang w:val="en-US"/>
        </w:rPr>
        <w:t>or “CRT,”</w:t>
      </w:r>
      <w:r w:rsidR="00A2100F">
        <w:rPr>
          <w:sz w:val="28"/>
          <w:szCs w:val="28"/>
          <w:lang w:val="en-US"/>
        </w:rPr>
        <w:t xml:space="preserve"> – thereby </w:t>
      </w:r>
      <w:r w:rsidR="000B56AC" w:rsidRPr="00131E69">
        <w:rPr>
          <w:sz w:val="28"/>
          <w:szCs w:val="28"/>
          <w:lang w:val="en-US"/>
        </w:rPr>
        <w:t>distorting</w:t>
      </w:r>
      <w:r w:rsidR="007235E7" w:rsidRPr="00131E69">
        <w:rPr>
          <w:sz w:val="28"/>
          <w:szCs w:val="28"/>
          <w:lang w:val="en-US"/>
        </w:rPr>
        <w:t xml:space="preserve"> an entire academic school of legal thought. </w:t>
      </w:r>
      <w:r w:rsidR="00944423" w:rsidRPr="00131E69">
        <w:rPr>
          <w:sz w:val="28"/>
          <w:szCs w:val="28"/>
          <w:u w:val="single"/>
          <w:lang w:val="en-US"/>
        </w:rPr>
        <w:t>Legislative efforts</w:t>
      </w:r>
      <w:r w:rsidR="00944423" w:rsidRPr="00131E69">
        <w:rPr>
          <w:sz w:val="28"/>
          <w:szCs w:val="28"/>
          <w:lang w:val="en-US"/>
        </w:rPr>
        <w:t>:  Target</w:t>
      </w:r>
      <w:r w:rsidR="00D9452C" w:rsidRPr="00131E69">
        <w:rPr>
          <w:sz w:val="28"/>
          <w:szCs w:val="28"/>
          <w:lang w:val="en-US"/>
        </w:rPr>
        <w:t>s</w:t>
      </w:r>
      <w:r w:rsidR="007235E7" w:rsidRPr="00131E69">
        <w:rPr>
          <w:sz w:val="28"/>
          <w:szCs w:val="28"/>
          <w:lang w:val="en-US"/>
        </w:rPr>
        <w:t xml:space="preserve"> both K-12 and higher education in a single legislative effort</w:t>
      </w:r>
      <w:r w:rsidR="002E2F61" w:rsidRPr="00131E69">
        <w:rPr>
          <w:sz w:val="28"/>
          <w:szCs w:val="28"/>
          <w:lang w:val="en-US"/>
        </w:rPr>
        <w:t>.  Part of a</w:t>
      </w:r>
      <w:r w:rsidR="0017491B" w:rsidRPr="00131E69">
        <w:rPr>
          <w:sz w:val="28"/>
          <w:szCs w:val="28"/>
          <w:lang w:val="en-US"/>
        </w:rPr>
        <w:t xml:space="preserve"> flood of state measures sparked by </w:t>
      </w:r>
      <w:r w:rsidR="0035072E" w:rsidRPr="00131E69">
        <w:rPr>
          <w:sz w:val="28"/>
          <w:szCs w:val="28"/>
          <w:lang w:val="en-US"/>
        </w:rPr>
        <w:t xml:space="preserve">former president Trump’s </w:t>
      </w:r>
      <w:r w:rsidR="0017491B" w:rsidRPr="00C2158D">
        <w:rPr>
          <w:sz w:val="24"/>
          <w:szCs w:val="24"/>
        </w:rPr>
        <w:t>Executive Order 13950</w:t>
      </w:r>
      <w:r w:rsidR="0017491B" w:rsidRPr="00131E69">
        <w:rPr>
          <w:sz w:val="28"/>
          <w:szCs w:val="28"/>
          <w:lang w:val="en-US"/>
        </w:rPr>
        <w:t xml:space="preserve"> (now rescinded)</w:t>
      </w:r>
      <w:r w:rsidR="00D27B4E">
        <w:rPr>
          <w:sz w:val="28"/>
          <w:szCs w:val="28"/>
          <w:lang w:val="en-US"/>
        </w:rPr>
        <w:t>, which b</w:t>
      </w:r>
      <w:r w:rsidR="0017491B" w:rsidRPr="00131E69">
        <w:rPr>
          <w:sz w:val="28"/>
          <w:szCs w:val="28"/>
          <w:lang w:val="en-US"/>
        </w:rPr>
        <w:t>a</w:t>
      </w:r>
      <w:r w:rsidR="00D27B4E">
        <w:rPr>
          <w:sz w:val="28"/>
          <w:szCs w:val="28"/>
          <w:lang w:val="en-US"/>
        </w:rPr>
        <w:t>n</w:t>
      </w:r>
      <w:r w:rsidR="0017491B" w:rsidRPr="00131E69">
        <w:rPr>
          <w:sz w:val="28"/>
          <w:szCs w:val="28"/>
          <w:lang w:val="en-US"/>
        </w:rPr>
        <w:t>n</w:t>
      </w:r>
      <w:r w:rsidR="00D27B4E">
        <w:rPr>
          <w:sz w:val="28"/>
          <w:szCs w:val="28"/>
          <w:lang w:val="en-US"/>
        </w:rPr>
        <w:t>ed</w:t>
      </w:r>
      <w:r w:rsidR="0017491B" w:rsidRPr="00131E69">
        <w:rPr>
          <w:sz w:val="28"/>
          <w:szCs w:val="28"/>
          <w:lang w:val="en-US"/>
        </w:rPr>
        <w:t xml:space="preserve"> so called </w:t>
      </w:r>
      <w:r w:rsidR="0017491B" w:rsidRPr="00131E69">
        <w:rPr>
          <w:i/>
          <w:sz w:val="28"/>
          <w:szCs w:val="28"/>
          <w:lang w:val="en-US"/>
        </w:rPr>
        <w:t>divisive concepts</w:t>
      </w:r>
      <w:r w:rsidR="0017491B" w:rsidRPr="00131E69">
        <w:rPr>
          <w:sz w:val="28"/>
          <w:szCs w:val="28"/>
          <w:lang w:val="en-US"/>
        </w:rPr>
        <w:t xml:space="preserve"> in government trainings.</w:t>
      </w:r>
      <w:r w:rsidR="00512DAE">
        <w:rPr>
          <w:rStyle w:val="FootnoteReference"/>
          <w:sz w:val="28"/>
          <w:szCs w:val="28"/>
          <w:lang w:val="en-US"/>
        </w:rPr>
        <w:footnoteReference w:id="13"/>
      </w:r>
      <w:r w:rsidR="0017491B" w:rsidRPr="00131E69">
        <w:rPr>
          <w:sz w:val="28"/>
          <w:szCs w:val="28"/>
          <w:lang w:val="en-US"/>
        </w:rPr>
        <w:t xml:space="preserve"> </w:t>
      </w:r>
      <w:r w:rsidR="00820F9C" w:rsidRPr="00131E69">
        <w:rPr>
          <w:sz w:val="28"/>
          <w:szCs w:val="28"/>
          <w:lang w:val="en-US"/>
        </w:rPr>
        <w:t>CRT Forward notes that as</w:t>
      </w:r>
      <w:r w:rsidR="0017491B" w:rsidRPr="00131E69">
        <w:rPr>
          <w:sz w:val="28"/>
          <w:szCs w:val="28"/>
          <w:lang w:val="en-US"/>
        </w:rPr>
        <w:t xml:space="preserve"> of </w:t>
      </w:r>
      <w:r w:rsidR="00BE7F21" w:rsidRPr="00131E69">
        <w:rPr>
          <w:sz w:val="28"/>
          <w:szCs w:val="28"/>
          <w:lang w:val="en-US"/>
        </w:rPr>
        <w:t xml:space="preserve">December 2022, 35 percent </w:t>
      </w:r>
      <w:r w:rsidR="0017491B" w:rsidRPr="00131E69">
        <w:rPr>
          <w:sz w:val="28"/>
          <w:szCs w:val="28"/>
          <w:lang w:val="en-US"/>
        </w:rPr>
        <w:t xml:space="preserve">of </w:t>
      </w:r>
      <w:r w:rsidR="00BE7F21" w:rsidRPr="00131E69">
        <w:rPr>
          <w:sz w:val="28"/>
          <w:szCs w:val="28"/>
          <w:lang w:val="en-US"/>
        </w:rPr>
        <w:t>divisive concept legislation explicitly ban</w:t>
      </w:r>
      <w:r w:rsidR="0017491B" w:rsidRPr="00131E69">
        <w:rPr>
          <w:sz w:val="28"/>
          <w:szCs w:val="28"/>
          <w:lang w:val="en-US"/>
        </w:rPr>
        <w:t>ned</w:t>
      </w:r>
      <w:r w:rsidR="00BE7F21" w:rsidRPr="00131E69">
        <w:rPr>
          <w:sz w:val="28"/>
          <w:szCs w:val="28"/>
          <w:lang w:val="en-US"/>
        </w:rPr>
        <w:t xml:space="preserve"> CRT.</w:t>
      </w:r>
      <w:r w:rsidR="006A3798" w:rsidRPr="00131E69">
        <w:rPr>
          <w:rStyle w:val="FootnoteReference"/>
          <w:sz w:val="28"/>
          <w:szCs w:val="28"/>
          <w:lang w:val="en-US"/>
        </w:rPr>
        <w:footnoteReference w:id="14"/>
      </w:r>
      <w:r w:rsidR="00BE7F21" w:rsidRPr="00131E69">
        <w:rPr>
          <w:sz w:val="28"/>
          <w:szCs w:val="28"/>
          <w:lang w:val="en-US"/>
        </w:rPr>
        <w:t xml:space="preserve">  </w:t>
      </w:r>
    </w:p>
    <w:p w14:paraId="58AD44A2" w14:textId="43373285" w:rsidR="00944423" w:rsidRPr="00131E69" w:rsidRDefault="00944423" w:rsidP="00E662DA">
      <w:pPr>
        <w:pStyle w:val="ListParagraph"/>
        <w:numPr>
          <w:ilvl w:val="0"/>
          <w:numId w:val="40"/>
        </w:numPr>
        <w:spacing w:before="120" w:after="120"/>
        <w:jc w:val="both"/>
        <w:rPr>
          <w:sz w:val="28"/>
          <w:szCs w:val="28"/>
          <w:lang w:val="en-US"/>
        </w:rPr>
      </w:pPr>
      <w:r w:rsidRPr="00131E69">
        <w:rPr>
          <w:sz w:val="28"/>
          <w:szCs w:val="28"/>
          <w:lang w:val="en-US"/>
        </w:rPr>
        <w:t xml:space="preserve">Phase II – Intensifies </w:t>
      </w:r>
      <w:r w:rsidR="007A64C0" w:rsidRPr="00131E69">
        <w:rPr>
          <w:sz w:val="28"/>
          <w:szCs w:val="28"/>
          <w:lang w:val="en-US"/>
        </w:rPr>
        <w:t xml:space="preserve">attacks on </w:t>
      </w:r>
      <w:r w:rsidR="0017491B" w:rsidRPr="00131E69">
        <w:rPr>
          <w:sz w:val="28"/>
          <w:szCs w:val="28"/>
          <w:lang w:val="en-US"/>
        </w:rPr>
        <w:t>discussions about LGBTQ+ people and women’s roles in society</w:t>
      </w:r>
      <w:r w:rsidR="00D9452C" w:rsidRPr="00131E69">
        <w:rPr>
          <w:sz w:val="28"/>
          <w:szCs w:val="28"/>
          <w:lang w:val="en-US"/>
        </w:rPr>
        <w:t>.  It</w:t>
      </w:r>
      <w:r w:rsidR="007A64C0" w:rsidRPr="00131E69">
        <w:rPr>
          <w:sz w:val="28"/>
          <w:szCs w:val="28"/>
          <w:lang w:val="en-US"/>
        </w:rPr>
        <w:t xml:space="preserve"> </w:t>
      </w:r>
      <w:r w:rsidR="00D21936" w:rsidRPr="00131E69">
        <w:rPr>
          <w:sz w:val="28"/>
          <w:szCs w:val="28"/>
          <w:lang w:val="en-US"/>
        </w:rPr>
        <w:t>us</w:t>
      </w:r>
      <w:r w:rsidR="00D9452C" w:rsidRPr="00131E69">
        <w:rPr>
          <w:sz w:val="28"/>
          <w:szCs w:val="28"/>
          <w:lang w:val="en-US"/>
        </w:rPr>
        <w:t>es</w:t>
      </w:r>
      <w:r w:rsidR="00D21936" w:rsidRPr="00131E69">
        <w:rPr>
          <w:sz w:val="28"/>
          <w:szCs w:val="28"/>
          <w:lang w:val="en-US"/>
        </w:rPr>
        <w:t xml:space="preserve"> “the whip of </w:t>
      </w:r>
      <w:r w:rsidR="00D21936" w:rsidRPr="00131E69">
        <w:rPr>
          <w:i/>
          <w:sz w:val="28"/>
          <w:szCs w:val="28"/>
          <w:lang w:val="en-US"/>
        </w:rPr>
        <w:t>parental rights</w:t>
      </w:r>
      <w:r w:rsidR="002E2F61" w:rsidRPr="00131E69">
        <w:rPr>
          <w:i/>
          <w:sz w:val="28"/>
          <w:szCs w:val="28"/>
          <w:lang w:val="en-US"/>
        </w:rPr>
        <w:t>”</w:t>
      </w:r>
      <w:r w:rsidR="00D21936" w:rsidRPr="00131E69">
        <w:rPr>
          <w:sz w:val="28"/>
          <w:szCs w:val="28"/>
          <w:lang w:val="en-US"/>
        </w:rPr>
        <w:t xml:space="preserve"> to galvanize</w:t>
      </w:r>
      <w:r w:rsidR="006A3798" w:rsidRPr="00131E69">
        <w:rPr>
          <w:sz w:val="28"/>
          <w:szCs w:val="28"/>
          <w:lang w:val="en-US"/>
        </w:rPr>
        <w:t>,</w:t>
      </w:r>
      <w:r w:rsidR="00D21936" w:rsidRPr="00131E69">
        <w:rPr>
          <w:sz w:val="28"/>
          <w:szCs w:val="28"/>
          <w:lang w:val="en-US"/>
        </w:rPr>
        <w:t xml:space="preserve"> </w:t>
      </w:r>
      <w:r w:rsidR="00820F9C" w:rsidRPr="00131E69">
        <w:rPr>
          <w:sz w:val="28"/>
          <w:szCs w:val="28"/>
          <w:lang w:val="en-US"/>
        </w:rPr>
        <w:t xml:space="preserve">mostly </w:t>
      </w:r>
      <w:r w:rsidR="00FB501C">
        <w:rPr>
          <w:sz w:val="28"/>
          <w:szCs w:val="28"/>
          <w:lang w:val="en-US"/>
        </w:rPr>
        <w:t xml:space="preserve">conservative </w:t>
      </w:r>
      <w:r w:rsidR="00820F9C" w:rsidRPr="00131E69">
        <w:rPr>
          <w:sz w:val="28"/>
          <w:szCs w:val="28"/>
          <w:lang w:val="en-US"/>
        </w:rPr>
        <w:t>non-minority</w:t>
      </w:r>
      <w:r w:rsidR="006A3798" w:rsidRPr="00131E69">
        <w:rPr>
          <w:sz w:val="28"/>
          <w:szCs w:val="28"/>
          <w:lang w:val="en-US"/>
        </w:rPr>
        <w:t>,</w:t>
      </w:r>
      <w:r w:rsidR="00820F9C" w:rsidRPr="00131E69">
        <w:rPr>
          <w:sz w:val="28"/>
          <w:szCs w:val="28"/>
          <w:lang w:val="en-US"/>
        </w:rPr>
        <w:t xml:space="preserve"> s</w:t>
      </w:r>
      <w:r w:rsidR="00D21936" w:rsidRPr="00131E69">
        <w:rPr>
          <w:sz w:val="28"/>
          <w:szCs w:val="28"/>
          <w:lang w:val="en-US"/>
        </w:rPr>
        <w:t xml:space="preserve">upport </w:t>
      </w:r>
      <w:r w:rsidR="00820F9C" w:rsidRPr="00131E69">
        <w:rPr>
          <w:sz w:val="28"/>
          <w:szCs w:val="28"/>
          <w:lang w:val="en-US"/>
        </w:rPr>
        <w:t>to limit</w:t>
      </w:r>
      <w:r w:rsidRPr="00131E69">
        <w:rPr>
          <w:sz w:val="28"/>
          <w:szCs w:val="28"/>
          <w:lang w:val="en-US"/>
        </w:rPr>
        <w:t xml:space="preserve"> </w:t>
      </w:r>
      <w:r w:rsidR="00820F9C" w:rsidRPr="00131E69">
        <w:rPr>
          <w:sz w:val="28"/>
          <w:szCs w:val="28"/>
          <w:lang w:val="en-US"/>
        </w:rPr>
        <w:t>gender</w:t>
      </w:r>
      <w:r w:rsidR="0035072E" w:rsidRPr="00131E69">
        <w:rPr>
          <w:sz w:val="28"/>
          <w:szCs w:val="28"/>
          <w:lang w:val="en-US"/>
        </w:rPr>
        <w:t>-based</w:t>
      </w:r>
      <w:r w:rsidR="00820F9C" w:rsidRPr="00131E69">
        <w:rPr>
          <w:sz w:val="28"/>
          <w:szCs w:val="28"/>
          <w:lang w:val="en-US"/>
        </w:rPr>
        <w:t xml:space="preserve"> </w:t>
      </w:r>
      <w:r w:rsidRPr="00131E69">
        <w:rPr>
          <w:sz w:val="28"/>
          <w:szCs w:val="28"/>
          <w:lang w:val="en-US"/>
        </w:rPr>
        <w:t xml:space="preserve">discussions </w:t>
      </w:r>
      <w:r w:rsidR="00D21936" w:rsidRPr="00131E69">
        <w:rPr>
          <w:sz w:val="28"/>
          <w:szCs w:val="28"/>
          <w:lang w:val="en-US"/>
        </w:rPr>
        <w:t xml:space="preserve">and </w:t>
      </w:r>
      <w:r w:rsidR="007A64C0" w:rsidRPr="00131E69">
        <w:rPr>
          <w:sz w:val="28"/>
          <w:szCs w:val="28"/>
          <w:lang w:val="en-US"/>
        </w:rPr>
        <w:t>reflect</w:t>
      </w:r>
      <w:r w:rsidR="002E2F61" w:rsidRPr="00131E69">
        <w:rPr>
          <w:sz w:val="28"/>
          <w:szCs w:val="28"/>
          <w:lang w:val="en-US"/>
        </w:rPr>
        <w:t>s</w:t>
      </w:r>
      <w:r w:rsidR="007A64C0" w:rsidRPr="00131E69">
        <w:rPr>
          <w:sz w:val="28"/>
          <w:szCs w:val="28"/>
          <w:lang w:val="en-US"/>
        </w:rPr>
        <w:t xml:space="preserve"> the </w:t>
      </w:r>
      <w:r w:rsidR="00D21936" w:rsidRPr="00131E69">
        <w:rPr>
          <w:sz w:val="28"/>
          <w:szCs w:val="28"/>
          <w:lang w:val="en-US"/>
        </w:rPr>
        <w:t xml:space="preserve">alliance between </w:t>
      </w:r>
      <w:r w:rsidR="007A64C0" w:rsidRPr="00131E69">
        <w:rPr>
          <w:sz w:val="28"/>
          <w:szCs w:val="28"/>
          <w:lang w:val="en-US"/>
        </w:rPr>
        <w:t xml:space="preserve">political conservatives </w:t>
      </w:r>
      <w:r w:rsidR="00D21936" w:rsidRPr="00131E69">
        <w:rPr>
          <w:sz w:val="28"/>
          <w:szCs w:val="28"/>
          <w:lang w:val="en-US"/>
        </w:rPr>
        <w:t xml:space="preserve">and </w:t>
      </w:r>
      <w:r w:rsidR="007A64C0" w:rsidRPr="00131E69">
        <w:rPr>
          <w:sz w:val="28"/>
          <w:szCs w:val="28"/>
          <w:lang w:val="en-US"/>
        </w:rPr>
        <w:t>Christian nat</w:t>
      </w:r>
      <w:r w:rsidR="00D21936" w:rsidRPr="00131E69">
        <w:rPr>
          <w:sz w:val="28"/>
          <w:szCs w:val="28"/>
          <w:lang w:val="en-US"/>
        </w:rPr>
        <w:t>i</w:t>
      </w:r>
      <w:r w:rsidR="007A64C0" w:rsidRPr="00131E69">
        <w:rPr>
          <w:sz w:val="28"/>
          <w:szCs w:val="28"/>
          <w:lang w:val="en-US"/>
        </w:rPr>
        <w:t xml:space="preserve">onalists.  </w:t>
      </w:r>
      <w:r w:rsidRPr="00131E69">
        <w:rPr>
          <w:sz w:val="28"/>
          <w:szCs w:val="28"/>
          <w:u w:val="single"/>
          <w:lang w:val="en-US"/>
        </w:rPr>
        <w:t>Legislative efforts</w:t>
      </w:r>
      <w:r w:rsidRPr="00131E69">
        <w:rPr>
          <w:sz w:val="28"/>
          <w:szCs w:val="28"/>
          <w:lang w:val="en-US"/>
        </w:rPr>
        <w:t>:</w:t>
      </w:r>
      <w:r w:rsidR="00D21936" w:rsidRPr="00131E69">
        <w:rPr>
          <w:sz w:val="28"/>
          <w:szCs w:val="28"/>
          <w:lang w:val="en-US"/>
        </w:rPr>
        <w:t xml:space="preserve"> </w:t>
      </w:r>
      <w:r w:rsidRPr="00131E69">
        <w:rPr>
          <w:sz w:val="28"/>
          <w:szCs w:val="28"/>
          <w:lang w:val="en-US"/>
        </w:rPr>
        <w:t>S</w:t>
      </w:r>
      <w:r w:rsidR="00D21936" w:rsidRPr="00131E69">
        <w:rPr>
          <w:sz w:val="28"/>
          <w:szCs w:val="28"/>
          <w:lang w:val="en-US"/>
        </w:rPr>
        <w:t xml:space="preserve">eparate legislation </w:t>
      </w:r>
      <w:r w:rsidR="009574B9" w:rsidRPr="00131E69">
        <w:rPr>
          <w:sz w:val="28"/>
          <w:szCs w:val="28"/>
          <w:lang w:val="en-US"/>
        </w:rPr>
        <w:t>emerges, targeting K</w:t>
      </w:r>
      <w:r w:rsidR="009407DB" w:rsidRPr="00131E69">
        <w:rPr>
          <w:sz w:val="28"/>
          <w:szCs w:val="28"/>
          <w:lang w:val="en-US"/>
        </w:rPr>
        <w:t>-12</w:t>
      </w:r>
      <w:r w:rsidR="009574B9" w:rsidRPr="00131E69">
        <w:rPr>
          <w:sz w:val="28"/>
          <w:szCs w:val="28"/>
          <w:lang w:val="en-US"/>
        </w:rPr>
        <w:t xml:space="preserve"> or  h</w:t>
      </w:r>
      <w:r w:rsidR="009407DB" w:rsidRPr="00131E69">
        <w:rPr>
          <w:sz w:val="28"/>
          <w:szCs w:val="28"/>
          <w:lang w:val="en-US"/>
        </w:rPr>
        <w:t>igher education.  In 2023 alone, state</w:t>
      </w:r>
      <w:r w:rsidR="009574B9" w:rsidRPr="00131E69">
        <w:rPr>
          <w:sz w:val="28"/>
          <w:szCs w:val="28"/>
          <w:lang w:val="en-US"/>
        </w:rPr>
        <w:t>s</w:t>
      </w:r>
      <w:r w:rsidR="009407DB" w:rsidRPr="00131E69">
        <w:rPr>
          <w:sz w:val="28"/>
          <w:szCs w:val="28"/>
          <w:lang w:val="en-US"/>
        </w:rPr>
        <w:t xml:space="preserve"> propose</w:t>
      </w:r>
      <w:r w:rsidR="009574B9" w:rsidRPr="00131E69">
        <w:rPr>
          <w:sz w:val="28"/>
          <w:szCs w:val="28"/>
          <w:lang w:val="en-US"/>
        </w:rPr>
        <w:t>d</w:t>
      </w:r>
      <w:r w:rsidR="009407DB" w:rsidRPr="00131E69">
        <w:rPr>
          <w:sz w:val="28"/>
          <w:szCs w:val="28"/>
          <w:lang w:val="en-US"/>
        </w:rPr>
        <w:t xml:space="preserve"> 39 bills restricting discussion of LGBTQ topics</w:t>
      </w:r>
      <w:r w:rsidR="009574B9" w:rsidRPr="00131E69">
        <w:rPr>
          <w:sz w:val="28"/>
          <w:szCs w:val="28"/>
          <w:lang w:val="en-US"/>
        </w:rPr>
        <w:t xml:space="preserve"> in K-12 specifically, many modeled on Florida’s HB 1557 (2022), known </w:t>
      </w:r>
      <w:r w:rsidR="00D9452C" w:rsidRPr="00131E69">
        <w:rPr>
          <w:sz w:val="28"/>
          <w:szCs w:val="28"/>
          <w:lang w:val="en-US"/>
        </w:rPr>
        <w:t>colloquially</w:t>
      </w:r>
      <w:r w:rsidR="009574B9" w:rsidRPr="00131E69">
        <w:rPr>
          <w:sz w:val="28"/>
          <w:szCs w:val="28"/>
          <w:lang w:val="en-US"/>
        </w:rPr>
        <w:t xml:space="preserve"> </w:t>
      </w:r>
      <w:r w:rsidR="00D9452C" w:rsidRPr="00131E69">
        <w:rPr>
          <w:sz w:val="28"/>
          <w:szCs w:val="28"/>
          <w:lang w:val="en-US"/>
        </w:rPr>
        <w:t xml:space="preserve">as </w:t>
      </w:r>
      <w:r w:rsidR="009574B9" w:rsidRPr="00131E69">
        <w:rPr>
          <w:sz w:val="28"/>
          <w:szCs w:val="28"/>
          <w:lang w:val="en-US"/>
        </w:rPr>
        <w:t>the “Don’t Say Gay” act.</w:t>
      </w:r>
      <w:r w:rsidR="009574B9" w:rsidRPr="00131E69">
        <w:rPr>
          <w:rStyle w:val="FootnoteReference"/>
          <w:sz w:val="28"/>
          <w:szCs w:val="28"/>
          <w:lang w:val="en-US"/>
        </w:rPr>
        <w:footnoteReference w:id="15"/>
      </w:r>
      <w:r w:rsidR="009407DB" w:rsidRPr="00131E69">
        <w:rPr>
          <w:sz w:val="28"/>
          <w:szCs w:val="28"/>
          <w:lang w:val="en-US"/>
        </w:rPr>
        <w:t xml:space="preserve"> Separate legislation </w:t>
      </w:r>
      <w:r w:rsidR="00D21936" w:rsidRPr="00131E69">
        <w:rPr>
          <w:sz w:val="28"/>
          <w:szCs w:val="28"/>
          <w:lang w:val="en-US"/>
        </w:rPr>
        <w:t>attack</w:t>
      </w:r>
      <w:r w:rsidR="009407DB" w:rsidRPr="00131E69">
        <w:rPr>
          <w:sz w:val="28"/>
          <w:szCs w:val="28"/>
          <w:lang w:val="en-US"/>
        </w:rPr>
        <w:t>s</w:t>
      </w:r>
      <w:r w:rsidR="00D21936" w:rsidRPr="00131E69">
        <w:rPr>
          <w:sz w:val="28"/>
          <w:szCs w:val="28"/>
          <w:lang w:val="en-US"/>
        </w:rPr>
        <w:t xml:space="preserve"> the structural supports of academic freedom, including attacks on colleges and </w:t>
      </w:r>
      <w:r w:rsidRPr="00131E69">
        <w:rPr>
          <w:sz w:val="28"/>
          <w:szCs w:val="28"/>
          <w:lang w:val="en-US"/>
        </w:rPr>
        <w:t>universities</w:t>
      </w:r>
      <w:r w:rsidR="00D21936" w:rsidRPr="00131E69">
        <w:rPr>
          <w:sz w:val="28"/>
          <w:szCs w:val="28"/>
          <w:lang w:val="en-US"/>
        </w:rPr>
        <w:t xml:space="preserve">’ </w:t>
      </w:r>
      <w:r w:rsidRPr="00131E69">
        <w:rPr>
          <w:sz w:val="28"/>
          <w:szCs w:val="28"/>
          <w:lang w:val="en-US"/>
        </w:rPr>
        <w:t>governing</w:t>
      </w:r>
      <w:r w:rsidR="00D21936" w:rsidRPr="00131E69">
        <w:rPr>
          <w:sz w:val="28"/>
          <w:szCs w:val="28"/>
          <w:lang w:val="en-US"/>
        </w:rPr>
        <w:t xml:space="preserve"> structures and tenure regimes.   </w:t>
      </w:r>
      <w:r w:rsidR="002E2F61" w:rsidRPr="00131E69">
        <w:rPr>
          <w:sz w:val="28"/>
          <w:szCs w:val="28"/>
          <w:lang w:val="en-US"/>
        </w:rPr>
        <w:t>Again, Florida</w:t>
      </w:r>
      <w:r w:rsidR="00482520" w:rsidRPr="00131E69">
        <w:rPr>
          <w:sz w:val="28"/>
          <w:szCs w:val="28"/>
          <w:lang w:val="en-US"/>
        </w:rPr>
        <w:t>, which Pen</w:t>
      </w:r>
      <w:r w:rsidR="00820F9C" w:rsidRPr="00131E69">
        <w:rPr>
          <w:sz w:val="28"/>
          <w:szCs w:val="28"/>
          <w:lang w:val="en-US"/>
        </w:rPr>
        <w:t xml:space="preserve"> </w:t>
      </w:r>
      <w:r w:rsidR="00482520" w:rsidRPr="00131E69">
        <w:rPr>
          <w:sz w:val="28"/>
          <w:szCs w:val="28"/>
          <w:lang w:val="en-US"/>
        </w:rPr>
        <w:t>America s</w:t>
      </w:r>
      <w:r w:rsidR="006A3798" w:rsidRPr="00131E69">
        <w:rPr>
          <w:sz w:val="28"/>
          <w:szCs w:val="28"/>
          <w:lang w:val="en-US"/>
        </w:rPr>
        <w:t>uggest</w:t>
      </w:r>
      <w:r w:rsidR="00CE310F">
        <w:rPr>
          <w:sz w:val="28"/>
          <w:szCs w:val="28"/>
          <w:lang w:val="en-US"/>
        </w:rPr>
        <w:t>s</w:t>
      </w:r>
      <w:r w:rsidR="006A3798" w:rsidRPr="00131E69">
        <w:rPr>
          <w:sz w:val="28"/>
          <w:szCs w:val="28"/>
          <w:lang w:val="en-US"/>
        </w:rPr>
        <w:t xml:space="preserve"> </w:t>
      </w:r>
      <w:r w:rsidR="00482520" w:rsidRPr="00131E69">
        <w:rPr>
          <w:sz w:val="28"/>
          <w:szCs w:val="28"/>
          <w:lang w:val="en-US"/>
        </w:rPr>
        <w:t>is driving the conservative agenda,</w:t>
      </w:r>
      <w:r w:rsidR="0035072E" w:rsidRPr="00131E69">
        <w:rPr>
          <w:rStyle w:val="FootnoteReference"/>
          <w:sz w:val="28"/>
          <w:szCs w:val="28"/>
          <w:lang w:val="en-US"/>
        </w:rPr>
        <w:footnoteReference w:id="16"/>
      </w:r>
      <w:r w:rsidR="00482520" w:rsidRPr="00131E69">
        <w:rPr>
          <w:sz w:val="28"/>
          <w:szCs w:val="28"/>
          <w:lang w:val="en-US"/>
        </w:rPr>
        <w:t xml:space="preserve"> has passed several laws that </w:t>
      </w:r>
      <w:r w:rsidR="006F4A8C" w:rsidRPr="00131E69">
        <w:rPr>
          <w:sz w:val="28"/>
          <w:szCs w:val="28"/>
          <w:lang w:val="en-US"/>
        </w:rPr>
        <w:t>undermine</w:t>
      </w:r>
      <w:r w:rsidR="00482520" w:rsidRPr="00131E69">
        <w:rPr>
          <w:sz w:val="28"/>
          <w:szCs w:val="28"/>
          <w:lang w:val="en-US"/>
        </w:rPr>
        <w:t xml:space="preserve"> academic gover</w:t>
      </w:r>
      <w:r w:rsidR="00820F9C" w:rsidRPr="00131E69">
        <w:rPr>
          <w:sz w:val="28"/>
          <w:szCs w:val="28"/>
          <w:lang w:val="en-US"/>
        </w:rPr>
        <w:t>n</w:t>
      </w:r>
      <w:r w:rsidR="00482520" w:rsidRPr="00131E69">
        <w:rPr>
          <w:sz w:val="28"/>
          <w:szCs w:val="28"/>
          <w:lang w:val="en-US"/>
        </w:rPr>
        <w:t xml:space="preserve">ance, </w:t>
      </w:r>
      <w:r w:rsidR="006A3798" w:rsidRPr="00131E69">
        <w:rPr>
          <w:sz w:val="28"/>
          <w:szCs w:val="28"/>
          <w:lang w:val="en-US"/>
        </w:rPr>
        <w:t xml:space="preserve"> </w:t>
      </w:r>
      <w:r w:rsidR="00482520" w:rsidRPr="00131E69">
        <w:rPr>
          <w:sz w:val="28"/>
          <w:szCs w:val="28"/>
          <w:lang w:val="en-US"/>
        </w:rPr>
        <w:t xml:space="preserve">aspects of </w:t>
      </w:r>
      <w:r w:rsidR="00D27B4E">
        <w:rPr>
          <w:sz w:val="28"/>
          <w:szCs w:val="28"/>
          <w:lang w:val="en-US"/>
        </w:rPr>
        <w:t xml:space="preserve">which are being </w:t>
      </w:r>
      <w:r w:rsidR="00482520" w:rsidRPr="00131E69">
        <w:rPr>
          <w:sz w:val="28"/>
          <w:szCs w:val="28"/>
          <w:lang w:val="en-US"/>
        </w:rPr>
        <w:t>replicated in laws and bills in Iowa, Mississippi, North Carolin</w:t>
      </w:r>
      <w:r w:rsidR="00241E57" w:rsidRPr="00131E69">
        <w:rPr>
          <w:sz w:val="28"/>
          <w:szCs w:val="28"/>
          <w:lang w:val="en-US"/>
        </w:rPr>
        <w:t>a</w:t>
      </w:r>
      <w:r w:rsidR="00482520" w:rsidRPr="00131E69">
        <w:rPr>
          <w:sz w:val="28"/>
          <w:szCs w:val="28"/>
          <w:lang w:val="en-US"/>
        </w:rPr>
        <w:t xml:space="preserve">, North Dakota, Ohio and Texas, among others.   </w:t>
      </w:r>
    </w:p>
    <w:p w14:paraId="7769208E" w14:textId="65169196" w:rsidR="006F63D3" w:rsidRPr="00131E69" w:rsidRDefault="00944423" w:rsidP="00E662DA">
      <w:pPr>
        <w:pStyle w:val="ListParagraph"/>
        <w:numPr>
          <w:ilvl w:val="0"/>
          <w:numId w:val="40"/>
        </w:numPr>
        <w:spacing w:before="120" w:after="120"/>
        <w:jc w:val="both"/>
        <w:rPr>
          <w:sz w:val="28"/>
          <w:szCs w:val="28"/>
          <w:lang w:val="en-US"/>
        </w:rPr>
      </w:pPr>
      <w:r w:rsidRPr="00131E69">
        <w:rPr>
          <w:sz w:val="28"/>
          <w:szCs w:val="28"/>
          <w:lang w:val="en-US"/>
        </w:rPr>
        <w:t>Phase II</w:t>
      </w:r>
      <w:r w:rsidR="00D9452C" w:rsidRPr="00131E69">
        <w:rPr>
          <w:sz w:val="28"/>
          <w:szCs w:val="28"/>
          <w:lang w:val="en-US"/>
        </w:rPr>
        <w:t>I</w:t>
      </w:r>
      <w:r w:rsidRPr="00131E69">
        <w:rPr>
          <w:sz w:val="28"/>
          <w:szCs w:val="28"/>
          <w:lang w:val="en-US"/>
        </w:rPr>
        <w:t xml:space="preserve"> – Arise</w:t>
      </w:r>
      <w:r w:rsidR="009574B9" w:rsidRPr="00131E69">
        <w:rPr>
          <w:sz w:val="28"/>
          <w:szCs w:val="28"/>
          <w:lang w:val="en-US"/>
        </w:rPr>
        <w:t>s</w:t>
      </w:r>
      <w:r w:rsidRPr="00131E69">
        <w:rPr>
          <w:sz w:val="28"/>
          <w:szCs w:val="28"/>
          <w:lang w:val="en-US"/>
        </w:rPr>
        <w:t xml:space="preserve"> out of </w:t>
      </w:r>
      <w:r w:rsidR="00D9452C" w:rsidRPr="00131E69">
        <w:rPr>
          <w:sz w:val="28"/>
          <w:szCs w:val="28"/>
          <w:lang w:val="en-US"/>
        </w:rPr>
        <w:t xml:space="preserve">the </w:t>
      </w:r>
      <w:r w:rsidR="00A528C8">
        <w:rPr>
          <w:sz w:val="28"/>
          <w:szCs w:val="28"/>
          <w:lang w:val="en-US"/>
        </w:rPr>
        <w:t>war in Gaza</w:t>
      </w:r>
      <w:r w:rsidR="00241E57" w:rsidRPr="00131E69">
        <w:rPr>
          <w:sz w:val="28"/>
          <w:szCs w:val="28"/>
          <w:lang w:val="en-US"/>
        </w:rPr>
        <w:t>. B</w:t>
      </w:r>
      <w:r w:rsidR="00EC09C0" w:rsidRPr="00131E69">
        <w:rPr>
          <w:sz w:val="28"/>
          <w:szCs w:val="28"/>
          <w:lang w:val="en-US"/>
        </w:rPr>
        <w:t xml:space="preserve">road definitions of </w:t>
      </w:r>
      <w:r w:rsidR="00EC09C0" w:rsidRPr="00131E69">
        <w:rPr>
          <w:i/>
          <w:sz w:val="28"/>
          <w:szCs w:val="28"/>
          <w:lang w:val="en-US"/>
        </w:rPr>
        <w:t>antisemitism</w:t>
      </w:r>
      <w:r w:rsidR="00EC09C0" w:rsidRPr="00131E69">
        <w:rPr>
          <w:sz w:val="28"/>
          <w:szCs w:val="28"/>
          <w:lang w:val="en-US"/>
        </w:rPr>
        <w:t xml:space="preserve"> </w:t>
      </w:r>
      <w:r w:rsidR="00241E57" w:rsidRPr="00131E69">
        <w:rPr>
          <w:sz w:val="28"/>
          <w:szCs w:val="28"/>
          <w:lang w:val="en-US"/>
        </w:rPr>
        <w:t xml:space="preserve">are </w:t>
      </w:r>
      <w:r w:rsidR="00EC09C0" w:rsidRPr="00131E69">
        <w:rPr>
          <w:sz w:val="28"/>
          <w:szCs w:val="28"/>
          <w:lang w:val="en-US"/>
        </w:rPr>
        <w:t>advanced – which include critique</w:t>
      </w:r>
      <w:r w:rsidR="00086101" w:rsidRPr="00131E69">
        <w:rPr>
          <w:sz w:val="28"/>
          <w:szCs w:val="28"/>
          <w:lang w:val="en-US"/>
        </w:rPr>
        <w:t>s</w:t>
      </w:r>
      <w:r w:rsidR="00EC09C0" w:rsidRPr="00131E69">
        <w:rPr>
          <w:sz w:val="28"/>
          <w:szCs w:val="28"/>
          <w:lang w:val="en-US"/>
        </w:rPr>
        <w:t xml:space="preserve"> of  Israel</w:t>
      </w:r>
      <w:r w:rsidR="00CE310F">
        <w:rPr>
          <w:sz w:val="28"/>
          <w:szCs w:val="28"/>
          <w:lang w:val="en-US"/>
        </w:rPr>
        <w:t xml:space="preserve"> as antisemitic</w:t>
      </w:r>
      <w:r w:rsidR="00A528C8">
        <w:rPr>
          <w:sz w:val="28"/>
          <w:szCs w:val="28"/>
          <w:lang w:val="en-US"/>
        </w:rPr>
        <w:t xml:space="preserve"> </w:t>
      </w:r>
      <w:r w:rsidR="00EC09C0" w:rsidRPr="00131E69">
        <w:rPr>
          <w:sz w:val="28"/>
          <w:szCs w:val="28"/>
          <w:lang w:val="en-US"/>
        </w:rPr>
        <w:t xml:space="preserve">– and weaponized to </w:t>
      </w:r>
      <w:r w:rsidR="00A528C8">
        <w:rPr>
          <w:sz w:val="28"/>
          <w:szCs w:val="28"/>
          <w:lang w:val="en-US"/>
        </w:rPr>
        <w:t xml:space="preserve">silence and chill speech and activism critical of Zionism or </w:t>
      </w:r>
      <w:r w:rsidR="00EC09C0" w:rsidRPr="00131E69">
        <w:rPr>
          <w:sz w:val="28"/>
          <w:szCs w:val="28"/>
          <w:lang w:val="en-US"/>
        </w:rPr>
        <w:t>Israel’</w:t>
      </w:r>
      <w:r w:rsidR="00FB501C">
        <w:rPr>
          <w:sz w:val="28"/>
          <w:szCs w:val="28"/>
          <w:lang w:val="en-US"/>
        </w:rPr>
        <w:t>s</w:t>
      </w:r>
      <w:r w:rsidR="00EC09C0" w:rsidRPr="00131E69">
        <w:rPr>
          <w:sz w:val="28"/>
          <w:szCs w:val="28"/>
          <w:lang w:val="en-US"/>
        </w:rPr>
        <w:t xml:space="preserve"> conduct </w:t>
      </w:r>
      <w:r w:rsidR="00D80783" w:rsidRPr="00131E69">
        <w:rPr>
          <w:sz w:val="28"/>
          <w:szCs w:val="28"/>
          <w:lang w:val="en-US"/>
        </w:rPr>
        <w:t xml:space="preserve">in </w:t>
      </w:r>
      <w:r w:rsidR="00A528C8">
        <w:rPr>
          <w:sz w:val="28"/>
          <w:szCs w:val="28"/>
          <w:lang w:val="en-US"/>
        </w:rPr>
        <w:t xml:space="preserve">occupied </w:t>
      </w:r>
      <w:r w:rsidR="00D80783" w:rsidRPr="00131E69">
        <w:rPr>
          <w:sz w:val="28"/>
          <w:szCs w:val="28"/>
          <w:lang w:val="en-US"/>
        </w:rPr>
        <w:t>Palestine</w:t>
      </w:r>
      <w:r w:rsidR="006F4A8C" w:rsidRPr="00131E69">
        <w:rPr>
          <w:sz w:val="28"/>
          <w:szCs w:val="28"/>
          <w:lang w:val="en-US"/>
        </w:rPr>
        <w:t>.</w:t>
      </w:r>
      <w:r w:rsidR="00BD48E5">
        <w:rPr>
          <w:rStyle w:val="FootnoteReference"/>
          <w:sz w:val="28"/>
          <w:szCs w:val="28"/>
          <w:lang w:val="en-US"/>
        </w:rPr>
        <w:footnoteReference w:id="17"/>
      </w:r>
      <w:r w:rsidR="006F4A8C" w:rsidRPr="00131E69">
        <w:rPr>
          <w:sz w:val="28"/>
          <w:szCs w:val="28"/>
          <w:lang w:val="en-US"/>
        </w:rPr>
        <w:t xml:space="preserve"> P</w:t>
      </w:r>
      <w:r w:rsidR="00D80783" w:rsidRPr="00131E69">
        <w:rPr>
          <w:sz w:val="28"/>
          <w:szCs w:val="28"/>
          <w:lang w:val="en-US"/>
        </w:rPr>
        <w:t>ro-Palestinian activism</w:t>
      </w:r>
      <w:r w:rsidR="006F4A8C" w:rsidRPr="00131E69">
        <w:rPr>
          <w:sz w:val="28"/>
          <w:szCs w:val="28"/>
          <w:lang w:val="en-US"/>
        </w:rPr>
        <w:t xml:space="preserve"> also penalized</w:t>
      </w:r>
      <w:r w:rsidR="00D9452C" w:rsidRPr="00131E69">
        <w:rPr>
          <w:sz w:val="28"/>
          <w:szCs w:val="28"/>
          <w:lang w:val="en-US"/>
        </w:rPr>
        <w:t>.</w:t>
      </w:r>
      <w:r w:rsidR="00D80783" w:rsidRPr="00131E69">
        <w:rPr>
          <w:sz w:val="28"/>
          <w:szCs w:val="28"/>
          <w:lang w:val="en-US"/>
        </w:rPr>
        <w:t xml:space="preserve"> </w:t>
      </w:r>
      <w:r w:rsidR="009407DB" w:rsidRPr="00131E69">
        <w:rPr>
          <w:sz w:val="28"/>
          <w:szCs w:val="28"/>
          <w:u w:val="single"/>
          <w:lang w:val="en-US"/>
        </w:rPr>
        <w:t>Legi</w:t>
      </w:r>
      <w:r w:rsidR="00E65D04" w:rsidRPr="00131E69">
        <w:rPr>
          <w:sz w:val="28"/>
          <w:szCs w:val="28"/>
          <w:u w:val="single"/>
          <w:lang w:val="en-US"/>
        </w:rPr>
        <w:t>s</w:t>
      </w:r>
      <w:r w:rsidR="009407DB" w:rsidRPr="00131E69">
        <w:rPr>
          <w:sz w:val="28"/>
          <w:szCs w:val="28"/>
          <w:u w:val="single"/>
          <w:lang w:val="en-US"/>
        </w:rPr>
        <w:t>lati</w:t>
      </w:r>
      <w:r w:rsidR="00E65D04" w:rsidRPr="00131E69">
        <w:rPr>
          <w:sz w:val="28"/>
          <w:szCs w:val="28"/>
          <w:u w:val="single"/>
          <w:lang w:val="en-US"/>
        </w:rPr>
        <w:t xml:space="preserve">ve </w:t>
      </w:r>
      <w:r w:rsidR="006F4A8C" w:rsidRPr="00131E69">
        <w:rPr>
          <w:sz w:val="28"/>
          <w:szCs w:val="28"/>
          <w:lang w:val="en-US"/>
        </w:rPr>
        <w:t xml:space="preserve"> efforts:  Bills in three states define antisemitism to incorporate</w:t>
      </w:r>
      <w:r w:rsidR="006F4A8C" w:rsidRPr="00131E69">
        <w:rPr>
          <w:color w:val="000000"/>
          <w:sz w:val="28"/>
          <w:szCs w:val="28"/>
          <w:shd w:val="clear" w:color="auto" w:fill="FFFFFF"/>
        </w:rPr>
        <w:t xml:space="preserve"> the </w:t>
      </w:r>
      <w:r w:rsidR="00A528C8">
        <w:rPr>
          <w:color w:val="000000"/>
          <w:sz w:val="28"/>
          <w:szCs w:val="28"/>
          <w:shd w:val="clear" w:color="auto" w:fill="FFFFFF"/>
        </w:rPr>
        <w:t xml:space="preserve">controversial </w:t>
      </w:r>
      <w:r w:rsidR="006F4A8C" w:rsidRPr="00131E69">
        <w:rPr>
          <w:color w:val="000000"/>
          <w:sz w:val="28"/>
          <w:szCs w:val="28"/>
          <w:shd w:val="clear" w:color="auto" w:fill="FFFFFF"/>
        </w:rPr>
        <w:t>International Holocaust Remembrance Alliance definition.</w:t>
      </w:r>
      <w:r w:rsidR="006F4A8C" w:rsidRPr="00131E69">
        <w:rPr>
          <w:rStyle w:val="FootnoteReference"/>
          <w:color w:val="000000"/>
          <w:sz w:val="28"/>
          <w:szCs w:val="28"/>
          <w:shd w:val="clear" w:color="auto" w:fill="FFFFFF"/>
        </w:rPr>
        <w:footnoteReference w:id="18"/>
      </w:r>
      <w:r w:rsidR="006F4A8C" w:rsidRPr="00131E69">
        <w:rPr>
          <w:color w:val="000000"/>
          <w:sz w:val="28"/>
          <w:szCs w:val="28"/>
          <w:shd w:val="clear" w:color="auto" w:fill="FFFFFF"/>
        </w:rPr>
        <w:t xml:space="preserve"> </w:t>
      </w:r>
      <w:r w:rsidR="0035072E" w:rsidRPr="00131E69">
        <w:rPr>
          <w:color w:val="000000"/>
          <w:sz w:val="28"/>
          <w:szCs w:val="28"/>
          <w:shd w:val="clear" w:color="auto" w:fill="FFFFFF"/>
        </w:rPr>
        <w:t>Approximately</w:t>
      </w:r>
      <w:r w:rsidR="00E7648C" w:rsidRPr="00131E69">
        <w:rPr>
          <w:color w:val="000000"/>
          <w:sz w:val="28"/>
          <w:szCs w:val="28"/>
          <w:shd w:val="clear" w:color="auto" w:fill="FFFFFF"/>
        </w:rPr>
        <w:t xml:space="preserve"> 30 other states have similar “redefinitions,”</w:t>
      </w:r>
      <w:r w:rsidR="0035072E" w:rsidRPr="00131E69">
        <w:rPr>
          <w:rStyle w:val="FootnoteReference"/>
          <w:color w:val="000000"/>
          <w:sz w:val="28"/>
          <w:szCs w:val="28"/>
          <w:shd w:val="clear" w:color="auto" w:fill="FFFFFF"/>
        </w:rPr>
        <w:footnoteReference w:id="19"/>
      </w:r>
      <w:r w:rsidR="00E7648C" w:rsidRPr="00131E69">
        <w:rPr>
          <w:color w:val="000000"/>
          <w:sz w:val="28"/>
          <w:szCs w:val="28"/>
          <w:shd w:val="clear" w:color="auto" w:fill="FFFFFF"/>
        </w:rPr>
        <w:t xml:space="preserve"> most replicating </w:t>
      </w:r>
      <w:r w:rsidR="006A3798" w:rsidRPr="00131E69">
        <w:rPr>
          <w:color w:val="000000"/>
          <w:sz w:val="28"/>
          <w:szCs w:val="28"/>
          <w:shd w:val="clear" w:color="auto" w:fill="FFFFFF"/>
        </w:rPr>
        <w:t>former president T</w:t>
      </w:r>
      <w:r w:rsidR="00E7648C" w:rsidRPr="00131E69">
        <w:rPr>
          <w:color w:val="000000"/>
          <w:sz w:val="28"/>
          <w:szCs w:val="28"/>
          <w:shd w:val="clear" w:color="auto" w:fill="FFFFFF"/>
        </w:rPr>
        <w:t>rump</w:t>
      </w:r>
      <w:r w:rsidR="00D27B4E">
        <w:rPr>
          <w:color w:val="000000"/>
          <w:sz w:val="28"/>
          <w:szCs w:val="28"/>
          <w:shd w:val="clear" w:color="auto" w:fill="FFFFFF"/>
        </w:rPr>
        <w:t>’s</w:t>
      </w:r>
      <w:r w:rsidR="00E7648C" w:rsidRPr="00131E69">
        <w:rPr>
          <w:color w:val="000000"/>
          <w:sz w:val="28"/>
          <w:szCs w:val="28"/>
          <w:shd w:val="clear" w:color="auto" w:fill="FFFFFF"/>
        </w:rPr>
        <w:t xml:space="preserve"> </w:t>
      </w:r>
      <w:r w:rsidR="0035072E" w:rsidRPr="00131E69">
        <w:rPr>
          <w:color w:val="000000"/>
          <w:sz w:val="28"/>
          <w:szCs w:val="28"/>
          <w:shd w:val="clear" w:color="auto" w:fill="FFFFFF"/>
        </w:rPr>
        <w:t>2019 Executive</w:t>
      </w:r>
      <w:r w:rsidR="00E7648C" w:rsidRPr="00131E69">
        <w:rPr>
          <w:color w:val="000000"/>
          <w:sz w:val="28"/>
          <w:szCs w:val="28"/>
          <w:shd w:val="clear" w:color="auto" w:fill="FFFFFF"/>
        </w:rPr>
        <w:t xml:space="preserve"> Order 13899</w:t>
      </w:r>
      <w:r w:rsidR="0035072E" w:rsidRPr="00131E69">
        <w:rPr>
          <w:color w:val="000000"/>
          <w:sz w:val="28"/>
          <w:szCs w:val="28"/>
          <w:shd w:val="clear" w:color="auto" w:fill="FFFFFF"/>
        </w:rPr>
        <w:t>.</w:t>
      </w:r>
      <w:r w:rsidR="00E7648C" w:rsidRPr="00131E69">
        <w:rPr>
          <w:color w:val="000000"/>
          <w:sz w:val="28"/>
          <w:szCs w:val="28"/>
          <w:shd w:val="clear" w:color="auto" w:fill="FFFFFF"/>
        </w:rPr>
        <w:t xml:space="preserve">  </w:t>
      </w:r>
      <w:r w:rsidR="00034133" w:rsidRPr="00131E69">
        <w:rPr>
          <w:color w:val="000000"/>
          <w:sz w:val="28"/>
          <w:szCs w:val="28"/>
          <w:shd w:val="clear" w:color="auto" w:fill="FFFFFF"/>
        </w:rPr>
        <w:t xml:space="preserve">On penalties, </w:t>
      </w:r>
      <w:r w:rsidR="00E7648C" w:rsidRPr="00131E69">
        <w:rPr>
          <w:color w:val="000000"/>
          <w:sz w:val="28"/>
          <w:szCs w:val="28"/>
          <w:shd w:val="clear" w:color="auto" w:fill="FFFFFF"/>
        </w:rPr>
        <w:t xml:space="preserve">Florida </w:t>
      </w:r>
      <w:r w:rsidR="00034133" w:rsidRPr="00131E69">
        <w:rPr>
          <w:color w:val="000000"/>
          <w:sz w:val="28"/>
          <w:szCs w:val="28"/>
          <w:shd w:val="clear" w:color="auto" w:fill="FFFFFF"/>
        </w:rPr>
        <w:t>B</w:t>
      </w:r>
      <w:r w:rsidR="00E7648C" w:rsidRPr="00131E69">
        <w:rPr>
          <w:color w:val="000000"/>
          <w:sz w:val="28"/>
          <w:szCs w:val="28"/>
          <w:shd w:val="clear" w:color="auto" w:fill="FFFFFF"/>
        </w:rPr>
        <w:t xml:space="preserve">ill </w:t>
      </w:r>
      <w:r w:rsidR="00034133" w:rsidRPr="00131E69">
        <w:rPr>
          <w:color w:val="000000"/>
          <w:sz w:val="28"/>
          <w:szCs w:val="28"/>
          <w:shd w:val="clear" w:color="auto" w:fill="FFFFFF"/>
        </w:rPr>
        <w:t xml:space="preserve">HB 465, </w:t>
      </w:r>
      <w:r w:rsidR="001F18B6" w:rsidRPr="00131E69">
        <w:rPr>
          <w:color w:val="000000"/>
          <w:sz w:val="28"/>
          <w:szCs w:val="28"/>
          <w:shd w:val="clear" w:color="auto" w:fill="FFFFFF"/>
        </w:rPr>
        <w:t xml:space="preserve">requires </w:t>
      </w:r>
      <w:r w:rsidR="00034133" w:rsidRPr="00131E69">
        <w:rPr>
          <w:color w:val="000000"/>
          <w:sz w:val="28"/>
          <w:szCs w:val="28"/>
          <w:shd w:val="clear" w:color="auto" w:fill="FFFFFF"/>
        </w:rPr>
        <w:t xml:space="preserve">state </w:t>
      </w:r>
      <w:r w:rsidR="001F18B6" w:rsidRPr="00131E69">
        <w:rPr>
          <w:color w:val="000000"/>
          <w:sz w:val="28"/>
          <w:szCs w:val="28"/>
          <w:shd w:val="clear" w:color="auto" w:fill="FFFFFF"/>
        </w:rPr>
        <w:t xml:space="preserve">colleges </w:t>
      </w:r>
      <w:r w:rsidR="004C2608" w:rsidRPr="00131E69">
        <w:rPr>
          <w:color w:val="000000"/>
          <w:sz w:val="28"/>
          <w:szCs w:val="28"/>
          <w:shd w:val="clear" w:color="auto" w:fill="FFFFFF"/>
        </w:rPr>
        <w:t>and</w:t>
      </w:r>
      <w:r w:rsidR="001F18B6" w:rsidRPr="00131E69">
        <w:rPr>
          <w:color w:val="000000"/>
          <w:sz w:val="28"/>
          <w:szCs w:val="28"/>
          <w:shd w:val="clear" w:color="auto" w:fill="FFFFFF"/>
        </w:rPr>
        <w:t xml:space="preserve"> universities </w:t>
      </w:r>
      <w:r w:rsidR="00E7648C" w:rsidRPr="00131E69">
        <w:rPr>
          <w:color w:val="000000"/>
          <w:sz w:val="28"/>
          <w:szCs w:val="28"/>
          <w:shd w:val="clear" w:color="auto" w:fill="FFFFFF"/>
        </w:rPr>
        <w:t>“</w:t>
      </w:r>
      <w:r w:rsidR="001F18B6" w:rsidRPr="00131E69">
        <w:rPr>
          <w:color w:val="000000"/>
          <w:sz w:val="28"/>
          <w:szCs w:val="28"/>
          <w:shd w:val="clear" w:color="auto" w:fill="FFFFFF"/>
        </w:rPr>
        <w:t>to assess out-of-stat</w:t>
      </w:r>
      <w:r w:rsidR="00E7648C" w:rsidRPr="00131E69">
        <w:rPr>
          <w:color w:val="000000"/>
          <w:sz w:val="28"/>
          <w:szCs w:val="28"/>
          <w:shd w:val="clear" w:color="auto" w:fill="FFFFFF"/>
        </w:rPr>
        <w:t>e fees on</w:t>
      </w:r>
      <w:r w:rsidR="001F18B6" w:rsidRPr="00131E69">
        <w:rPr>
          <w:color w:val="000000"/>
          <w:sz w:val="28"/>
          <w:szCs w:val="28"/>
          <w:shd w:val="clear" w:color="auto" w:fill="FFFFFF"/>
        </w:rPr>
        <w:t xml:space="preserve"> [post</w:t>
      </w:r>
      <w:r w:rsidR="00BD48E5">
        <w:rPr>
          <w:color w:val="000000"/>
          <w:sz w:val="28"/>
          <w:szCs w:val="28"/>
          <w:shd w:val="clear" w:color="auto" w:fill="FFFFFF"/>
        </w:rPr>
        <w:t>-</w:t>
      </w:r>
      <w:r w:rsidR="001F18B6" w:rsidRPr="00131E69">
        <w:rPr>
          <w:color w:val="000000"/>
          <w:sz w:val="28"/>
          <w:szCs w:val="28"/>
          <w:shd w:val="clear" w:color="auto" w:fill="FFFFFF"/>
        </w:rPr>
        <w:t xml:space="preserve">secondary] students who promote foreign terrorist organization[s];” </w:t>
      </w:r>
      <w:r w:rsidR="00CF0B69" w:rsidRPr="00131E69">
        <w:rPr>
          <w:color w:val="000000"/>
          <w:sz w:val="28"/>
          <w:szCs w:val="28"/>
          <w:shd w:val="clear" w:color="auto" w:fill="FFFFFF"/>
        </w:rPr>
        <w:t xml:space="preserve">and </w:t>
      </w:r>
      <w:r w:rsidR="001F18B6" w:rsidRPr="00131E69">
        <w:rPr>
          <w:color w:val="000000"/>
          <w:sz w:val="28"/>
          <w:szCs w:val="28"/>
          <w:shd w:val="clear" w:color="auto" w:fill="FFFFFF"/>
        </w:rPr>
        <w:t xml:space="preserve">renders them ineligible for financial aid, among other things.  </w:t>
      </w:r>
      <w:r w:rsidR="00CF0B69" w:rsidRPr="00131E69">
        <w:rPr>
          <w:color w:val="000000"/>
          <w:sz w:val="28"/>
          <w:szCs w:val="28"/>
          <w:shd w:val="clear" w:color="auto" w:fill="FFFFFF"/>
        </w:rPr>
        <w:t xml:space="preserve">In October </w:t>
      </w:r>
      <w:r w:rsidR="00034133" w:rsidRPr="00131E69">
        <w:rPr>
          <w:color w:val="000000"/>
          <w:sz w:val="28"/>
          <w:szCs w:val="28"/>
          <w:shd w:val="clear" w:color="auto" w:fill="FFFFFF"/>
        </w:rPr>
        <w:t xml:space="preserve">2023, </w:t>
      </w:r>
      <w:r w:rsidR="00CF0B69" w:rsidRPr="00131E69">
        <w:rPr>
          <w:color w:val="000000"/>
          <w:sz w:val="28"/>
          <w:szCs w:val="28"/>
          <w:shd w:val="clear" w:color="auto" w:fill="FFFFFF"/>
        </w:rPr>
        <w:t xml:space="preserve">Florida Board of Governors Chancellor directed </w:t>
      </w:r>
      <w:r w:rsidR="00034133" w:rsidRPr="00131E69">
        <w:rPr>
          <w:color w:val="000000"/>
          <w:sz w:val="28"/>
          <w:szCs w:val="28"/>
          <w:shd w:val="clear" w:color="auto" w:fill="FFFFFF"/>
        </w:rPr>
        <w:t xml:space="preserve">Florida </w:t>
      </w:r>
      <w:r w:rsidR="00CF0B69" w:rsidRPr="00131E69">
        <w:rPr>
          <w:color w:val="000000"/>
          <w:sz w:val="28"/>
          <w:szCs w:val="28"/>
          <w:shd w:val="clear" w:color="auto" w:fill="FFFFFF"/>
        </w:rPr>
        <w:t>university president</w:t>
      </w:r>
      <w:r w:rsidR="00E7648C" w:rsidRPr="00131E69">
        <w:rPr>
          <w:color w:val="000000"/>
          <w:sz w:val="28"/>
          <w:szCs w:val="28"/>
          <w:shd w:val="clear" w:color="auto" w:fill="FFFFFF"/>
        </w:rPr>
        <w:t>s</w:t>
      </w:r>
      <w:r w:rsidR="00CF0B69" w:rsidRPr="00131E69">
        <w:rPr>
          <w:color w:val="000000"/>
          <w:sz w:val="28"/>
          <w:szCs w:val="28"/>
          <w:shd w:val="clear" w:color="auto" w:fill="FFFFFF"/>
        </w:rPr>
        <w:t xml:space="preserve"> to disband chapters of </w:t>
      </w:r>
      <w:r w:rsidR="00034133" w:rsidRPr="00131E69">
        <w:rPr>
          <w:color w:val="000000"/>
          <w:sz w:val="28"/>
          <w:szCs w:val="28"/>
          <w:shd w:val="clear" w:color="auto" w:fill="FFFFFF"/>
        </w:rPr>
        <w:t xml:space="preserve">the student group, </w:t>
      </w:r>
      <w:r w:rsidR="00CF0B69" w:rsidRPr="00131E69">
        <w:rPr>
          <w:color w:val="000000"/>
          <w:sz w:val="28"/>
          <w:szCs w:val="28"/>
          <w:shd w:val="clear" w:color="auto" w:fill="FFFFFF"/>
        </w:rPr>
        <w:t>Students for Justice in Palestine</w:t>
      </w:r>
      <w:r w:rsidR="00034133" w:rsidRPr="00131E69">
        <w:rPr>
          <w:color w:val="000000"/>
          <w:sz w:val="28"/>
          <w:szCs w:val="28"/>
          <w:shd w:val="clear" w:color="auto" w:fill="FFFFFF"/>
        </w:rPr>
        <w:t>,</w:t>
      </w:r>
      <w:r w:rsidR="00CF0B69" w:rsidRPr="00131E69">
        <w:rPr>
          <w:color w:val="000000"/>
          <w:sz w:val="28"/>
          <w:szCs w:val="28"/>
          <w:shd w:val="clear" w:color="auto" w:fill="FFFFFF"/>
        </w:rPr>
        <w:t xml:space="preserve"> but no actions </w:t>
      </w:r>
      <w:r w:rsidR="00D27B4E">
        <w:rPr>
          <w:color w:val="000000"/>
          <w:sz w:val="28"/>
          <w:szCs w:val="28"/>
          <w:shd w:val="clear" w:color="auto" w:fill="FFFFFF"/>
        </w:rPr>
        <w:t xml:space="preserve">were </w:t>
      </w:r>
      <w:r w:rsidR="00CF0B69" w:rsidRPr="00131E69">
        <w:rPr>
          <w:color w:val="000000"/>
          <w:sz w:val="28"/>
          <w:szCs w:val="28"/>
          <w:shd w:val="clear" w:color="auto" w:fill="FFFFFF"/>
        </w:rPr>
        <w:t>taken</w:t>
      </w:r>
      <w:r w:rsidR="00E7648C" w:rsidRPr="00131E69">
        <w:rPr>
          <w:color w:val="000000"/>
          <w:sz w:val="28"/>
          <w:szCs w:val="28"/>
          <w:shd w:val="clear" w:color="auto" w:fill="FFFFFF"/>
        </w:rPr>
        <w:t xml:space="preserve"> to deactivate the chapters</w:t>
      </w:r>
      <w:r w:rsidR="006D2FEC">
        <w:rPr>
          <w:color w:val="000000"/>
          <w:sz w:val="28"/>
          <w:szCs w:val="28"/>
          <w:shd w:val="clear" w:color="auto" w:fill="FFFFFF"/>
        </w:rPr>
        <w:t>.</w:t>
      </w:r>
      <w:r w:rsidR="006D2FEC">
        <w:rPr>
          <w:rStyle w:val="FootnoteReference"/>
          <w:color w:val="000000"/>
          <w:sz w:val="28"/>
          <w:szCs w:val="28"/>
          <w:shd w:val="clear" w:color="auto" w:fill="FFFFFF"/>
        </w:rPr>
        <w:footnoteReference w:id="20"/>
      </w:r>
    </w:p>
    <w:p w14:paraId="062F7B10" w14:textId="77777777" w:rsidR="00034133" w:rsidRPr="00131E69" w:rsidRDefault="00034133" w:rsidP="00E662DA">
      <w:pPr>
        <w:tabs>
          <w:tab w:val="left" w:pos="3163"/>
        </w:tabs>
        <w:spacing w:before="120" w:after="120"/>
        <w:jc w:val="both"/>
        <w:rPr>
          <w:b/>
          <w:bCs/>
          <w:sz w:val="28"/>
          <w:szCs w:val="28"/>
          <w:lang w:val="en-US"/>
        </w:rPr>
      </w:pPr>
    </w:p>
    <w:p w14:paraId="3B642003" w14:textId="14A48282" w:rsidR="006F63D3" w:rsidRPr="00131E69" w:rsidRDefault="006F63D3" w:rsidP="00E662DA">
      <w:pPr>
        <w:tabs>
          <w:tab w:val="left" w:pos="3163"/>
        </w:tabs>
        <w:spacing w:before="120" w:after="120"/>
        <w:jc w:val="both"/>
        <w:rPr>
          <w:b/>
          <w:bCs/>
          <w:sz w:val="28"/>
          <w:szCs w:val="28"/>
          <w:lang w:val="en-US"/>
        </w:rPr>
      </w:pPr>
      <w:r w:rsidRPr="00131E69">
        <w:rPr>
          <w:b/>
          <w:bCs/>
          <w:sz w:val="28"/>
          <w:szCs w:val="28"/>
          <w:lang w:val="en-US"/>
        </w:rPr>
        <w:t>General Legal Framework</w:t>
      </w:r>
      <w:r w:rsidRPr="00131E69">
        <w:rPr>
          <w:b/>
          <w:bCs/>
          <w:sz w:val="28"/>
          <w:szCs w:val="28"/>
          <w:lang w:val="en-US"/>
        </w:rPr>
        <w:tab/>
      </w:r>
    </w:p>
    <w:p w14:paraId="64952281" w14:textId="2F3957E6" w:rsidR="006F63D3" w:rsidRPr="00131E69" w:rsidRDefault="006F63D3" w:rsidP="00E662DA">
      <w:pPr>
        <w:tabs>
          <w:tab w:val="left" w:pos="3077"/>
          <w:tab w:val="left" w:pos="3163"/>
        </w:tabs>
        <w:spacing w:before="120" w:after="120"/>
        <w:jc w:val="both"/>
        <w:rPr>
          <w:bCs/>
          <w:sz w:val="28"/>
          <w:szCs w:val="28"/>
          <w:u w:val="single"/>
          <w:lang w:val="en-US"/>
        </w:rPr>
      </w:pPr>
      <w:r w:rsidRPr="00131E69">
        <w:rPr>
          <w:bCs/>
          <w:sz w:val="28"/>
          <w:szCs w:val="28"/>
          <w:lang w:val="en-US"/>
        </w:rPr>
        <w:t xml:space="preserve"> </w:t>
      </w:r>
      <w:r w:rsidRPr="00131E69">
        <w:rPr>
          <w:bCs/>
          <w:sz w:val="28"/>
          <w:szCs w:val="28"/>
          <w:u w:val="single"/>
          <w:lang w:val="en-US"/>
        </w:rPr>
        <w:t>Academic Freedom</w:t>
      </w:r>
      <w:r w:rsidR="002D2906" w:rsidRPr="00131E69">
        <w:rPr>
          <w:bCs/>
          <w:sz w:val="28"/>
          <w:szCs w:val="28"/>
          <w:u w:val="single"/>
          <w:lang w:val="en-US"/>
        </w:rPr>
        <w:t xml:space="preserve"> and the First Amendment</w:t>
      </w:r>
    </w:p>
    <w:p w14:paraId="0B2CDD16" w14:textId="6F26522D" w:rsidR="006F63D3" w:rsidRPr="00131E69" w:rsidRDefault="00034133" w:rsidP="00E662DA">
      <w:pPr>
        <w:jc w:val="both"/>
        <w:rPr>
          <w:sz w:val="28"/>
          <w:szCs w:val="28"/>
        </w:rPr>
      </w:pPr>
      <w:r w:rsidRPr="00131E69">
        <w:rPr>
          <w:sz w:val="28"/>
          <w:szCs w:val="28"/>
        </w:rPr>
        <w:t>7</w:t>
      </w:r>
      <w:r w:rsidR="006F63D3" w:rsidRPr="00131E69">
        <w:rPr>
          <w:sz w:val="28"/>
          <w:szCs w:val="28"/>
        </w:rPr>
        <w:t>.  Academic freedom in the United States is grounded in and protected pursuant to the First Amendment of the U.S. Constitution.</w:t>
      </w:r>
      <w:r w:rsidR="006F63D3" w:rsidRPr="00131E69">
        <w:rPr>
          <w:rFonts w:eastAsia="Calibri"/>
          <w:sz w:val="28"/>
          <w:szCs w:val="28"/>
          <w:vertAlign w:val="superscript"/>
        </w:rPr>
        <w:t xml:space="preserve"> </w:t>
      </w:r>
      <w:r w:rsidR="006F63D3" w:rsidRPr="00131E69">
        <w:rPr>
          <w:sz w:val="28"/>
          <w:szCs w:val="28"/>
          <w:vertAlign w:val="superscript"/>
        </w:rPr>
        <w:footnoteReference w:id="21"/>
      </w:r>
      <w:r w:rsidR="006F63D3" w:rsidRPr="00131E69">
        <w:rPr>
          <w:sz w:val="28"/>
          <w:szCs w:val="28"/>
        </w:rPr>
        <w:t xml:space="preserve">   The First Amendment provides in part:</w:t>
      </w:r>
      <w:r w:rsidR="006F63D3" w:rsidRPr="00131E69">
        <w:rPr>
          <w:rFonts w:eastAsia="Calibri"/>
          <w:sz w:val="28"/>
          <w:szCs w:val="28"/>
        </w:rPr>
        <w:t xml:space="preserve"> “Congress shall make no law… abridging the freedom of speech, or of the press.”</w:t>
      </w:r>
      <w:r w:rsidRPr="00131E69">
        <w:rPr>
          <w:rStyle w:val="FootnoteReference"/>
          <w:rFonts w:eastAsia="Calibri"/>
          <w:sz w:val="28"/>
          <w:szCs w:val="28"/>
        </w:rPr>
        <w:footnoteReference w:id="22"/>
      </w:r>
      <w:r w:rsidR="006F63D3" w:rsidRPr="00131E69">
        <w:rPr>
          <w:sz w:val="28"/>
          <w:szCs w:val="28"/>
          <w:vertAlign w:val="superscript"/>
        </w:rPr>
        <w:t xml:space="preserve"> </w:t>
      </w:r>
      <w:r w:rsidR="006F63D3" w:rsidRPr="00131E69">
        <w:rPr>
          <w:sz w:val="28"/>
          <w:szCs w:val="28"/>
        </w:rPr>
        <w:t>The Supreme Court has declared that the central commitment of the First Amendment is to allow for free debate on public issues.</w:t>
      </w:r>
      <w:r w:rsidR="006F63D3" w:rsidRPr="00131E69">
        <w:rPr>
          <w:rStyle w:val="FootnoteReference"/>
          <w:sz w:val="28"/>
          <w:szCs w:val="28"/>
        </w:rPr>
        <w:footnoteReference w:id="23"/>
      </w:r>
      <w:r w:rsidR="006F63D3" w:rsidRPr="00131E69">
        <w:rPr>
          <w:sz w:val="28"/>
          <w:szCs w:val="28"/>
        </w:rPr>
        <w:t xml:space="preserve">  The interpretation of the First </w:t>
      </w:r>
      <w:r w:rsidR="0010253E" w:rsidRPr="00131E69">
        <w:rPr>
          <w:sz w:val="28"/>
          <w:szCs w:val="28"/>
        </w:rPr>
        <w:t>A</w:t>
      </w:r>
      <w:r w:rsidR="006C7762" w:rsidRPr="00131E69">
        <w:rPr>
          <w:sz w:val="28"/>
          <w:szCs w:val="28"/>
        </w:rPr>
        <w:t>mendment</w:t>
      </w:r>
      <w:r w:rsidR="006F63D3" w:rsidRPr="00131E69">
        <w:rPr>
          <w:sz w:val="28"/>
          <w:szCs w:val="28"/>
        </w:rPr>
        <w:t xml:space="preserve"> is found </w:t>
      </w:r>
      <w:r w:rsidR="001F389B" w:rsidRPr="00131E69">
        <w:rPr>
          <w:sz w:val="28"/>
          <w:szCs w:val="28"/>
        </w:rPr>
        <w:t>in</w:t>
      </w:r>
      <w:r w:rsidR="006F63D3" w:rsidRPr="00131E69">
        <w:rPr>
          <w:sz w:val="28"/>
          <w:szCs w:val="28"/>
        </w:rPr>
        <w:t xml:space="preserve"> American case law, particularly through Supreme Court decisions.   </w:t>
      </w:r>
    </w:p>
    <w:p w14:paraId="532A4372" w14:textId="77777777" w:rsidR="006F63D3" w:rsidRPr="00131E69" w:rsidRDefault="006F63D3" w:rsidP="00E662DA">
      <w:pPr>
        <w:jc w:val="both"/>
        <w:rPr>
          <w:rFonts w:eastAsia="Calibri"/>
          <w:sz w:val="28"/>
          <w:szCs w:val="28"/>
        </w:rPr>
      </w:pPr>
    </w:p>
    <w:p w14:paraId="074D98DE" w14:textId="772E2805" w:rsidR="0082026D" w:rsidRPr="00131E69" w:rsidRDefault="004E1130" w:rsidP="00E662DA">
      <w:pPr>
        <w:pStyle w:val="NoSpacing"/>
        <w:jc w:val="both"/>
        <w:rPr>
          <w:rFonts w:ascii="Times New Roman" w:hAnsi="Times New Roman" w:cs="Times New Roman"/>
          <w:sz w:val="28"/>
          <w:szCs w:val="28"/>
        </w:rPr>
      </w:pPr>
      <w:r w:rsidRPr="00131E69">
        <w:rPr>
          <w:rFonts w:ascii="Times New Roman" w:hAnsi="Times New Roman" w:cs="Times New Roman"/>
          <w:sz w:val="28"/>
          <w:szCs w:val="28"/>
        </w:rPr>
        <w:t>8</w:t>
      </w:r>
      <w:r w:rsidR="006F63D3" w:rsidRPr="00131E69">
        <w:rPr>
          <w:rFonts w:ascii="Times New Roman" w:hAnsi="Times New Roman" w:cs="Times New Roman"/>
          <w:sz w:val="28"/>
          <w:szCs w:val="28"/>
        </w:rPr>
        <w:t xml:space="preserve">.  </w:t>
      </w:r>
      <w:r w:rsidR="0082026D" w:rsidRPr="00131E69">
        <w:rPr>
          <w:rFonts w:ascii="Times New Roman" w:hAnsi="Times New Roman" w:cs="Times New Roman"/>
          <w:sz w:val="28"/>
          <w:szCs w:val="28"/>
        </w:rPr>
        <w:t xml:space="preserve">While the Supreme Court has held that the unique role of speech and thought in public universities provides a special niche in approaching First Amendment matters on college campuses, the Court has never ruled academic freedom as a standalone right.  </w:t>
      </w:r>
    </w:p>
    <w:p w14:paraId="39AAD974" w14:textId="77777777" w:rsidR="0082026D" w:rsidRPr="00131E69" w:rsidRDefault="0082026D" w:rsidP="00E662DA">
      <w:pPr>
        <w:pStyle w:val="NoSpacing"/>
        <w:jc w:val="both"/>
        <w:rPr>
          <w:rFonts w:ascii="Times New Roman" w:hAnsi="Times New Roman" w:cs="Times New Roman"/>
          <w:sz w:val="28"/>
          <w:szCs w:val="28"/>
        </w:rPr>
      </w:pPr>
    </w:p>
    <w:p w14:paraId="07AAE568" w14:textId="4DD85E84" w:rsidR="006F63D3" w:rsidRPr="00131E69" w:rsidRDefault="004E1130" w:rsidP="00E662DA">
      <w:pPr>
        <w:pStyle w:val="NoSpacing"/>
        <w:jc w:val="both"/>
        <w:rPr>
          <w:rFonts w:ascii="Times New Roman" w:hAnsi="Times New Roman" w:cs="Times New Roman"/>
          <w:sz w:val="28"/>
          <w:szCs w:val="28"/>
        </w:rPr>
      </w:pPr>
      <w:r w:rsidRPr="00131E69">
        <w:rPr>
          <w:rFonts w:ascii="Times New Roman" w:hAnsi="Times New Roman" w:cs="Times New Roman"/>
          <w:sz w:val="28"/>
          <w:szCs w:val="28"/>
        </w:rPr>
        <w:t>9</w:t>
      </w:r>
      <w:r w:rsidR="0082026D" w:rsidRPr="00131E69">
        <w:rPr>
          <w:rFonts w:ascii="Times New Roman" w:hAnsi="Times New Roman" w:cs="Times New Roman"/>
          <w:sz w:val="28"/>
          <w:szCs w:val="28"/>
        </w:rPr>
        <w:t xml:space="preserve">.  </w:t>
      </w:r>
      <w:r w:rsidR="00EA6FB0" w:rsidRPr="00131E69">
        <w:rPr>
          <w:rFonts w:ascii="Times New Roman" w:hAnsi="Times New Roman" w:cs="Times New Roman"/>
          <w:sz w:val="28"/>
          <w:szCs w:val="28"/>
        </w:rPr>
        <w:t>Academic freedom is not defined in either the U.S. Constitution or any state constitutions</w:t>
      </w:r>
      <w:r w:rsidR="0082026D" w:rsidRPr="00131E69">
        <w:rPr>
          <w:rFonts w:ascii="Times New Roman" w:hAnsi="Times New Roman" w:cs="Times New Roman"/>
          <w:sz w:val="28"/>
          <w:szCs w:val="28"/>
        </w:rPr>
        <w:t xml:space="preserve">. </w:t>
      </w:r>
      <w:r w:rsidR="00EA6FB0" w:rsidRPr="00131E69">
        <w:rPr>
          <w:rFonts w:ascii="Times New Roman" w:hAnsi="Times New Roman" w:cs="Times New Roman"/>
          <w:sz w:val="28"/>
          <w:szCs w:val="28"/>
        </w:rPr>
        <w:t xml:space="preserve"> </w:t>
      </w:r>
      <w:r w:rsidR="00550295">
        <w:rPr>
          <w:rFonts w:ascii="Times New Roman" w:hAnsi="Times New Roman" w:cs="Times New Roman"/>
          <w:sz w:val="28"/>
          <w:szCs w:val="28"/>
        </w:rPr>
        <w:t>T</w:t>
      </w:r>
      <w:r w:rsidR="0082026D" w:rsidRPr="00131E69">
        <w:rPr>
          <w:rFonts w:ascii="Times New Roman" w:hAnsi="Times New Roman" w:cs="Times New Roman"/>
          <w:sz w:val="28"/>
          <w:szCs w:val="28"/>
        </w:rPr>
        <w:t xml:space="preserve">he </w:t>
      </w:r>
      <w:r w:rsidR="00550295">
        <w:rPr>
          <w:rFonts w:ascii="Times New Roman" w:hAnsi="Times New Roman" w:cs="Times New Roman"/>
          <w:sz w:val="28"/>
          <w:szCs w:val="28"/>
        </w:rPr>
        <w:t xml:space="preserve">Supreme </w:t>
      </w:r>
      <w:r w:rsidR="006F63D3" w:rsidRPr="00131E69">
        <w:rPr>
          <w:rFonts w:ascii="Times New Roman" w:hAnsi="Times New Roman" w:cs="Times New Roman"/>
          <w:sz w:val="28"/>
          <w:szCs w:val="28"/>
        </w:rPr>
        <w:t xml:space="preserve">Court </w:t>
      </w:r>
      <w:r w:rsidR="00550295">
        <w:rPr>
          <w:rFonts w:ascii="Times New Roman" w:hAnsi="Times New Roman" w:cs="Times New Roman"/>
          <w:sz w:val="28"/>
          <w:szCs w:val="28"/>
        </w:rPr>
        <w:t>observed</w:t>
      </w:r>
      <w:r w:rsidR="006F63D3" w:rsidRPr="00131E69">
        <w:rPr>
          <w:rFonts w:ascii="Times New Roman" w:hAnsi="Times New Roman" w:cs="Times New Roman"/>
          <w:sz w:val="28"/>
          <w:szCs w:val="28"/>
        </w:rPr>
        <w:t xml:space="preserve"> the importance of academic freedom in its 1967 decision, </w:t>
      </w:r>
      <w:bookmarkStart w:id="1" w:name="_Hlk157959470"/>
      <w:r w:rsidR="006F63D3" w:rsidRPr="00131E69">
        <w:rPr>
          <w:rFonts w:ascii="Times New Roman" w:hAnsi="Times New Roman" w:cs="Times New Roman"/>
          <w:i/>
          <w:sz w:val="28"/>
          <w:szCs w:val="28"/>
        </w:rPr>
        <w:t>Keyishian v. Board of Regents</w:t>
      </w:r>
      <w:bookmarkEnd w:id="1"/>
      <w:r w:rsidR="006F63D3" w:rsidRPr="00131E69">
        <w:rPr>
          <w:rFonts w:ascii="Times New Roman" w:hAnsi="Times New Roman" w:cs="Times New Roman"/>
          <w:sz w:val="28"/>
          <w:szCs w:val="28"/>
        </w:rPr>
        <w:t>.</w:t>
      </w:r>
      <w:r w:rsidR="006F63D3" w:rsidRPr="00131E69">
        <w:rPr>
          <w:rStyle w:val="FootnoteReference"/>
          <w:rFonts w:ascii="Times New Roman" w:hAnsi="Times New Roman"/>
          <w:sz w:val="28"/>
          <w:szCs w:val="28"/>
        </w:rPr>
        <w:footnoteReference w:id="24"/>
      </w:r>
      <w:r w:rsidR="006F63D3" w:rsidRPr="00131E69">
        <w:rPr>
          <w:rFonts w:ascii="Times New Roman" w:hAnsi="Times New Roman" w:cs="Times New Roman"/>
          <w:sz w:val="28"/>
          <w:szCs w:val="28"/>
        </w:rPr>
        <w:t xml:space="preserve"> The case involved professors at a public university in New York refusing to sign a loyalty oath saying they were not communists. Here the Supreme Court held that laws that infringe on freedom of speech in the classroom must be narrow and specific.  It elaborated: </w:t>
      </w:r>
    </w:p>
    <w:p w14:paraId="422F7370" w14:textId="77777777" w:rsidR="006F63D3" w:rsidRPr="00131E69" w:rsidRDefault="006F63D3" w:rsidP="00E662DA">
      <w:pPr>
        <w:pStyle w:val="NoSpacing"/>
        <w:ind w:left="720"/>
        <w:jc w:val="both"/>
        <w:rPr>
          <w:rFonts w:ascii="Times New Roman" w:hAnsi="Times New Roman" w:cs="Times New Roman"/>
          <w:sz w:val="28"/>
          <w:szCs w:val="28"/>
        </w:rPr>
      </w:pPr>
    </w:p>
    <w:p w14:paraId="316C736B" w14:textId="0ADC3020" w:rsidR="006F63D3" w:rsidRDefault="006F63D3" w:rsidP="00E662DA">
      <w:pPr>
        <w:pStyle w:val="NoSpacing"/>
        <w:ind w:left="720"/>
        <w:jc w:val="both"/>
        <w:rPr>
          <w:rFonts w:ascii="Times New Roman" w:hAnsi="Times New Roman" w:cs="Times New Roman"/>
          <w:sz w:val="28"/>
          <w:szCs w:val="28"/>
        </w:rPr>
      </w:pPr>
      <w:r w:rsidRPr="00131E69">
        <w:rPr>
          <w:rFonts w:ascii="Times New Roman" w:hAnsi="Times New Roman" w:cs="Times New Roman"/>
          <w:sz w:val="28"/>
          <w:szCs w:val="28"/>
        </w:rPr>
        <w:t>[O]</w:t>
      </w:r>
      <w:proofErr w:type="spellStart"/>
      <w:r w:rsidRPr="00131E69">
        <w:rPr>
          <w:rFonts w:ascii="Times New Roman" w:hAnsi="Times New Roman" w:cs="Times New Roman"/>
          <w:sz w:val="28"/>
          <w:szCs w:val="28"/>
        </w:rPr>
        <w:t>ur</w:t>
      </w:r>
      <w:proofErr w:type="spellEnd"/>
      <w:r w:rsidRPr="00131E69">
        <w:rPr>
          <w:rFonts w:ascii="Times New Roman" w:hAnsi="Times New Roman" w:cs="Times New Roman"/>
          <w:sz w:val="28"/>
          <w:szCs w:val="28"/>
        </w:rPr>
        <w:t xml:space="preserve"> nation is deeply committed to safeguarding academic freedom, which is of transcendent value to all of us and not merely to the teachers concerned. Academic freedom is therefore a special concern of the First Amendment.  It does not tolerate laws that cast a pall of orthodoxy over the classroom.”</w:t>
      </w:r>
      <w:r w:rsidRPr="00131E69">
        <w:rPr>
          <w:rFonts w:ascii="Times New Roman" w:hAnsi="Times New Roman" w:cs="Times New Roman"/>
          <w:sz w:val="28"/>
          <w:szCs w:val="28"/>
          <w:vertAlign w:val="superscript"/>
        </w:rPr>
        <w:footnoteReference w:id="25"/>
      </w:r>
    </w:p>
    <w:p w14:paraId="3C2EECB4" w14:textId="77777777" w:rsidR="00DF2181" w:rsidRDefault="00DF2181" w:rsidP="00E662DA">
      <w:pPr>
        <w:pStyle w:val="NoSpacing"/>
        <w:ind w:left="720"/>
        <w:jc w:val="both"/>
        <w:rPr>
          <w:rFonts w:ascii="Times New Roman" w:hAnsi="Times New Roman" w:cs="Times New Roman"/>
          <w:sz w:val="28"/>
          <w:szCs w:val="28"/>
        </w:rPr>
      </w:pPr>
    </w:p>
    <w:p w14:paraId="2EC26934" w14:textId="4DAEF759" w:rsidR="00DF2181" w:rsidRPr="00131E69" w:rsidRDefault="00DF2181" w:rsidP="00DF2181">
      <w:pPr>
        <w:pStyle w:val="NoSpacing"/>
        <w:jc w:val="both"/>
        <w:rPr>
          <w:rFonts w:ascii="Times New Roman" w:hAnsi="Times New Roman" w:cs="Times New Roman"/>
          <w:sz w:val="28"/>
          <w:szCs w:val="28"/>
        </w:rPr>
      </w:pPr>
      <w:r>
        <w:rPr>
          <w:rFonts w:ascii="Times New Roman" w:hAnsi="Times New Roman" w:cs="Times New Roman"/>
          <w:sz w:val="28"/>
          <w:szCs w:val="28"/>
        </w:rPr>
        <w:t>1</w:t>
      </w:r>
      <w:r w:rsidR="00550295">
        <w:rPr>
          <w:rFonts w:ascii="Times New Roman" w:hAnsi="Times New Roman" w:cs="Times New Roman"/>
          <w:sz w:val="28"/>
          <w:szCs w:val="28"/>
        </w:rPr>
        <w:t>0</w:t>
      </w:r>
      <w:r>
        <w:rPr>
          <w:rFonts w:ascii="Times New Roman" w:hAnsi="Times New Roman" w:cs="Times New Roman"/>
          <w:sz w:val="28"/>
          <w:szCs w:val="28"/>
        </w:rPr>
        <w:t xml:space="preserve">.  </w:t>
      </w:r>
      <w:r w:rsidRPr="00DF2181">
        <w:rPr>
          <w:rFonts w:ascii="Times New Roman" w:hAnsi="Times New Roman" w:cs="Times New Roman"/>
          <w:sz w:val="28"/>
          <w:szCs w:val="28"/>
        </w:rPr>
        <w:t xml:space="preserve">In short, tenured professors enjoy academic freedom, as do higher education institutions.  Functionally, this means that academic support staff acting on the university’s behalf engage in speech and expression that resembles academic speech.  </w:t>
      </w:r>
    </w:p>
    <w:p w14:paraId="2894A0A5" w14:textId="77777777" w:rsidR="006F63D3" w:rsidRPr="00131E69" w:rsidRDefault="006F63D3" w:rsidP="00E662DA">
      <w:pPr>
        <w:pStyle w:val="NoSpacing"/>
        <w:jc w:val="both"/>
        <w:rPr>
          <w:rFonts w:ascii="Times New Roman" w:hAnsi="Times New Roman" w:cs="Times New Roman"/>
          <w:sz w:val="28"/>
          <w:szCs w:val="28"/>
        </w:rPr>
      </w:pPr>
    </w:p>
    <w:p w14:paraId="1F9AD39F" w14:textId="495820CB" w:rsidR="006F63D3" w:rsidRPr="00131E69" w:rsidRDefault="004E1130" w:rsidP="00E662DA">
      <w:pPr>
        <w:pStyle w:val="NoSpacing"/>
        <w:jc w:val="both"/>
        <w:rPr>
          <w:rFonts w:ascii="Times New Roman" w:hAnsi="Times New Roman" w:cs="Times New Roman"/>
          <w:sz w:val="28"/>
          <w:szCs w:val="28"/>
        </w:rPr>
      </w:pPr>
      <w:r w:rsidRPr="00131E69">
        <w:rPr>
          <w:rFonts w:ascii="Times New Roman" w:hAnsi="Times New Roman" w:cs="Times New Roman"/>
          <w:sz w:val="28"/>
          <w:szCs w:val="28"/>
        </w:rPr>
        <w:t>1</w:t>
      </w:r>
      <w:r w:rsidR="00550295">
        <w:rPr>
          <w:rFonts w:ascii="Times New Roman" w:hAnsi="Times New Roman" w:cs="Times New Roman"/>
          <w:sz w:val="28"/>
          <w:szCs w:val="28"/>
        </w:rPr>
        <w:t>1</w:t>
      </w:r>
      <w:r w:rsidR="006F63D3" w:rsidRPr="00131E69">
        <w:rPr>
          <w:rFonts w:ascii="Times New Roman" w:hAnsi="Times New Roman" w:cs="Times New Roman"/>
          <w:sz w:val="28"/>
          <w:szCs w:val="28"/>
        </w:rPr>
        <w:t xml:space="preserve">.  However, as the Supreme Court has become more conservative, this seemingly unwavering commitment to academic freedom is increasingly in doubt.  In 2006, the Court’s decision in </w:t>
      </w:r>
      <w:r w:rsidR="006F63D3" w:rsidRPr="00131E69">
        <w:rPr>
          <w:rFonts w:ascii="Times New Roman" w:hAnsi="Times New Roman" w:cs="Times New Roman"/>
          <w:i/>
          <w:iCs/>
          <w:sz w:val="28"/>
          <w:szCs w:val="28"/>
        </w:rPr>
        <w:t>Garcetti v. Ceballos</w:t>
      </w:r>
      <w:r w:rsidR="006F63D3" w:rsidRPr="00131E69">
        <w:rPr>
          <w:rFonts w:ascii="Times New Roman" w:hAnsi="Times New Roman" w:cs="Times New Roman"/>
          <w:sz w:val="28"/>
          <w:szCs w:val="28"/>
        </w:rPr>
        <w:t xml:space="preserve"> threw into question whether the First Amendment protected certain kinds of speech and activity by academics at </w:t>
      </w:r>
      <w:r w:rsidR="006F63D3" w:rsidRPr="00CE310F">
        <w:rPr>
          <w:rFonts w:ascii="Times New Roman" w:hAnsi="Times New Roman" w:cs="Times New Roman"/>
          <w:i/>
          <w:sz w:val="28"/>
          <w:szCs w:val="28"/>
        </w:rPr>
        <w:t>public</w:t>
      </w:r>
      <w:r w:rsidR="006F63D3" w:rsidRPr="00131E69">
        <w:rPr>
          <w:rFonts w:ascii="Times New Roman" w:hAnsi="Times New Roman" w:cs="Times New Roman"/>
          <w:sz w:val="28"/>
          <w:szCs w:val="28"/>
        </w:rPr>
        <w:t xml:space="preserve"> institutions.  In the case, the Supreme Court held that the First Amendment does not protect government employees’ speech when that speech is made pursuant to the duties of employment.</w:t>
      </w:r>
      <w:r w:rsidR="006F63D3" w:rsidRPr="00131E69">
        <w:rPr>
          <w:rStyle w:val="FootnoteReference"/>
          <w:rFonts w:ascii="Times New Roman" w:hAnsi="Times New Roman"/>
          <w:sz w:val="28"/>
          <w:szCs w:val="28"/>
        </w:rPr>
        <w:footnoteReference w:id="26"/>
      </w:r>
      <w:r w:rsidR="006F63D3" w:rsidRPr="00131E69">
        <w:rPr>
          <w:rFonts w:ascii="Times New Roman" w:hAnsi="Times New Roman" w:cs="Times New Roman"/>
          <w:sz w:val="28"/>
          <w:szCs w:val="28"/>
        </w:rPr>
        <w:t xml:space="preserve">  Employees at </w:t>
      </w:r>
      <w:r w:rsidR="006F63D3" w:rsidRPr="00131E69">
        <w:rPr>
          <w:rFonts w:ascii="Times New Roman" w:hAnsi="Times New Roman" w:cs="Times New Roman"/>
          <w:i/>
          <w:sz w:val="28"/>
          <w:szCs w:val="28"/>
        </w:rPr>
        <w:t>public</w:t>
      </w:r>
      <w:r w:rsidR="006F63D3" w:rsidRPr="00131E69">
        <w:rPr>
          <w:rFonts w:ascii="Times New Roman" w:hAnsi="Times New Roman" w:cs="Times New Roman"/>
          <w:sz w:val="28"/>
          <w:szCs w:val="28"/>
        </w:rPr>
        <w:t xml:space="preserve"> universities are considered government or state employees.</w:t>
      </w:r>
      <w:r w:rsidR="006F63D3" w:rsidRPr="00131E69">
        <w:rPr>
          <w:rStyle w:val="FootnoteReference"/>
          <w:rFonts w:ascii="Times New Roman" w:hAnsi="Times New Roman"/>
          <w:sz w:val="28"/>
          <w:szCs w:val="28"/>
        </w:rPr>
        <w:footnoteReference w:id="27"/>
      </w:r>
      <w:r w:rsidR="006F63D3" w:rsidRPr="00131E69">
        <w:rPr>
          <w:rFonts w:ascii="Times New Roman" w:hAnsi="Times New Roman" w:cs="Times New Roman"/>
          <w:sz w:val="28"/>
          <w:szCs w:val="28"/>
        </w:rPr>
        <w:t xml:space="preserve">  </w:t>
      </w:r>
      <w:r w:rsidR="00D27B4E">
        <w:rPr>
          <w:rFonts w:ascii="Times New Roman" w:hAnsi="Times New Roman" w:cs="Times New Roman"/>
          <w:sz w:val="28"/>
          <w:szCs w:val="28"/>
        </w:rPr>
        <w:t>T</w:t>
      </w:r>
      <w:r w:rsidR="006F63D3" w:rsidRPr="00131E69">
        <w:rPr>
          <w:rFonts w:ascii="Times New Roman" w:hAnsi="Times New Roman" w:cs="Times New Roman"/>
          <w:sz w:val="28"/>
          <w:szCs w:val="28"/>
        </w:rPr>
        <w:t>hough the Court explicitly declined to extend its holding to cases involving scholarship or teaching-related speech</w:t>
      </w:r>
      <w:r w:rsidR="00D27B4E">
        <w:rPr>
          <w:rFonts w:ascii="Times New Roman" w:hAnsi="Times New Roman" w:cs="Times New Roman"/>
          <w:sz w:val="28"/>
          <w:szCs w:val="28"/>
        </w:rPr>
        <w:t>, doubts remain</w:t>
      </w:r>
      <w:r w:rsidR="006F63D3" w:rsidRPr="00131E69">
        <w:rPr>
          <w:rFonts w:ascii="Times New Roman" w:hAnsi="Times New Roman" w:cs="Times New Roman"/>
          <w:sz w:val="28"/>
          <w:szCs w:val="28"/>
        </w:rPr>
        <w:t xml:space="preserve">.  </w:t>
      </w:r>
    </w:p>
    <w:p w14:paraId="72FD2651" w14:textId="6DADC8DB" w:rsidR="006F63D3" w:rsidRPr="00131E69" w:rsidRDefault="006F63D3" w:rsidP="00E662DA">
      <w:pPr>
        <w:pStyle w:val="NormalWeb"/>
        <w:jc w:val="both"/>
        <w:rPr>
          <w:sz w:val="28"/>
          <w:szCs w:val="28"/>
        </w:rPr>
      </w:pPr>
      <w:r w:rsidRPr="00131E69">
        <w:rPr>
          <w:sz w:val="28"/>
          <w:szCs w:val="28"/>
        </w:rPr>
        <w:t>1</w:t>
      </w:r>
      <w:r w:rsidR="00550295">
        <w:rPr>
          <w:sz w:val="28"/>
          <w:szCs w:val="28"/>
        </w:rPr>
        <w:t>2</w:t>
      </w:r>
      <w:r w:rsidRPr="00131E69">
        <w:rPr>
          <w:sz w:val="28"/>
          <w:szCs w:val="28"/>
        </w:rPr>
        <w:t xml:space="preserve">.  Recently, a (lower) federal district court reasoned that </w:t>
      </w:r>
      <w:r w:rsidRPr="00131E69">
        <w:rPr>
          <w:i/>
          <w:iCs/>
          <w:sz w:val="28"/>
          <w:szCs w:val="28"/>
        </w:rPr>
        <w:t xml:space="preserve">Garcetti </w:t>
      </w:r>
      <w:r w:rsidRPr="00131E69">
        <w:rPr>
          <w:sz w:val="28"/>
          <w:szCs w:val="28"/>
        </w:rPr>
        <w:t>does not apply to university professor’</w:t>
      </w:r>
      <w:r w:rsidR="00D27B4E">
        <w:rPr>
          <w:sz w:val="28"/>
          <w:szCs w:val="28"/>
        </w:rPr>
        <w:t>s</w:t>
      </w:r>
      <w:r w:rsidRPr="00131E69">
        <w:rPr>
          <w:sz w:val="28"/>
          <w:szCs w:val="28"/>
        </w:rPr>
        <w:t xml:space="preserve"> in-class speech following Eleventh Circuit precedent. </w:t>
      </w:r>
      <w:r w:rsidRPr="00131E69">
        <w:rPr>
          <w:rStyle w:val="FootnoteReference"/>
          <w:sz w:val="28"/>
          <w:szCs w:val="28"/>
        </w:rPr>
        <w:footnoteReference w:id="28"/>
      </w:r>
      <w:r w:rsidRPr="00131E69">
        <w:rPr>
          <w:sz w:val="28"/>
          <w:szCs w:val="28"/>
        </w:rPr>
        <w:t xml:space="preserve"> </w:t>
      </w:r>
      <w:r w:rsidRPr="00131E69">
        <w:rPr>
          <w:i/>
          <w:iCs/>
          <w:sz w:val="28"/>
          <w:szCs w:val="28"/>
        </w:rPr>
        <w:t>Pernell v. Florida Board of Governors</w:t>
      </w:r>
      <w:r w:rsidRPr="00131E69">
        <w:rPr>
          <w:rStyle w:val="FootnoteReference"/>
          <w:sz w:val="28"/>
          <w:szCs w:val="28"/>
        </w:rPr>
        <w:footnoteReference w:id="29"/>
      </w:r>
      <w:r w:rsidRPr="00131E69">
        <w:rPr>
          <w:sz w:val="28"/>
          <w:szCs w:val="28"/>
        </w:rPr>
        <w:t xml:space="preserve"> involves one of the most notorious classroom censorship laws in the current moment.</w:t>
      </w:r>
      <w:r w:rsidRPr="00131E69">
        <w:rPr>
          <w:rStyle w:val="FootnoteReference"/>
          <w:sz w:val="28"/>
          <w:szCs w:val="28"/>
        </w:rPr>
        <w:footnoteReference w:id="30"/>
      </w:r>
      <w:r w:rsidRPr="00131E69">
        <w:rPr>
          <w:sz w:val="28"/>
          <w:szCs w:val="28"/>
        </w:rPr>
        <w:t xml:space="preserve">  </w:t>
      </w:r>
      <w:r w:rsidRPr="00131E69">
        <w:rPr>
          <w:color w:val="423A38"/>
          <w:sz w:val="28"/>
          <w:szCs w:val="28"/>
        </w:rPr>
        <w:t xml:space="preserve">The </w:t>
      </w:r>
      <w:r w:rsidRPr="00131E69">
        <w:rPr>
          <w:b/>
          <w:color w:val="423A38"/>
          <w:sz w:val="28"/>
          <w:szCs w:val="28"/>
        </w:rPr>
        <w:t>“Stop W.O.K.E.” Act “</w:t>
      </w:r>
      <w:r w:rsidRPr="00131E69">
        <w:rPr>
          <w:color w:val="423A38"/>
          <w:sz w:val="28"/>
          <w:szCs w:val="28"/>
        </w:rPr>
        <w:t xml:space="preserve">severely restricts Florida educators and students from learning and talking about issues related to race and gender in higher education classrooms,” including </w:t>
      </w:r>
      <w:r w:rsidRPr="00131E69">
        <w:rPr>
          <w:sz w:val="28"/>
          <w:szCs w:val="28"/>
        </w:rPr>
        <w:t>concepts related to the legacy of slavery in the United States, affirmative action, white privilege, and anti-racism.</w:t>
      </w:r>
      <w:r w:rsidRPr="00131E69">
        <w:rPr>
          <w:sz w:val="28"/>
          <w:szCs w:val="28"/>
          <w:vertAlign w:val="superscript"/>
        </w:rPr>
        <w:footnoteReference w:id="31"/>
      </w:r>
      <w:r w:rsidRPr="00131E69">
        <w:rPr>
          <w:sz w:val="28"/>
          <w:szCs w:val="28"/>
        </w:rPr>
        <w:t xml:space="preserve"> As a result, Florida professors are officially banned from expressing views regarding these topics, topics of which the State of Florida disapproves.</w:t>
      </w:r>
      <w:r w:rsidRPr="00131E69">
        <w:rPr>
          <w:sz w:val="28"/>
          <w:szCs w:val="28"/>
          <w:vertAlign w:val="superscript"/>
        </w:rPr>
        <w:footnoteReference w:id="32"/>
      </w:r>
      <w:r w:rsidRPr="00131E69">
        <w:rPr>
          <w:sz w:val="28"/>
          <w:szCs w:val="28"/>
        </w:rPr>
        <w:t xml:space="preserve"> Furthermore,</w:t>
      </w:r>
      <w:r w:rsidR="00DF2181">
        <w:rPr>
          <w:sz w:val="28"/>
          <w:szCs w:val="28"/>
        </w:rPr>
        <w:t xml:space="preserve"> </w:t>
      </w:r>
      <w:r w:rsidRPr="00131E69">
        <w:rPr>
          <w:sz w:val="28"/>
          <w:szCs w:val="28"/>
        </w:rPr>
        <w:t>professors are barred from endorsing any subjective viewpoints pertaining to these topics.</w:t>
      </w:r>
      <w:r w:rsidRPr="00131E69">
        <w:rPr>
          <w:sz w:val="28"/>
          <w:szCs w:val="28"/>
          <w:vertAlign w:val="superscript"/>
        </w:rPr>
        <w:footnoteReference w:id="33"/>
      </w:r>
      <w:r w:rsidRPr="00131E69">
        <w:rPr>
          <w:sz w:val="28"/>
          <w:szCs w:val="28"/>
        </w:rPr>
        <w:t xml:space="preserve"> </w:t>
      </w:r>
    </w:p>
    <w:p w14:paraId="1B96315A" w14:textId="6AA41783" w:rsidR="00FE7C0D" w:rsidRPr="00131E69" w:rsidRDefault="006F63D3" w:rsidP="00E662DA">
      <w:pPr>
        <w:jc w:val="both"/>
        <w:rPr>
          <w:sz w:val="28"/>
          <w:szCs w:val="28"/>
        </w:rPr>
      </w:pPr>
      <w:r w:rsidRPr="00131E69">
        <w:rPr>
          <w:sz w:val="28"/>
          <w:szCs w:val="28"/>
        </w:rPr>
        <w:t>1</w:t>
      </w:r>
      <w:r w:rsidR="00550295">
        <w:rPr>
          <w:sz w:val="28"/>
          <w:szCs w:val="28"/>
        </w:rPr>
        <w:t>3</w:t>
      </w:r>
      <w:r w:rsidRPr="00131E69">
        <w:rPr>
          <w:sz w:val="28"/>
          <w:szCs w:val="28"/>
        </w:rPr>
        <w:t xml:space="preserve">.  </w:t>
      </w:r>
      <w:r w:rsidR="006D2FEC">
        <w:rPr>
          <w:sz w:val="28"/>
          <w:szCs w:val="28"/>
        </w:rPr>
        <w:t>E</w:t>
      </w:r>
      <w:r w:rsidRPr="00131E69">
        <w:rPr>
          <w:sz w:val="28"/>
          <w:szCs w:val="28"/>
        </w:rPr>
        <w:t>xplain</w:t>
      </w:r>
      <w:r w:rsidR="006D2FEC">
        <w:rPr>
          <w:sz w:val="28"/>
          <w:szCs w:val="28"/>
        </w:rPr>
        <w:t>ing</w:t>
      </w:r>
      <w:r w:rsidR="00DF2181">
        <w:rPr>
          <w:sz w:val="28"/>
          <w:szCs w:val="28"/>
        </w:rPr>
        <w:t xml:space="preserve"> </w:t>
      </w:r>
      <w:r w:rsidRPr="00131E69">
        <w:rPr>
          <w:sz w:val="28"/>
          <w:szCs w:val="28"/>
        </w:rPr>
        <w:t xml:space="preserve">that the Supreme Court has identified two forms of speech restrictions that are </w:t>
      </w:r>
      <w:r w:rsidR="001F389B" w:rsidRPr="00131E69">
        <w:rPr>
          <w:sz w:val="28"/>
          <w:szCs w:val="28"/>
        </w:rPr>
        <w:t>subject</w:t>
      </w:r>
      <w:r w:rsidRPr="00131E69">
        <w:rPr>
          <w:sz w:val="28"/>
          <w:szCs w:val="28"/>
        </w:rPr>
        <w:t xml:space="preserve"> to heightened scrutiny: content-based restrictions and viewpoint-based restrictions</w:t>
      </w:r>
      <w:r w:rsidR="00DF2181">
        <w:rPr>
          <w:sz w:val="28"/>
          <w:szCs w:val="28"/>
        </w:rPr>
        <w:t xml:space="preserve">, </w:t>
      </w:r>
      <w:r w:rsidR="006D2FEC">
        <w:rPr>
          <w:sz w:val="28"/>
          <w:szCs w:val="28"/>
        </w:rPr>
        <w:t>t</w:t>
      </w:r>
      <w:r w:rsidRPr="00131E69">
        <w:rPr>
          <w:sz w:val="28"/>
          <w:szCs w:val="28"/>
        </w:rPr>
        <w:t xml:space="preserve">he court determined that the </w:t>
      </w:r>
      <w:r w:rsidR="00930656">
        <w:rPr>
          <w:sz w:val="28"/>
          <w:szCs w:val="28"/>
        </w:rPr>
        <w:t xml:space="preserve">Florida </w:t>
      </w:r>
      <w:r w:rsidRPr="00131E69">
        <w:rPr>
          <w:sz w:val="28"/>
          <w:szCs w:val="28"/>
        </w:rPr>
        <w:t xml:space="preserve">law imposed an impermissible viewpoint-based restriction on educators’ classroom speech. </w:t>
      </w:r>
      <w:r w:rsidR="00E6579B" w:rsidRPr="00DF2181">
        <w:rPr>
          <w:i/>
          <w:sz w:val="28"/>
          <w:szCs w:val="28"/>
        </w:rPr>
        <w:t>The case is ongoing</w:t>
      </w:r>
      <w:r w:rsidR="0010253E" w:rsidRPr="00DF2181">
        <w:rPr>
          <w:i/>
          <w:sz w:val="28"/>
          <w:szCs w:val="28"/>
        </w:rPr>
        <w:t>.</w:t>
      </w:r>
      <w:r w:rsidR="00FE7C0D" w:rsidRPr="00131E69">
        <w:rPr>
          <w:sz w:val="28"/>
          <w:szCs w:val="28"/>
        </w:rPr>
        <w:t xml:space="preserve">  </w:t>
      </w:r>
    </w:p>
    <w:p w14:paraId="70E7519E" w14:textId="45EDD6BD" w:rsidR="00FE7C0D" w:rsidRPr="00131E69" w:rsidRDefault="00FE7C0D" w:rsidP="00E662DA">
      <w:pPr>
        <w:jc w:val="both"/>
        <w:rPr>
          <w:sz w:val="28"/>
          <w:szCs w:val="28"/>
        </w:rPr>
      </w:pPr>
    </w:p>
    <w:p w14:paraId="0B26A7E2" w14:textId="545884F7" w:rsidR="00FE7C0D" w:rsidRPr="00131E69" w:rsidRDefault="00FE7C0D" w:rsidP="00E662DA">
      <w:pPr>
        <w:jc w:val="both"/>
        <w:rPr>
          <w:sz w:val="28"/>
          <w:szCs w:val="28"/>
        </w:rPr>
      </w:pPr>
      <w:r w:rsidRPr="00131E69">
        <w:rPr>
          <w:sz w:val="28"/>
          <w:szCs w:val="28"/>
        </w:rPr>
        <w:t>1</w:t>
      </w:r>
      <w:r w:rsidR="00550295">
        <w:rPr>
          <w:sz w:val="28"/>
          <w:szCs w:val="28"/>
        </w:rPr>
        <w:t>4</w:t>
      </w:r>
      <w:r w:rsidRPr="00131E69">
        <w:rPr>
          <w:sz w:val="28"/>
          <w:szCs w:val="28"/>
        </w:rPr>
        <w:t xml:space="preserve">.  </w:t>
      </w:r>
      <w:r w:rsidR="00D27B4E">
        <w:rPr>
          <w:sz w:val="28"/>
          <w:szCs w:val="28"/>
        </w:rPr>
        <w:t>A</w:t>
      </w:r>
      <w:r w:rsidRPr="00131E69">
        <w:rPr>
          <w:sz w:val="28"/>
          <w:szCs w:val="28"/>
        </w:rPr>
        <w:t xml:space="preserve">cademic freedom, though broad, </w:t>
      </w:r>
      <w:r w:rsidR="004E1130" w:rsidRPr="00131E69">
        <w:rPr>
          <w:sz w:val="28"/>
          <w:szCs w:val="28"/>
        </w:rPr>
        <w:t>is</w:t>
      </w:r>
      <w:r w:rsidRPr="00131E69">
        <w:rPr>
          <w:sz w:val="28"/>
          <w:szCs w:val="28"/>
        </w:rPr>
        <w:t xml:space="preserve"> not inviolate. Even tenured professors’ academic freedom does not extend to constrain the university from administrative oversight.</w:t>
      </w:r>
      <w:r w:rsidR="00C70208" w:rsidRPr="00131E69">
        <w:rPr>
          <w:sz w:val="28"/>
          <w:szCs w:val="28"/>
        </w:rPr>
        <w:t xml:space="preserve"> </w:t>
      </w:r>
      <w:r w:rsidR="00C70208" w:rsidRPr="00131E69">
        <w:rPr>
          <w:rStyle w:val="FootnoteReference"/>
          <w:sz w:val="28"/>
          <w:szCs w:val="28"/>
        </w:rPr>
        <w:footnoteReference w:id="34"/>
      </w:r>
      <w:r w:rsidRPr="00131E69">
        <w:rPr>
          <w:sz w:val="28"/>
          <w:szCs w:val="28"/>
        </w:rPr>
        <w:t xml:space="preserve"> And</w:t>
      </w:r>
      <w:r w:rsidR="00C70208" w:rsidRPr="00131E69">
        <w:rPr>
          <w:sz w:val="28"/>
          <w:szCs w:val="28"/>
        </w:rPr>
        <w:t>,</w:t>
      </w:r>
      <w:r w:rsidRPr="00131E69">
        <w:rPr>
          <w:sz w:val="28"/>
          <w:szCs w:val="28"/>
        </w:rPr>
        <w:t xml:space="preserve"> academic institutions cannot rely on academic freedom to discriminate unlawfully or otherwise violate statutory anti-discrimination or constitutional equal </w:t>
      </w:r>
      <w:r w:rsidR="00C70208" w:rsidRPr="00131E69">
        <w:rPr>
          <w:sz w:val="28"/>
          <w:szCs w:val="28"/>
        </w:rPr>
        <w:t>p</w:t>
      </w:r>
      <w:r w:rsidRPr="00131E69">
        <w:rPr>
          <w:sz w:val="28"/>
          <w:szCs w:val="28"/>
        </w:rPr>
        <w:t>rotection obligations</w:t>
      </w:r>
      <w:r w:rsidR="00C70208" w:rsidRPr="00131E69">
        <w:rPr>
          <w:sz w:val="28"/>
          <w:szCs w:val="28"/>
        </w:rPr>
        <w:t>.</w:t>
      </w:r>
      <w:r w:rsidR="00C70208" w:rsidRPr="00131E69">
        <w:rPr>
          <w:rStyle w:val="FootnoteReference"/>
          <w:sz w:val="28"/>
          <w:szCs w:val="28"/>
        </w:rPr>
        <w:footnoteReference w:id="35"/>
      </w:r>
      <w:r w:rsidRPr="00131E69">
        <w:rPr>
          <w:sz w:val="28"/>
          <w:szCs w:val="28"/>
        </w:rPr>
        <w:t xml:space="preserve"> </w:t>
      </w:r>
    </w:p>
    <w:p w14:paraId="0036B8B8" w14:textId="71410860" w:rsidR="00D24A16" w:rsidRPr="00131E69" w:rsidRDefault="00FE7C0D" w:rsidP="00E662DA">
      <w:pPr>
        <w:spacing w:before="120" w:after="120"/>
        <w:jc w:val="both"/>
        <w:rPr>
          <w:sz w:val="28"/>
          <w:szCs w:val="28"/>
          <w:lang w:val="en-US"/>
        </w:rPr>
      </w:pPr>
      <w:r w:rsidRPr="00131E69">
        <w:rPr>
          <w:sz w:val="28"/>
          <w:szCs w:val="28"/>
        </w:rPr>
        <w:t>1</w:t>
      </w:r>
      <w:r w:rsidR="00550295">
        <w:rPr>
          <w:sz w:val="28"/>
          <w:szCs w:val="28"/>
        </w:rPr>
        <w:t>5</w:t>
      </w:r>
      <w:r w:rsidRPr="00131E69">
        <w:rPr>
          <w:sz w:val="28"/>
          <w:szCs w:val="28"/>
        </w:rPr>
        <w:t>. Elementary and secondary school teachers, however, do not enjoy the same academic freedoms as their tertiary counterparts. Because the states generally enjoy police power over teaching and learning, elementary and secondary teachers are constrained by pre-approved state curricula and can face adverse employment action for any deviation from those curricula</w:t>
      </w:r>
      <w:r w:rsidR="00C70208" w:rsidRPr="00131E69">
        <w:rPr>
          <w:sz w:val="28"/>
          <w:szCs w:val="28"/>
        </w:rPr>
        <w:t>.</w:t>
      </w:r>
      <w:r w:rsidR="00C70208" w:rsidRPr="00131E69">
        <w:rPr>
          <w:rStyle w:val="FootnoteReference"/>
          <w:sz w:val="28"/>
          <w:szCs w:val="28"/>
        </w:rPr>
        <w:footnoteReference w:id="36"/>
      </w:r>
      <w:r w:rsidRPr="00131E69">
        <w:rPr>
          <w:sz w:val="28"/>
          <w:szCs w:val="28"/>
        </w:rPr>
        <w:t xml:space="preserve"> </w:t>
      </w:r>
      <w:r w:rsidR="002D2906" w:rsidRPr="00131E69">
        <w:rPr>
          <w:sz w:val="28"/>
          <w:szCs w:val="28"/>
        </w:rPr>
        <w:t xml:space="preserve">Within that framework, </w:t>
      </w:r>
      <w:r w:rsidRPr="00131E69">
        <w:rPr>
          <w:sz w:val="28"/>
          <w:szCs w:val="28"/>
          <w:lang w:val="en-US"/>
        </w:rPr>
        <w:t>the judge in the Pernell case notes “the Eleventh Circuit and its predecessor have recognized that the First Amendment protects classroom discussions at [both] the secondary and university levels”</w:t>
      </w:r>
      <w:r w:rsidR="001F6E5F" w:rsidRPr="00131E69">
        <w:rPr>
          <w:sz w:val="28"/>
          <w:szCs w:val="28"/>
          <w:lang w:val="en-US"/>
        </w:rPr>
        <w:t xml:space="preserve"> </w:t>
      </w:r>
      <w:r w:rsidR="002D2906" w:rsidRPr="00131E69">
        <w:rPr>
          <w:sz w:val="28"/>
          <w:szCs w:val="28"/>
          <w:lang w:val="en-US"/>
        </w:rPr>
        <w:t xml:space="preserve">and does so, </w:t>
      </w:r>
      <w:r w:rsidR="001F6E5F" w:rsidRPr="00131E69">
        <w:rPr>
          <w:sz w:val="28"/>
          <w:szCs w:val="28"/>
          <w:lang w:val="en-US"/>
        </w:rPr>
        <w:t>in th</w:t>
      </w:r>
      <w:r w:rsidR="002D2906" w:rsidRPr="00131E69">
        <w:rPr>
          <w:sz w:val="28"/>
          <w:szCs w:val="28"/>
          <w:lang w:val="en-US"/>
        </w:rPr>
        <w:t>e</w:t>
      </w:r>
      <w:r w:rsidR="001F6E5F" w:rsidRPr="00131E69">
        <w:rPr>
          <w:sz w:val="28"/>
          <w:szCs w:val="28"/>
          <w:lang w:val="en-US"/>
        </w:rPr>
        <w:t xml:space="preserve"> </w:t>
      </w:r>
      <w:r w:rsidR="002D2906" w:rsidRPr="00131E69">
        <w:rPr>
          <w:sz w:val="28"/>
          <w:szCs w:val="28"/>
          <w:lang w:val="en-US"/>
        </w:rPr>
        <w:t>jurisdiction.</w:t>
      </w:r>
    </w:p>
    <w:p w14:paraId="3944C7A4" w14:textId="66FD6604" w:rsidR="00E0776F" w:rsidRPr="00131E69" w:rsidRDefault="006F63D3" w:rsidP="008B1C4B">
      <w:pPr>
        <w:jc w:val="both"/>
        <w:rPr>
          <w:sz w:val="28"/>
          <w:szCs w:val="28"/>
          <w:lang w:val="en-US"/>
        </w:rPr>
      </w:pPr>
      <w:r w:rsidRPr="00131E69">
        <w:rPr>
          <w:sz w:val="28"/>
          <w:szCs w:val="28"/>
          <w:lang w:val="en-US"/>
        </w:rPr>
        <w:t>1</w:t>
      </w:r>
      <w:r w:rsidR="00550295">
        <w:rPr>
          <w:sz w:val="28"/>
          <w:szCs w:val="28"/>
          <w:lang w:val="en-US"/>
        </w:rPr>
        <w:t>6</w:t>
      </w:r>
      <w:r w:rsidRPr="00131E69">
        <w:rPr>
          <w:sz w:val="28"/>
          <w:szCs w:val="28"/>
          <w:lang w:val="en-US"/>
        </w:rPr>
        <w:t xml:space="preserve">.  </w:t>
      </w:r>
      <w:r w:rsidR="00930656">
        <w:rPr>
          <w:sz w:val="28"/>
          <w:szCs w:val="28"/>
          <w:lang w:val="en-US"/>
        </w:rPr>
        <w:t>As for st</w:t>
      </w:r>
      <w:r w:rsidRPr="00131E69">
        <w:rPr>
          <w:sz w:val="28"/>
          <w:szCs w:val="28"/>
          <w:lang w:val="en-US"/>
        </w:rPr>
        <w:t>udents</w:t>
      </w:r>
      <w:r w:rsidR="00930656">
        <w:rPr>
          <w:sz w:val="28"/>
          <w:szCs w:val="28"/>
          <w:lang w:val="en-US"/>
        </w:rPr>
        <w:t>, they</w:t>
      </w:r>
      <w:r w:rsidRPr="00131E69">
        <w:rPr>
          <w:sz w:val="28"/>
          <w:szCs w:val="28"/>
          <w:lang w:val="en-US"/>
        </w:rPr>
        <w:t xml:space="preserve"> “retain their First Amendment rights in schools. In </w:t>
      </w:r>
      <w:r w:rsidRPr="00131E69">
        <w:rPr>
          <w:i/>
          <w:sz w:val="28"/>
          <w:szCs w:val="28"/>
          <w:lang w:val="en-US"/>
        </w:rPr>
        <w:t>Tinker v. Des Moines Independent Community School District</w:t>
      </w:r>
      <w:r w:rsidRPr="00131E69">
        <w:rPr>
          <w:sz w:val="28"/>
          <w:szCs w:val="28"/>
          <w:lang w:val="en-US"/>
        </w:rPr>
        <w:t>, a 1969 decision, the U.S. Supreme Court held that students do not ‘shed their constitutional rights to freedom of speech or expression at the schoolhouse gate.”’</w:t>
      </w:r>
      <w:r w:rsidR="00C70208" w:rsidRPr="00131E69">
        <w:rPr>
          <w:rStyle w:val="FootnoteReference"/>
          <w:sz w:val="28"/>
          <w:szCs w:val="28"/>
          <w:lang w:val="en-US"/>
        </w:rPr>
        <w:footnoteReference w:id="37"/>
      </w:r>
      <w:r w:rsidRPr="00131E69">
        <w:rPr>
          <w:sz w:val="28"/>
          <w:szCs w:val="28"/>
          <w:lang w:val="en-US"/>
        </w:rPr>
        <w:t xml:space="preserve"> </w:t>
      </w:r>
      <w:r w:rsidR="00930656">
        <w:rPr>
          <w:sz w:val="28"/>
          <w:szCs w:val="28"/>
          <w:lang w:val="en-US"/>
        </w:rPr>
        <w:t>S</w:t>
      </w:r>
      <w:r w:rsidR="00E0776F" w:rsidRPr="00131E69">
        <w:rPr>
          <w:sz w:val="28"/>
          <w:szCs w:val="28"/>
          <w:lang w:val="en-US"/>
        </w:rPr>
        <w:t xml:space="preserve">tudents </w:t>
      </w:r>
      <w:r w:rsidR="00930656">
        <w:rPr>
          <w:sz w:val="28"/>
          <w:szCs w:val="28"/>
          <w:lang w:val="en-US"/>
        </w:rPr>
        <w:t xml:space="preserve">also </w:t>
      </w:r>
      <w:r w:rsidR="00E0776F" w:rsidRPr="00131E69">
        <w:rPr>
          <w:sz w:val="28"/>
          <w:szCs w:val="28"/>
          <w:lang w:val="en-US"/>
        </w:rPr>
        <w:t xml:space="preserve">have a right to access </w:t>
      </w:r>
      <w:r w:rsidR="00A33048">
        <w:rPr>
          <w:sz w:val="28"/>
          <w:szCs w:val="28"/>
          <w:lang w:val="en-US"/>
        </w:rPr>
        <w:t>information</w:t>
      </w:r>
      <w:r w:rsidR="00930656">
        <w:rPr>
          <w:sz w:val="28"/>
          <w:szCs w:val="28"/>
          <w:lang w:val="en-US"/>
        </w:rPr>
        <w:t>, but it</w:t>
      </w:r>
      <w:r w:rsidR="00A33048">
        <w:rPr>
          <w:sz w:val="28"/>
          <w:szCs w:val="28"/>
          <w:lang w:val="en-US"/>
        </w:rPr>
        <w:t xml:space="preserve"> is limited to access to </w:t>
      </w:r>
      <w:r w:rsidR="00E0776F" w:rsidRPr="00131E69">
        <w:rPr>
          <w:sz w:val="28"/>
          <w:szCs w:val="28"/>
          <w:lang w:val="en-US"/>
        </w:rPr>
        <w:t>the state-provided curriculum</w:t>
      </w:r>
      <w:r w:rsidR="00930656">
        <w:rPr>
          <w:sz w:val="28"/>
          <w:szCs w:val="28"/>
          <w:lang w:val="en-US"/>
        </w:rPr>
        <w:t>,</w:t>
      </w:r>
      <w:r w:rsidR="00D24A16" w:rsidRPr="00131E69">
        <w:rPr>
          <w:rStyle w:val="FootnoteReference"/>
          <w:sz w:val="28"/>
          <w:szCs w:val="28"/>
          <w:lang w:val="en-US"/>
        </w:rPr>
        <w:footnoteReference w:id="38"/>
      </w:r>
      <w:r w:rsidR="002D2906" w:rsidRPr="00131E69">
        <w:rPr>
          <w:sz w:val="28"/>
          <w:szCs w:val="28"/>
          <w:lang w:val="en-US"/>
        </w:rPr>
        <w:t xml:space="preserve"> </w:t>
      </w:r>
      <w:r w:rsidR="00930656">
        <w:rPr>
          <w:sz w:val="28"/>
          <w:szCs w:val="28"/>
          <w:lang w:val="en-US"/>
        </w:rPr>
        <w:t>and to</w:t>
      </w:r>
      <w:r w:rsidR="00E0776F" w:rsidRPr="00131E69">
        <w:rPr>
          <w:sz w:val="28"/>
          <w:szCs w:val="28"/>
          <w:lang w:val="en-US"/>
        </w:rPr>
        <w:t xml:space="preserve"> books that the state has already chosen to make available to them</w:t>
      </w:r>
      <w:r w:rsidR="00D24A16" w:rsidRPr="00131E69">
        <w:rPr>
          <w:sz w:val="28"/>
          <w:szCs w:val="28"/>
          <w:lang w:val="en-US"/>
        </w:rPr>
        <w:t>.</w:t>
      </w:r>
      <w:r w:rsidR="00D24A16" w:rsidRPr="00131E69">
        <w:rPr>
          <w:rStyle w:val="FootnoteReference"/>
          <w:sz w:val="28"/>
          <w:szCs w:val="28"/>
          <w:lang w:val="en-US"/>
        </w:rPr>
        <w:footnoteReference w:id="39"/>
      </w:r>
      <w:r w:rsidR="00E0776F" w:rsidRPr="00131E69">
        <w:rPr>
          <w:sz w:val="28"/>
          <w:szCs w:val="28"/>
          <w:lang w:val="en-US"/>
        </w:rPr>
        <w:t xml:space="preserve"> </w:t>
      </w:r>
      <w:r w:rsidR="002D2906" w:rsidRPr="00131E69">
        <w:rPr>
          <w:sz w:val="28"/>
          <w:szCs w:val="28"/>
          <w:lang w:val="en-US"/>
        </w:rPr>
        <w:t>C</w:t>
      </w:r>
      <w:r w:rsidR="00D24A16" w:rsidRPr="00131E69">
        <w:rPr>
          <w:sz w:val="28"/>
          <w:szCs w:val="28"/>
          <w:lang w:val="en-US"/>
        </w:rPr>
        <w:t xml:space="preserve">ollege students may choose their classes, </w:t>
      </w:r>
      <w:r w:rsidR="002D2906" w:rsidRPr="00131E69">
        <w:rPr>
          <w:sz w:val="28"/>
          <w:szCs w:val="28"/>
          <w:lang w:val="en-US"/>
        </w:rPr>
        <w:t>but they a</w:t>
      </w:r>
      <w:r w:rsidR="00E0776F" w:rsidRPr="00131E69">
        <w:rPr>
          <w:sz w:val="28"/>
          <w:szCs w:val="28"/>
          <w:lang w:val="en-US"/>
        </w:rPr>
        <w:t xml:space="preserve">lso do not have meaningful choice in what their professors choose to teach because of the professors and the institution’s academic freedom. However, the institution cannot rely on its academic freedom to discriminate against students’ own expression within or outside the classroom </w:t>
      </w:r>
      <w:r w:rsidR="00D24A16" w:rsidRPr="00131E69">
        <w:rPr>
          <w:rStyle w:val="FootnoteReference"/>
          <w:sz w:val="28"/>
          <w:szCs w:val="28"/>
          <w:lang w:val="en-US"/>
        </w:rPr>
        <w:footnoteReference w:id="40"/>
      </w:r>
    </w:p>
    <w:p w14:paraId="6F5DB5E4" w14:textId="77777777" w:rsidR="00502167" w:rsidRDefault="00A33048" w:rsidP="00E662DA">
      <w:pPr>
        <w:spacing w:before="120" w:after="120"/>
        <w:jc w:val="both"/>
        <w:rPr>
          <w:sz w:val="28"/>
          <w:szCs w:val="28"/>
          <w:u w:val="single"/>
          <w:lang w:val="en-US"/>
        </w:rPr>
      </w:pPr>
      <w:r w:rsidRPr="00A33048">
        <w:rPr>
          <w:sz w:val="28"/>
          <w:szCs w:val="28"/>
          <w:u w:val="single"/>
          <w:lang w:val="en-US"/>
        </w:rPr>
        <w:t xml:space="preserve"> </w:t>
      </w:r>
    </w:p>
    <w:p w14:paraId="161C6242" w14:textId="70B7862A" w:rsidR="00427D8D" w:rsidRDefault="00A33048" w:rsidP="00E662DA">
      <w:pPr>
        <w:spacing w:before="120" w:after="120"/>
        <w:jc w:val="both"/>
        <w:rPr>
          <w:sz w:val="28"/>
          <w:szCs w:val="28"/>
          <w:u w:val="single"/>
          <w:lang w:val="en-US"/>
        </w:rPr>
      </w:pPr>
      <w:r w:rsidRPr="00A33048">
        <w:rPr>
          <w:sz w:val="28"/>
          <w:szCs w:val="28"/>
          <w:u w:val="single"/>
          <w:lang w:val="en-US"/>
        </w:rPr>
        <w:t>Examples of</w:t>
      </w:r>
      <w:r w:rsidR="00D80C41">
        <w:rPr>
          <w:sz w:val="28"/>
          <w:szCs w:val="28"/>
          <w:u w:val="single"/>
          <w:lang w:val="en-US"/>
        </w:rPr>
        <w:t xml:space="preserve"> </w:t>
      </w:r>
      <w:r w:rsidR="00F1567C">
        <w:rPr>
          <w:sz w:val="28"/>
          <w:szCs w:val="28"/>
          <w:u w:val="single"/>
          <w:lang w:val="en-US"/>
        </w:rPr>
        <w:t xml:space="preserve">the </w:t>
      </w:r>
      <w:r w:rsidR="00502167">
        <w:rPr>
          <w:sz w:val="28"/>
          <w:szCs w:val="28"/>
          <w:u w:val="single"/>
          <w:lang w:val="en-US"/>
        </w:rPr>
        <w:t xml:space="preserve">Impact of  </w:t>
      </w:r>
      <w:r w:rsidR="00D80C41">
        <w:rPr>
          <w:sz w:val="28"/>
          <w:szCs w:val="28"/>
          <w:u w:val="single"/>
          <w:lang w:val="en-US"/>
        </w:rPr>
        <w:t>Discriminatory Censorship Laws</w:t>
      </w:r>
    </w:p>
    <w:p w14:paraId="5293DD75" w14:textId="77777777" w:rsidR="00DA669D" w:rsidRDefault="00DA669D" w:rsidP="00E662DA">
      <w:pPr>
        <w:spacing w:before="120" w:after="120"/>
        <w:jc w:val="both"/>
        <w:rPr>
          <w:sz w:val="28"/>
          <w:szCs w:val="28"/>
          <w:lang w:val="en-US"/>
        </w:rPr>
      </w:pPr>
    </w:p>
    <w:p w14:paraId="3F628634" w14:textId="7A278237" w:rsidR="00A927BA" w:rsidRPr="00131E69" w:rsidRDefault="006F63D3" w:rsidP="00E662DA">
      <w:pPr>
        <w:spacing w:before="120" w:after="120"/>
        <w:jc w:val="both"/>
        <w:rPr>
          <w:sz w:val="28"/>
          <w:szCs w:val="28"/>
          <w:lang w:val="en-US"/>
        </w:rPr>
      </w:pPr>
      <w:r w:rsidRPr="00131E69">
        <w:rPr>
          <w:sz w:val="28"/>
          <w:szCs w:val="28"/>
          <w:lang w:val="en-US"/>
        </w:rPr>
        <w:t>1</w:t>
      </w:r>
      <w:r w:rsidR="00550295">
        <w:rPr>
          <w:sz w:val="28"/>
          <w:szCs w:val="28"/>
          <w:lang w:val="en-US"/>
        </w:rPr>
        <w:t>7</w:t>
      </w:r>
      <w:r w:rsidRPr="00131E69">
        <w:rPr>
          <w:sz w:val="28"/>
          <w:szCs w:val="28"/>
          <w:lang w:val="en-US"/>
        </w:rPr>
        <w:t xml:space="preserve">.  </w:t>
      </w:r>
      <w:r w:rsidR="004E1130" w:rsidRPr="00131E69">
        <w:rPr>
          <w:sz w:val="28"/>
          <w:szCs w:val="28"/>
          <w:lang w:val="en-US"/>
        </w:rPr>
        <w:t>S</w:t>
      </w:r>
      <w:r w:rsidRPr="00131E69">
        <w:rPr>
          <w:sz w:val="28"/>
          <w:szCs w:val="28"/>
          <w:lang w:val="en-US"/>
        </w:rPr>
        <w:t xml:space="preserve">ince January 2021, rightwing </w:t>
      </w:r>
      <w:r w:rsidR="002D2906" w:rsidRPr="00131E69">
        <w:rPr>
          <w:sz w:val="28"/>
          <w:szCs w:val="28"/>
          <w:lang w:val="en-US"/>
        </w:rPr>
        <w:t xml:space="preserve">officials </w:t>
      </w:r>
      <w:r w:rsidR="00A927BA" w:rsidRPr="00131E69">
        <w:rPr>
          <w:sz w:val="28"/>
          <w:szCs w:val="28"/>
          <w:lang w:val="en-US"/>
        </w:rPr>
        <w:t>ha</w:t>
      </w:r>
      <w:r w:rsidRPr="00131E69">
        <w:rPr>
          <w:sz w:val="28"/>
          <w:szCs w:val="28"/>
          <w:lang w:val="en-US"/>
        </w:rPr>
        <w:t>ve</w:t>
      </w:r>
      <w:r w:rsidR="00A927BA" w:rsidRPr="00131E69">
        <w:rPr>
          <w:sz w:val="28"/>
          <w:szCs w:val="28"/>
          <w:lang w:val="en-US"/>
        </w:rPr>
        <w:t xml:space="preserve"> increasingly governed on a platform of discriminatory censorship at all levels of government</w:t>
      </w:r>
      <w:r w:rsidRPr="00131E69">
        <w:rPr>
          <w:sz w:val="28"/>
          <w:szCs w:val="28"/>
          <w:lang w:val="en-US"/>
        </w:rPr>
        <w:t xml:space="preserve">.  They </w:t>
      </w:r>
      <w:r w:rsidR="00A927BA" w:rsidRPr="00131E69">
        <w:rPr>
          <w:sz w:val="28"/>
          <w:szCs w:val="28"/>
          <w:lang w:val="en-US"/>
        </w:rPr>
        <w:t xml:space="preserve">have proposed nearly </w:t>
      </w:r>
      <w:bookmarkStart w:id="3" w:name="_Hlk157453412"/>
      <w:r w:rsidR="00A927BA" w:rsidRPr="00131E69">
        <w:rPr>
          <w:sz w:val="28"/>
          <w:szCs w:val="28"/>
          <w:lang w:val="en-US"/>
        </w:rPr>
        <w:t>800 “discriminatory censorship laws”</w:t>
      </w:r>
      <w:bookmarkEnd w:id="3"/>
      <w:r w:rsidR="00A927BA" w:rsidRPr="00131E69">
        <w:rPr>
          <w:sz w:val="28"/>
          <w:szCs w:val="28"/>
          <w:lang w:val="en-US"/>
        </w:rPr>
        <w:t xml:space="preserve">—a term </w:t>
      </w:r>
      <w:hyperlink r:id="rId12" w:history="1">
        <w:r w:rsidR="00A927BA" w:rsidRPr="00131E69">
          <w:rPr>
            <w:color w:val="0000FF"/>
            <w:sz w:val="28"/>
            <w:szCs w:val="28"/>
            <w:u w:val="single"/>
            <w:lang w:val="en-US"/>
          </w:rPr>
          <w:t>legal scholars have employed</w:t>
        </w:r>
      </w:hyperlink>
      <w:r w:rsidR="00A927BA" w:rsidRPr="00131E69">
        <w:rPr>
          <w:sz w:val="28"/>
          <w:szCs w:val="28"/>
          <w:lang w:val="en-US"/>
        </w:rPr>
        <w:t xml:space="preserve"> to capture official acts designed to (a) purge classroom conversations about targeted topics (e.g., racism, sexism, gender identity, colonialism/imperialism) and (b) demean inclusionary values and people from historically marginalized groups (people of color; LGBTQ+ community). </w:t>
      </w:r>
    </w:p>
    <w:p w14:paraId="7A726252" w14:textId="2A99D946" w:rsidR="00A927BA" w:rsidRPr="00131E69" w:rsidRDefault="006F63D3" w:rsidP="00E662DA">
      <w:pPr>
        <w:spacing w:before="120" w:after="120"/>
        <w:jc w:val="both"/>
        <w:rPr>
          <w:color w:val="000000"/>
          <w:sz w:val="28"/>
          <w:szCs w:val="28"/>
          <w:lang w:val="en-US"/>
        </w:rPr>
      </w:pPr>
      <w:r w:rsidRPr="00131E69">
        <w:rPr>
          <w:sz w:val="28"/>
          <w:szCs w:val="28"/>
        </w:rPr>
        <w:t>1</w:t>
      </w:r>
      <w:r w:rsidR="00550295">
        <w:rPr>
          <w:sz w:val="28"/>
          <w:szCs w:val="28"/>
        </w:rPr>
        <w:t>8</w:t>
      </w:r>
      <w:r w:rsidR="00A927BA" w:rsidRPr="00131E69">
        <w:rPr>
          <w:sz w:val="28"/>
          <w:szCs w:val="28"/>
        </w:rPr>
        <w:t xml:space="preserve">.  </w:t>
      </w:r>
      <w:hyperlink r:id="rId13" w:history="1">
        <w:r w:rsidR="00A927BA" w:rsidRPr="00131E69">
          <w:rPr>
            <w:color w:val="0000FF"/>
            <w:sz w:val="28"/>
            <w:szCs w:val="28"/>
            <w:u w:val="single"/>
            <w:lang w:val="en-US"/>
          </w:rPr>
          <w:t>Recent analysis</w:t>
        </w:r>
      </w:hyperlink>
      <w:r w:rsidR="00A927BA" w:rsidRPr="00131E69">
        <w:rPr>
          <w:sz w:val="28"/>
          <w:szCs w:val="28"/>
          <w:lang w:val="en-US"/>
        </w:rPr>
        <w:t xml:space="preserve"> suggest that these laws—which target K-12 and higher education</w:t>
      </w:r>
      <w:r w:rsidR="00B63B77">
        <w:rPr>
          <w:sz w:val="28"/>
          <w:szCs w:val="28"/>
          <w:lang w:val="en-US"/>
        </w:rPr>
        <w:t xml:space="preserve"> </w:t>
      </w:r>
      <w:r w:rsidR="00A927BA" w:rsidRPr="00131E69">
        <w:rPr>
          <w:sz w:val="28"/>
          <w:szCs w:val="28"/>
          <w:lang w:val="en-US"/>
        </w:rPr>
        <w:t xml:space="preserve">—have already had two significant negative impacts on students, </w:t>
      </w:r>
      <w:r w:rsidR="00B63B77">
        <w:rPr>
          <w:sz w:val="28"/>
          <w:szCs w:val="28"/>
          <w:lang w:val="en-US"/>
        </w:rPr>
        <w:t xml:space="preserve">and </w:t>
      </w:r>
      <w:r w:rsidR="00A927BA" w:rsidRPr="00131E69">
        <w:rPr>
          <w:sz w:val="28"/>
          <w:szCs w:val="28"/>
          <w:lang w:val="en-US"/>
        </w:rPr>
        <w:t xml:space="preserve">educators: the laws (a) anchor regimes of </w:t>
      </w:r>
      <w:r w:rsidR="00A927BA" w:rsidRPr="00131E69">
        <w:rPr>
          <w:i/>
          <w:iCs/>
          <w:sz w:val="28"/>
          <w:szCs w:val="28"/>
          <w:lang w:val="en-US"/>
        </w:rPr>
        <w:t xml:space="preserve">miseducation </w:t>
      </w:r>
      <w:r w:rsidR="00A927BA" w:rsidRPr="00131E69">
        <w:rPr>
          <w:sz w:val="28"/>
          <w:szCs w:val="28"/>
          <w:lang w:val="en-US"/>
        </w:rPr>
        <w:t xml:space="preserve">and (b) create </w:t>
      </w:r>
      <w:r w:rsidR="00A927BA" w:rsidRPr="00131E69">
        <w:rPr>
          <w:i/>
          <w:iCs/>
          <w:sz w:val="28"/>
          <w:szCs w:val="28"/>
          <w:lang w:val="en-US"/>
        </w:rPr>
        <w:t>hostile learning environments</w:t>
      </w:r>
      <w:r w:rsidR="00A927BA" w:rsidRPr="00131E69">
        <w:rPr>
          <w:sz w:val="28"/>
          <w:szCs w:val="28"/>
          <w:lang w:val="en-US"/>
        </w:rPr>
        <w:t xml:space="preserve"> by exposing individuals from targeted groups to a heightened risk of race- and gender-based harassment. </w:t>
      </w:r>
    </w:p>
    <w:p w14:paraId="1132EA5D" w14:textId="682676A9" w:rsidR="00A927BA" w:rsidRPr="00131E69" w:rsidRDefault="00550295" w:rsidP="00E662DA">
      <w:pPr>
        <w:contextualSpacing/>
        <w:jc w:val="both"/>
        <w:rPr>
          <w:sz w:val="28"/>
          <w:szCs w:val="28"/>
          <w:lang w:val="en-US"/>
        </w:rPr>
      </w:pPr>
      <w:r>
        <w:rPr>
          <w:color w:val="000000"/>
          <w:sz w:val="28"/>
          <w:szCs w:val="28"/>
          <w:lang w:val="en-US"/>
        </w:rPr>
        <w:t>19</w:t>
      </w:r>
      <w:r w:rsidR="006F63D3" w:rsidRPr="00131E69">
        <w:rPr>
          <w:color w:val="000000"/>
          <w:sz w:val="28"/>
          <w:szCs w:val="28"/>
          <w:lang w:val="en-US"/>
        </w:rPr>
        <w:t xml:space="preserve">.  </w:t>
      </w:r>
      <w:r w:rsidR="00E0776F" w:rsidRPr="00131E69">
        <w:rPr>
          <w:color w:val="000000"/>
          <w:sz w:val="28"/>
          <w:szCs w:val="28"/>
          <w:lang w:val="en-US"/>
        </w:rPr>
        <w:t xml:space="preserve">The National Education Policy Center in a recent report describes the </w:t>
      </w:r>
      <w:r w:rsidR="00B63B77">
        <w:rPr>
          <w:color w:val="000000"/>
          <w:sz w:val="28"/>
          <w:szCs w:val="28"/>
          <w:lang w:val="en-US"/>
        </w:rPr>
        <w:t>impact of these l</w:t>
      </w:r>
      <w:r w:rsidR="00A927BA" w:rsidRPr="00131E69">
        <w:rPr>
          <w:color w:val="000000"/>
          <w:sz w:val="28"/>
          <w:szCs w:val="28"/>
          <w:lang w:val="en-US"/>
        </w:rPr>
        <w:t>aws</w:t>
      </w:r>
      <w:r w:rsidR="00B63B77">
        <w:rPr>
          <w:color w:val="000000"/>
          <w:sz w:val="28"/>
          <w:szCs w:val="28"/>
          <w:lang w:val="en-US"/>
        </w:rPr>
        <w:t>,</w:t>
      </w:r>
      <w:r w:rsidR="00F1567C">
        <w:rPr>
          <w:color w:val="000000"/>
          <w:sz w:val="28"/>
          <w:szCs w:val="28"/>
          <w:lang w:val="en-US"/>
        </w:rPr>
        <w:t xml:space="preserve"> primarily </w:t>
      </w:r>
      <w:r w:rsidR="00B63B77">
        <w:rPr>
          <w:color w:val="000000"/>
          <w:sz w:val="28"/>
          <w:szCs w:val="28"/>
          <w:lang w:val="en-US"/>
        </w:rPr>
        <w:t xml:space="preserve">on </w:t>
      </w:r>
      <w:r w:rsidR="0059481D">
        <w:rPr>
          <w:color w:val="000000"/>
          <w:sz w:val="28"/>
          <w:szCs w:val="28"/>
          <w:lang w:val="en-US"/>
        </w:rPr>
        <w:t>K-12</w:t>
      </w:r>
      <w:r w:rsidR="00B63B77">
        <w:rPr>
          <w:color w:val="000000"/>
          <w:sz w:val="28"/>
          <w:szCs w:val="28"/>
          <w:lang w:val="en-US"/>
        </w:rPr>
        <w:t xml:space="preserve"> education</w:t>
      </w:r>
      <w:r w:rsidR="00A927BA" w:rsidRPr="00131E69">
        <w:rPr>
          <w:color w:val="000000"/>
          <w:sz w:val="28"/>
          <w:szCs w:val="28"/>
          <w:lang w:val="en-US"/>
        </w:rPr>
        <w:t>:</w:t>
      </w:r>
      <w:r w:rsidR="00A927BA" w:rsidRPr="00131E69">
        <w:rPr>
          <w:color w:val="000000"/>
          <w:sz w:val="28"/>
          <w:szCs w:val="28"/>
          <w:vertAlign w:val="superscript"/>
          <w:lang w:val="en-US"/>
        </w:rPr>
        <w:footnoteReference w:id="41"/>
      </w:r>
      <w:r w:rsidR="00A927BA" w:rsidRPr="00131E69">
        <w:rPr>
          <w:color w:val="000000"/>
          <w:sz w:val="28"/>
          <w:szCs w:val="28"/>
          <w:lang w:val="en-US"/>
        </w:rPr>
        <w:t xml:space="preserve"> </w:t>
      </w:r>
    </w:p>
    <w:p w14:paraId="6955ADF3" w14:textId="24F1B6EE" w:rsidR="00A927BA" w:rsidRPr="00131E69" w:rsidRDefault="00A927BA" w:rsidP="00E662DA">
      <w:pPr>
        <w:numPr>
          <w:ilvl w:val="0"/>
          <w:numId w:val="35"/>
        </w:numPr>
        <w:contextualSpacing/>
        <w:jc w:val="both"/>
        <w:rPr>
          <w:sz w:val="28"/>
          <w:szCs w:val="28"/>
        </w:rPr>
      </w:pPr>
      <w:r w:rsidRPr="00131E69">
        <w:rPr>
          <w:sz w:val="28"/>
          <w:szCs w:val="28"/>
        </w:rPr>
        <w:t xml:space="preserve">State and local officials have </w:t>
      </w:r>
      <w:r w:rsidRPr="00F1567C">
        <w:rPr>
          <w:i/>
          <w:sz w:val="28"/>
          <w:szCs w:val="28"/>
        </w:rPr>
        <w:t>enacte</w:t>
      </w:r>
      <w:r w:rsidR="00F1567C" w:rsidRPr="00F1567C">
        <w:rPr>
          <w:i/>
          <w:sz w:val="28"/>
          <w:szCs w:val="28"/>
        </w:rPr>
        <w:t>d</w:t>
      </w:r>
      <w:r w:rsidR="00F1567C">
        <w:rPr>
          <w:sz w:val="28"/>
          <w:szCs w:val="28"/>
        </w:rPr>
        <w:t xml:space="preserve"> </w:t>
      </w:r>
      <w:r w:rsidRPr="00131E69">
        <w:rPr>
          <w:sz w:val="28"/>
          <w:szCs w:val="28"/>
        </w:rPr>
        <w:t>over 240 discriminatory censorship laws regulating K-12 classrooms</w:t>
      </w:r>
      <w:r w:rsidR="00371D9F">
        <w:rPr>
          <w:sz w:val="28"/>
          <w:szCs w:val="28"/>
        </w:rPr>
        <w:t>.</w:t>
      </w:r>
      <w:r w:rsidRPr="00131E69">
        <w:rPr>
          <w:sz w:val="28"/>
          <w:szCs w:val="28"/>
        </w:rPr>
        <w:t xml:space="preserve"> </w:t>
      </w:r>
    </w:p>
    <w:p w14:paraId="58FAC0CC" w14:textId="3F260D33" w:rsidR="00A927BA" w:rsidRPr="00131E69" w:rsidRDefault="00A927BA" w:rsidP="00E662DA">
      <w:pPr>
        <w:numPr>
          <w:ilvl w:val="0"/>
          <w:numId w:val="35"/>
        </w:numPr>
        <w:contextualSpacing/>
        <w:jc w:val="both"/>
        <w:rPr>
          <w:sz w:val="28"/>
          <w:szCs w:val="28"/>
        </w:rPr>
      </w:pPr>
      <w:r w:rsidRPr="00131E69">
        <w:rPr>
          <w:sz w:val="28"/>
          <w:szCs w:val="28"/>
        </w:rPr>
        <w:t>Discriminatory censorship laws now regulate schools that are home to over 1.3 million educators and nearly half of the United States ~50 million public school students</w:t>
      </w:r>
      <w:r w:rsidR="006F63D3" w:rsidRPr="00131E69">
        <w:rPr>
          <w:sz w:val="28"/>
          <w:szCs w:val="28"/>
        </w:rPr>
        <w:t xml:space="preserve">. </w:t>
      </w:r>
    </w:p>
    <w:p w14:paraId="277FC634" w14:textId="04F3275E" w:rsidR="00A927BA" w:rsidRPr="00131E69" w:rsidRDefault="00A927BA" w:rsidP="00E662DA">
      <w:pPr>
        <w:numPr>
          <w:ilvl w:val="0"/>
          <w:numId w:val="35"/>
        </w:numPr>
        <w:contextualSpacing/>
        <w:jc w:val="both"/>
        <w:rPr>
          <w:sz w:val="28"/>
          <w:szCs w:val="28"/>
        </w:rPr>
      </w:pPr>
      <w:r w:rsidRPr="00131E69">
        <w:rPr>
          <w:sz w:val="28"/>
          <w:szCs w:val="28"/>
        </w:rPr>
        <w:t xml:space="preserve">A majority of </w:t>
      </w:r>
      <w:r w:rsidR="00F1567C">
        <w:rPr>
          <w:sz w:val="28"/>
          <w:szCs w:val="28"/>
        </w:rPr>
        <w:t xml:space="preserve">these laws </w:t>
      </w:r>
      <w:r w:rsidRPr="00131E69">
        <w:rPr>
          <w:sz w:val="28"/>
          <w:szCs w:val="28"/>
        </w:rPr>
        <w:t>have been adopted at the local level by school districts or school boards</w:t>
      </w:r>
      <w:r w:rsidR="00A33048">
        <w:rPr>
          <w:sz w:val="28"/>
          <w:szCs w:val="28"/>
        </w:rPr>
        <w:t xml:space="preserve"> rather than </w:t>
      </w:r>
      <w:r w:rsidRPr="00131E69">
        <w:rPr>
          <w:sz w:val="28"/>
          <w:szCs w:val="28"/>
        </w:rPr>
        <w:t>by state officials</w:t>
      </w:r>
      <w:r w:rsidR="00502167">
        <w:rPr>
          <w:sz w:val="28"/>
          <w:szCs w:val="28"/>
        </w:rPr>
        <w:t>.</w:t>
      </w:r>
      <w:r w:rsidRPr="00131E69">
        <w:rPr>
          <w:sz w:val="28"/>
          <w:szCs w:val="28"/>
        </w:rPr>
        <w:t xml:space="preserve"> </w:t>
      </w:r>
    </w:p>
    <w:p w14:paraId="10ACADB5" w14:textId="2656C9A4" w:rsidR="00A927BA" w:rsidRPr="00131E69" w:rsidRDefault="006F63D3" w:rsidP="00E662DA">
      <w:pPr>
        <w:numPr>
          <w:ilvl w:val="0"/>
          <w:numId w:val="35"/>
        </w:numPr>
        <w:contextualSpacing/>
        <w:jc w:val="both"/>
        <w:rPr>
          <w:sz w:val="28"/>
          <w:szCs w:val="28"/>
        </w:rPr>
      </w:pPr>
      <w:r w:rsidRPr="00131E69">
        <w:rPr>
          <w:sz w:val="28"/>
          <w:szCs w:val="28"/>
        </w:rPr>
        <w:t xml:space="preserve">Enforcement mechanisms </w:t>
      </w:r>
      <w:r w:rsidR="006C7762" w:rsidRPr="00131E69">
        <w:rPr>
          <w:sz w:val="28"/>
          <w:szCs w:val="28"/>
        </w:rPr>
        <w:t>vary but</w:t>
      </w:r>
      <w:r w:rsidRPr="00131E69">
        <w:rPr>
          <w:sz w:val="28"/>
          <w:szCs w:val="28"/>
        </w:rPr>
        <w:t xml:space="preserve"> have become incr</w:t>
      </w:r>
      <w:r w:rsidR="00A927BA" w:rsidRPr="00131E69">
        <w:rPr>
          <w:sz w:val="28"/>
          <w:szCs w:val="28"/>
        </w:rPr>
        <w:t xml:space="preserve">easingly punitive since 2022. </w:t>
      </w:r>
    </w:p>
    <w:p w14:paraId="4B90C40E" w14:textId="1844BB87" w:rsidR="00A927BA" w:rsidRPr="00131E69" w:rsidRDefault="00A927BA" w:rsidP="00E662DA">
      <w:pPr>
        <w:numPr>
          <w:ilvl w:val="0"/>
          <w:numId w:val="35"/>
        </w:numPr>
        <w:contextualSpacing/>
        <w:jc w:val="both"/>
        <w:rPr>
          <w:sz w:val="28"/>
          <w:szCs w:val="28"/>
        </w:rPr>
      </w:pPr>
      <w:r w:rsidRPr="00131E69">
        <w:rPr>
          <w:sz w:val="28"/>
          <w:szCs w:val="28"/>
        </w:rPr>
        <w:t xml:space="preserve">Discriminatory censorship laws </w:t>
      </w:r>
      <w:proofErr w:type="gramStart"/>
      <w:r w:rsidRPr="00131E69">
        <w:rPr>
          <w:sz w:val="28"/>
          <w:szCs w:val="28"/>
        </w:rPr>
        <w:t>lack</w:t>
      </w:r>
      <w:proofErr w:type="gramEnd"/>
      <w:r w:rsidRPr="00131E69">
        <w:rPr>
          <w:sz w:val="28"/>
          <w:szCs w:val="28"/>
        </w:rPr>
        <w:t xml:space="preserve"> public support</w:t>
      </w:r>
      <w:r w:rsidR="00371D9F">
        <w:rPr>
          <w:sz w:val="28"/>
          <w:szCs w:val="28"/>
        </w:rPr>
        <w:t>.</w:t>
      </w:r>
    </w:p>
    <w:p w14:paraId="1C0FDF6E" w14:textId="6069D438" w:rsidR="00A927BA" w:rsidRPr="00131E69" w:rsidRDefault="00A927BA" w:rsidP="00E662DA">
      <w:pPr>
        <w:numPr>
          <w:ilvl w:val="0"/>
          <w:numId w:val="35"/>
        </w:numPr>
        <w:contextualSpacing/>
        <w:jc w:val="both"/>
        <w:rPr>
          <w:sz w:val="28"/>
          <w:szCs w:val="28"/>
        </w:rPr>
      </w:pPr>
      <w:r w:rsidRPr="00131E69">
        <w:rPr>
          <w:sz w:val="28"/>
          <w:szCs w:val="28"/>
        </w:rPr>
        <w:t xml:space="preserve">Legal challenges have been few, likely due to a lack of </w:t>
      </w:r>
      <w:r w:rsidR="006C7762" w:rsidRPr="00131E69">
        <w:rPr>
          <w:sz w:val="28"/>
          <w:szCs w:val="28"/>
        </w:rPr>
        <w:t>favourable</w:t>
      </w:r>
      <w:r w:rsidRPr="00131E69">
        <w:rPr>
          <w:sz w:val="28"/>
          <w:szCs w:val="28"/>
        </w:rPr>
        <w:t xml:space="preserve"> precedent. </w:t>
      </w:r>
    </w:p>
    <w:p w14:paraId="6F682F34" w14:textId="0C7DF42B" w:rsidR="00A927BA" w:rsidRPr="00131E69" w:rsidRDefault="006F63D3" w:rsidP="00E662DA">
      <w:pPr>
        <w:numPr>
          <w:ilvl w:val="0"/>
          <w:numId w:val="35"/>
        </w:numPr>
        <w:contextualSpacing/>
        <w:jc w:val="both"/>
        <w:rPr>
          <w:sz w:val="28"/>
          <w:szCs w:val="28"/>
        </w:rPr>
      </w:pPr>
      <w:r w:rsidRPr="00131E69">
        <w:rPr>
          <w:sz w:val="28"/>
          <w:szCs w:val="28"/>
        </w:rPr>
        <w:t xml:space="preserve">Students and teachers face an increased risk of race and </w:t>
      </w:r>
      <w:r w:rsidR="006C7762" w:rsidRPr="00131E69">
        <w:rPr>
          <w:sz w:val="28"/>
          <w:szCs w:val="28"/>
        </w:rPr>
        <w:t>sex-based</w:t>
      </w:r>
      <w:r w:rsidRPr="00131E69">
        <w:rPr>
          <w:sz w:val="28"/>
          <w:szCs w:val="28"/>
        </w:rPr>
        <w:t xml:space="preserve"> harassment </w:t>
      </w:r>
      <w:r w:rsidR="00A927BA" w:rsidRPr="00131E69">
        <w:rPr>
          <w:sz w:val="28"/>
          <w:szCs w:val="28"/>
        </w:rPr>
        <w:t xml:space="preserve">because discriminatory censorship laws stigmatize targeted groups and chill support for those groups. </w:t>
      </w:r>
    </w:p>
    <w:p w14:paraId="3ADC347B" w14:textId="0F707C5A" w:rsidR="00A927BA" w:rsidRPr="00785A14" w:rsidRDefault="00A927BA" w:rsidP="00785A14">
      <w:pPr>
        <w:numPr>
          <w:ilvl w:val="0"/>
          <w:numId w:val="35"/>
        </w:numPr>
        <w:contextualSpacing/>
        <w:jc w:val="both"/>
        <w:rPr>
          <w:sz w:val="28"/>
          <w:szCs w:val="28"/>
          <w:lang w:val="en-US"/>
        </w:rPr>
      </w:pPr>
      <w:r w:rsidRPr="00785A14">
        <w:rPr>
          <w:rFonts w:eastAsia="Aptos"/>
          <w:kern w:val="2"/>
          <w:sz w:val="28"/>
          <w:szCs w:val="28"/>
          <w:lang w:val="en-US"/>
          <w14:ligatures w14:val="standardContextual"/>
        </w:rPr>
        <w:t>Just 11 people</w:t>
      </w:r>
      <w:r w:rsidR="00531996" w:rsidRPr="00785A14">
        <w:rPr>
          <w:rFonts w:eastAsia="Aptos"/>
          <w:kern w:val="2"/>
          <w:sz w:val="28"/>
          <w:szCs w:val="28"/>
          <w:lang w:val="en-US"/>
          <w14:ligatures w14:val="standardContextual"/>
        </w:rPr>
        <w:t xml:space="preserve"> </w:t>
      </w:r>
      <w:r w:rsidR="00371D9F" w:rsidRPr="00785A14">
        <w:rPr>
          <w:rFonts w:eastAsia="Aptos"/>
          <w:kern w:val="2"/>
          <w:sz w:val="28"/>
          <w:szCs w:val="28"/>
          <w:lang w:val="en-US"/>
          <w14:ligatures w14:val="standardContextual"/>
        </w:rPr>
        <w:t>were</w:t>
      </w:r>
      <w:r w:rsidRPr="00785A14">
        <w:rPr>
          <w:rFonts w:eastAsia="Aptos"/>
          <w:kern w:val="2"/>
          <w:sz w:val="28"/>
          <w:szCs w:val="28"/>
          <w:lang w:val="en-US"/>
          <w14:ligatures w14:val="standardContextual"/>
        </w:rPr>
        <w:t xml:space="preserve"> responsible for over half of attempted book bans in 2021-2022 school year.</w:t>
      </w:r>
    </w:p>
    <w:p w14:paraId="5E024E2E" w14:textId="52FC8344" w:rsidR="006F63D3" w:rsidRPr="00502167" w:rsidRDefault="00A927BA" w:rsidP="00506EDB">
      <w:pPr>
        <w:numPr>
          <w:ilvl w:val="0"/>
          <w:numId w:val="34"/>
        </w:numPr>
        <w:contextualSpacing/>
        <w:jc w:val="both"/>
        <w:rPr>
          <w:sz w:val="28"/>
          <w:szCs w:val="28"/>
          <w:lang w:val="en-US"/>
        </w:rPr>
      </w:pPr>
      <w:r w:rsidRPr="00502167">
        <w:rPr>
          <w:color w:val="000000"/>
          <w:sz w:val="28"/>
          <w:szCs w:val="28"/>
          <w:lang w:val="en-US"/>
        </w:rPr>
        <w:t xml:space="preserve">Many jurisdictions with </w:t>
      </w:r>
      <w:r w:rsidR="00785A14" w:rsidRPr="00502167">
        <w:rPr>
          <w:color w:val="000000"/>
          <w:sz w:val="28"/>
          <w:szCs w:val="28"/>
          <w:lang w:val="en-US"/>
        </w:rPr>
        <w:t xml:space="preserve">these </w:t>
      </w:r>
      <w:r w:rsidRPr="00502167">
        <w:rPr>
          <w:color w:val="000000"/>
          <w:sz w:val="28"/>
          <w:szCs w:val="28"/>
          <w:lang w:val="en-US"/>
        </w:rPr>
        <w:t xml:space="preserve">laws </w:t>
      </w:r>
      <w:r w:rsidR="008E4D15">
        <w:rPr>
          <w:color w:val="000000"/>
          <w:sz w:val="28"/>
          <w:szCs w:val="28"/>
          <w:lang w:val="en-US"/>
        </w:rPr>
        <w:t>“</w:t>
      </w:r>
      <w:r w:rsidRPr="00502167">
        <w:rPr>
          <w:color w:val="000000"/>
          <w:sz w:val="28"/>
          <w:szCs w:val="28"/>
          <w:lang w:val="en-US"/>
        </w:rPr>
        <w:t>now subject educators to enhanced surveillance</w:t>
      </w:r>
      <w:r w:rsidR="00371D9F" w:rsidRPr="00502167">
        <w:rPr>
          <w:color w:val="000000"/>
          <w:sz w:val="28"/>
          <w:szCs w:val="28"/>
          <w:lang w:val="en-US"/>
        </w:rPr>
        <w:t>, including</w:t>
      </w:r>
      <w:r w:rsidRPr="00502167">
        <w:rPr>
          <w:color w:val="000000"/>
          <w:sz w:val="28"/>
          <w:szCs w:val="28"/>
          <w:lang w:val="en-US"/>
        </w:rPr>
        <w:t xml:space="preserve"> “tip lines</w:t>
      </w:r>
      <w:r w:rsidR="008E4D15">
        <w:rPr>
          <w:color w:val="000000"/>
          <w:sz w:val="28"/>
          <w:szCs w:val="28"/>
          <w:lang w:val="en-US"/>
        </w:rPr>
        <w:t>,</w:t>
      </w:r>
      <w:r w:rsidRPr="00502167">
        <w:rPr>
          <w:color w:val="000000"/>
          <w:sz w:val="28"/>
          <w:szCs w:val="28"/>
          <w:lang w:val="en-US"/>
        </w:rPr>
        <w:t xml:space="preserve">” to report on teachers, secret recordings, and </w:t>
      </w:r>
      <w:r w:rsidR="008E4D15">
        <w:rPr>
          <w:color w:val="000000"/>
          <w:sz w:val="28"/>
          <w:szCs w:val="28"/>
          <w:lang w:val="en-US"/>
        </w:rPr>
        <w:t xml:space="preserve">requirements to </w:t>
      </w:r>
      <w:r w:rsidRPr="00502167">
        <w:rPr>
          <w:color w:val="000000"/>
          <w:sz w:val="28"/>
          <w:szCs w:val="28"/>
          <w:lang w:val="en-US"/>
        </w:rPr>
        <w:t>post coursework</w:t>
      </w:r>
      <w:r w:rsidR="00573291">
        <w:rPr>
          <w:color w:val="000000"/>
          <w:sz w:val="28"/>
          <w:szCs w:val="28"/>
          <w:lang w:val="en-US"/>
        </w:rPr>
        <w:t xml:space="preserve"> </w:t>
      </w:r>
      <w:r w:rsidR="008E4D15">
        <w:rPr>
          <w:color w:val="000000"/>
          <w:sz w:val="28"/>
          <w:szCs w:val="28"/>
          <w:lang w:val="en-US"/>
        </w:rPr>
        <w:t>online</w:t>
      </w:r>
      <w:r w:rsidRPr="00502167">
        <w:rPr>
          <w:color w:val="000000"/>
          <w:sz w:val="28"/>
          <w:szCs w:val="28"/>
          <w:lang w:val="en-US"/>
        </w:rPr>
        <w:t>.</w:t>
      </w:r>
      <w:r w:rsidR="008E4D15">
        <w:rPr>
          <w:color w:val="000000"/>
          <w:sz w:val="28"/>
          <w:szCs w:val="28"/>
          <w:lang w:val="en-US"/>
        </w:rPr>
        <w:t>”</w:t>
      </w:r>
      <w:r w:rsidRPr="00502167">
        <w:rPr>
          <w:color w:val="0563C1"/>
          <w:sz w:val="28"/>
          <w:szCs w:val="28"/>
          <w:vertAlign w:val="superscript"/>
          <w:lang w:val="en-US"/>
        </w:rPr>
        <w:t xml:space="preserve"> </w:t>
      </w:r>
      <w:r w:rsidRPr="00502167">
        <w:rPr>
          <w:color w:val="000000"/>
          <w:sz w:val="28"/>
          <w:szCs w:val="28"/>
          <w:lang w:val="en-US"/>
        </w:rPr>
        <w:t>CRT Forward reports that 41 discriminatory censorship laws targeting K-12 institutions “affirmatively require school districts to allow parents to surveille curriculum</w:t>
      </w:r>
      <w:r w:rsidR="00502167" w:rsidRPr="00502167">
        <w:rPr>
          <w:color w:val="000000"/>
          <w:sz w:val="28"/>
          <w:szCs w:val="28"/>
          <w:lang w:val="en-US"/>
        </w:rPr>
        <w:t>,</w:t>
      </w:r>
      <w:r w:rsidR="008E4D15">
        <w:rPr>
          <w:color w:val="000000"/>
          <w:sz w:val="28"/>
          <w:szCs w:val="28"/>
          <w:lang w:val="en-US"/>
        </w:rPr>
        <w:t>”</w:t>
      </w:r>
      <w:r w:rsidR="00502167" w:rsidRPr="00502167">
        <w:rPr>
          <w:color w:val="000000"/>
          <w:sz w:val="28"/>
          <w:szCs w:val="28"/>
          <w:lang w:val="en-US"/>
        </w:rPr>
        <w:t xml:space="preserve"> with even </w:t>
      </w:r>
      <w:r w:rsidR="006F63D3" w:rsidRPr="00502167">
        <w:rPr>
          <w:sz w:val="28"/>
          <w:szCs w:val="28"/>
          <w:lang w:val="en-US"/>
        </w:rPr>
        <w:t>baseless complaints</w:t>
      </w:r>
      <w:r w:rsidR="00502167">
        <w:rPr>
          <w:sz w:val="28"/>
          <w:szCs w:val="28"/>
          <w:lang w:val="en-US"/>
        </w:rPr>
        <w:t xml:space="preserve"> having consequences.</w:t>
      </w:r>
      <w:r w:rsidR="006F63D3" w:rsidRPr="00502167">
        <w:rPr>
          <w:sz w:val="28"/>
          <w:szCs w:val="28"/>
          <w:lang w:val="en-US"/>
        </w:rPr>
        <w:t xml:space="preserve"> </w:t>
      </w:r>
      <w:r w:rsidR="008E4D15">
        <w:rPr>
          <w:rStyle w:val="FootnoteReference"/>
          <w:sz w:val="28"/>
          <w:szCs w:val="28"/>
          <w:lang w:val="en-US"/>
        </w:rPr>
        <w:footnoteReference w:id="42"/>
      </w:r>
    </w:p>
    <w:p w14:paraId="787312CA" w14:textId="77777777" w:rsidR="006F63D3" w:rsidRPr="00131E69" w:rsidRDefault="006F63D3" w:rsidP="00E662DA">
      <w:pPr>
        <w:ind w:left="720"/>
        <w:contextualSpacing/>
        <w:jc w:val="both"/>
        <w:rPr>
          <w:sz w:val="28"/>
          <w:szCs w:val="28"/>
          <w:lang w:val="en-US"/>
        </w:rPr>
      </w:pPr>
    </w:p>
    <w:p w14:paraId="54FD38C5" w14:textId="47B4C8C3" w:rsidR="00716886" w:rsidRPr="00131E69" w:rsidRDefault="00A41142" w:rsidP="00C24FAC">
      <w:pPr>
        <w:spacing w:before="120" w:after="120"/>
        <w:jc w:val="both"/>
        <w:rPr>
          <w:b/>
          <w:bCs/>
          <w:sz w:val="28"/>
          <w:szCs w:val="28"/>
          <w:lang w:val="en-US"/>
        </w:rPr>
      </w:pPr>
      <w:r w:rsidRPr="00131E69">
        <w:rPr>
          <w:b/>
          <w:bCs/>
          <w:sz w:val="28"/>
          <w:szCs w:val="28"/>
          <w:lang w:val="en-US"/>
        </w:rPr>
        <w:t xml:space="preserve">II.  </w:t>
      </w:r>
      <w:r w:rsidR="0059481D">
        <w:rPr>
          <w:b/>
          <w:bCs/>
          <w:sz w:val="28"/>
          <w:szCs w:val="28"/>
          <w:lang w:val="en-US"/>
        </w:rPr>
        <w:t>Guidelines &amp; Codes: AAUP on Academic Freedom</w:t>
      </w:r>
      <w:r w:rsidR="0059481D" w:rsidRPr="0059481D">
        <w:rPr>
          <w:b/>
          <w:bCs/>
          <w:sz w:val="28"/>
          <w:szCs w:val="28"/>
          <w:lang w:val="en-US"/>
        </w:rPr>
        <w:t xml:space="preserve">, </w:t>
      </w:r>
      <w:r w:rsidR="0059481D">
        <w:rPr>
          <w:b/>
          <w:bCs/>
          <w:sz w:val="28"/>
          <w:szCs w:val="28"/>
          <w:lang w:val="en-US"/>
        </w:rPr>
        <w:t xml:space="preserve">Tenure </w:t>
      </w:r>
      <w:r w:rsidR="00C24FAC">
        <w:rPr>
          <w:b/>
          <w:bCs/>
          <w:sz w:val="28"/>
          <w:szCs w:val="28"/>
          <w:lang w:val="en-US"/>
        </w:rPr>
        <w:t>&amp;</w:t>
      </w:r>
      <w:r w:rsidR="00C24FAC">
        <w:rPr>
          <w:b/>
          <w:bCs/>
          <w:sz w:val="28"/>
          <w:szCs w:val="28"/>
          <w:lang w:val="en-US"/>
        </w:rPr>
        <w:tab/>
      </w:r>
      <w:r w:rsidR="00C24FAC">
        <w:rPr>
          <w:b/>
          <w:bCs/>
          <w:sz w:val="28"/>
          <w:szCs w:val="28"/>
          <w:lang w:val="en-US"/>
        </w:rPr>
        <w:tab/>
      </w:r>
      <w:r w:rsidR="00C24FAC">
        <w:rPr>
          <w:b/>
          <w:bCs/>
          <w:sz w:val="28"/>
          <w:szCs w:val="28"/>
          <w:lang w:val="en-US"/>
        </w:rPr>
        <w:tab/>
      </w:r>
      <w:r w:rsidR="00C24FAC">
        <w:rPr>
          <w:b/>
          <w:bCs/>
          <w:sz w:val="28"/>
          <w:szCs w:val="28"/>
          <w:lang w:val="en-US"/>
        </w:rPr>
        <w:tab/>
      </w:r>
      <w:r w:rsidR="00C24FAC">
        <w:rPr>
          <w:b/>
          <w:bCs/>
          <w:sz w:val="28"/>
          <w:szCs w:val="28"/>
          <w:lang w:val="en-US"/>
        </w:rPr>
        <w:tab/>
      </w:r>
      <w:r w:rsidR="0059481D">
        <w:rPr>
          <w:b/>
          <w:bCs/>
          <w:sz w:val="28"/>
          <w:szCs w:val="28"/>
          <w:lang w:val="en-US"/>
        </w:rPr>
        <w:t>Shared Governance</w:t>
      </w:r>
    </w:p>
    <w:p w14:paraId="0D5D3A6A" w14:textId="5A0F3627" w:rsidR="0059481D" w:rsidRDefault="00075C70" w:rsidP="00E662DA">
      <w:pPr>
        <w:pStyle w:val="NoSpacing"/>
        <w:jc w:val="both"/>
        <w:rPr>
          <w:rFonts w:ascii="Times New Roman" w:hAnsi="Times New Roman" w:cs="Times New Roman"/>
          <w:iCs/>
          <w:sz w:val="28"/>
          <w:szCs w:val="28"/>
          <w:lang w:val="en-GB"/>
        </w:rPr>
      </w:pPr>
      <w:r w:rsidRPr="00131E69">
        <w:rPr>
          <w:rFonts w:ascii="Times New Roman" w:hAnsi="Times New Roman" w:cs="Times New Roman"/>
          <w:sz w:val="28"/>
          <w:szCs w:val="28"/>
        </w:rPr>
        <w:t>2</w:t>
      </w:r>
      <w:r w:rsidR="00550295">
        <w:rPr>
          <w:rFonts w:ascii="Times New Roman" w:hAnsi="Times New Roman" w:cs="Times New Roman"/>
          <w:sz w:val="28"/>
          <w:szCs w:val="28"/>
        </w:rPr>
        <w:t>0</w:t>
      </w:r>
      <w:r w:rsidRPr="00131E69">
        <w:rPr>
          <w:rFonts w:ascii="Times New Roman" w:hAnsi="Times New Roman" w:cs="Times New Roman"/>
          <w:sz w:val="28"/>
          <w:szCs w:val="28"/>
        </w:rPr>
        <w:t xml:space="preserve">.  </w:t>
      </w:r>
      <w:r w:rsidR="004E406F" w:rsidRPr="00131E69">
        <w:rPr>
          <w:rFonts w:ascii="Times New Roman" w:hAnsi="Times New Roman" w:cs="Times New Roman"/>
          <w:sz w:val="28"/>
          <w:szCs w:val="28"/>
        </w:rPr>
        <w:t xml:space="preserve">The United States has a custom of honoring academic freedom dating back to the nation’s founding. However, in 1915, the </w:t>
      </w:r>
      <w:bookmarkStart w:id="4" w:name="_Hlk157798820"/>
      <w:r w:rsidR="004E406F" w:rsidRPr="0059481D">
        <w:rPr>
          <w:rFonts w:ascii="Times New Roman" w:hAnsi="Times New Roman" w:cs="Times New Roman"/>
          <w:bCs/>
          <w:i/>
          <w:sz w:val="28"/>
          <w:szCs w:val="28"/>
        </w:rPr>
        <w:t>American Association of University Professors (AAUP</w:t>
      </w:r>
      <w:r w:rsidR="001F389B" w:rsidRPr="0059481D">
        <w:rPr>
          <w:rFonts w:ascii="Times New Roman" w:hAnsi="Times New Roman" w:cs="Times New Roman"/>
          <w:bCs/>
          <w:i/>
          <w:sz w:val="28"/>
          <w:szCs w:val="28"/>
        </w:rPr>
        <w:t>),</w:t>
      </w:r>
      <w:r w:rsidR="001F389B" w:rsidRPr="00131E69">
        <w:rPr>
          <w:rFonts w:ascii="Times New Roman" w:hAnsi="Times New Roman" w:cs="Times New Roman"/>
          <w:sz w:val="28"/>
          <w:szCs w:val="28"/>
        </w:rPr>
        <w:t xml:space="preserve"> </w:t>
      </w:r>
      <w:bookmarkEnd w:id="4"/>
      <w:r w:rsidR="00333987" w:rsidRPr="00131E69">
        <w:rPr>
          <w:rFonts w:ascii="Times New Roman" w:hAnsi="Times New Roman" w:cs="Times New Roman"/>
          <w:sz w:val="28"/>
          <w:szCs w:val="28"/>
        </w:rPr>
        <w:t xml:space="preserve">the leading organization on academic freedom, </w:t>
      </w:r>
      <w:r w:rsidR="001F389B" w:rsidRPr="00131E69">
        <w:rPr>
          <w:rFonts w:ascii="Times New Roman" w:hAnsi="Times New Roman" w:cs="Times New Roman"/>
          <w:sz w:val="28"/>
          <w:szCs w:val="28"/>
        </w:rPr>
        <w:t>formed</w:t>
      </w:r>
      <w:r w:rsidR="004E406F" w:rsidRPr="00131E69">
        <w:rPr>
          <w:rFonts w:ascii="Times New Roman" w:hAnsi="Times New Roman" w:cs="Times New Roman"/>
          <w:sz w:val="28"/>
          <w:szCs w:val="28"/>
        </w:rPr>
        <w:t xml:space="preserve"> in response to </w:t>
      </w:r>
      <w:r w:rsidR="00851193" w:rsidRPr="00131E69">
        <w:rPr>
          <w:rFonts w:ascii="Times New Roman" w:hAnsi="Times New Roman" w:cs="Times New Roman"/>
          <w:sz w:val="28"/>
          <w:szCs w:val="28"/>
        </w:rPr>
        <w:t xml:space="preserve">trustees with </w:t>
      </w:r>
      <w:r w:rsidR="008076A8">
        <w:rPr>
          <w:rFonts w:ascii="Times New Roman" w:hAnsi="Times New Roman" w:cs="Times New Roman"/>
          <w:sz w:val="28"/>
          <w:szCs w:val="28"/>
        </w:rPr>
        <w:t>ties to private ind</w:t>
      </w:r>
      <w:r w:rsidR="00851193" w:rsidRPr="00131E69">
        <w:rPr>
          <w:rFonts w:ascii="Times New Roman" w:hAnsi="Times New Roman" w:cs="Times New Roman"/>
          <w:sz w:val="28"/>
          <w:szCs w:val="28"/>
        </w:rPr>
        <w:t xml:space="preserve">ustry  </w:t>
      </w:r>
      <w:r w:rsidR="00333987" w:rsidRPr="00131E69">
        <w:rPr>
          <w:rFonts w:ascii="Times New Roman" w:hAnsi="Times New Roman" w:cs="Times New Roman"/>
          <w:sz w:val="28"/>
          <w:szCs w:val="28"/>
        </w:rPr>
        <w:t>interfering with</w:t>
      </w:r>
      <w:r w:rsidR="004E406F" w:rsidRPr="00131E69">
        <w:rPr>
          <w:rFonts w:ascii="Times New Roman" w:hAnsi="Times New Roman" w:cs="Times New Roman"/>
          <w:sz w:val="28"/>
          <w:szCs w:val="28"/>
        </w:rPr>
        <w:t xml:space="preserve"> university faculty</w:t>
      </w:r>
      <w:r w:rsidR="00C67170" w:rsidRPr="00131E69">
        <w:rPr>
          <w:rFonts w:ascii="Times New Roman" w:hAnsi="Times New Roman" w:cs="Times New Roman"/>
          <w:sz w:val="28"/>
          <w:szCs w:val="28"/>
        </w:rPr>
        <w:t>’s ability</w:t>
      </w:r>
      <w:r w:rsidR="004E406F" w:rsidRPr="00131E69">
        <w:rPr>
          <w:rFonts w:ascii="Times New Roman" w:hAnsi="Times New Roman" w:cs="Times New Roman"/>
          <w:sz w:val="28"/>
          <w:szCs w:val="28"/>
        </w:rPr>
        <w:t xml:space="preserve"> to research and teach</w:t>
      </w:r>
      <w:r w:rsidRPr="00131E69">
        <w:rPr>
          <w:rFonts w:ascii="Times New Roman" w:hAnsi="Times New Roman" w:cs="Times New Roman"/>
          <w:sz w:val="28"/>
          <w:szCs w:val="28"/>
        </w:rPr>
        <w:t xml:space="preserve"> </w:t>
      </w:r>
      <w:r w:rsidR="004E406F" w:rsidRPr="00131E69">
        <w:rPr>
          <w:rFonts w:ascii="Times New Roman" w:hAnsi="Times New Roman" w:cs="Times New Roman"/>
          <w:sz w:val="28"/>
          <w:szCs w:val="28"/>
        </w:rPr>
        <w:t>independently.</w:t>
      </w:r>
      <w:r w:rsidR="00F86E74" w:rsidRPr="00131E69">
        <w:rPr>
          <w:rFonts w:ascii="Times New Roman" w:hAnsi="Times New Roman" w:cs="Times New Roman"/>
          <w:sz w:val="28"/>
          <w:szCs w:val="28"/>
        </w:rPr>
        <w:t xml:space="preserve">  </w:t>
      </w:r>
      <w:r w:rsidR="004F58DC" w:rsidRPr="00131E69">
        <w:rPr>
          <w:rFonts w:ascii="Times New Roman" w:hAnsi="Times New Roman" w:cs="Times New Roman"/>
          <w:sz w:val="28"/>
          <w:szCs w:val="28"/>
        </w:rPr>
        <w:t xml:space="preserve">In </w:t>
      </w:r>
      <w:r w:rsidR="001A1EBF">
        <w:rPr>
          <w:rFonts w:ascii="Times New Roman" w:hAnsi="Times New Roman" w:cs="Times New Roman"/>
          <w:sz w:val="28"/>
          <w:szCs w:val="28"/>
        </w:rPr>
        <w:t>forming</w:t>
      </w:r>
      <w:r w:rsidR="004F58DC" w:rsidRPr="00131E69">
        <w:rPr>
          <w:rFonts w:ascii="Times New Roman" w:hAnsi="Times New Roman" w:cs="Times New Roman"/>
          <w:sz w:val="28"/>
          <w:szCs w:val="28"/>
        </w:rPr>
        <w:t xml:space="preserve">, </w:t>
      </w:r>
      <w:r w:rsidR="00851193" w:rsidRPr="00131E69">
        <w:rPr>
          <w:rFonts w:ascii="Times New Roman" w:hAnsi="Times New Roman" w:cs="Times New Roman"/>
          <w:sz w:val="28"/>
          <w:szCs w:val="28"/>
        </w:rPr>
        <w:t>t</w:t>
      </w:r>
      <w:r w:rsidR="00571526" w:rsidRPr="00131E69">
        <w:rPr>
          <w:rFonts w:ascii="Times New Roman" w:hAnsi="Times New Roman" w:cs="Times New Roman"/>
          <w:sz w:val="28"/>
          <w:szCs w:val="28"/>
        </w:rPr>
        <w:t>he AAUP</w:t>
      </w:r>
      <w:r w:rsidR="004E406F" w:rsidRPr="00131E69">
        <w:rPr>
          <w:rFonts w:ascii="Times New Roman" w:hAnsi="Times New Roman" w:cs="Times New Roman"/>
          <w:sz w:val="28"/>
          <w:szCs w:val="28"/>
        </w:rPr>
        <w:t xml:space="preserve"> issued its </w:t>
      </w:r>
      <w:r w:rsidR="004E406F" w:rsidRPr="001755D2">
        <w:rPr>
          <w:rFonts w:ascii="Times New Roman" w:hAnsi="Times New Roman" w:cs="Times New Roman"/>
          <w:bCs/>
          <w:sz w:val="28"/>
          <w:szCs w:val="28"/>
        </w:rPr>
        <w:t xml:space="preserve">1915 </w:t>
      </w:r>
      <w:r w:rsidR="004E406F" w:rsidRPr="001755D2">
        <w:rPr>
          <w:rFonts w:ascii="Times New Roman" w:hAnsi="Times New Roman" w:cs="Times New Roman"/>
          <w:bCs/>
          <w:i/>
          <w:iCs/>
          <w:sz w:val="28"/>
          <w:szCs w:val="28"/>
        </w:rPr>
        <w:t>Declaration of Principles on Academic Freedom and Tenure</w:t>
      </w:r>
      <w:r w:rsidR="00CE4C92">
        <w:rPr>
          <w:rFonts w:ascii="Times New Roman" w:hAnsi="Times New Roman" w:cs="Times New Roman"/>
          <w:bCs/>
          <w:i/>
          <w:iCs/>
          <w:sz w:val="28"/>
          <w:szCs w:val="28"/>
        </w:rPr>
        <w:t>.</w:t>
      </w:r>
      <w:r w:rsidR="00890E06">
        <w:rPr>
          <w:rStyle w:val="FootnoteReference"/>
          <w:rFonts w:ascii="Times New Roman" w:hAnsi="Times New Roman"/>
          <w:bCs/>
          <w:i/>
          <w:iCs/>
          <w:sz w:val="28"/>
          <w:szCs w:val="28"/>
        </w:rPr>
        <w:footnoteReference w:id="43"/>
      </w:r>
      <w:r w:rsidR="00C50CBB" w:rsidRPr="001755D2">
        <w:rPr>
          <w:rFonts w:ascii="Times New Roman" w:hAnsi="Times New Roman" w:cs="Times New Roman"/>
          <w:bCs/>
          <w:i/>
          <w:iCs/>
          <w:sz w:val="28"/>
          <w:szCs w:val="28"/>
        </w:rPr>
        <w:t xml:space="preserve"> </w:t>
      </w:r>
      <w:r w:rsidR="00CE4C92" w:rsidRPr="00F40C1F">
        <w:rPr>
          <w:rFonts w:ascii="Times New Roman" w:hAnsi="Times New Roman" w:cs="Times New Roman"/>
          <w:bCs/>
          <w:iCs/>
          <w:sz w:val="28"/>
          <w:szCs w:val="28"/>
        </w:rPr>
        <w:t>Over the course of the next century, the AAUP continued to revise and issue dozens of policy documents and reports</w:t>
      </w:r>
      <w:r w:rsidR="00F40C1F">
        <w:rPr>
          <w:rFonts w:ascii="Times New Roman" w:hAnsi="Times New Roman" w:cs="Times New Roman"/>
          <w:bCs/>
          <w:iCs/>
          <w:sz w:val="28"/>
          <w:szCs w:val="28"/>
        </w:rPr>
        <w:t xml:space="preserve"> on</w:t>
      </w:r>
      <w:r w:rsidR="00CE4C92" w:rsidRPr="00F40C1F">
        <w:rPr>
          <w:rFonts w:ascii="Times New Roman" w:hAnsi="Times New Roman" w:cs="Times New Roman"/>
          <w:bCs/>
          <w:iCs/>
          <w:sz w:val="28"/>
          <w:szCs w:val="28"/>
        </w:rPr>
        <w:t xml:space="preserve"> academic freedom, including the 1940 Statement of Principles on Academic Freedom</w:t>
      </w:r>
      <w:r w:rsidR="00573291">
        <w:rPr>
          <w:rFonts w:ascii="Times New Roman" w:hAnsi="Times New Roman" w:cs="Times New Roman"/>
          <w:bCs/>
          <w:iCs/>
          <w:sz w:val="28"/>
          <w:szCs w:val="28"/>
        </w:rPr>
        <w:t>,</w:t>
      </w:r>
      <w:r w:rsidR="00573291">
        <w:rPr>
          <w:rStyle w:val="FootnoteReference"/>
          <w:rFonts w:ascii="Times New Roman" w:hAnsi="Times New Roman"/>
          <w:bCs/>
          <w:iCs/>
          <w:sz w:val="28"/>
          <w:szCs w:val="28"/>
        </w:rPr>
        <w:footnoteReference w:id="44"/>
      </w:r>
      <w:r w:rsidR="00CE4C92" w:rsidRPr="00F40C1F">
        <w:rPr>
          <w:rFonts w:ascii="Times New Roman" w:hAnsi="Times New Roman" w:cs="Times New Roman"/>
          <w:bCs/>
          <w:iCs/>
          <w:sz w:val="28"/>
          <w:szCs w:val="28"/>
        </w:rPr>
        <w:t xml:space="preserve"> and the 1966 Statement on Government of Colleges and Universities</w:t>
      </w:r>
      <w:r w:rsidR="00F40C1F">
        <w:rPr>
          <w:rFonts w:ascii="Times New Roman" w:hAnsi="Times New Roman" w:cs="Times New Roman"/>
          <w:bCs/>
          <w:iCs/>
          <w:sz w:val="28"/>
          <w:szCs w:val="28"/>
        </w:rPr>
        <w:t>.</w:t>
      </w:r>
      <w:r w:rsidR="008E4D15">
        <w:rPr>
          <w:rStyle w:val="FootnoteReference"/>
          <w:rFonts w:ascii="Times New Roman" w:hAnsi="Times New Roman"/>
          <w:bCs/>
          <w:iCs/>
          <w:sz w:val="28"/>
          <w:szCs w:val="28"/>
        </w:rPr>
        <w:footnoteReference w:id="45"/>
      </w:r>
      <w:r w:rsidR="00F40C1F">
        <w:rPr>
          <w:rFonts w:ascii="Times New Roman" w:hAnsi="Times New Roman" w:cs="Times New Roman"/>
          <w:bCs/>
          <w:iCs/>
          <w:sz w:val="28"/>
          <w:szCs w:val="28"/>
        </w:rPr>
        <w:t xml:space="preserve">  The </w:t>
      </w:r>
      <w:r w:rsidR="00F40C1F" w:rsidRPr="002A055A">
        <w:rPr>
          <w:rFonts w:ascii="Times New Roman" w:hAnsi="Times New Roman" w:cs="Times New Roman"/>
          <w:bCs/>
          <w:i/>
          <w:iCs/>
          <w:sz w:val="28"/>
          <w:szCs w:val="28"/>
        </w:rPr>
        <w:t>Declaration</w:t>
      </w:r>
      <w:r w:rsidR="00F40C1F">
        <w:rPr>
          <w:rFonts w:ascii="Times New Roman" w:hAnsi="Times New Roman" w:cs="Times New Roman"/>
          <w:bCs/>
          <w:iCs/>
          <w:sz w:val="28"/>
          <w:szCs w:val="28"/>
        </w:rPr>
        <w:t xml:space="preserve"> </w:t>
      </w:r>
      <w:r w:rsidR="002A055A">
        <w:rPr>
          <w:rFonts w:ascii="Times New Roman" w:hAnsi="Times New Roman" w:cs="Times New Roman"/>
          <w:bCs/>
          <w:iCs/>
          <w:sz w:val="28"/>
          <w:szCs w:val="28"/>
        </w:rPr>
        <w:t xml:space="preserve">in </w:t>
      </w:r>
      <w:r w:rsidR="002A055A" w:rsidRPr="002A055A">
        <w:rPr>
          <w:rFonts w:ascii="Times New Roman" w:hAnsi="Times New Roman" w:cs="Times New Roman"/>
          <w:bCs/>
          <w:iCs/>
          <w:sz w:val="28"/>
          <w:szCs w:val="28"/>
        </w:rPr>
        <w:t>defining academic freedom</w:t>
      </w:r>
      <w:r w:rsidR="002A055A">
        <w:rPr>
          <w:rFonts w:ascii="Times New Roman" w:hAnsi="Times New Roman" w:cs="Times New Roman"/>
          <w:bCs/>
          <w:iCs/>
          <w:sz w:val="28"/>
          <w:szCs w:val="28"/>
        </w:rPr>
        <w:t xml:space="preserve"> </w:t>
      </w:r>
      <w:r w:rsidR="002A055A" w:rsidRPr="002A055A">
        <w:rPr>
          <w:rFonts w:ascii="Times New Roman" w:hAnsi="Times New Roman" w:cs="Times New Roman"/>
          <w:bCs/>
          <w:iCs/>
          <w:sz w:val="28"/>
          <w:szCs w:val="28"/>
        </w:rPr>
        <w:t xml:space="preserve">makes clear that </w:t>
      </w:r>
      <w:r w:rsidR="002A055A">
        <w:rPr>
          <w:rFonts w:ascii="Times New Roman" w:hAnsi="Times New Roman" w:cs="Times New Roman"/>
          <w:bCs/>
          <w:iCs/>
          <w:sz w:val="28"/>
          <w:szCs w:val="28"/>
        </w:rPr>
        <w:t xml:space="preserve">both </w:t>
      </w:r>
      <w:r w:rsidR="002A055A" w:rsidRPr="002A055A">
        <w:rPr>
          <w:rFonts w:ascii="Times New Roman" w:hAnsi="Times New Roman" w:cs="Times New Roman"/>
          <w:bCs/>
          <w:iCs/>
          <w:sz w:val="28"/>
          <w:szCs w:val="28"/>
        </w:rPr>
        <w:t>the institution</w:t>
      </w:r>
      <w:r w:rsidR="002A055A">
        <w:rPr>
          <w:rFonts w:ascii="Times New Roman" w:hAnsi="Times New Roman" w:cs="Times New Roman"/>
          <w:bCs/>
          <w:iCs/>
          <w:sz w:val="28"/>
          <w:szCs w:val="28"/>
        </w:rPr>
        <w:t xml:space="preserve"> and teachers</w:t>
      </w:r>
      <w:r w:rsidR="002A055A" w:rsidRPr="002A055A">
        <w:rPr>
          <w:rFonts w:ascii="Times New Roman" w:hAnsi="Times New Roman" w:cs="Times New Roman"/>
          <w:bCs/>
          <w:iCs/>
          <w:sz w:val="28"/>
          <w:szCs w:val="28"/>
        </w:rPr>
        <w:t xml:space="preserve"> are to be free to search for truth and its </w:t>
      </w:r>
      <w:r w:rsidR="008076A8">
        <w:rPr>
          <w:rFonts w:ascii="Times New Roman" w:hAnsi="Times New Roman" w:cs="Times New Roman"/>
          <w:bCs/>
          <w:iCs/>
          <w:sz w:val="28"/>
          <w:szCs w:val="28"/>
        </w:rPr>
        <w:t xml:space="preserve">exposition </w:t>
      </w:r>
      <w:r w:rsidR="002A055A" w:rsidRPr="002A055A">
        <w:rPr>
          <w:rFonts w:ascii="Times New Roman" w:hAnsi="Times New Roman" w:cs="Times New Roman"/>
          <w:bCs/>
          <w:iCs/>
          <w:sz w:val="28"/>
          <w:szCs w:val="28"/>
        </w:rPr>
        <w:t>without interference from political figures, boards of trustees, donors, or other entities.</w:t>
      </w:r>
      <w:r w:rsidR="008076A8">
        <w:rPr>
          <w:rFonts w:ascii="Times New Roman" w:hAnsi="Times New Roman" w:cs="Times New Roman"/>
          <w:bCs/>
          <w:iCs/>
          <w:sz w:val="28"/>
          <w:szCs w:val="28"/>
        </w:rPr>
        <w:t xml:space="preserve">  It </w:t>
      </w:r>
      <w:r w:rsidR="00C50CBB" w:rsidRPr="00193467">
        <w:rPr>
          <w:rFonts w:ascii="Times New Roman" w:hAnsi="Times New Roman" w:cs="Times New Roman"/>
          <w:bCs/>
          <w:iCs/>
          <w:sz w:val="28"/>
          <w:szCs w:val="28"/>
          <w:lang w:val="en-GB"/>
        </w:rPr>
        <w:t>provide</w:t>
      </w:r>
      <w:r w:rsidR="00900285" w:rsidRPr="00193467">
        <w:rPr>
          <w:rFonts w:ascii="Times New Roman" w:hAnsi="Times New Roman" w:cs="Times New Roman"/>
          <w:bCs/>
          <w:iCs/>
          <w:sz w:val="28"/>
          <w:szCs w:val="28"/>
          <w:lang w:val="en-GB"/>
        </w:rPr>
        <w:t>s</w:t>
      </w:r>
      <w:r w:rsidR="00C50CBB" w:rsidRPr="00193467">
        <w:rPr>
          <w:rFonts w:ascii="Times New Roman" w:hAnsi="Times New Roman" w:cs="Times New Roman"/>
          <w:bCs/>
          <w:iCs/>
          <w:sz w:val="28"/>
          <w:szCs w:val="28"/>
          <w:lang w:val="en-GB"/>
        </w:rPr>
        <w:t xml:space="preserve"> three core functions of </w:t>
      </w:r>
      <w:r w:rsidR="00C50CBB" w:rsidRPr="001755D2">
        <w:rPr>
          <w:rFonts w:ascii="Times New Roman" w:hAnsi="Times New Roman" w:cs="Times New Roman"/>
          <w:bCs/>
          <w:i/>
          <w:iCs/>
          <w:sz w:val="28"/>
          <w:szCs w:val="28"/>
          <w:lang w:val="en-GB"/>
        </w:rPr>
        <w:t xml:space="preserve">academic institutions </w:t>
      </w:r>
      <w:r w:rsidR="00CC53F9" w:rsidRPr="001755D2">
        <w:rPr>
          <w:rFonts w:ascii="Times New Roman" w:hAnsi="Times New Roman" w:cs="Times New Roman"/>
          <w:bCs/>
          <w:i/>
          <w:iCs/>
          <w:sz w:val="28"/>
          <w:szCs w:val="28"/>
          <w:lang w:val="en-GB"/>
        </w:rPr>
        <w:t>in society</w:t>
      </w:r>
      <w:r w:rsidR="00C50CBB" w:rsidRPr="00193467">
        <w:rPr>
          <w:rFonts w:ascii="Times New Roman" w:hAnsi="Times New Roman" w:cs="Times New Roman"/>
          <w:bCs/>
          <w:iCs/>
          <w:sz w:val="28"/>
          <w:szCs w:val="28"/>
          <w:lang w:val="en-GB"/>
        </w:rPr>
        <w:t>:</w:t>
      </w:r>
      <w:r w:rsidR="00C50CBB" w:rsidRPr="00131E69">
        <w:rPr>
          <w:rFonts w:ascii="Times New Roman" w:hAnsi="Times New Roman" w:cs="Times New Roman"/>
          <w:iCs/>
          <w:sz w:val="28"/>
          <w:szCs w:val="28"/>
          <w:lang w:val="en-GB"/>
        </w:rPr>
        <w:t xml:space="preserve"> </w:t>
      </w:r>
    </w:p>
    <w:p w14:paraId="3F026DB4" w14:textId="77777777" w:rsidR="009A4A7A" w:rsidRDefault="009A4A7A" w:rsidP="00E662DA">
      <w:pPr>
        <w:pStyle w:val="NoSpacing"/>
        <w:jc w:val="both"/>
        <w:rPr>
          <w:rFonts w:ascii="Times New Roman" w:hAnsi="Times New Roman" w:cs="Times New Roman"/>
          <w:iCs/>
          <w:sz w:val="28"/>
          <w:szCs w:val="28"/>
          <w:lang w:val="en-GB"/>
        </w:rPr>
      </w:pPr>
    </w:p>
    <w:p w14:paraId="370547F7" w14:textId="77777777" w:rsidR="00C24FAC" w:rsidRPr="00C24FAC" w:rsidRDefault="00C50CBB" w:rsidP="00C24FAC">
      <w:pPr>
        <w:pStyle w:val="NoSpacing"/>
        <w:numPr>
          <w:ilvl w:val="0"/>
          <w:numId w:val="42"/>
        </w:numPr>
        <w:jc w:val="both"/>
        <w:rPr>
          <w:rFonts w:ascii="Times New Roman" w:hAnsi="Times New Roman" w:cs="Times New Roman"/>
          <w:i/>
          <w:iCs/>
          <w:sz w:val="28"/>
          <w:szCs w:val="28"/>
        </w:rPr>
      </w:pPr>
      <w:r w:rsidRPr="00131E69">
        <w:rPr>
          <w:rFonts w:ascii="Times New Roman" w:hAnsi="Times New Roman" w:cs="Times New Roman"/>
          <w:iCs/>
          <w:sz w:val="28"/>
          <w:szCs w:val="28"/>
          <w:lang w:val="en-GB"/>
        </w:rPr>
        <w:t xml:space="preserve">to promote inquiry and advance the sum of human knowledge, </w:t>
      </w:r>
    </w:p>
    <w:p w14:paraId="30D51C94" w14:textId="77777777" w:rsidR="009A4A7A" w:rsidRPr="009A4A7A" w:rsidRDefault="00C50CBB" w:rsidP="00C24FAC">
      <w:pPr>
        <w:pStyle w:val="NoSpacing"/>
        <w:numPr>
          <w:ilvl w:val="0"/>
          <w:numId w:val="42"/>
        </w:numPr>
        <w:jc w:val="both"/>
        <w:rPr>
          <w:rFonts w:ascii="Times New Roman" w:hAnsi="Times New Roman" w:cs="Times New Roman"/>
          <w:i/>
          <w:iCs/>
          <w:sz w:val="28"/>
          <w:szCs w:val="28"/>
        </w:rPr>
      </w:pPr>
      <w:r w:rsidRPr="00131E69">
        <w:rPr>
          <w:rFonts w:ascii="Times New Roman" w:hAnsi="Times New Roman" w:cs="Times New Roman"/>
          <w:iCs/>
          <w:sz w:val="28"/>
          <w:szCs w:val="28"/>
          <w:lang w:val="en-GB"/>
        </w:rPr>
        <w:t xml:space="preserve">to provide general instruction to students; and </w:t>
      </w:r>
    </w:p>
    <w:p w14:paraId="2AFDEA9F" w14:textId="77777777" w:rsidR="009A4A7A" w:rsidRPr="009A4A7A" w:rsidRDefault="00C50CBB" w:rsidP="00C24FAC">
      <w:pPr>
        <w:pStyle w:val="NoSpacing"/>
        <w:numPr>
          <w:ilvl w:val="0"/>
          <w:numId w:val="42"/>
        </w:numPr>
        <w:jc w:val="both"/>
        <w:rPr>
          <w:rFonts w:ascii="Times New Roman" w:hAnsi="Times New Roman" w:cs="Times New Roman"/>
          <w:i/>
          <w:iCs/>
          <w:sz w:val="28"/>
          <w:szCs w:val="28"/>
        </w:rPr>
      </w:pPr>
      <w:r w:rsidRPr="00131E69">
        <w:rPr>
          <w:rFonts w:ascii="Times New Roman" w:hAnsi="Times New Roman" w:cs="Times New Roman"/>
          <w:iCs/>
          <w:sz w:val="28"/>
          <w:szCs w:val="28"/>
          <w:lang w:val="en-GB"/>
        </w:rPr>
        <w:t>to develop experts for various branches of the public service.</w:t>
      </w:r>
      <w:r w:rsidRPr="00131E69">
        <w:rPr>
          <w:rFonts w:ascii="Times New Roman" w:hAnsi="Times New Roman" w:cs="Times New Roman"/>
          <w:iCs/>
          <w:sz w:val="28"/>
          <w:szCs w:val="28"/>
          <w:vertAlign w:val="superscript"/>
          <w:lang w:val="en-GB"/>
        </w:rPr>
        <w:footnoteReference w:id="46"/>
      </w:r>
    </w:p>
    <w:p w14:paraId="31DCAB50" w14:textId="77777777" w:rsidR="009A4A7A" w:rsidRDefault="009A4A7A" w:rsidP="009A4A7A">
      <w:pPr>
        <w:pStyle w:val="NoSpacing"/>
        <w:jc w:val="both"/>
        <w:rPr>
          <w:rFonts w:ascii="Times New Roman" w:hAnsi="Times New Roman" w:cs="Times New Roman"/>
          <w:iCs/>
          <w:sz w:val="28"/>
          <w:szCs w:val="28"/>
          <w:lang w:val="en-GB"/>
        </w:rPr>
      </w:pPr>
    </w:p>
    <w:p w14:paraId="490A2A20" w14:textId="77777777" w:rsidR="009A4A7A" w:rsidRDefault="00CC53F9" w:rsidP="009A4A7A">
      <w:pPr>
        <w:pStyle w:val="NoSpacing"/>
        <w:jc w:val="both"/>
        <w:rPr>
          <w:rFonts w:ascii="Times New Roman" w:hAnsi="Times New Roman" w:cs="Times New Roman"/>
          <w:iCs/>
          <w:sz w:val="28"/>
          <w:szCs w:val="28"/>
          <w:lang w:val="en-GB"/>
        </w:rPr>
      </w:pPr>
      <w:r w:rsidRPr="00131E69">
        <w:rPr>
          <w:rFonts w:ascii="Times New Roman" w:hAnsi="Times New Roman" w:cs="Times New Roman"/>
          <w:iCs/>
          <w:sz w:val="28"/>
          <w:szCs w:val="28"/>
          <w:lang w:val="en-GB"/>
        </w:rPr>
        <w:t xml:space="preserve">And, it articulated three principles of </w:t>
      </w:r>
      <w:r w:rsidRPr="001755D2">
        <w:rPr>
          <w:rFonts w:ascii="Times New Roman" w:hAnsi="Times New Roman" w:cs="Times New Roman"/>
          <w:bCs/>
          <w:i/>
          <w:iCs/>
          <w:sz w:val="28"/>
          <w:szCs w:val="28"/>
          <w:lang w:val="en-GB"/>
        </w:rPr>
        <w:t>academic freedom</w:t>
      </w:r>
      <w:r w:rsidRPr="00193467">
        <w:rPr>
          <w:rFonts w:ascii="Times New Roman" w:hAnsi="Times New Roman" w:cs="Times New Roman"/>
          <w:bCs/>
          <w:iCs/>
          <w:sz w:val="28"/>
          <w:szCs w:val="28"/>
          <w:lang w:val="en-GB"/>
        </w:rPr>
        <w:t>:</w:t>
      </w:r>
      <w:r w:rsidRPr="00131E69">
        <w:rPr>
          <w:rFonts w:ascii="Times New Roman" w:hAnsi="Times New Roman" w:cs="Times New Roman"/>
          <w:iCs/>
          <w:sz w:val="28"/>
          <w:szCs w:val="28"/>
          <w:lang w:val="en-GB"/>
        </w:rPr>
        <w:t xml:space="preserve"> </w:t>
      </w:r>
    </w:p>
    <w:p w14:paraId="3CCF2B40" w14:textId="77777777" w:rsidR="009A4A7A" w:rsidRDefault="009A4A7A" w:rsidP="009A4A7A">
      <w:pPr>
        <w:pStyle w:val="NoSpacing"/>
        <w:jc w:val="both"/>
        <w:rPr>
          <w:rFonts w:ascii="Times New Roman" w:hAnsi="Times New Roman" w:cs="Times New Roman"/>
          <w:iCs/>
          <w:sz w:val="28"/>
          <w:szCs w:val="28"/>
          <w:lang w:val="en-GB"/>
        </w:rPr>
      </w:pPr>
    </w:p>
    <w:p w14:paraId="31B11515" w14:textId="77777777" w:rsidR="009A4A7A" w:rsidRPr="009A4A7A" w:rsidRDefault="00CC53F9" w:rsidP="009A4A7A">
      <w:pPr>
        <w:pStyle w:val="NoSpacing"/>
        <w:numPr>
          <w:ilvl w:val="0"/>
          <w:numId w:val="45"/>
        </w:numPr>
        <w:jc w:val="both"/>
        <w:rPr>
          <w:rFonts w:ascii="Times New Roman" w:hAnsi="Times New Roman" w:cs="Times New Roman"/>
          <w:i/>
          <w:iCs/>
          <w:sz w:val="28"/>
          <w:szCs w:val="28"/>
        </w:rPr>
      </w:pPr>
      <w:r w:rsidRPr="00131E69">
        <w:rPr>
          <w:rFonts w:ascii="Times New Roman" w:hAnsi="Times New Roman" w:cs="Times New Roman"/>
          <w:iCs/>
          <w:sz w:val="28"/>
          <w:szCs w:val="28"/>
          <w:lang w:val="en-GB"/>
        </w:rPr>
        <w:t xml:space="preserve">“freedom of inquiry and research; </w:t>
      </w:r>
    </w:p>
    <w:p w14:paraId="3A3939F1" w14:textId="77777777" w:rsidR="009A4A7A" w:rsidRPr="009A4A7A" w:rsidRDefault="00CC53F9" w:rsidP="009A4A7A">
      <w:pPr>
        <w:pStyle w:val="NoSpacing"/>
        <w:numPr>
          <w:ilvl w:val="0"/>
          <w:numId w:val="44"/>
        </w:numPr>
        <w:jc w:val="both"/>
        <w:rPr>
          <w:rFonts w:ascii="Times New Roman" w:hAnsi="Times New Roman" w:cs="Times New Roman"/>
          <w:i/>
          <w:iCs/>
          <w:sz w:val="28"/>
          <w:szCs w:val="28"/>
        </w:rPr>
      </w:pPr>
      <w:r w:rsidRPr="00131E69">
        <w:rPr>
          <w:rFonts w:ascii="Times New Roman" w:hAnsi="Times New Roman" w:cs="Times New Roman"/>
          <w:iCs/>
          <w:sz w:val="28"/>
          <w:szCs w:val="28"/>
          <w:lang w:val="en-GB"/>
        </w:rPr>
        <w:t xml:space="preserve">freedom of teaching within the university or college; and </w:t>
      </w:r>
    </w:p>
    <w:p w14:paraId="47A992D4" w14:textId="77777777" w:rsidR="009A4A7A" w:rsidRDefault="00CC53F9" w:rsidP="009A4A7A">
      <w:pPr>
        <w:pStyle w:val="NoSpacing"/>
        <w:numPr>
          <w:ilvl w:val="0"/>
          <w:numId w:val="44"/>
        </w:numPr>
        <w:jc w:val="both"/>
        <w:rPr>
          <w:rFonts w:ascii="Times New Roman" w:hAnsi="Times New Roman" w:cs="Times New Roman"/>
          <w:i/>
          <w:iCs/>
          <w:sz w:val="28"/>
          <w:szCs w:val="28"/>
        </w:rPr>
      </w:pPr>
      <w:r w:rsidRPr="00131E69">
        <w:rPr>
          <w:rFonts w:ascii="Times New Roman" w:hAnsi="Times New Roman" w:cs="Times New Roman"/>
          <w:iCs/>
          <w:sz w:val="28"/>
          <w:szCs w:val="28"/>
          <w:lang w:val="en-GB"/>
        </w:rPr>
        <w:t>freedom of extra-mural utterance and action.”</w:t>
      </w:r>
      <w:r w:rsidRPr="00131E69">
        <w:rPr>
          <w:rFonts w:ascii="Times New Roman" w:hAnsi="Times New Roman" w:cs="Times New Roman"/>
          <w:iCs/>
          <w:sz w:val="28"/>
          <w:szCs w:val="28"/>
          <w:vertAlign w:val="superscript"/>
          <w:lang w:val="en-GB"/>
        </w:rPr>
        <w:footnoteReference w:id="47"/>
      </w:r>
      <w:r w:rsidRPr="00131E69">
        <w:rPr>
          <w:rFonts w:ascii="Times New Roman" w:hAnsi="Times New Roman" w:cs="Times New Roman"/>
          <w:iCs/>
          <w:sz w:val="28"/>
          <w:szCs w:val="28"/>
          <w:lang w:val="en-GB"/>
        </w:rPr>
        <w:t xml:space="preserve">  </w:t>
      </w:r>
    </w:p>
    <w:p w14:paraId="7BC1F6DE" w14:textId="77777777" w:rsidR="009A4A7A" w:rsidRDefault="009A4A7A" w:rsidP="009A4A7A">
      <w:pPr>
        <w:pStyle w:val="NoSpacing"/>
        <w:jc w:val="both"/>
        <w:rPr>
          <w:rFonts w:ascii="Times New Roman" w:hAnsi="Times New Roman" w:cs="Times New Roman"/>
          <w:iCs/>
          <w:sz w:val="28"/>
          <w:szCs w:val="28"/>
          <w:lang w:val="en-GB"/>
        </w:rPr>
      </w:pPr>
    </w:p>
    <w:p w14:paraId="73691F88" w14:textId="76A239E4" w:rsidR="004F58DC" w:rsidRPr="00364EEC" w:rsidRDefault="009A4A7A" w:rsidP="009A4A7A">
      <w:pPr>
        <w:pStyle w:val="NoSpacing"/>
        <w:jc w:val="both"/>
        <w:rPr>
          <w:rFonts w:ascii="Times New Roman" w:hAnsi="Times New Roman" w:cs="Times New Roman"/>
          <w:i/>
          <w:iCs/>
          <w:sz w:val="28"/>
          <w:szCs w:val="28"/>
        </w:rPr>
      </w:pPr>
      <w:r>
        <w:rPr>
          <w:rFonts w:ascii="Times New Roman" w:hAnsi="Times New Roman" w:cs="Times New Roman"/>
          <w:iCs/>
          <w:sz w:val="28"/>
          <w:szCs w:val="28"/>
          <w:lang w:val="en-GB"/>
        </w:rPr>
        <w:t>2</w:t>
      </w:r>
      <w:r w:rsidR="00550295">
        <w:rPr>
          <w:rFonts w:ascii="Times New Roman" w:hAnsi="Times New Roman" w:cs="Times New Roman"/>
          <w:iCs/>
          <w:sz w:val="28"/>
          <w:szCs w:val="28"/>
          <w:lang w:val="en-GB"/>
        </w:rPr>
        <w:t>1</w:t>
      </w:r>
      <w:r>
        <w:rPr>
          <w:rFonts w:ascii="Times New Roman" w:hAnsi="Times New Roman" w:cs="Times New Roman"/>
          <w:iCs/>
          <w:sz w:val="28"/>
          <w:szCs w:val="28"/>
          <w:lang w:val="en-GB"/>
        </w:rPr>
        <w:t xml:space="preserve">. </w:t>
      </w:r>
      <w:r w:rsidR="008076A8" w:rsidRPr="008076A8">
        <w:rPr>
          <w:rFonts w:ascii="Times New Roman" w:hAnsi="Times New Roman" w:cs="Times New Roman"/>
          <w:iCs/>
          <w:sz w:val="28"/>
          <w:szCs w:val="28"/>
          <w:lang w:val="en-GB"/>
        </w:rPr>
        <w:t>One of AAUP’s most significant achievements has been the “development of robust professional norms of democratic university governance”</w:t>
      </w:r>
      <w:r w:rsidR="00121907" w:rsidRPr="00121907">
        <w:rPr>
          <w:rFonts w:ascii="Times New Roman" w:eastAsia="Times New Roman" w:hAnsi="Times New Roman" w:cs="Times New Roman"/>
          <w:iCs/>
          <w:kern w:val="0"/>
          <w:sz w:val="28"/>
          <w:szCs w:val="28"/>
          <w:vertAlign w:val="superscript"/>
          <w:lang w:val="en-GB"/>
          <w14:ligatures w14:val="none"/>
        </w:rPr>
        <w:t xml:space="preserve"> </w:t>
      </w:r>
      <w:r w:rsidR="00121907" w:rsidRPr="00121907">
        <w:rPr>
          <w:rFonts w:ascii="Times New Roman" w:hAnsi="Times New Roman" w:cs="Times New Roman"/>
          <w:iCs/>
          <w:sz w:val="28"/>
          <w:szCs w:val="28"/>
          <w:vertAlign w:val="superscript"/>
          <w:lang w:val="en-GB"/>
        </w:rPr>
        <w:footnoteReference w:id="48"/>
      </w:r>
      <w:r w:rsidR="008076A8" w:rsidRPr="008076A8">
        <w:rPr>
          <w:rFonts w:ascii="Times New Roman" w:hAnsi="Times New Roman" w:cs="Times New Roman"/>
          <w:iCs/>
          <w:sz w:val="28"/>
          <w:szCs w:val="28"/>
          <w:lang w:val="en-GB"/>
        </w:rPr>
        <w:t xml:space="preserve"> </w:t>
      </w:r>
      <w:r w:rsidR="008076A8">
        <w:rPr>
          <w:rFonts w:ascii="Times New Roman" w:hAnsi="Times New Roman" w:cs="Times New Roman"/>
          <w:iCs/>
          <w:sz w:val="28"/>
          <w:szCs w:val="28"/>
          <w:lang w:val="en-GB"/>
        </w:rPr>
        <w:t xml:space="preserve">– </w:t>
      </w:r>
      <w:r w:rsidR="00C243B9">
        <w:rPr>
          <w:rFonts w:ascii="Times New Roman" w:hAnsi="Times New Roman" w:cs="Times New Roman"/>
          <w:iCs/>
          <w:sz w:val="28"/>
          <w:szCs w:val="28"/>
          <w:lang w:val="en-GB"/>
        </w:rPr>
        <w:t xml:space="preserve">of </w:t>
      </w:r>
      <w:r w:rsidR="008076A8">
        <w:rPr>
          <w:rFonts w:ascii="Times New Roman" w:hAnsi="Times New Roman" w:cs="Times New Roman"/>
          <w:iCs/>
          <w:sz w:val="28"/>
          <w:szCs w:val="28"/>
          <w:lang w:val="en-GB"/>
        </w:rPr>
        <w:t xml:space="preserve">the </w:t>
      </w:r>
      <w:r w:rsidR="009B6A76" w:rsidRPr="00364EEC">
        <w:rPr>
          <w:rFonts w:ascii="Times New Roman" w:hAnsi="Times New Roman" w:cs="Times New Roman"/>
          <w:iCs/>
          <w:sz w:val="28"/>
          <w:szCs w:val="28"/>
          <w:lang w:val="en-GB"/>
        </w:rPr>
        <w:t>internalization</w:t>
      </w:r>
      <w:r w:rsidR="00121907">
        <w:rPr>
          <w:rFonts w:ascii="Times New Roman" w:hAnsi="Times New Roman" w:cs="Times New Roman"/>
          <w:iCs/>
          <w:sz w:val="28"/>
          <w:szCs w:val="28"/>
          <w:lang w:val="en-GB"/>
        </w:rPr>
        <w:t xml:space="preserve"> and</w:t>
      </w:r>
      <w:r w:rsidR="008076A8">
        <w:rPr>
          <w:rFonts w:ascii="Times New Roman" w:hAnsi="Times New Roman" w:cs="Times New Roman"/>
          <w:iCs/>
          <w:sz w:val="28"/>
          <w:szCs w:val="28"/>
          <w:lang w:val="en-GB"/>
        </w:rPr>
        <w:t xml:space="preserve"> </w:t>
      </w:r>
      <w:r w:rsidR="009B6A76" w:rsidRPr="00364EEC">
        <w:rPr>
          <w:rFonts w:ascii="Times New Roman" w:hAnsi="Times New Roman" w:cs="Times New Roman"/>
          <w:iCs/>
          <w:sz w:val="28"/>
          <w:szCs w:val="28"/>
          <w:lang w:val="en-GB"/>
        </w:rPr>
        <w:t>adoption</w:t>
      </w:r>
      <w:r w:rsidR="00121907">
        <w:rPr>
          <w:rFonts w:ascii="Times New Roman" w:hAnsi="Times New Roman" w:cs="Times New Roman"/>
          <w:iCs/>
          <w:sz w:val="28"/>
          <w:szCs w:val="28"/>
          <w:lang w:val="en-GB"/>
        </w:rPr>
        <w:t xml:space="preserve"> </w:t>
      </w:r>
      <w:r w:rsidR="009B6A76" w:rsidRPr="00364EEC">
        <w:rPr>
          <w:rFonts w:ascii="Times New Roman" w:hAnsi="Times New Roman" w:cs="Times New Roman"/>
          <w:iCs/>
          <w:sz w:val="28"/>
          <w:szCs w:val="28"/>
          <w:lang w:val="en-GB"/>
        </w:rPr>
        <w:t xml:space="preserve">of the </w:t>
      </w:r>
      <w:r w:rsidR="00D80C41" w:rsidRPr="00364EEC">
        <w:rPr>
          <w:rFonts w:ascii="Times New Roman" w:hAnsi="Times New Roman" w:cs="Times New Roman"/>
          <w:iCs/>
          <w:sz w:val="28"/>
          <w:szCs w:val="28"/>
          <w:lang w:val="en-GB"/>
        </w:rPr>
        <w:t>“</w:t>
      </w:r>
      <w:r w:rsidR="009B6A76" w:rsidRPr="00364EEC">
        <w:rPr>
          <w:rFonts w:ascii="Times New Roman" w:hAnsi="Times New Roman" w:cs="Times New Roman"/>
          <w:iCs/>
          <w:sz w:val="28"/>
          <w:szCs w:val="28"/>
          <w:lang w:val="en-GB"/>
        </w:rPr>
        <w:t>extra-legal</w:t>
      </w:r>
      <w:r w:rsidR="00D80C41" w:rsidRPr="00364EEC">
        <w:rPr>
          <w:rFonts w:ascii="Times New Roman" w:hAnsi="Times New Roman" w:cs="Times New Roman"/>
          <w:iCs/>
          <w:sz w:val="28"/>
          <w:szCs w:val="28"/>
          <w:lang w:val="en-GB"/>
        </w:rPr>
        <w:t>”</w:t>
      </w:r>
      <w:r w:rsidR="009B6A76" w:rsidRPr="00364EEC">
        <w:rPr>
          <w:rFonts w:ascii="Times New Roman" w:hAnsi="Times New Roman" w:cs="Times New Roman"/>
          <w:iCs/>
          <w:sz w:val="28"/>
          <w:szCs w:val="28"/>
          <w:lang w:val="en-GB"/>
        </w:rPr>
        <w:t xml:space="preserve"> rights</w:t>
      </w:r>
      <w:r w:rsidR="008076A8">
        <w:rPr>
          <w:rFonts w:ascii="Times New Roman" w:hAnsi="Times New Roman" w:cs="Times New Roman"/>
          <w:iCs/>
          <w:sz w:val="28"/>
          <w:szCs w:val="28"/>
          <w:lang w:val="en-GB"/>
        </w:rPr>
        <w:t xml:space="preserve"> </w:t>
      </w:r>
      <w:r w:rsidR="009B6A76" w:rsidRPr="00364EEC">
        <w:rPr>
          <w:rFonts w:ascii="Times New Roman" w:hAnsi="Times New Roman" w:cs="Times New Roman"/>
          <w:iCs/>
          <w:sz w:val="28"/>
          <w:szCs w:val="28"/>
          <w:lang w:val="en-GB"/>
        </w:rPr>
        <w:t>of academic freedom</w:t>
      </w:r>
      <w:r w:rsidR="008076A8">
        <w:rPr>
          <w:rFonts w:ascii="Times New Roman" w:hAnsi="Times New Roman" w:cs="Times New Roman"/>
          <w:iCs/>
          <w:sz w:val="28"/>
          <w:szCs w:val="28"/>
          <w:lang w:val="en-GB"/>
        </w:rPr>
        <w:t xml:space="preserve"> by most colleges</w:t>
      </w:r>
      <w:r w:rsidR="00C243B9">
        <w:rPr>
          <w:rFonts w:ascii="Times New Roman" w:hAnsi="Times New Roman" w:cs="Times New Roman"/>
          <w:iCs/>
          <w:sz w:val="28"/>
          <w:szCs w:val="28"/>
          <w:lang w:val="en-GB"/>
        </w:rPr>
        <w:t xml:space="preserve"> and </w:t>
      </w:r>
      <w:r w:rsidR="008076A8">
        <w:rPr>
          <w:rFonts w:ascii="Times New Roman" w:hAnsi="Times New Roman" w:cs="Times New Roman"/>
          <w:iCs/>
          <w:sz w:val="28"/>
          <w:szCs w:val="28"/>
          <w:lang w:val="en-GB"/>
        </w:rPr>
        <w:t>universitie</w:t>
      </w:r>
      <w:r w:rsidR="00121907">
        <w:rPr>
          <w:rFonts w:ascii="Times New Roman" w:hAnsi="Times New Roman" w:cs="Times New Roman"/>
          <w:iCs/>
          <w:sz w:val="28"/>
          <w:szCs w:val="28"/>
          <w:lang w:val="en-GB"/>
        </w:rPr>
        <w:t>s</w:t>
      </w:r>
      <w:r w:rsidR="008076A8">
        <w:rPr>
          <w:rFonts w:ascii="Times New Roman" w:hAnsi="Times New Roman" w:cs="Times New Roman"/>
          <w:iCs/>
          <w:sz w:val="28"/>
          <w:szCs w:val="28"/>
          <w:lang w:val="en-GB"/>
        </w:rPr>
        <w:t xml:space="preserve">, </w:t>
      </w:r>
      <w:r w:rsidR="00931478">
        <w:rPr>
          <w:rFonts w:ascii="Times New Roman" w:hAnsi="Times New Roman" w:cs="Times New Roman"/>
          <w:iCs/>
          <w:sz w:val="28"/>
          <w:szCs w:val="28"/>
          <w:lang w:val="en-GB"/>
        </w:rPr>
        <w:t>both</w:t>
      </w:r>
      <w:r w:rsidR="00C243B9">
        <w:rPr>
          <w:rFonts w:ascii="Times New Roman" w:hAnsi="Times New Roman" w:cs="Times New Roman"/>
          <w:iCs/>
          <w:sz w:val="28"/>
          <w:szCs w:val="28"/>
          <w:lang w:val="en-GB"/>
        </w:rPr>
        <w:t xml:space="preserve"> </w:t>
      </w:r>
      <w:r w:rsidR="008076A8">
        <w:rPr>
          <w:rFonts w:ascii="Times New Roman" w:hAnsi="Times New Roman" w:cs="Times New Roman"/>
          <w:iCs/>
          <w:sz w:val="28"/>
          <w:szCs w:val="28"/>
          <w:lang w:val="en-GB"/>
        </w:rPr>
        <w:t>pub</w:t>
      </w:r>
      <w:r w:rsidR="00C243B9">
        <w:rPr>
          <w:rFonts w:ascii="Times New Roman" w:hAnsi="Times New Roman" w:cs="Times New Roman"/>
          <w:iCs/>
          <w:sz w:val="28"/>
          <w:szCs w:val="28"/>
          <w:lang w:val="en-GB"/>
        </w:rPr>
        <w:t>l</w:t>
      </w:r>
      <w:r w:rsidR="008076A8">
        <w:rPr>
          <w:rFonts w:ascii="Times New Roman" w:hAnsi="Times New Roman" w:cs="Times New Roman"/>
          <w:iCs/>
          <w:sz w:val="28"/>
          <w:szCs w:val="28"/>
          <w:lang w:val="en-GB"/>
        </w:rPr>
        <w:t xml:space="preserve">ic </w:t>
      </w:r>
      <w:r w:rsidR="00931478">
        <w:rPr>
          <w:rFonts w:ascii="Times New Roman" w:hAnsi="Times New Roman" w:cs="Times New Roman"/>
          <w:iCs/>
          <w:sz w:val="28"/>
          <w:szCs w:val="28"/>
          <w:lang w:val="en-GB"/>
        </w:rPr>
        <w:t>and</w:t>
      </w:r>
      <w:r w:rsidR="008076A8">
        <w:rPr>
          <w:rFonts w:ascii="Times New Roman" w:hAnsi="Times New Roman" w:cs="Times New Roman"/>
          <w:iCs/>
          <w:sz w:val="28"/>
          <w:szCs w:val="28"/>
          <w:lang w:val="en-GB"/>
        </w:rPr>
        <w:t xml:space="preserve"> private</w:t>
      </w:r>
      <w:r w:rsidR="00C243B9">
        <w:rPr>
          <w:rFonts w:ascii="Times New Roman" w:hAnsi="Times New Roman" w:cs="Times New Roman"/>
          <w:iCs/>
          <w:sz w:val="28"/>
          <w:szCs w:val="28"/>
          <w:lang w:val="en-GB"/>
        </w:rPr>
        <w:t>,</w:t>
      </w:r>
      <w:r w:rsidR="00121907">
        <w:rPr>
          <w:rStyle w:val="FootnoteReference"/>
          <w:rFonts w:ascii="Times New Roman" w:hAnsi="Times New Roman"/>
          <w:iCs/>
          <w:sz w:val="28"/>
          <w:szCs w:val="28"/>
          <w:lang w:val="en-GB"/>
        </w:rPr>
        <w:footnoteReference w:id="49"/>
      </w:r>
      <w:r w:rsidR="008076A8">
        <w:rPr>
          <w:rFonts w:ascii="Times New Roman" w:hAnsi="Times New Roman" w:cs="Times New Roman"/>
          <w:iCs/>
          <w:sz w:val="28"/>
          <w:szCs w:val="28"/>
          <w:lang w:val="en-GB"/>
        </w:rPr>
        <w:t xml:space="preserve"> as well as </w:t>
      </w:r>
      <w:r w:rsidR="00C243B9">
        <w:rPr>
          <w:rFonts w:ascii="Times New Roman" w:hAnsi="Times New Roman" w:cs="Times New Roman"/>
          <w:iCs/>
          <w:sz w:val="28"/>
          <w:szCs w:val="28"/>
          <w:lang w:val="en-GB"/>
        </w:rPr>
        <w:t xml:space="preserve">by </w:t>
      </w:r>
      <w:r w:rsidR="008076A8">
        <w:rPr>
          <w:rFonts w:ascii="Times New Roman" w:hAnsi="Times New Roman" w:cs="Times New Roman"/>
          <w:iCs/>
          <w:sz w:val="28"/>
          <w:szCs w:val="28"/>
          <w:lang w:val="en-GB"/>
        </w:rPr>
        <w:t>a host of adjacent institutions.  These norms include indepe</w:t>
      </w:r>
      <w:r w:rsidR="00C243B9">
        <w:rPr>
          <w:rFonts w:ascii="Times New Roman" w:hAnsi="Times New Roman" w:cs="Times New Roman"/>
          <w:iCs/>
          <w:sz w:val="28"/>
          <w:szCs w:val="28"/>
          <w:lang w:val="en-GB"/>
        </w:rPr>
        <w:t>ndence</w:t>
      </w:r>
      <w:r w:rsidR="009B6A76" w:rsidRPr="00364EEC">
        <w:rPr>
          <w:rFonts w:ascii="Times New Roman" w:hAnsi="Times New Roman" w:cs="Times New Roman"/>
          <w:iCs/>
          <w:sz w:val="28"/>
          <w:szCs w:val="28"/>
          <w:lang w:val="en-GB"/>
        </w:rPr>
        <w:t xml:space="preserve">, </w:t>
      </w:r>
      <w:r w:rsidR="00C243B9">
        <w:rPr>
          <w:rFonts w:ascii="Times New Roman" w:hAnsi="Times New Roman" w:cs="Times New Roman"/>
          <w:iCs/>
          <w:sz w:val="28"/>
          <w:szCs w:val="28"/>
          <w:lang w:val="en-GB"/>
        </w:rPr>
        <w:t xml:space="preserve">the </w:t>
      </w:r>
      <w:r w:rsidR="00C243B9" w:rsidRPr="00C243B9">
        <w:rPr>
          <w:rFonts w:ascii="Times New Roman" w:hAnsi="Times New Roman" w:cs="Times New Roman"/>
          <w:iCs/>
          <w:sz w:val="28"/>
          <w:szCs w:val="28"/>
          <w:lang w:val="en-GB"/>
        </w:rPr>
        <w:t>job</w:t>
      </w:r>
      <w:r w:rsidR="00C243B9">
        <w:rPr>
          <w:rFonts w:ascii="Times New Roman" w:hAnsi="Times New Roman" w:cs="Times New Roman"/>
          <w:iCs/>
          <w:sz w:val="28"/>
          <w:szCs w:val="28"/>
          <w:lang w:val="en-GB"/>
        </w:rPr>
        <w:t xml:space="preserve"> </w:t>
      </w:r>
      <w:r w:rsidR="00C243B9" w:rsidRPr="00C243B9">
        <w:rPr>
          <w:rFonts w:ascii="Times New Roman" w:hAnsi="Times New Roman" w:cs="Times New Roman"/>
          <w:iCs/>
          <w:sz w:val="28"/>
          <w:szCs w:val="28"/>
          <w:lang w:val="en-GB"/>
        </w:rPr>
        <w:t>security of tenure and due process</w:t>
      </w:r>
      <w:r w:rsidR="00D371C8">
        <w:rPr>
          <w:rFonts w:ascii="Times New Roman" w:hAnsi="Times New Roman" w:cs="Times New Roman"/>
          <w:iCs/>
          <w:sz w:val="28"/>
          <w:szCs w:val="28"/>
          <w:lang w:val="en-GB"/>
        </w:rPr>
        <w:t xml:space="preserve"> </w:t>
      </w:r>
      <w:r w:rsidR="00D371C8" w:rsidRPr="00D371C8">
        <w:rPr>
          <w:rFonts w:ascii="Times New Roman" w:hAnsi="Times New Roman" w:cs="Times New Roman"/>
          <w:iCs/>
          <w:sz w:val="28"/>
          <w:szCs w:val="28"/>
          <w:lang w:val="en-GB"/>
        </w:rPr>
        <w:t>prior to discipline or dismissal</w:t>
      </w:r>
      <w:r w:rsidR="00D371C8">
        <w:rPr>
          <w:rFonts w:ascii="Times New Roman" w:hAnsi="Times New Roman" w:cs="Times New Roman"/>
          <w:iCs/>
          <w:sz w:val="28"/>
          <w:szCs w:val="28"/>
          <w:lang w:val="en-GB"/>
        </w:rPr>
        <w:t xml:space="preserve">, and </w:t>
      </w:r>
      <w:r w:rsidR="009B6A76" w:rsidRPr="00364EEC">
        <w:rPr>
          <w:rFonts w:ascii="Times New Roman" w:hAnsi="Times New Roman" w:cs="Times New Roman"/>
          <w:iCs/>
          <w:sz w:val="28"/>
          <w:szCs w:val="28"/>
          <w:lang w:val="en-GB"/>
        </w:rPr>
        <w:t>shared governance.</w:t>
      </w:r>
      <w:r w:rsidR="00506EDB">
        <w:rPr>
          <w:rStyle w:val="FootnoteReference"/>
          <w:rFonts w:ascii="Times New Roman" w:hAnsi="Times New Roman"/>
          <w:iCs/>
          <w:sz w:val="28"/>
          <w:szCs w:val="28"/>
          <w:lang w:val="en-GB"/>
        </w:rPr>
        <w:footnoteReference w:id="50"/>
      </w:r>
      <w:r w:rsidR="00D371C8">
        <w:rPr>
          <w:rFonts w:ascii="Times New Roman" w:hAnsi="Times New Roman" w:cs="Times New Roman"/>
          <w:iCs/>
          <w:sz w:val="28"/>
          <w:szCs w:val="28"/>
          <w:lang w:val="en-GB"/>
        </w:rPr>
        <w:t xml:space="preserve"> </w:t>
      </w:r>
      <w:r w:rsidR="00931478">
        <w:rPr>
          <w:rFonts w:ascii="Times New Roman" w:hAnsi="Times New Roman" w:cs="Times New Roman"/>
          <w:iCs/>
          <w:sz w:val="28"/>
          <w:szCs w:val="28"/>
          <w:lang w:val="en-GB"/>
        </w:rPr>
        <w:t xml:space="preserve">For faculty these </w:t>
      </w:r>
      <w:r w:rsidR="00506EDB">
        <w:rPr>
          <w:rFonts w:ascii="Times New Roman" w:hAnsi="Times New Roman" w:cs="Times New Roman"/>
          <w:iCs/>
          <w:sz w:val="28"/>
          <w:szCs w:val="28"/>
          <w:lang w:val="en-GB"/>
        </w:rPr>
        <w:t>practices</w:t>
      </w:r>
      <w:r w:rsidR="00931478">
        <w:rPr>
          <w:rFonts w:ascii="Times New Roman" w:hAnsi="Times New Roman" w:cs="Times New Roman"/>
          <w:iCs/>
          <w:sz w:val="28"/>
          <w:szCs w:val="28"/>
          <w:lang w:val="en-GB"/>
        </w:rPr>
        <w:t xml:space="preserve"> are largely secured by contract </w:t>
      </w:r>
      <w:r w:rsidR="002D29A4">
        <w:rPr>
          <w:rFonts w:ascii="Times New Roman" w:hAnsi="Times New Roman" w:cs="Times New Roman"/>
          <w:iCs/>
          <w:sz w:val="28"/>
          <w:szCs w:val="28"/>
          <w:lang w:val="en-GB"/>
        </w:rPr>
        <w:t>(and unions for a host of public institutions),</w:t>
      </w:r>
      <w:r w:rsidR="00506EDB">
        <w:rPr>
          <w:rStyle w:val="FootnoteReference"/>
          <w:rFonts w:ascii="Times New Roman" w:hAnsi="Times New Roman"/>
          <w:iCs/>
          <w:sz w:val="28"/>
          <w:szCs w:val="28"/>
          <w:lang w:val="en-GB"/>
        </w:rPr>
        <w:footnoteReference w:id="51"/>
      </w:r>
      <w:r w:rsidR="002D29A4">
        <w:rPr>
          <w:rFonts w:ascii="Times New Roman" w:hAnsi="Times New Roman" w:cs="Times New Roman"/>
          <w:iCs/>
          <w:sz w:val="28"/>
          <w:szCs w:val="28"/>
          <w:lang w:val="en-GB"/>
        </w:rPr>
        <w:t xml:space="preserve"> </w:t>
      </w:r>
      <w:r w:rsidR="00506EDB">
        <w:rPr>
          <w:rFonts w:ascii="Times New Roman" w:hAnsi="Times New Roman" w:cs="Times New Roman"/>
          <w:iCs/>
          <w:sz w:val="28"/>
          <w:szCs w:val="28"/>
          <w:lang w:val="en-GB"/>
        </w:rPr>
        <w:t xml:space="preserve">with </w:t>
      </w:r>
      <w:r w:rsidR="002D29A4">
        <w:rPr>
          <w:rFonts w:ascii="Times New Roman" w:hAnsi="Times New Roman" w:cs="Times New Roman"/>
          <w:iCs/>
          <w:sz w:val="28"/>
          <w:szCs w:val="28"/>
          <w:lang w:val="en-GB"/>
        </w:rPr>
        <w:t xml:space="preserve">governance </w:t>
      </w:r>
      <w:r w:rsidR="00506EDB">
        <w:rPr>
          <w:rFonts w:ascii="Times New Roman" w:hAnsi="Times New Roman" w:cs="Times New Roman"/>
          <w:iCs/>
          <w:sz w:val="28"/>
          <w:szCs w:val="28"/>
          <w:lang w:val="en-GB"/>
        </w:rPr>
        <w:t xml:space="preserve">practiced </w:t>
      </w:r>
      <w:r w:rsidR="002D29A4">
        <w:rPr>
          <w:rFonts w:ascii="Times New Roman" w:hAnsi="Times New Roman" w:cs="Times New Roman"/>
          <w:iCs/>
          <w:sz w:val="28"/>
          <w:szCs w:val="28"/>
          <w:lang w:val="en-GB"/>
        </w:rPr>
        <w:t xml:space="preserve">through faculty senates or councils, </w:t>
      </w:r>
      <w:r w:rsidR="00506EDB">
        <w:rPr>
          <w:rFonts w:ascii="Times New Roman" w:hAnsi="Times New Roman" w:cs="Times New Roman"/>
          <w:iCs/>
          <w:sz w:val="28"/>
          <w:szCs w:val="28"/>
          <w:lang w:val="en-GB"/>
        </w:rPr>
        <w:t xml:space="preserve">all of which are shaped </w:t>
      </w:r>
      <w:r w:rsidR="002D29A4" w:rsidRPr="002D29A4">
        <w:rPr>
          <w:rFonts w:ascii="Times New Roman" w:hAnsi="Times New Roman" w:cs="Times New Roman"/>
          <w:iCs/>
          <w:sz w:val="28"/>
          <w:szCs w:val="28"/>
          <w:lang w:val="en-GB"/>
        </w:rPr>
        <w:t>and defined by disciplinary requirements applied through peer review</w:t>
      </w:r>
      <w:r w:rsidR="002D29A4">
        <w:rPr>
          <w:rFonts w:ascii="Times New Roman" w:hAnsi="Times New Roman" w:cs="Times New Roman"/>
          <w:iCs/>
          <w:sz w:val="28"/>
          <w:szCs w:val="28"/>
          <w:lang w:val="en-GB"/>
        </w:rPr>
        <w:t>.</w:t>
      </w:r>
    </w:p>
    <w:p w14:paraId="73FDD4C9" w14:textId="77777777" w:rsidR="00890E06" w:rsidRDefault="00890E06" w:rsidP="00E662DA">
      <w:pPr>
        <w:pStyle w:val="NoSpacing"/>
        <w:jc w:val="both"/>
        <w:rPr>
          <w:rFonts w:ascii="Times New Roman" w:hAnsi="Times New Roman" w:cs="Times New Roman"/>
          <w:iCs/>
          <w:sz w:val="28"/>
          <w:szCs w:val="28"/>
        </w:rPr>
      </w:pPr>
    </w:p>
    <w:p w14:paraId="71127B1A" w14:textId="1D9104C4" w:rsidR="00890E06" w:rsidRPr="00561A22" w:rsidRDefault="004F58DC" w:rsidP="00E662DA">
      <w:pPr>
        <w:pStyle w:val="NoSpacing"/>
        <w:jc w:val="both"/>
        <w:rPr>
          <w:rFonts w:ascii="Times New Roman" w:hAnsi="Times New Roman" w:cs="Times New Roman"/>
          <w:b/>
          <w:bCs/>
          <w:sz w:val="28"/>
          <w:szCs w:val="28"/>
        </w:rPr>
      </w:pPr>
      <w:r w:rsidRPr="00364EEC">
        <w:rPr>
          <w:rFonts w:ascii="Times New Roman" w:hAnsi="Times New Roman" w:cs="Times New Roman"/>
          <w:iCs/>
          <w:sz w:val="28"/>
          <w:szCs w:val="28"/>
        </w:rPr>
        <w:t>2</w:t>
      </w:r>
      <w:r w:rsidR="00550295">
        <w:rPr>
          <w:rFonts w:ascii="Times New Roman" w:hAnsi="Times New Roman" w:cs="Times New Roman"/>
          <w:iCs/>
          <w:sz w:val="28"/>
          <w:szCs w:val="28"/>
        </w:rPr>
        <w:t>2</w:t>
      </w:r>
      <w:r w:rsidR="00506EDB">
        <w:rPr>
          <w:rFonts w:ascii="Times New Roman" w:hAnsi="Times New Roman" w:cs="Times New Roman"/>
          <w:iCs/>
          <w:sz w:val="28"/>
          <w:szCs w:val="28"/>
        </w:rPr>
        <w:t>.</w:t>
      </w:r>
      <w:r w:rsidR="00550295">
        <w:rPr>
          <w:rFonts w:ascii="Times New Roman" w:hAnsi="Times New Roman" w:cs="Times New Roman"/>
          <w:iCs/>
          <w:sz w:val="28"/>
          <w:szCs w:val="28"/>
        </w:rPr>
        <w:t xml:space="preserve"> </w:t>
      </w:r>
      <w:r w:rsidR="00506EDB">
        <w:rPr>
          <w:rFonts w:ascii="Times New Roman" w:hAnsi="Times New Roman" w:cs="Times New Roman"/>
          <w:iCs/>
          <w:sz w:val="28"/>
          <w:szCs w:val="28"/>
        </w:rPr>
        <w:t xml:space="preserve"> </w:t>
      </w:r>
      <w:r w:rsidR="004E406F" w:rsidRPr="00131E69">
        <w:rPr>
          <w:rFonts w:ascii="Times New Roman" w:hAnsi="Times New Roman" w:cs="Times New Roman"/>
          <w:sz w:val="28"/>
          <w:szCs w:val="28"/>
        </w:rPr>
        <w:t xml:space="preserve">While the AAUP has provided a strong framework for academic freedom, </w:t>
      </w:r>
      <w:r w:rsidR="00506EDB">
        <w:rPr>
          <w:rFonts w:ascii="Times New Roman" w:hAnsi="Times New Roman" w:cs="Times New Roman"/>
          <w:sz w:val="28"/>
          <w:szCs w:val="28"/>
        </w:rPr>
        <w:t xml:space="preserve">and other organizations now exist to protect it, the framework </w:t>
      </w:r>
      <w:r w:rsidR="004E406F" w:rsidRPr="00131E69">
        <w:rPr>
          <w:rFonts w:ascii="Times New Roman" w:hAnsi="Times New Roman" w:cs="Times New Roman"/>
          <w:sz w:val="28"/>
          <w:szCs w:val="28"/>
        </w:rPr>
        <w:t>has several flaws</w:t>
      </w:r>
      <w:r w:rsidR="00506EDB">
        <w:rPr>
          <w:rFonts w:ascii="Times New Roman" w:hAnsi="Times New Roman" w:cs="Times New Roman"/>
          <w:sz w:val="28"/>
          <w:szCs w:val="28"/>
        </w:rPr>
        <w:t>.  These</w:t>
      </w:r>
      <w:r w:rsidR="004E406F" w:rsidRPr="00131E69">
        <w:rPr>
          <w:rFonts w:ascii="Times New Roman" w:hAnsi="Times New Roman" w:cs="Times New Roman"/>
          <w:sz w:val="28"/>
          <w:szCs w:val="28"/>
        </w:rPr>
        <w:t xml:space="preserve"> includ</w:t>
      </w:r>
      <w:r w:rsidR="00506EDB">
        <w:rPr>
          <w:rFonts w:ascii="Times New Roman" w:hAnsi="Times New Roman" w:cs="Times New Roman"/>
          <w:sz w:val="28"/>
          <w:szCs w:val="28"/>
        </w:rPr>
        <w:t>e</w:t>
      </w:r>
      <w:r w:rsidR="004E406F" w:rsidRPr="00131E69">
        <w:rPr>
          <w:rFonts w:ascii="Times New Roman" w:hAnsi="Times New Roman" w:cs="Times New Roman"/>
          <w:sz w:val="28"/>
          <w:szCs w:val="28"/>
        </w:rPr>
        <w:t xml:space="preserve"> its limited focus on teachers in higher education, and its failure to address the rights of students</w:t>
      </w:r>
      <w:r w:rsidR="00C54332" w:rsidRPr="00131E69">
        <w:rPr>
          <w:rFonts w:ascii="Times New Roman" w:hAnsi="Times New Roman" w:cs="Times New Roman"/>
          <w:sz w:val="28"/>
          <w:szCs w:val="28"/>
        </w:rPr>
        <w:t>.</w:t>
      </w:r>
      <w:r w:rsidR="004E406F" w:rsidRPr="00131E69">
        <w:rPr>
          <w:rStyle w:val="FootnoteReference"/>
          <w:rFonts w:ascii="Times New Roman" w:hAnsi="Times New Roman"/>
          <w:sz w:val="28"/>
          <w:szCs w:val="28"/>
        </w:rPr>
        <w:footnoteReference w:id="52"/>
      </w:r>
      <w:r w:rsidR="004E406F" w:rsidRPr="00131E69">
        <w:rPr>
          <w:rFonts w:ascii="Times New Roman" w:hAnsi="Times New Roman" w:cs="Times New Roman"/>
          <w:sz w:val="28"/>
          <w:szCs w:val="28"/>
        </w:rPr>
        <w:t xml:space="preserve"> </w:t>
      </w:r>
      <w:r w:rsidR="00506EDB">
        <w:rPr>
          <w:rFonts w:ascii="Times New Roman" w:hAnsi="Times New Roman" w:cs="Times New Roman"/>
          <w:sz w:val="28"/>
          <w:szCs w:val="28"/>
        </w:rPr>
        <w:t>However, a significant weakness, now being exploited in the attack against academic freedom</w:t>
      </w:r>
      <w:r w:rsidR="00C6538B">
        <w:rPr>
          <w:rFonts w:ascii="Times New Roman" w:hAnsi="Times New Roman" w:cs="Times New Roman"/>
          <w:sz w:val="28"/>
          <w:szCs w:val="28"/>
        </w:rPr>
        <w:t>,</w:t>
      </w:r>
      <w:r w:rsidR="00506EDB">
        <w:rPr>
          <w:rFonts w:ascii="Times New Roman" w:hAnsi="Times New Roman" w:cs="Times New Roman"/>
          <w:sz w:val="28"/>
          <w:szCs w:val="28"/>
        </w:rPr>
        <w:t xml:space="preserve"> is that although </w:t>
      </w:r>
      <w:r w:rsidR="00C54332" w:rsidRPr="00131E69">
        <w:rPr>
          <w:rFonts w:ascii="Times New Roman" w:hAnsi="Times New Roman" w:cs="Times New Roman"/>
          <w:sz w:val="28"/>
          <w:szCs w:val="28"/>
        </w:rPr>
        <w:t xml:space="preserve">faculty have “primary responsibility, through their governing bodies, </w:t>
      </w:r>
      <w:r w:rsidR="009428B5">
        <w:rPr>
          <w:rFonts w:ascii="Times New Roman" w:hAnsi="Times New Roman" w:cs="Times New Roman"/>
          <w:sz w:val="28"/>
          <w:szCs w:val="28"/>
        </w:rPr>
        <w:t>for</w:t>
      </w:r>
      <w:r w:rsidR="00C54332" w:rsidRPr="00131E69">
        <w:rPr>
          <w:rFonts w:ascii="Times New Roman" w:hAnsi="Times New Roman" w:cs="Times New Roman"/>
          <w:sz w:val="28"/>
          <w:szCs w:val="28"/>
        </w:rPr>
        <w:t xml:space="preserve"> academic matters such as curriculum, teaching, research, and faculty appointments and promotions,” the administration or governing boards</w:t>
      </w:r>
      <w:r w:rsidR="00972F61">
        <w:rPr>
          <w:rFonts w:ascii="Times New Roman" w:hAnsi="Times New Roman" w:cs="Times New Roman"/>
          <w:sz w:val="28"/>
          <w:szCs w:val="28"/>
        </w:rPr>
        <w:t xml:space="preserve"> </w:t>
      </w:r>
      <w:r w:rsidR="009E20EC" w:rsidRPr="00131E69">
        <w:rPr>
          <w:rFonts w:ascii="Times New Roman" w:hAnsi="Times New Roman" w:cs="Times New Roman"/>
          <w:sz w:val="28"/>
          <w:szCs w:val="28"/>
        </w:rPr>
        <w:t xml:space="preserve">still have </w:t>
      </w:r>
      <w:r w:rsidR="00C54332" w:rsidRPr="00131E69">
        <w:rPr>
          <w:rFonts w:ascii="Times New Roman" w:hAnsi="Times New Roman" w:cs="Times New Roman"/>
          <w:sz w:val="28"/>
          <w:szCs w:val="28"/>
        </w:rPr>
        <w:t>final decision-making authority</w:t>
      </w:r>
      <w:r w:rsidR="009E20EC" w:rsidRPr="00131E69">
        <w:rPr>
          <w:rFonts w:ascii="Times New Roman" w:hAnsi="Times New Roman" w:cs="Times New Roman"/>
          <w:sz w:val="28"/>
          <w:szCs w:val="28"/>
        </w:rPr>
        <w:t>.</w:t>
      </w:r>
      <w:r w:rsidR="009E20EC" w:rsidRPr="00131E69">
        <w:rPr>
          <w:rStyle w:val="FootnoteReference"/>
          <w:rFonts w:ascii="Times New Roman" w:hAnsi="Times New Roman"/>
          <w:sz w:val="28"/>
          <w:szCs w:val="28"/>
        </w:rPr>
        <w:footnoteReference w:id="53"/>
      </w:r>
      <w:r w:rsidR="009E20EC" w:rsidRPr="00131E69">
        <w:rPr>
          <w:rFonts w:ascii="Times New Roman" w:hAnsi="Times New Roman" w:cs="Times New Roman"/>
          <w:sz w:val="28"/>
          <w:szCs w:val="28"/>
        </w:rPr>
        <w:t xml:space="preserve">  </w:t>
      </w:r>
    </w:p>
    <w:p w14:paraId="02EEE4FC" w14:textId="7B085196" w:rsidR="00C6538B" w:rsidRDefault="009557C1" w:rsidP="00427D8D">
      <w:pPr>
        <w:spacing w:before="120" w:after="120"/>
        <w:jc w:val="both"/>
        <w:rPr>
          <w:bCs/>
          <w:sz w:val="28"/>
          <w:szCs w:val="28"/>
          <w:lang w:val="en-US"/>
        </w:rPr>
      </w:pPr>
      <w:r w:rsidRPr="00561A22">
        <w:rPr>
          <w:bCs/>
          <w:sz w:val="28"/>
          <w:szCs w:val="28"/>
          <w:lang w:val="en-US"/>
        </w:rPr>
        <w:t>2</w:t>
      </w:r>
      <w:r w:rsidR="00550295">
        <w:rPr>
          <w:bCs/>
          <w:sz w:val="28"/>
          <w:szCs w:val="28"/>
          <w:lang w:val="en-US"/>
        </w:rPr>
        <w:t>3</w:t>
      </w:r>
      <w:r w:rsidRPr="00561A22">
        <w:rPr>
          <w:bCs/>
          <w:sz w:val="28"/>
          <w:szCs w:val="28"/>
          <w:lang w:val="en-US"/>
        </w:rPr>
        <w:t>.  AAUP</w:t>
      </w:r>
      <w:r w:rsidR="00561A22" w:rsidRPr="00561A22">
        <w:rPr>
          <w:bCs/>
          <w:sz w:val="28"/>
          <w:szCs w:val="28"/>
          <w:lang w:val="en-US"/>
        </w:rPr>
        <w:t>, among other things,</w:t>
      </w:r>
      <w:r w:rsidRPr="00561A22">
        <w:rPr>
          <w:bCs/>
          <w:sz w:val="28"/>
          <w:szCs w:val="28"/>
          <w:lang w:val="en-US"/>
        </w:rPr>
        <w:t xml:space="preserve"> investigates violations of academic freedom</w:t>
      </w:r>
      <w:r w:rsidR="00561A22" w:rsidRPr="00561A22">
        <w:rPr>
          <w:bCs/>
          <w:sz w:val="28"/>
          <w:szCs w:val="28"/>
          <w:lang w:val="en-US"/>
        </w:rPr>
        <w:t xml:space="preserve"> and publishes reports of violations to bring pressure to bear on institutions.  </w:t>
      </w:r>
      <w:r w:rsidRPr="00561A22">
        <w:rPr>
          <w:bCs/>
          <w:sz w:val="28"/>
          <w:szCs w:val="28"/>
          <w:lang w:val="en-US"/>
        </w:rPr>
        <w:t xml:space="preserve">  </w:t>
      </w:r>
      <w:r w:rsidR="00220231" w:rsidRPr="00561A22">
        <w:rPr>
          <w:bCs/>
          <w:sz w:val="28"/>
          <w:szCs w:val="28"/>
          <w:lang w:val="en-US"/>
        </w:rPr>
        <w:t xml:space="preserve">It recently conducted reports on the state university systems of North Carolina </w:t>
      </w:r>
      <w:r w:rsidR="00C6538B">
        <w:rPr>
          <w:bCs/>
          <w:sz w:val="28"/>
          <w:szCs w:val="28"/>
          <w:lang w:val="en-US"/>
        </w:rPr>
        <w:t xml:space="preserve">(UNC) </w:t>
      </w:r>
      <w:r w:rsidR="00220231" w:rsidRPr="00561A22">
        <w:rPr>
          <w:bCs/>
          <w:sz w:val="28"/>
          <w:szCs w:val="28"/>
          <w:lang w:val="en-US"/>
        </w:rPr>
        <w:t xml:space="preserve">and Florida.  The </w:t>
      </w:r>
      <w:r w:rsidR="00C6538B">
        <w:rPr>
          <w:bCs/>
          <w:sz w:val="28"/>
          <w:szCs w:val="28"/>
          <w:lang w:val="en-US"/>
        </w:rPr>
        <w:t>UNC</w:t>
      </w:r>
      <w:r w:rsidR="00220231" w:rsidRPr="00561A22">
        <w:rPr>
          <w:bCs/>
          <w:sz w:val="28"/>
          <w:szCs w:val="28"/>
          <w:lang w:val="en-US"/>
        </w:rPr>
        <w:t xml:space="preserve"> report is deeply disturbing.</w:t>
      </w:r>
      <w:r w:rsidR="00097413" w:rsidRPr="00561A22">
        <w:rPr>
          <w:rStyle w:val="FootnoteReference"/>
          <w:bCs/>
          <w:sz w:val="28"/>
          <w:szCs w:val="28"/>
          <w:lang w:val="en-US"/>
        </w:rPr>
        <w:footnoteReference w:id="54"/>
      </w:r>
      <w:r w:rsidR="00220231" w:rsidRPr="00561A22">
        <w:rPr>
          <w:bCs/>
          <w:sz w:val="28"/>
          <w:szCs w:val="28"/>
          <w:lang w:val="en-US"/>
        </w:rPr>
        <w:t xml:space="preserve">  However, the report on the state of Florida is absolutely harrowing.</w:t>
      </w:r>
      <w:r w:rsidR="00097413" w:rsidRPr="00561A22">
        <w:rPr>
          <w:rStyle w:val="FootnoteReference"/>
          <w:bCs/>
          <w:sz w:val="28"/>
          <w:szCs w:val="28"/>
          <w:lang w:val="en-US"/>
        </w:rPr>
        <w:footnoteReference w:id="55"/>
      </w:r>
      <w:r w:rsidR="00220231" w:rsidRPr="00561A22">
        <w:rPr>
          <w:bCs/>
          <w:sz w:val="28"/>
          <w:szCs w:val="28"/>
          <w:lang w:val="en-US"/>
        </w:rPr>
        <w:t xml:space="preserve">  Links for both reports are included here.  However, </w:t>
      </w:r>
      <w:r w:rsidR="00366B46" w:rsidRPr="00561A22">
        <w:rPr>
          <w:bCs/>
          <w:sz w:val="28"/>
          <w:szCs w:val="28"/>
          <w:lang w:val="en-US"/>
        </w:rPr>
        <w:t xml:space="preserve">it is important to note that </w:t>
      </w:r>
      <w:r w:rsidR="00263039" w:rsidRPr="00561A22">
        <w:rPr>
          <w:bCs/>
          <w:sz w:val="28"/>
          <w:szCs w:val="28"/>
          <w:lang w:val="en-US"/>
        </w:rPr>
        <w:t>the AAUP found</w:t>
      </w:r>
      <w:r w:rsidR="00366B46" w:rsidRPr="00561A22">
        <w:rPr>
          <w:bCs/>
          <w:sz w:val="28"/>
          <w:szCs w:val="28"/>
          <w:lang w:val="en-US"/>
        </w:rPr>
        <w:t xml:space="preserve"> </w:t>
      </w:r>
      <w:r w:rsidR="00263039" w:rsidRPr="00561A22">
        <w:rPr>
          <w:bCs/>
          <w:sz w:val="28"/>
          <w:szCs w:val="28"/>
          <w:lang w:val="en-US"/>
        </w:rPr>
        <w:t>that</w:t>
      </w:r>
      <w:r w:rsidR="00C6538B">
        <w:rPr>
          <w:bCs/>
          <w:sz w:val="28"/>
          <w:szCs w:val="28"/>
          <w:lang w:val="en-US"/>
        </w:rPr>
        <w:t>:</w:t>
      </w:r>
    </w:p>
    <w:p w14:paraId="6633A59F" w14:textId="5D36D0E1" w:rsidR="00220231" w:rsidRPr="00561A22" w:rsidRDefault="00561A22" w:rsidP="00C6538B">
      <w:pPr>
        <w:spacing w:before="120" w:after="120"/>
        <w:ind w:left="720" w:firstLine="70"/>
        <w:jc w:val="both"/>
        <w:rPr>
          <w:bCs/>
          <w:sz w:val="28"/>
          <w:szCs w:val="28"/>
          <w:lang w:val="en-US"/>
        </w:rPr>
      </w:pPr>
      <w:r w:rsidRPr="00561A22">
        <w:rPr>
          <w:bCs/>
          <w:sz w:val="28"/>
          <w:szCs w:val="28"/>
          <w:lang w:val="en-US"/>
        </w:rPr>
        <w:t>[a]</w:t>
      </w:r>
      <w:proofErr w:type="spellStart"/>
      <w:r w:rsidR="00220231" w:rsidRPr="00561A22">
        <w:rPr>
          <w:bCs/>
          <w:sz w:val="28"/>
          <w:szCs w:val="28"/>
          <w:lang w:val="en-US"/>
        </w:rPr>
        <w:t>cademic</w:t>
      </w:r>
      <w:proofErr w:type="spellEnd"/>
      <w:r w:rsidR="00220231" w:rsidRPr="00561A22">
        <w:rPr>
          <w:bCs/>
          <w:sz w:val="28"/>
          <w:szCs w:val="28"/>
          <w:lang w:val="en-US"/>
        </w:rPr>
        <w:t xml:space="preserve"> freedom, tenure, and shared governance in Florida’s public colleges and universities currently face a politically and ideologically driven assault unparalleled in US history, which, if sustained, threatens the very survival of meaningful higher education in the state, with dire implications for the entire country.</w:t>
      </w:r>
      <w:r w:rsidR="00263039" w:rsidRPr="00561A22">
        <w:rPr>
          <w:rStyle w:val="FootnoteReference"/>
          <w:bCs/>
          <w:sz w:val="28"/>
          <w:szCs w:val="28"/>
          <w:lang w:val="en-US"/>
        </w:rPr>
        <w:footnoteReference w:id="56"/>
      </w:r>
    </w:p>
    <w:p w14:paraId="31FB9C7E" w14:textId="77777777" w:rsidR="00C6538B" w:rsidRDefault="00C6538B" w:rsidP="00E662DA">
      <w:pPr>
        <w:spacing w:before="120" w:after="120"/>
        <w:jc w:val="both"/>
        <w:rPr>
          <w:b/>
          <w:bCs/>
          <w:sz w:val="28"/>
          <w:szCs w:val="28"/>
          <w:lang w:val="en-US"/>
        </w:rPr>
      </w:pPr>
    </w:p>
    <w:p w14:paraId="5C11DDBB" w14:textId="6BB28533" w:rsidR="00091AC2" w:rsidRPr="00131E69" w:rsidRDefault="009A0057" w:rsidP="00E662DA">
      <w:pPr>
        <w:spacing w:before="120" w:after="120"/>
        <w:jc w:val="both"/>
        <w:rPr>
          <w:b/>
          <w:bCs/>
          <w:sz w:val="28"/>
          <w:szCs w:val="28"/>
          <w:lang w:val="en-US"/>
        </w:rPr>
      </w:pPr>
      <w:r w:rsidRPr="00131E69">
        <w:rPr>
          <w:b/>
          <w:bCs/>
          <w:sz w:val="28"/>
          <w:szCs w:val="28"/>
          <w:lang w:val="en-US"/>
        </w:rPr>
        <w:t xml:space="preserve">III.  </w:t>
      </w:r>
      <w:r w:rsidR="00987912" w:rsidRPr="00131E69">
        <w:rPr>
          <w:b/>
          <w:bCs/>
          <w:sz w:val="28"/>
          <w:szCs w:val="28"/>
          <w:lang w:val="en-US"/>
        </w:rPr>
        <w:t>Funding</w:t>
      </w:r>
      <w:r w:rsidR="00E52FA8">
        <w:rPr>
          <w:b/>
          <w:bCs/>
          <w:sz w:val="28"/>
          <w:szCs w:val="28"/>
          <w:lang w:val="en-US"/>
        </w:rPr>
        <w:t xml:space="preserve"> of Education :  Privatization  </w:t>
      </w:r>
    </w:p>
    <w:p w14:paraId="0D27463E" w14:textId="77777777" w:rsidR="00C6538B" w:rsidRDefault="00C6538B" w:rsidP="00EA34E0">
      <w:pPr>
        <w:spacing w:before="120" w:after="120"/>
        <w:jc w:val="both"/>
        <w:rPr>
          <w:sz w:val="28"/>
          <w:szCs w:val="28"/>
          <w:lang w:val="en-US"/>
        </w:rPr>
      </w:pPr>
    </w:p>
    <w:p w14:paraId="5DE4FC3F" w14:textId="66FCEF19" w:rsidR="00A55E16" w:rsidRPr="00131E69" w:rsidRDefault="00EA34E0" w:rsidP="00EA34E0">
      <w:pPr>
        <w:spacing w:before="120" w:after="120"/>
        <w:jc w:val="both"/>
        <w:rPr>
          <w:sz w:val="28"/>
          <w:szCs w:val="28"/>
          <w:lang w:val="en-US"/>
        </w:rPr>
      </w:pPr>
      <w:r w:rsidRPr="00131E69">
        <w:rPr>
          <w:sz w:val="28"/>
          <w:szCs w:val="28"/>
          <w:lang w:val="en-US"/>
        </w:rPr>
        <w:t>2</w:t>
      </w:r>
      <w:r w:rsidR="00550295">
        <w:rPr>
          <w:sz w:val="28"/>
          <w:szCs w:val="28"/>
          <w:lang w:val="en-US"/>
        </w:rPr>
        <w:t>4</w:t>
      </w:r>
      <w:r w:rsidRPr="00131E69">
        <w:rPr>
          <w:sz w:val="28"/>
          <w:szCs w:val="28"/>
          <w:lang w:val="en-US"/>
        </w:rPr>
        <w:t xml:space="preserve">.  </w:t>
      </w:r>
      <w:r w:rsidR="00A13CE5">
        <w:rPr>
          <w:sz w:val="28"/>
          <w:szCs w:val="28"/>
          <w:lang w:val="en-US"/>
        </w:rPr>
        <w:t>U</w:t>
      </w:r>
      <w:r w:rsidR="00A13CE5" w:rsidRPr="00365402">
        <w:rPr>
          <w:sz w:val="28"/>
          <w:szCs w:val="28"/>
          <w:lang w:val="en-US"/>
        </w:rPr>
        <w:t>.S. c</w:t>
      </w:r>
      <w:r w:rsidR="00483BE4" w:rsidRPr="00365402">
        <w:rPr>
          <w:sz w:val="28"/>
          <w:szCs w:val="28"/>
          <w:lang w:val="en-US"/>
        </w:rPr>
        <w:t>olleges and universities have institutionalized</w:t>
      </w:r>
      <w:r w:rsidR="00C7237F" w:rsidRPr="00365402">
        <w:rPr>
          <w:sz w:val="28"/>
          <w:szCs w:val="28"/>
          <w:lang w:val="en-US"/>
        </w:rPr>
        <w:t xml:space="preserve"> </w:t>
      </w:r>
      <w:r w:rsidR="00483BE4" w:rsidRPr="00365402">
        <w:rPr>
          <w:sz w:val="28"/>
          <w:szCs w:val="28"/>
          <w:lang w:val="en-US"/>
        </w:rPr>
        <w:t xml:space="preserve">academic </w:t>
      </w:r>
      <w:r w:rsidR="00A13CE5" w:rsidRPr="00365402">
        <w:rPr>
          <w:sz w:val="28"/>
          <w:szCs w:val="28"/>
          <w:lang w:val="en-US"/>
        </w:rPr>
        <w:t xml:space="preserve">“peer” </w:t>
      </w:r>
      <w:r w:rsidR="00483BE4" w:rsidRPr="00365402">
        <w:rPr>
          <w:sz w:val="28"/>
          <w:szCs w:val="28"/>
          <w:lang w:val="en-US"/>
        </w:rPr>
        <w:t xml:space="preserve">review of </w:t>
      </w:r>
      <w:r w:rsidR="00B97F08" w:rsidRPr="00365402">
        <w:rPr>
          <w:sz w:val="28"/>
          <w:szCs w:val="28"/>
          <w:lang w:val="en-US"/>
        </w:rPr>
        <w:t xml:space="preserve">sponsored </w:t>
      </w:r>
      <w:r w:rsidR="00483BE4" w:rsidRPr="00365402">
        <w:rPr>
          <w:sz w:val="28"/>
          <w:szCs w:val="28"/>
          <w:lang w:val="en-US"/>
        </w:rPr>
        <w:t>research, though administrators often manage these</w:t>
      </w:r>
      <w:r w:rsidR="00365402" w:rsidRPr="00365402">
        <w:rPr>
          <w:sz w:val="28"/>
          <w:szCs w:val="28"/>
          <w:lang w:val="en-US"/>
        </w:rPr>
        <w:t xml:space="preserve"> offices</w:t>
      </w:r>
      <w:r w:rsidR="00561A22" w:rsidRPr="00365402">
        <w:rPr>
          <w:sz w:val="28"/>
          <w:szCs w:val="28"/>
          <w:lang w:val="en-US"/>
        </w:rPr>
        <w:t>.</w:t>
      </w:r>
      <w:r w:rsidR="00483BE4" w:rsidRPr="00365402">
        <w:rPr>
          <w:sz w:val="28"/>
          <w:szCs w:val="28"/>
          <w:lang w:val="en-US"/>
        </w:rPr>
        <w:t xml:space="preserve"> </w:t>
      </w:r>
      <w:r w:rsidR="00B97F08" w:rsidRPr="00365402">
        <w:rPr>
          <w:sz w:val="28"/>
          <w:szCs w:val="28"/>
          <w:lang w:val="en-US"/>
        </w:rPr>
        <w:t>F</w:t>
      </w:r>
      <w:r w:rsidR="00483BE4" w:rsidRPr="00365402">
        <w:rPr>
          <w:sz w:val="28"/>
          <w:szCs w:val="28"/>
          <w:lang w:val="en-US"/>
        </w:rPr>
        <w:t xml:space="preserve">ederal government agencies such as </w:t>
      </w:r>
      <w:r w:rsidR="0037361B" w:rsidRPr="00365402">
        <w:rPr>
          <w:sz w:val="28"/>
          <w:szCs w:val="28"/>
          <w:lang w:val="en-US"/>
        </w:rPr>
        <w:t xml:space="preserve">the </w:t>
      </w:r>
      <w:r w:rsidR="00C7237F" w:rsidRPr="00365402">
        <w:rPr>
          <w:sz w:val="28"/>
          <w:szCs w:val="28"/>
          <w:lang w:val="en-US"/>
        </w:rPr>
        <w:t>National Endowment for the Humanities (NEH)</w:t>
      </w:r>
      <w:r w:rsidR="00561A22" w:rsidRPr="00365402">
        <w:rPr>
          <w:sz w:val="28"/>
          <w:szCs w:val="28"/>
          <w:lang w:val="en-US"/>
        </w:rPr>
        <w:t xml:space="preserve"> </w:t>
      </w:r>
      <w:r w:rsidR="00C7237F" w:rsidRPr="00365402">
        <w:rPr>
          <w:sz w:val="28"/>
          <w:szCs w:val="28"/>
          <w:lang w:val="en-US"/>
        </w:rPr>
        <w:t xml:space="preserve">and </w:t>
      </w:r>
      <w:r w:rsidR="00561A22" w:rsidRPr="00365402">
        <w:rPr>
          <w:sz w:val="28"/>
          <w:szCs w:val="28"/>
          <w:lang w:val="en-US"/>
        </w:rPr>
        <w:t xml:space="preserve">the </w:t>
      </w:r>
      <w:r w:rsidR="00483BE4" w:rsidRPr="00365402">
        <w:rPr>
          <w:sz w:val="28"/>
          <w:szCs w:val="28"/>
          <w:lang w:val="en-US"/>
        </w:rPr>
        <w:t>National</w:t>
      </w:r>
      <w:r w:rsidR="00C7237F" w:rsidRPr="00365402">
        <w:rPr>
          <w:sz w:val="28"/>
          <w:szCs w:val="28"/>
          <w:lang w:val="en-US"/>
        </w:rPr>
        <w:t xml:space="preserve"> Institute of Health</w:t>
      </w:r>
      <w:r w:rsidR="002E233C" w:rsidRPr="00365402">
        <w:rPr>
          <w:sz w:val="28"/>
          <w:szCs w:val="28"/>
          <w:lang w:val="en-US"/>
        </w:rPr>
        <w:t xml:space="preserve"> (NIH)</w:t>
      </w:r>
      <w:r w:rsidR="00C7237F" w:rsidRPr="00365402">
        <w:rPr>
          <w:sz w:val="28"/>
          <w:szCs w:val="28"/>
          <w:lang w:val="en-US"/>
        </w:rPr>
        <w:t xml:space="preserve">, agencies which </w:t>
      </w:r>
      <w:r w:rsidR="008813AA" w:rsidRPr="00365402">
        <w:rPr>
          <w:sz w:val="28"/>
          <w:szCs w:val="28"/>
          <w:lang w:val="en-US"/>
        </w:rPr>
        <w:t xml:space="preserve">primarily </w:t>
      </w:r>
      <w:r w:rsidR="00A55E16" w:rsidRPr="00365402">
        <w:rPr>
          <w:sz w:val="28"/>
          <w:szCs w:val="28"/>
          <w:lang w:val="en-US"/>
        </w:rPr>
        <w:t>fund intellectual research, often employ</w:t>
      </w:r>
      <w:r w:rsidR="008813AA" w:rsidRPr="00365402">
        <w:rPr>
          <w:sz w:val="28"/>
          <w:szCs w:val="28"/>
          <w:lang w:val="en-US"/>
        </w:rPr>
        <w:t xml:space="preserve"> peer review processes.</w:t>
      </w:r>
      <w:r w:rsidR="00D66738" w:rsidRPr="00365402">
        <w:rPr>
          <w:rStyle w:val="FootnoteReference"/>
          <w:sz w:val="28"/>
          <w:szCs w:val="28"/>
          <w:lang w:val="en-US"/>
        </w:rPr>
        <w:footnoteReference w:id="57"/>
      </w:r>
      <w:r w:rsidR="00D66738" w:rsidRPr="00131E69">
        <w:rPr>
          <w:sz w:val="28"/>
          <w:szCs w:val="28"/>
          <w:lang w:val="en-US"/>
        </w:rPr>
        <w:t xml:space="preserve"> </w:t>
      </w:r>
      <w:r w:rsidR="008813AA" w:rsidRPr="00131E69">
        <w:rPr>
          <w:sz w:val="28"/>
          <w:szCs w:val="28"/>
          <w:lang w:val="en-US"/>
        </w:rPr>
        <w:t xml:space="preserve"> Although </w:t>
      </w:r>
      <w:r w:rsidR="00A55E16" w:rsidRPr="00131E69">
        <w:rPr>
          <w:sz w:val="28"/>
          <w:szCs w:val="28"/>
          <w:lang w:val="en-US"/>
        </w:rPr>
        <w:t>government funding “</w:t>
      </w:r>
      <w:r w:rsidR="008813AA" w:rsidRPr="00131E69">
        <w:rPr>
          <w:sz w:val="28"/>
          <w:szCs w:val="28"/>
          <w:lang w:val="en-US"/>
        </w:rPr>
        <w:t>shapes research agendas through its descriptions of research interests and award of grants, the</w:t>
      </w:r>
      <w:r w:rsidR="00A55E16" w:rsidRPr="00131E69">
        <w:rPr>
          <w:sz w:val="28"/>
          <w:szCs w:val="28"/>
          <w:lang w:val="en-US"/>
        </w:rPr>
        <w:t xml:space="preserve"> </w:t>
      </w:r>
      <w:r w:rsidR="008813AA" w:rsidRPr="00131E69">
        <w:rPr>
          <w:sz w:val="28"/>
          <w:szCs w:val="28"/>
          <w:lang w:val="en-US"/>
        </w:rPr>
        <w:t>public-interest ethos of some agencies and the peer review process place constraints</w:t>
      </w:r>
      <w:r w:rsidR="00A13CE5">
        <w:rPr>
          <w:sz w:val="28"/>
          <w:szCs w:val="28"/>
          <w:lang w:val="en-US"/>
        </w:rPr>
        <w:t xml:space="preserve"> </w:t>
      </w:r>
      <w:r w:rsidR="008813AA" w:rsidRPr="00131E69">
        <w:rPr>
          <w:sz w:val="28"/>
          <w:szCs w:val="28"/>
          <w:lang w:val="en-US"/>
        </w:rPr>
        <w:t>on the use of</w:t>
      </w:r>
      <w:r w:rsidR="00A55E16" w:rsidRPr="00131E69">
        <w:rPr>
          <w:sz w:val="28"/>
          <w:szCs w:val="28"/>
          <w:lang w:val="en-US"/>
        </w:rPr>
        <w:t xml:space="preserve"> </w:t>
      </w:r>
      <w:r w:rsidR="008813AA" w:rsidRPr="00131E69">
        <w:rPr>
          <w:sz w:val="28"/>
          <w:szCs w:val="28"/>
          <w:lang w:val="en-US"/>
        </w:rPr>
        <w:t>agency power or personal financial interests to skew research grants in an</w:t>
      </w:r>
      <w:r w:rsidR="00A13CE5">
        <w:rPr>
          <w:sz w:val="28"/>
          <w:szCs w:val="28"/>
          <w:lang w:val="en-US"/>
        </w:rPr>
        <w:t>…</w:t>
      </w:r>
      <w:r w:rsidR="008813AA" w:rsidRPr="00131E69">
        <w:rPr>
          <w:sz w:val="28"/>
          <w:szCs w:val="28"/>
          <w:lang w:val="en-US"/>
        </w:rPr>
        <w:t xml:space="preserve"> anti-democratic direction</w:t>
      </w:r>
      <w:r w:rsidR="00D66738" w:rsidRPr="00131E69">
        <w:rPr>
          <w:sz w:val="28"/>
          <w:szCs w:val="28"/>
          <w:lang w:val="en-US"/>
        </w:rPr>
        <w:t>.</w:t>
      </w:r>
      <w:r w:rsidR="00D66738" w:rsidRPr="00131E69">
        <w:rPr>
          <w:rStyle w:val="FootnoteReference"/>
          <w:sz w:val="28"/>
          <w:szCs w:val="28"/>
          <w:lang w:val="en-US"/>
        </w:rPr>
        <w:footnoteReference w:id="58"/>
      </w:r>
      <w:r w:rsidR="00B97F08" w:rsidRPr="00131E69">
        <w:rPr>
          <w:sz w:val="28"/>
          <w:szCs w:val="28"/>
          <w:lang w:val="en-US"/>
        </w:rPr>
        <w:t xml:space="preserve"> </w:t>
      </w:r>
    </w:p>
    <w:p w14:paraId="10C7D90F" w14:textId="77777777" w:rsidR="00A55E16" w:rsidRPr="00131E69" w:rsidRDefault="00A55E16" w:rsidP="00E662DA">
      <w:pPr>
        <w:pStyle w:val="Heading3"/>
        <w:shd w:val="clear" w:color="auto" w:fill="FFFFFF"/>
        <w:jc w:val="both"/>
        <w:rPr>
          <w:b w:val="0"/>
          <w:sz w:val="28"/>
          <w:szCs w:val="28"/>
          <w:lang w:val="en-US"/>
        </w:rPr>
      </w:pPr>
    </w:p>
    <w:p w14:paraId="4BF9B0AF" w14:textId="55F9730B" w:rsidR="00E272B8" w:rsidRPr="00131E69" w:rsidRDefault="00A55E16" w:rsidP="00E662DA">
      <w:pPr>
        <w:pStyle w:val="Heading3"/>
        <w:shd w:val="clear" w:color="auto" w:fill="FFFFFF"/>
        <w:jc w:val="both"/>
        <w:rPr>
          <w:b w:val="0"/>
          <w:sz w:val="28"/>
          <w:szCs w:val="28"/>
          <w:lang w:val="en-US"/>
        </w:rPr>
      </w:pPr>
      <w:r w:rsidRPr="00131E69">
        <w:rPr>
          <w:b w:val="0"/>
          <w:sz w:val="28"/>
          <w:szCs w:val="28"/>
          <w:lang w:val="en-US"/>
        </w:rPr>
        <w:t>2</w:t>
      </w:r>
      <w:r w:rsidR="00550295">
        <w:rPr>
          <w:b w:val="0"/>
          <w:sz w:val="28"/>
          <w:szCs w:val="28"/>
          <w:lang w:val="en-US"/>
        </w:rPr>
        <w:t>5</w:t>
      </w:r>
      <w:r w:rsidRPr="00131E69">
        <w:rPr>
          <w:b w:val="0"/>
          <w:sz w:val="28"/>
          <w:szCs w:val="28"/>
          <w:lang w:val="en-US"/>
        </w:rPr>
        <w:t xml:space="preserve">.  </w:t>
      </w:r>
      <w:r w:rsidR="00D66738" w:rsidRPr="00131E69">
        <w:rPr>
          <w:b w:val="0"/>
          <w:sz w:val="28"/>
          <w:szCs w:val="28"/>
          <w:lang w:val="en-US"/>
        </w:rPr>
        <w:t xml:space="preserve">However, federal government funding of academic research has declined.  </w:t>
      </w:r>
      <w:r w:rsidR="00FE7724" w:rsidRPr="00131E69">
        <w:rPr>
          <w:b w:val="0"/>
          <w:sz w:val="28"/>
          <w:szCs w:val="28"/>
          <w:lang w:val="en-US"/>
        </w:rPr>
        <w:t>During the post</w:t>
      </w:r>
      <w:r w:rsidR="0037361B" w:rsidRPr="00131E69">
        <w:rPr>
          <w:b w:val="0"/>
          <w:sz w:val="28"/>
          <w:szCs w:val="28"/>
          <w:lang w:val="en-US"/>
        </w:rPr>
        <w:t>-</w:t>
      </w:r>
      <w:r w:rsidR="00FE7724" w:rsidRPr="00131E69">
        <w:rPr>
          <w:b w:val="0"/>
          <w:sz w:val="28"/>
          <w:szCs w:val="28"/>
          <w:lang w:val="en-US"/>
        </w:rPr>
        <w:t>World</w:t>
      </w:r>
      <w:r w:rsidR="00A13CE5">
        <w:rPr>
          <w:b w:val="0"/>
          <w:sz w:val="28"/>
          <w:szCs w:val="28"/>
          <w:lang w:val="en-US"/>
        </w:rPr>
        <w:t xml:space="preserve"> </w:t>
      </w:r>
      <w:r w:rsidR="00FE7724" w:rsidRPr="00131E69">
        <w:rPr>
          <w:b w:val="0"/>
          <w:sz w:val="28"/>
          <w:szCs w:val="28"/>
          <w:lang w:val="en-US"/>
        </w:rPr>
        <w:t xml:space="preserve">War II expansion of public funding for academic research, the federal government provided </w:t>
      </w:r>
      <w:r w:rsidR="00D66738" w:rsidRPr="00131E69">
        <w:rPr>
          <w:b w:val="0"/>
          <w:sz w:val="28"/>
          <w:szCs w:val="28"/>
          <w:lang w:val="en-US"/>
        </w:rPr>
        <w:t>60 to 70 percent of university research support</w:t>
      </w:r>
      <w:r w:rsidR="00FE7724" w:rsidRPr="00131E69">
        <w:rPr>
          <w:b w:val="0"/>
          <w:sz w:val="28"/>
          <w:szCs w:val="28"/>
          <w:lang w:val="en-US"/>
        </w:rPr>
        <w:t xml:space="preserve">.  After  the Reagan administration launched neoliberal policies in the 1980s, </w:t>
      </w:r>
      <w:r w:rsidR="006519C0" w:rsidRPr="00131E69">
        <w:rPr>
          <w:b w:val="0"/>
          <w:sz w:val="28"/>
          <w:szCs w:val="28"/>
          <w:lang w:val="en-US"/>
        </w:rPr>
        <w:t>this support declined, such that federal funding dec</w:t>
      </w:r>
      <w:r w:rsidR="00E272B8" w:rsidRPr="00131E69">
        <w:rPr>
          <w:b w:val="0"/>
          <w:sz w:val="28"/>
          <w:szCs w:val="28"/>
          <w:lang w:val="en-US"/>
        </w:rPr>
        <w:t xml:space="preserve">reased </w:t>
      </w:r>
      <w:r w:rsidR="006519C0" w:rsidRPr="00131E69">
        <w:rPr>
          <w:b w:val="0"/>
          <w:sz w:val="28"/>
          <w:szCs w:val="28"/>
          <w:lang w:val="en-US"/>
        </w:rPr>
        <w:t xml:space="preserve">from 57 percent to 51 percent </w:t>
      </w:r>
      <w:r w:rsidR="004C2608" w:rsidRPr="00131E69">
        <w:rPr>
          <w:b w:val="0"/>
          <w:sz w:val="28"/>
          <w:szCs w:val="28"/>
          <w:lang w:val="en-US"/>
        </w:rPr>
        <w:t>between</w:t>
      </w:r>
      <w:r w:rsidR="006519C0" w:rsidRPr="00131E69">
        <w:rPr>
          <w:b w:val="0"/>
          <w:sz w:val="28"/>
          <w:szCs w:val="28"/>
          <w:lang w:val="en-US"/>
        </w:rPr>
        <w:t xml:space="preserve"> 2000 and 2017 alone.</w:t>
      </w:r>
      <w:r w:rsidR="001A3463" w:rsidRPr="00131E69">
        <w:rPr>
          <w:rStyle w:val="FootnoteReference"/>
          <w:b w:val="0"/>
          <w:sz w:val="28"/>
          <w:szCs w:val="28"/>
          <w:lang w:val="en-US"/>
        </w:rPr>
        <w:footnoteReference w:id="59"/>
      </w:r>
      <w:r w:rsidR="006519C0" w:rsidRPr="00131E69">
        <w:rPr>
          <w:b w:val="0"/>
          <w:sz w:val="28"/>
          <w:szCs w:val="28"/>
          <w:lang w:val="en-US"/>
        </w:rPr>
        <w:t xml:space="preserve">  </w:t>
      </w:r>
      <w:r w:rsidR="006519C0" w:rsidRPr="00365402">
        <w:rPr>
          <w:b w:val="0"/>
          <w:sz w:val="28"/>
          <w:szCs w:val="28"/>
          <w:lang w:val="en-US"/>
        </w:rPr>
        <w:t>The 1980s</w:t>
      </w:r>
      <w:r w:rsidR="00A13CE5" w:rsidRPr="00365402">
        <w:rPr>
          <w:b w:val="0"/>
          <w:sz w:val="28"/>
          <w:szCs w:val="28"/>
          <w:lang w:val="en-US"/>
        </w:rPr>
        <w:t xml:space="preserve"> push</w:t>
      </w:r>
      <w:r w:rsidR="006519C0" w:rsidRPr="00365402">
        <w:rPr>
          <w:b w:val="0"/>
          <w:sz w:val="28"/>
          <w:szCs w:val="28"/>
          <w:lang w:val="en-US"/>
        </w:rPr>
        <w:t xml:space="preserve"> for privatizing and decreasing public se</w:t>
      </w:r>
      <w:r w:rsidR="001A3463" w:rsidRPr="00365402">
        <w:rPr>
          <w:b w:val="0"/>
          <w:sz w:val="28"/>
          <w:szCs w:val="28"/>
          <w:lang w:val="en-US"/>
        </w:rPr>
        <w:t>r</w:t>
      </w:r>
      <w:r w:rsidR="006519C0" w:rsidRPr="00365402">
        <w:rPr>
          <w:b w:val="0"/>
          <w:sz w:val="28"/>
          <w:szCs w:val="28"/>
          <w:lang w:val="en-US"/>
        </w:rPr>
        <w:t>vices</w:t>
      </w:r>
      <w:r w:rsidR="001A3463" w:rsidRPr="00365402">
        <w:rPr>
          <w:b w:val="0"/>
          <w:sz w:val="28"/>
          <w:szCs w:val="28"/>
          <w:lang w:val="en-US"/>
        </w:rPr>
        <w:t xml:space="preserve"> led to the p</w:t>
      </w:r>
      <w:r w:rsidR="006519C0" w:rsidRPr="00365402">
        <w:rPr>
          <w:b w:val="0"/>
          <w:sz w:val="28"/>
          <w:szCs w:val="28"/>
          <w:lang w:val="en-US"/>
        </w:rPr>
        <w:t>rivatiz</w:t>
      </w:r>
      <w:r w:rsidR="001A3463" w:rsidRPr="00365402">
        <w:rPr>
          <w:b w:val="0"/>
          <w:sz w:val="28"/>
          <w:szCs w:val="28"/>
          <w:lang w:val="en-US"/>
        </w:rPr>
        <w:t>ation of</w:t>
      </w:r>
      <w:r w:rsidR="0001635E" w:rsidRPr="00365402">
        <w:rPr>
          <w:b w:val="0"/>
          <w:sz w:val="28"/>
          <w:szCs w:val="28"/>
          <w:lang w:val="en-US"/>
        </w:rPr>
        <w:t xml:space="preserve"> </w:t>
      </w:r>
      <w:r w:rsidR="00561A22" w:rsidRPr="00365402">
        <w:rPr>
          <w:b w:val="0"/>
          <w:sz w:val="28"/>
          <w:szCs w:val="28"/>
          <w:lang w:val="en-US"/>
        </w:rPr>
        <w:t xml:space="preserve">a host of </w:t>
      </w:r>
      <w:r w:rsidR="001A3463" w:rsidRPr="00365402">
        <w:rPr>
          <w:b w:val="0"/>
          <w:sz w:val="28"/>
          <w:szCs w:val="28"/>
          <w:lang w:val="en-US"/>
        </w:rPr>
        <w:t xml:space="preserve">public </w:t>
      </w:r>
      <w:r w:rsidR="004C2608" w:rsidRPr="00365402">
        <w:rPr>
          <w:b w:val="0"/>
          <w:sz w:val="28"/>
          <w:szCs w:val="28"/>
          <w:lang w:val="en-US"/>
        </w:rPr>
        <w:t>functions</w:t>
      </w:r>
      <w:r w:rsidR="006519C0" w:rsidRPr="00365402">
        <w:rPr>
          <w:b w:val="0"/>
          <w:sz w:val="28"/>
          <w:szCs w:val="28"/>
          <w:lang w:val="en-US"/>
        </w:rPr>
        <w:t xml:space="preserve">, </w:t>
      </w:r>
      <w:r w:rsidR="00601791" w:rsidRPr="00365402">
        <w:rPr>
          <w:b w:val="0"/>
          <w:sz w:val="28"/>
          <w:szCs w:val="28"/>
          <w:lang w:val="en-US"/>
        </w:rPr>
        <w:t xml:space="preserve">including of </w:t>
      </w:r>
      <w:r w:rsidR="006519C0" w:rsidRPr="00365402">
        <w:rPr>
          <w:b w:val="0"/>
          <w:sz w:val="28"/>
          <w:szCs w:val="28"/>
          <w:lang w:val="en-US"/>
        </w:rPr>
        <w:t>prima</w:t>
      </w:r>
      <w:r w:rsidR="001A3463" w:rsidRPr="00365402">
        <w:rPr>
          <w:b w:val="0"/>
          <w:sz w:val="28"/>
          <w:szCs w:val="28"/>
          <w:lang w:val="en-US"/>
        </w:rPr>
        <w:t>r</w:t>
      </w:r>
      <w:r w:rsidR="006519C0" w:rsidRPr="00365402">
        <w:rPr>
          <w:b w:val="0"/>
          <w:sz w:val="28"/>
          <w:szCs w:val="28"/>
          <w:lang w:val="en-US"/>
        </w:rPr>
        <w:t>y and secondary schools</w:t>
      </w:r>
      <w:r w:rsidR="00561A22" w:rsidRPr="00365402">
        <w:rPr>
          <w:b w:val="0"/>
          <w:sz w:val="28"/>
          <w:szCs w:val="28"/>
          <w:lang w:val="en-US"/>
        </w:rPr>
        <w:t>.</w:t>
      </w:r>
      <w:r w:rsidR="006519C0" w:rsidRPr="00365402">
        <w:rPr>
          <w:b w:val="0"/>
          <w:sz w:val="28"/>
          <w:szCs w:val="28"/>
          <w:lang w:val="en-US"/>
        </w:rPr>
        <w:t xml:space="preserve"> </w:t>
      </w:r>
      <w:r w:rsidR="006519C0" w:rsidRPr="00365402">
        <w:rPr>
          <w:rStyle w:val="FootnoteReference"/>
          <w:b w:val="0"/>
          <w:sz w:val="28"/>
          <w:szCs w:val="28"/>
          <w:lang w:val="en-US"/>
        </w:rPr>
        <w:footnoteReference w:id="60"/>
      </w:r>
      <w:r w:rsidR="0001635E" w:rsidRPr="00365402">
        <w:rPr>
          <w:b w:val="0"/>
          <w:sz w:val="28"/>
          <w:szCs w:val="28"/>
          <w:lang w:val="en-US"/>
        </w:rPr>
        <w:t xml:space="preserve"> This was accompanied by promulgation of laws such as the  1980 Bayh-Dole Act,</w:t>
      </w:r>
      <w:r w:rsidR="0001635E" w:rsidRPr="00131E69">
        <w:rPr>
          <w:b w:val="0"/>
          <w:sz w:val="28"/>
          <w:szCs w:val="28"/>
          <w:lang w:val="en-US"/>
        </w:rPr>
        <w:t xml:space="preserve"> which</w:t>
      </w:r>
      <w:r w:rsidR="00E272B8" w:rsidRPr="00131E69">
        <w:rPr>
          <w:b w:val="0"/>
          <w:sz w:val="28"/>
          <w:szCs w:val="28"/>
          <w:lang w:val="en-US"/>
        </w:rPr>
        <w:t xml:space="preserve"> together </w:t>
      </w:r>
      <w:r w:rsidR="0001635E" w:rsidRPr="00131E69">
        <w:rPr>
          <w:b w:val="0"/>
          <w:sz w:val="28"/>
          <w:szCs w:val="28"/>
          <w:lang w:val="en-US"/>
        </w:rPr>
        <w:t xml:space="preserve">with the corporatization of the university </w:t>
      </w:r>
      <w:r w:rsidR="0037361B" w:rsidRPr="00131E69">
        <w:rPr>
          <w:b w:val="0"/>
          <w:sz w:val="28"/>
          <w:szCs w:val="28"/>
          <w:lang w:val="en-US"/>
        </w:rPr>
        <w:t>incentivized th</w:t>
      </w:r>
      <w:r w:rsidR="00561A22">
        <w:rPr>
          <w:b w:val="0"/>
          <w:sz w:val="28"/>
          <w:szCs w:val="28"/>
          <w:lang w:val="en-US"/>
        </w:rPr>
        <w:t>e</w:t>
      </w:r>
      <w:r w:rsidR="00F03F4C">
        <w:rPr>
          <w:b w:val="0"/>
          <w:sz w:val="28"/>
          <w:szCs w:val="28"/>
          <w:lang w:val="en-US"/>
        </w:rPr>
        <w:t xml:space="preserve"> </w:t>
      </w:r>
      <w:r w:rsidR="0001635E" w:rsidRPr="00131E69">
        <w:rPr>
          <w:b w:val="0"/>
          <w:sz w:val="28"/>
          <w:szCs w:val="28"/>
          <w:lang w:val="en-US"/>
        </w:rPr>
        <w:t>commercializ</w:t>
      </w:r>
      <w:r w:rsidR="00561A22">
        <w:rPr>
          <w:b w:val="0"/>
          <w:sz w:val="28"/>
          <w:szCs w:val="28"/>
          <w:lang w:val="en-US"/>
        </w:rPr>
        <w:t>ation of</w:t>
      </w:r>
      <w:r w:rsidR="0001635E" w:rsidRPr="00131E69">
        <w:rPr>
          <w:b w:val="0"/>
          <w:sz w:val="28"/>
          <w:szCs w:val="28"/>
          <w:lang w:val="en-US"/>
        </w:rPr>
        <w:t xml:space="preserve"> academic research.</w:t>
      </w:r>
      <w:r w:rsidR="00E272B8" w:rsidRPr="00131E69">
        <w:rPr>
          <w:rStyle w:val="FootnoteReference"/>
          <w:b w:val="0"/>
          <w:sz w:val="28"/>
          <w:szCs w:val="28"/>
          <w:lang w:val="en-US"/>
        </w:rPr>
        <w:footnoteReference w:id="61"/>
      </w:r>
      <w:r w:rsidR="0001635E" w:rsidRPr="00131E69">
        <w:rPr>
          <w:b w:val="0"/>
          <w:sz w:val="28"/>
          <w:szCs w:val="28"/>
          <w:lang w:val="en-US"/>
        </w:rPr>
        <w:t xml:space="preserve">  </w:t>
      </w:r>
      <w:r w:rsidR="00E272B8" w:rsidRPr="00131E69">
        <w:rPr>
          <w:b w:val="0"/>
          <w:sz w:val="28"/>
          <w:szCs w:val="28"/>
          <w:lang w:val="en-US"/>
        </w:rPr>
        <w:t>The Act</w:t>
      </w:r>
      <w:r w:rsidR="0001635E" w:rsidRPr="00131E69">
        <w:rPr>
          <w:b w:val="0"/>
          <w:sz w:val="28"/>
          <w:szCs w:val="28"/>
          <w:lang w:val="en-US"/>
        </w:rPr>
        <w:t xml:space="preserve"> </w:t>
      </w:r>
      <w:r w:rsidR="00E272B8" w:rsidRPr="00131E69">
        <w:rPr>
          <w:b w:val="0"/>
          <w:sz w:val="28"/>
          <w:szCs w:val="28"/>
          <w:lang w:val="en-US"/>
        </w:rPr>
        <w:t>“</w:t>
      </w:r>
      <w:r w:rsidR="0001635E" w:rsidRPr="00131E69">
        <w:rPr>
          <w:b w:val="0"/>
          <w:sz w:val="28"/>
          <w:szCs w:val="28"/>
          <w:lang w:val="en-US"/>
        </w:rPr>
        <w:t>permits and encourages universities and other federal fund recipients to patent and license research resulting from the use of federal funds, including exclusive licenses to for-profit corporations</w:t>
      </w:r>
      <w:r w:rsidR="00E272B8" w:rsidRPr="00131E69">
        <w:rPr>
          <w:b w:val="0"/>
          <w:sz w:val="28"/>
          <w:szCs w:val="28"/>
          <w:lang w:val="en-US"/>
        </w:rPr>
        <w:t>.”</w:t>
      </w:r>
      <w:r w:rsidR="00E272B8" w:rsidRPr="00131E69">
        <w:rPr>
          <w:rStyle w:val="FootnoteReference"/>
          <w:b w:val="0"/>
          <w:sz w:val="28"/>
          <w:szCs w:val="28"/>
          <w:lang w:val="en-US"/>
        </w:rPr>
        <w:footnoteReference w:id="62"/>
      </w:r>
    </w:p>
    <w:p w14:paraId="5588BD29" w14:textId="79CD9FB7" w:rsidR="005C51D6" w:rsidRPr="00131E69" w:rsidRDefault="005C51D6" w:rsidP="00E662DA">
      <w:pPr>
        <w:jc w:val="both"/>
        <w:rPr>
          <w:sz w:val="28"/>
          <w:szCs w:val="28"/>
          <w:lang w:val="en-US"/>
        </w:rPr>
      </w:pPr>
    </w:p>
    <w:p w14:paraId="607516CE" w14:textId="50A11917" w:rsidR="005C51D6" w:rsidRPr="00131E69" w:rsidRDefault="005C51D6" w:rsidP="00E662DA">
      <w:pPr>
        <w:jc w:val="both"/>
        <w:rPr>
          <w:sz w:val="28"/>
          <w:szCs w:val="28"/>
          <w:u w:val="single"/>
          <w:lang w:val="en-US"/>
        </w:rPr>
      </w:pPr>
      <w:r w:rsidRPr="00131E69">
        <w:rPr>
          <w:sz w:val="28"/>
          <w:szCs w:val="28"/>
          <w:u w:val="single"/>
          <w:lang w:val="en-US"/>
        </w:rPr>
        <w:t>Privatization in Public Education - K-12</w:t>
      </w:r>
    </w:p>
    <w:p w14:paraId="6A70B665" w14:textId="77777777" w:rsidR="00E272B8" w:rsidRPr="00131E69" w:rsidRDefault="00E272B8" w:rsidP="00E662DA">
      <w:pPr>
        <w:jc w:val="both"/>
        <w:rPr>
          <w:sz w:val="28"/>
          <w:szCs w:val="28"/>
          <w:lang w:val="en-US"/>
        </w:rPr>
      </w:pPr>
    </w:p>
    <w:p w14:paraId="7C51BDFC" w14:textId="11F88448" w:rsidR="00CD588F" w:rsidRPr="00131E69" w:rsidRDefault="00EA34E0" w:rsidP="00E662DA">
      <w:pPr>
        <w:pStyle w:val="Heading3"/>
        <w:shd w:val="clear" w:color="auto" w:fill="FFFFFF"/>
        <w:jc w:val="both"/>
        <w:rPr>
          <w:b w:val="0"/>
          <w:sz w:val="28"/>
          <w:szCs w:val="28"/>
          <w:lang w:val="en-US"/>
        </w:rPr>
      </w:pPr>
      <w:r w:rsidRPr="00131E69">
        <w:rPr>
          <w:b w:val="0"/>
          <w:sz w:val="28"/>
          <w:szCs w:val="28"/>
          <w:lang w:val="en-US"/>
        </w:rPr>
        <w:t>2</w:t>
      </w:r>
      <w:r w:rsidR="00550295">
        <w:rPr>
          <w:b w:val="0"/>
          <w:sz w:val="28"/>
          <w:szCs w:val="28"/>
          <w:lang w:val="en-US"/>
        </w:rPr>
        <w:t>6</w:t>
      </w:r>
      <w:r w:rsidR="00E272B8" w:rsidRPr="00131E69">
        <w:rPr>
          <w:b w:val="0"/>
          <w:sz w:val="28"/>
          <w:szCs w:val="28"/>
          <w:lang w:val="en-US"/>
        </w:rPr>
        <w:t xml:space="preserve">.  </w:t>
      </w:r>
      <w:r w:rsidR="003229FA" w:rsidRPr="00131E69">
        <w:rPr>
          <w:b w:val="0"/>
          <w:sz w:val="28"/>
          <w:szCs w:val="28"/>
          <w:lang w:val="en-US"/>
        </w:rPr>
        <w:t xml:space="preserve">The </w:t>
      </w:r>
      <w:r w:rsidR="00542FDB" w:rsidRPr="00131E69">
        <w:rPr>
          <w:b w:val="0"/>
          <w:sz w:val="28"/>
          <w:szCs w:val="28"/>
          <w:lang w:val="en-US"/>
        </w:rPr>
        <w:t xml:space="preserve">move to </w:t>
      </w:r>
      <w:r w:rsidR="003229FA" w:rsidRPr="00131E69">
        <w:rPr>
          <w:b w:val="0"/>
          <w:sz w:val="28"/>
          <w:szCs w:val="28"/>
          <w:lang w:val="en-US"/>
        </w:rPr>
        <w:t>privatiz</w:t>
      </w:r>
      <w:r w:rsidR="00542FDB" w:rsidRPr="00131E69">
        <w:rPr>
          <w:b w:val="0"/>
          <w:sz w:val="28"/>
          <w:szCs w:val="28"/>
          <w:lang w:val="en-US"/>
        </w:rPr>
        <w:t>e</w:t>
      </w:r>
      <w:r w:rsidR="003229FA" w:rsidRPr="00131E69">
        <w:rPr>
          <w:b w:val="0"/>
          <w:sz w:val="28"/>
          <w:szCs w:val="28"/>
          <w:lang w:val="en-US"/>
        </w:rPr>
        <w:t xml:space="preserve"> </w:t>
      </w:r>
      <w:r w:rsidR="00561A22">
        <w:rPr>
          <w:b w:val="0"/>
          <w:sz w:val="28"/>
          <w:szCs w:val="28"/>
          <w:lang w:val="en-US"/>
        </w:rPr>
        <w:t>public education (</w:t>
      </w:r>
      <w:r w:rsidR="003229FA" w:rsidRPr="00131E69">
        <w:rPr>
          <w:b w:val="0"/>
          <w:sz w:val="28"/>
          <w:szCs w:val="28"/>
          <w:lang w:val="en-US"/>
        </w:rPr>
        <w:t xml:space="preserve">K-12 </w:t>
      </w:r>
      <w:r w:rsidR="00542FDB" w:rsidRPr="00131E69">
        <w:rPr>
          <w:b w:val="0"/>
          <w:sz w:val="28"/>
          <w:szCs w:val="28"/>
          <w:lang w:val="en-US"/>
        </w:rPr>
        <w:t>schools</w:t>
      </w:r>
      <w:r w:rsidR="00561A22">
        <w:rPr>
          <w:b w:val="0"/>
          <w:sz w:val="28"/>
          <w:szCs w:val="28"/>
          <w:lang w:val="en-US"/>
        </w:rPr>
        <w:t>)</w:t>
      </w:r>
      <w:r w:rsidR="00542FDB" w:rsidRPr="00131E69">
        <w:rPr>
          <w:b w:val="0"/>
          <w:sz w:val="28"/>
          <w:szCs w:val="28"/>
          <w:lang w:val="en-US"/>
        </w:rPr>
        <w:t xml:space="preserve"> </w:t>
      </w:r>
      <w:r w:rsidR="003229FA" w:rsidRPr="00131E69">
        <w:rPr>
          <w:b w:val="0"/>
          <w:sz w:val="28"/>
          <w:szCs w:val="28"/>
          <w:lang w:val="en-US"/>
        </w:rPr>
        <w:t xml:space="preserve">has had bipartisan support, captured in part by policies </w:t>
      </w:r>
      <w:r w:rsidR="00F03F4C">
        <w:rPr>
          <w:b w:val="0"/>
          <w:sz w:val="28"/>
          <w:szCs w:val="28"/>
          <w:lang w:val="en-US"/>
        </w:rPr>
        <w:t>of the</w:t>
      </w:r>
      <w:r w:rsidR="003229FA" w:rsidRPr="00131E69">
        <w:rPr>
          <w:b w:val="0"/>
          <w:sz w:val="28"/>
          <w:szCs w:val="28"/>
          <w:lang w:val="en-US"/>
        </w:rPr>
        <w:t xml:space="preserve"> G</w:t>
      </w:r>
      <w:r w:rsidR="00542FDB" w:rsidRPr="00131E69">
        <w:rPr>
          <w:b w:val="0"/>
          <w:sz w:val="28"/>
          <w:szCs w:val="28"/>
          <w:lang w:val="en-US"/>
        </w:rPr>
        <w:t>.W.</w:t>
      </w:r>
      <w:r w:rsidR="003229FA" w:rsidRPr="00131E69">
        <w:rPr>
          <w:b w:val="0"/>
          <w:sz w:val="28"/>
          <w:szCs w:val="28"/>
          <w:lang w:val="en-US"/>
        </w:rPr>
        <w:t xml:space="preserve"> Bush</w:t>
      </w:r>
      <w:r w:rsidR="00542FDB" w:rsidRPr="00131E69">
        <w:rPr>
          <w:b w:val="0"/>
          <w:sz w:val="28"/>
          <w:szCs w:val="28"/>
          <w:lang w:val="en-US"/>
        </w:rPr>
        <w:t>,</w:t>
      </w:r>
      <w:r w:rsidR="003229FA" w:rsidRPr="00131E69">
        <w:rPr>
          <w:b w:val="0"/>
          <w:sz w:val="28"/>
          <w:szCs w:val="28"/>
          <w:lang w:val="en-US"/>
        </w:rPr>
        <w:t xml:space="preserve"> Obama </w:t>
      </w:r>
      <w:r w:rsidR="00542FDB" w:rsidRPr="00131E69">
        <w:rPr>
          <w:b w:val="0"/>
          <w:sz w:val="28"/>
          <w:szCs w:val="28"/>
          <w:lang w:val="en-US"/>
        </w:rPr>
        <w:t xml:space="preserve">and </w:t>
      </w:r>
      <w:r w:rsidR="003229FA" w:rsidRPr="00131E69">
        <w:rPr>
          <w:b w:val="0"/>
          <w:sz w:val="28"/>
          <w:szCs w:val="28"/>
          <w:lang w:val="en-US"/>
        </w:rPr>
        <w:t xml:space="preserve">Trump </w:t>
      </w:r>
      <w:r w:rsidR="004C2608" w:rsidRPr="00131E69">
        <w:rPr>
          <w:b w:val="0"/>
          <w:sz w:val="28"/>
          <w:szCs w:val="28"/>
          <w:lang w:val="en-US"/>
        </w:rPr>
        <w:t>administrations</w:t>
      </w:r>
      <w:r w:rsidR="00CD588F" w:rsidRPr="00131E69">
        <w:rPr>
          <w:b w:val="0"/>
          <w:sz w:val="28"/>
          <w:szCs w:val="28"/>
          <w:lang w:val="en-US"/>
        </w:rPr>
        <w:t>.  Ho</w:t>
      </w:r>
      <w:r w:rsidR="00826BE2" w:rsidRPr="00131E69">
        <w:rPr>
          <w:b w:val="0"/>
          <w:sz w:val="28"/>
          <w:szCs w:val="28"/>
          <w:lang w:val="en-US"/>
        </w:rPr>
        <w:t xml:space="preserve">wever, </w:t>
      </w:r>
      <w:r w:rsidR="00125D9E" w:rsidRPr="00131E69">
        <w:rPr>
          <w:b w:val="0"/>
          <w:sz w:val="28"/>
          <w:szCs w:val="28"/>
          <w:lang w:val="en-US"/>
        </w:rPr>
        <w:t xml:space="preserve">the K-12 </w:t>
      </w:r>
      <w:r w:rsidR="00CD588F" w:rsidRPr="00131E69">
        <w:rPr>
          <w:b w:val="0"/>
          <w:sz w:val="28"/>
          <w:szCs w:val="28"/>
          <w:lang w:val="en-US"/>
        </w:rPr>
        <w:t>privatization</w:t>
      </w:r>
      <w:r w:rsidR="00125D9E" w:rsidRPr="00131E69">
        <w:rPr>
          <w:b w:val="0"/>
          <w:sz w:val="28"/>
          <w:szCs w:val="28"/>
          <w:lang w:val="en-US"/>
        </w:rPr>
        <w:t xml:space="preserve"> agenda is </w:t>
      </w:r>
      <w:r w:rsidR="004A6B59" w:rsidRPr="00131E69">
        <w:rPr>
          <w:b w:val="0"/>
          <w:sz w:val="28"/>
          <w:szCs w:val="28"/>
          <w:lang w:val="en-US"/>
        </w:rPr>
        <w:t>funded and led “</w:t>
      </w:r>
      <w:r w:rsidR="00125D9E" w:rsidRPr="00131E69">
        <w:rPr>
          <w:b w:val="0"/>
          <w:sz w:val="28"/>
          <w:szCs w:val="28"/>
          <w:lang w:val="en-US"/>
        </w:rPr>
        <w:t>by a very small group of American billionaires,”</w:t>
      </w:r>
      <w:r w:rsidR="004A6B59" w:rsidRPr="00131E69">
        <w:rPr>
          <w:rStyle w:val="FootnoteReference"/>
          <w:b w:val="0"/>
          <w:sz w:val="28"/>
          <w:szCs w:val="28"/>
          <w:lang w:val="en-US"/>
        </w:rPr>
        <w:footnoteReference w:id="63"/>
      </w:r>
      <w:r w:rsidR="00125D9E" w:rsidRPr="00131E69">
        <w:rPr>
          <w:b w:val="0"/>
          <w:sz w:val="28"/>
          <w:szCs w:val="28"/>
          <w:lang w:val="en-US"/>
        </w:rPr>
        <w:t xml:space="preserve"> from the Walton family (Walmart), Bill Gates (Bill &amp; Melinda Gates Foundation</w:t>
      </w:r>
      <w:r w:rsidR="00066434">
        <w:rPr>
          <w:b w:val="0"/>
          <w:sz w:val="28"/>
          <w:szCs w:val="28"/>
          <w:lang w:val="en-US"/>
        </w:rPr>
        <w:t xml:space="preserve"> </w:t>
      </w:r>
      <w:r w:rsidR="00542FDB" w:rsidRPr="00131E69">
        <w:rPr>
          <w:b w:val="0"/>
          <w:sz w:val="28"/>
          <w:szCs w:val="28"/>
          <w:lang w:val="en-US"/>
        </w:rPr>
        <w:t xml:space="preserve">to </w:t>
      </w:r>
      <w:r w:rsidR="00125D9E" w:rsidRPr="00131E69">
        <w:rPr>
          <w:b w:val="0"/>
          <w:sz w:val="28"/>
          <w:szCs w:val="28"/>
          <w:lang w:val="en-US"/>
        </w:rPr>
        <w:t>Charles Koch (Koch Industries)</w:t>
      </w:r>
      <w:r w:rsidR="00066434">
        <w:rPr>
          <w:b w:val="0"/>
          <w:sz w:val="28"/>
          <w:szCs w:val="28"/>
          <w:lang w:val="en-US"/>
        </w:rPr>
        <w:t xml:space="preserve"> and</w:t>
      </w:r>
      <w:r w:rsidR="00125D9E" w:rsidRPr="00131E69">
        <w:rPr>
          <w:b w:val="0"/>
          <w:sz w:val="28"/>
          <w:szCs w:val="28"/>
          <w:lang w:val="en-US"/>
        </w:rPr>
        <w:t xml:space="preserve"> Mark Zuckerberg (Facebook CEO), among others, including dark money so</w:t>
      </w:r>
      <w:r w:rsidR="00542FDB" w:rsidRPr="00131E69">
        <w:rPr>
          <w:b w:val="0"/>
          <w:sz w:val="28"/>
          <w:szCs w:val="28"/>
          <w:lang w:val="en-US"/>
        </w:rPr>
        <w:t>u</w:t>
      </w:r>
      <w:r w:rsidR="00125D9E" w:rsidRPr="00131E69">
        <w:rPr>
          <w:b w:val="0"/>
          <w:sz w:val="28"/>
          <w:szCs w:val="28"/>
          <w:lang w:val="en-US"/>
        </w:rPr>
        <w:t>rces.</w:t>
      </w:r>
      <w:r w:rsidR="004A6B59" w:rsidRPr="00131E69">
        <w:rPr>
          <w:rStyle w:val="FootnoteReference"/>
          <w:b w:val="0"/>
          <w:sz w:val="28"/>
          <w:szCs w:val="28"/>
          <w:lang w:val="en-US"/>
        </w:rPr>
        <w:footnoteReference w:id="64"/>
      </w:r>
      <w:r w:rsidR="00125D9E" w:rsidRPr="00131E69">
        <w:rPr>
          <w:b w:val="0"/>
          <w:sz w:val="28"/>
          <w:szCs w:val="28"/>
          <w:lang w:val="en-US"/>
        </w:rPr>
        <w:t xml:space="preserve">  </w:t>
      </w:r>
    </w:p>
    <w:p w14:paraId="7A8B32CA" w14:textId="77777777" w:rsidR="00CD588F" w:rsidRPr="00131E69" w:rsidRDefault="00CD588F" w:rsidP="00E662DA">
      <w:pPr>
        <w:pStyle w:val="Heading3"/>
        <w:shd w:val="clear" w:color="auto" w:fill="FFFFFF"/>
        <w:jc w:val="both"/>
        <w:rPr>
          <w:b w:val="0"/>
          <w:sz w:val="28"/>
          <w:szCs w:val="28"/>
          <w:lang w:val="en-US"/>
        </w:rPr>
      </w:pPr>
    </w:p>
    <w:p w14:paraId="6A464EA2" w14:textId="4E52E778" w:rsidR="00610037" w:rsidRPr="00760BA0" w:rsidRDefault="00550295" w:rsidP="00E662DA">
      <w:pPr>
        <w:pStyle w:val="Heading3"/>
        <w:shd w:val="clear" w:color="auto" w:fill="FFFFFF"/>
        <w:jc w:val="both"/>
        <w:rPr>
          <w:b w:val="0"/>
          <w:sz w:val="28"/>
          <w:szCs w:val="28"/>
        </w:rPr>
      </w:pPr>
      <w:r>
        <w:rPr>
          <w:b w:val="0"/>
          <w:sz w:val="28"/>
          <w:szCs w:val="28"/>
          <w:lang w:val="en-US"/>
        </w:rPr>
        <w:t>27</w:t>
      </w:r>
      <w:r w:rsidR="00CD588F" w:rsidRPr="00131E69">
        <w:rPr>
          <w:b w:val="0"/>
          <w:sz w:val="28"/>
          <w:szCs w:val="28"/>
          <w:lang w:val="en-US"/>
        </w:rPr>
        <w:t xml:space="preserve">.  </w:t>
      </w:r>
      <w:bookmarkStart w:id="7" w:name="_Hlk157613514"/>
      <w:r w:rsidR="00125D9E" w:rsidRPr="00131E69">
        <w:rPr>
          <w:b w:val="0"/>
          <w:sz w:val="28"/>
          <w:szCs w:val="28"/>
          <w:lang w:val="en-US"/>
        </w:rPr>
        <w:t xml:space="preserve">Diane </w:t>
      </w:r>
      <w:r w:rsidR="00CD588F" w:rsidRPr="00131E69">
        <w:rPr>
          <w:b w:val="0"/>
          <w:sz w:val="28"/>
          <w:szCs w:val="28"/>
          <w:lang w:val="en-US"/>
        </w:rPr>
        <w:t>Ravitch</w:t>
      </w:r>
      <w:r w:rsidR="00125D9E" w:rsidRPr="00131E69">
        <w:rPr>
          <w:b w:val="0"/>
          <w:sz w:val="28"/>
          <w:szCs w:val="28"/>
          <w:lang w:val="en-US"/>
        </w:rPr>
        <w:t>, a leading education historian</w:t>
      </w:r>
      <w:r w:rsidR="00F03F4C">
        <w:rPr>
          <w:b w:val="0"/>
          <w:sz w:val="28"/>
          <w:szCs w:val="28"/>
          <w:lang w:val="en-US"/>
        </w:rPr>
        <w:t xml:space="preserve"> </w:t>
      </w:r>
      <w:r w:rsidR="00125D9E" w:rsidRPr="00131E69">
        <w:rPr>
          <w:b w:val="0"/>
          <w:sz w:val="28"/>
          <w:szCs w:val="28"/>
          <w:lang w:val="en-US"/>
        </w:rPr>
        <w:t xml:space="preserve">and a </w:t>
      </w:r>
      <w:r w:rsidR="00635589" w:rsidRPr="00131E69">
        <w:rPr>
          <w:b w:val="0"/>
          <w:sz w:val="28"/>
          <w:szCs w:val="28"/>
          <w:lang w:val="en-US"/>
        </w:rPr>
        <w:t xml:space="preserve">former </w:t>
      </w:r>
      <w:r w:rsidR="0037361B" w:rsidRPr="00131E69">
        <w:rPr>
          <w:b w:val="0"/>
          <w:sz w:val="28"/>
          <w:szCs w:val="28"/>
          <w:lang w:val="en-US"/>
        </w:rPr>
        <w:t>member</w:t>
      </w:r>
      <w:r w:rsidR="00125D9E" w:rsidRPr="00131E69">
        <w:rPr>
          <w:b w:val="0"/>
          <w:sz w:val="28"/>
          <w:szCs w:val="28"/>
          <w:lang w:val="en-US"/>
        </w:rPr>
        <w:t xml:space="preserve"> of the conservati</w:t>
      </w:r>
      <w:r w:rsidR="008F70B1" w:rsidRPr="00131E69">
        <w:rPr>
          <w:b w:val="0"/>
          <w:sz w:val="28"/>
          <w:szCs w:val="28"/>
          <w:lang w:val="en-US"/>
        </w:rPr>
        <w:t>ve</w:t>
      </w:r>
      <w:r w:rsidR="00125D9E" w:rsidRPr="00131E69">
        <w:rPr>
          <w:b w:val="0"/>
          <w:sz w:val="28"/>
          <w:szCs w:val="28"/>
          <w:lang w:val="en-US"/>
        </w:rPr>
        <w:t xml:space="preserve"> school reform movement, explains </w:t>
      </w:r>
      <w:r w:rsidR="00A61B37" w:rsidRPr="00131E69">
        <w:rPr>
          <w:b w:val="0"/>
          <w:sz w:val="28"/>
          <w:szCs w:val="28"/>
          <w:lang w:val="en-US"/>
        </w:rPr>
        <w:t xml:space="preserve">the </w:t>
      </w:r>
      <w:r w:rsidR="00066434">
        <w:rPr>
          <w:b w:val="0"/>
          <w:sz w:val="28"/>
          <w:szCs w:val="28"/>
          <w:lang w:val="en-US"/>
        </w:rPr>
        <w:t>reform-cum-</w:t>
      </w:r>
      <w:r w:rsidR="00610037">
        <w:rPr>
          <w:b w:val="0"/>
          <w:sz w:val="28"/>
          <w:szCs w:val="28"/>
          <w:lang w:val="en-US"/>
        </w:rPr>
        <w:t xml:space="preserve">privatization </w:t>
      </w:r>
      <w:r w:rsidR="00542FDB" w:rsidRPr="00131E69">
        <w:rPr>
          <w:b w:val="0"/>
          <w:sz w:val="28"/>
          <w:szCs w:val="28"/>
          <w:lang w:val="en-US"/>
        </w:rPr>
        <w:t>movement “</w:t>
      </w:r>
      <w:r w:rsidR="00542FDB" w:rsidRPr="00131E69">
        <w:rPr>
          <w:b w:val="0"/>
          <w:sz w:val="28"/>
          <w:szCs w:val="28"/>
        </w:rPr>
        <w:t xml:space="preserve">is not meant to reform public education but is a deliberate effort to replace public education </w:t>
      </w:r>
      <w:r w:rsidR="005A34D6">
        <w:rPr>
          <w:b w:val="0"/>
          <w:sz w:val="28"/>
          <w:szCs w:val="28"/>
        </w:rPr>
        <w:t xml:space="preserve">[a system which educates </w:t>
      </w:r>
      <w:proofErr w:type="spellStart"/>
      <w:r w:rsidR="00E8361C">
        <w:rPr>
          <w:b w:val="0"/>
          <w:sz w:val="28"/>
          <w:szCs w:val="28"/>
        </w:rPr>
        <w:t>nerly</w:t>
      </w:r>
      <w:proofErr w:type="spellEnd"/>
      <w:r w:rsidR="00E8361C">
        <w:rPr>
          <w:b w:val="0"/>
          <w:sz w:val="28"/>
          <w:szCs w:val="28"/>
        </w:rPr>
        <w:t xml:space="preserve"> </w:t>
      </w:r>
      <w:r w:rsidR="00760BA0">
        <w:rPr>
          <w:b w:val="0"/>
          <w:sz w:val="28"/>
          <w:szCs w:val="28"/>
        </w:rPr>
        <w:t>90%</w:t>
      </w:r>
      <w:r w:rsidR="005A34D6">
        <w:rPr>
          <w:b w:val="0"/>
          <w:sz w:val="28"/>
          <w:szCs w:val="28"/>
        </w:rPr>
        <w:t xml:space="preserve"> of American children</w:t>
      </w:r>
      <w:r w:rsidR="005A34D6" w:rsidRPr="005A34D6">
        <w:rPr>
          <w:b w:val="0"/>
          <w:sz w:val="28"/>
          <w:szCs w:val="28"/>
          <w:vertAlign w:val="superscript"/>
        </w:rPr>
        <w:footnoteReference w:id="65"/>
      </w:r>
      <w:r w:rsidR="005A34D6">
        <w:rPr>
          <w:b w:val="0"/>
          <w:sz w:val="28"/>
          <w:szCs w:val="28"/>
        </w:rPr>
        <w:t xml:space="preserve">] </w:t>
      </w:r>
      <w:r w:rsidR="00542FDB" w:rsidRPr="00131E69">
        <w:rPr>
          <w:b w:val="0"/>
          <w:sz w:val="28"/>
          <w:szCs w:val="28"/>
        </w:rPr>
        <w:t>with a privately managed, free-market system of schooling</w:t>
      </w:r>
      <w:r w:rsidR="00542FDB" w:rsidRPr="00760BA0">
        <w:rPr>
          <w:b w:val="0"/>
          <w:sz w:val="28"/>
          <w:szCs w:val="28"/>
        </w:rPr>
        <w:t>.”</w:t>
      </w:r>
      <w:r w:rsidR="00A61B37" w:rsidRPr="00760BA0">
        <w:rPr>
          <w:rStyle w:val="FootnoteReference"/>
          <w:b w:val="0"/>
          <w:sz w:val="28"/>
          <w:szCs w:val="28"/>
        </w:rPr>
        <w:footnoteReference w:id="66"/>
      </w:r>
      <w:r w:rsidR="00542FDB" w:rsidRPr="00760BA0">
        <w:rPr>
          <w:b w:val="0"/>
          <w:sz w:val="28"/>
          <w:szCs w:val="28"/>
        </w:rPr>
        <w:t xml:space="preserve">  </w:t>
      </w:r>
      <w:r w:rsidR="004A6B59" w:rsidRPr="00760BA0">
        <w:rPr>
          <w:b w:val="0"/>
          <w:sz w:val="28"/>
          <w:szCs w:val="28"/>
        </w:rPr>
        <w:t xml:space="preserve">Ravitch </w:t>
      </w:r>
      <w:r w:rsidR="00A61B37" w:rsidRPr="00760BA0">
        <w:rPr>
          <w:b w:val="0"/>
          <w:sz w:val="28"/>
          <w:szCs w:val="28"/>
        </w:rPr>
        <w:t xml:space="preserve">argues </w:t>
      </w:r>
      <w:r w:rsidR="00CD588F" w:rsidRPr="00760BA0">
        <w:rPr>
          <w:b w:val="0"/>
          <w:sz w:val="28"/>
          <w:szCs w:val="28"/>
        </w:rPr>
        <w:t>that</w:t>
      </w:r>
      <w:r w:rsidR="00A61B37" w:rsidRPr="00760BA0">
        <w:rPr>
          <w:b w:val="0"/>
          <w:sz w:val="28"/>
          <w:szCs w:val="28"/>
        </w:rPr>
        <w:t xml:space="preserve"> </w:t>
      </w:r>
      <w:r w:rsidR="00066434" w:rsidRPr="00760BA0">
        <w:rPr>
          <w:b w:val="0"/>
          <w:sz w:val="28"/>
          <w:szCs w:val="28"/>
        </w:rPr>
        <w:t xml:space="preserve">the </w:t>
      </w:r>
      <w:r w:rsidR="00610037" w:rsidRPr="00760BA0">
        <w:rPr>
          <w:b w:val="0"/>
          <w:sz w:val="28"/>
          <w:szCs w:val="28"/>
        </w:rPr>
        <w:t>problems found i</w:t>
      </w:r>
      <w:r w:rsidR="00A61B37" w:rsidRPr="00760BA0">
        <w:rPr>
          <w:b w:val="0"/>
          <w:sz w:val="28"/>
          <w:szCs w:val="28"/>
        </w:rPr>
        <w:t xml:space="preserve">n urban schools, in particular, </w:t>
      </w:r>
      <w:r w:rsidR="00610037" w:rsidRPr="00760BA0">
        <w:rPr>
          <w:b w:val="0"/>
          <w:sz w:val="28"/>
          <w:szCs w:val="28"/>
        </w:rPr>
        <w:t xml:space="preserve">have been misdiagnosed and </w:t>
      </w:r>
      <w:r w:rsidR="00A61B37" w:rsidRPr="00760BA0">
        <w:rPr>
          <w:b w:val="0"/>
          <w:sz w:val="28"/>
          <w:szCs w:val="28"/>
        </w:rPr>
        <w:t xml:space="preserve">are the result of poverty and segregation. </w:t>
      </w:r>
      <w:r w:rsidR="004A6B59" w:rsidRPr="00760BA0">
        <w:rPr>
          <w:b w:val="0"/>
          <w:sz w:val="28"/>
          <w:szCs w:val="28"/>
        </w:rPr>
        <w:t>The</w:t>
      </w:r>
      <w:r w:rsidR="004A6B59" w:rsidRPr="00131E69">
        <w:rPr>
          <w:b w:val="0"/>
          <w:sz w:val="28"/>
          <w:szCs w:val="28"/>
        </w:rPr>
        <w:t xml:space="preserve"> proposed “reforms”</w:t>
      </w:r>
      <w:r w:rsidR="00B439B9" w:rsidRPr="00131E69">
        <w:rPr>
          <w:b w:val="0"/>
          <w:sz w:val="28"/>
          <w:szCs w:val="28"/>
        </w:rPr>
        <w:t xml:space="preserve"> </w:t>
      </w:r>
      <w:r w:rsidR="00B439B9" w:rsidRPr="005B309F">
        <w:rPr>
          <w:b w:val="0"/>
          <w:sz w:val="28"/>
          <w:szCs w:val="28"/>
        </w:rPr>
        <w:t>-</w:t>
      </w:r>
      <w:r w:rsidR="003A5229" w:rsidRPr="005B309F">
        <w:rPr>
          <w:b w:val="0"/>
          <w:sz w:val="28"/>
          <w:szCs w:val="28"/>
        </w:rPr>
        <w:t xml:space="preserve"> </w:t>
      </w:r>
      <w:r w:rsidR="004A6B59" w:rsidRPr="005B309F">
        <w:rPr>
          <w:b w:val="0"/>
          <w:sz w:val="28"/>
          <w:szCs w:val="28"/>
        </w:rPr>
        <w:t>private management</w:t>
      </w:r>
      <w:r w:rsidR="00A409D1" w:rsidRPr="005B309F">
        <w:rPr>
          <w:b w:val="0"/>
          <w:sz w:val="28"/>
          <w:szCs w:val="28"/>
        </w:rPr>
        <w:t xml:space="preserve"> and </w:t>
      </w:r>
      <w:proofErr w:type="gramStart"/>
      <w:r w:rsidR="00A409D1" w:rsidRPr="005B309F">
        <w:rPr>
          <w:b w:val="0"/>
          <w:sz w:val="28"/>
          <w:szCs w:val="28"/>
        </w:rPr>
        <w:t>control</w:t>
      </w:r>
      <w:r w:rsidR="004A6B59" w:rsidRPr="005B309F">
        <w:rPr>
          <w:b w:val="0"/>
          <w:sz w:val="28"/>
          <w:szCs w:val="28"/>
        </w:rPr>
        <w:t>,  increased</w:t>
      </w:r>
      <w:proofErr w:type="gramEnd"/>
      <w:r w:rsidR="004A6B59" w:rsidRPr="005B309F">
        <w:rPr>
          <w:b w:val="0"/>
          <w:sz w:val="28"/>
          <w:szCs w:val="28"/>
        </w:rPr>
        <w:t xml:space="preserve"> standardize testing</w:t>
      </w:r>
      <w:r w:rsidR="00A409D1" w:rsidRPr="005B309F">
        <w:rPr>
          <w:b w:val="0"/>
          <w:sz w:val="28"/>
          <w:szCs w:val="28"/>
        </w:rPr>
        <w:t>,</w:t>
      </w:r>
      <w:r w:rsidR="004A6B59" w:rsidRPr="005B309F">
        <w:rPr>
          <w:b w:val="0"/>
          <w:sz w:val="28"/>
          <w:szCs w:val="28"/>
        </w:rPr>
        <w:t xml:space="preserve"> </w:t>
      </w:r>
      <w:r w:rsidR="005B309F" w:rsidRPr="005B309F">
        <w:rPr>
          <w:b w:val="0"/>
          <w:sz w:val="28"/>
          <w:szCs w:val="28"/>
        </w:rPr>
        <w:t xml:space="preserve">competition among schools </w:t>
      </w:r>
      <w:r w:rsidR="004A6B59" w:rsidRPr="005B309F">
        <w:rPr>
          <w:b w:val="0"/>
          <w:sz w:val="28"/>
          <w:szCs w:val="28"/>
        </w:rPr>
        <w:t>and accountability</w:t>
      </w:r>
      <w:r w:rsidR="00B439B9" w:rsidRPr="005B309F">
        <w:rPr>
          <w:b w:val="0"/>
          <w:sz w:val="28"/>
          <w:szCs w:val="28"/>
        </w:rPr>
        <w:t>,</w:t>
      </w:r>
      <w:r w:rsidR="001952BF" w:rsidRPr="005B309F">
        <w:rPr>
          <w:b w:val="0"/>
          <w:sz w:val="28"/>
          <w:szCs w:val="28"/>
        </w:rPr>
        <w:t xml:space="preserve"> </w:t>
      </w:r>
      <w:r w:rsidR="004A6B59" w:rsidRPr="005B309F">
        <w:rPr>
          <w:b w:val="0"/>
          <w:sz w:val="28"/>
          <w:szCs w:val="28"/>
        </w:rPr>
        <w:t>which often mean</w:t>
      </w:r>
      <w:r w:rsidR="00B439B9" w:rsidRPr="005B309F">
        <w:rPr>
          <w:b w:val="0"/>
          <w:sz w:val="28"/>
          <w:szCs w:val="28"/>
        </w:rPr>
        <w:t>s</w:t>
      </w:r>
      <w:r w:rsidR="004A6B59" w:rsidRPr="005B309F">
        <w:rPr>
          <w:b w:val="0"/>
          <w:sz w:val="28"/>
          <w:szCs w:val="28"/>
        </w:rPr>
        <w:t xml:space="preserve"> closing </w:t>
      </w:r>
      <w:r w:rsidR="005A34D6" w:rsidRPr="005B309F">
        <w:rPr>
          <w:b w:val="0"/>
          <w:sz w:val="28"/>
          <w:szCs w:val="28"/>
        </w:rPr>
        <w:t>“</w:t>
      </w:r>
      <w:r w:rsidR="00917D2A" w:rsidRPr="005B309F">
        <w:rPr>
          <w:b w:val="0"/>
          <w:sz w:val="28"/>
          <w:szCs w:val="28"/>
        </w:rPr>
        <w:t xml:space="preserve">failing” </w:t>
      </w:r>
      <w:r w:rsidR="004A6B59" w:rsidRPr="005B309F">
        <w:rPr>
          <w:b w:val="0"/>
          <w:sz w:val="28"/>
          <w:szCs w:val="28"/>
        </w:rPr>
        <w:t>schools</w:t>
      </w:r>
      <w:r w:rsidR="00A409D1" w:rsidRPr="00131E69">
        <w:rPr>
          <w:b w:val="0"/>
          <w:sz w:val="28"/>
          <w:szCs w:val="28"/>
        </w:rPr>
        <w:t xml:space="preserve"> -</w:t>
      </w:r>
      <w:r w:rsidR="004A6B59" w:rsidRPr="00131E69">
        <w:rPr>
          <w:b w:val="0"/>
          <w:sz w:val="28"/>
          <w:szCs w:val="28"/>
        </w:rPr>
        <w:t xml:space="preserve"> do not address the</w:t>
      </w:r>
      <w:r w:rsidR="00066434">
        <w:rPr>
          <w:b w:val="0"/>
          <w:sz w:val="28"/>
          <w:szCs w:val="28"/>
        </w:rPr>
        <w:t>se</w:t>
      </w:r>
      <w:r w:rsidR="004A6B59" w:rsidRPr="00131E69">
        <w:rPr>
          <w:b w:val="0"/>
          <w:sz w:val="28"/>
          <w:szCs w:val="28"/>
        </w:rPr>
        <w:t xml:space="preserve"> issues.</w:t>
      </w:r>
      <w:r w:rsidR="00B439B9" w:rsidRPr="00131E69">
        <w:rPr>
          <w:rStyle w:val="FootnoteReference"/>
          <w:b w:val="0"/>
          <w:sz w:val="28"/>
          <w:szCs w:val="28"/>
        </w:rPr>
        <w:footnoteReference w:id="67"/>
      </w:r>
      <w:r w:rsidR="004A6B59" w:rsidRPr="00131E69">
        <w:rPr>
          <w:b w:val="0"/>
          <w:sz w:val="28"/>
          <w:szCs w:val="28"/>
        </w:rPr>
        <w:t xml:space="preserve">  </w:t>
      </w:r>
      <w:r w:rsidR="009B03A9">
        <w:rPr>
          <w:b w:val="0"/>
          <w:sz w:val="28"/>
          <w:szCs w:val="28"/>
        </w:rPr>
        <w:t xml:space="preserve">Further, </w:t>
      </w:r>
      <w:r w:rsidR="00760BA0">
        <w:rPr>
          <w:b w:val="0"/>
          <w:sz w:val="28"/>
          <w:szCs w:val="28"/>
        </w:rPr>
        <w:t>privatization</w:t>
      </w:r>
      <w:r w:rsidR="00F451F6">
        <w:rPr>
          <w:b w:val="0"/>
          <w:sz w:val="28"/>
          <w:szCs w:val="28"/>
        </w:rPr>
        <w:t>, she argues</w:t>
      </w:r>
      <w:r w:rsidR="004E34EA">
        <w:rPr>
          <w:b w:val="0"/>
          <w:sz w:val="28"/>
          <w:szCs w:val="28"/>
        </w:rPr>
        <w:t xml:space="preserve"> has</w:t>
      </w:r>
      <w:r w:rsidR="004A6B59" w:rsidRPr="00131E69">
        <w:rPr>
          <w:b w:val="0"/>
          <w:sz w:val="28"/>
          <w:szCs w:val="28"/>
        </w:rPr>
        <w:t xml:space="preserve"> failed </w:t>
      </w:r>
      <w:r w:rsidR="004E34EA">
        <w:rPr>
          <w:b w:val="0"/>
          <w:sz w:val="28"/>
          <w:szCs w:val="28"/>
        </w:rPr>
        <w:t xml:space="preserve">to deliver </w:t>
      </w:r>
      <w:r w:rsidR="00760BA0">
        <w:rPr>
          <w:b w:val="0"/>
          <w:sz w:val="28"/>
          <w:szCs w:val="28"/>
        </w:rPr>
        <w:t xml:space="preserve">on </w:t>
      </w:r>
      <w:r w:rsidR="004E34EA">
        <w:rPr>
          <w:b w:val="0"/>
          <w:sz w:val="28"/>
          <w:szCs w:val="28"/>
        </w:rPr>
        <w:t xml:space="preserve">its promises </w:t>
      </w:r>
      <w:r w:rsidR="004E34EA" w:rsidRPr="004E34EA">
        <w:rPr>
          <w:b w:val="0"/>
          <w:sz w:val="28"/>
          <w:szCs w:val="28"/>
        </w:rPr>
        <w:t>of improv</w:t>
      </w:r>
      <w:r w:rsidR="004E34EA">
        <w:rPr>
          <w:b w:val="0"/>
          <w:sz w:val="28"/>
          <w:szCs w:val="28"/>
        </w:rPr>
        <w:t>ed</w:t>
      </w:r>
      <w:r w:rsidR="004E34EA" w:rsidRPr="004E34EA">
        <w:rPr>
          <w:b w:val="0"/>
          <w:sz w:val="28"/>
          <w:szCs w:val="28"/>
        </w:rPr>
        <w:t xml:space="preserve"> educational </w:t>
      </w:r>
      <w:r w:rsidR="004E34EA" w:rsidRPr="00760BA0">
        <w:rPr>
          <w:b w:val="0"/>
          <w:sz w:val="28"/>
          <w:szCs w:val="28"/>
        </w:rPr>
        <w:t>quality and racial equity</w:t>
      </w:r>
      <w:r w:rsidR="00760BA0" w:rsidRPr="00760BA0">
        <w:rPr>
          <w:b w:val="0"/>
          <w:sz w:val="28"/>
          <w:szCs w:val="28"/>
        </w:rPr>
        <w:t xml:space="preserve"> as measured by its</w:t>
      </w:r>
      <w:r w:rsidR="00917D2A" w:rsidRPr="00760BA0">
        <w:rPr>
          <w:b w:val="0"/>
          <w:sz w:val="28"/>
          <w:szCs w:val="28"/>
        </w:rPr>
        <w:t xml:space="preserve"> </w:t>
      </w:r>
      <w:r w:rsidR="001952BF" w:rsidRPr="00760BA0">
        <w:rPr>
          <w:b w:val="0"/>
          <w:sz w:val="28"/>
          <w:szCs w:val="28"/>
        </w:rPr>
        <w:t xml:space="preserve">own </w:t>
      </w:r>
      <w:r w:rsidR="004A6B59" w:rsidRPr="00760BA0">
        <w:rPr>
          <w:b w:val="0"/>
          <w:sz w:val="28"/>
          <w:szCs w:val="28"/>
        </w:rPr>
        <w:t>key criteria</w:t>
      </w:r>
      <w:r w:rsidR="00760BA0" w:rsidRPr="00760BA0">
        <w:rPr>
          <w:b w:val="0"/>
          <w:sz w:val="28"/>
          <w:szCs w:val="28"/>
        </w:rPr>
        <w:t>: It has filed</w:t>
      </w:r>
      <w:r w:rsidR="004E34EA" w:rsidRPr="00760BA0">
        <w:rPr>
          <w:b w:val="0"/>
          <w:sz w:val="28"/>
          <w:szCs w:val="28"/>
        </w:rPr>
        <w:t xml:space="preserve"> to </w:t>
      </w:r>
      <w:r w:rsidR="004A6B59" w:rsidRPr="00760BA0">
        <w:rPr>
          <w:b w:val="0"/>
          <w:sz w:val="28"/>
          <w:szCs w:val="28"/>
        </w:rPr>
        <w:t>raise test scores</w:t>
      </w:r>
      <w:r w:rsidR="00813FFA">
        <w:rPr>
          <w:b w:val="0"/>
          <w:sz w:val="28"/>
          <w:szCs w:val="28"/>
        </w:rPr>
        <w:t>, with charter schools being more segregated thn public schools.</w:t>
      </w:r>
      <w:r w:rsidR="005C51D6" w:rsidRPr="00760BA0">
        <w:rPr>
          <w:rStyle w:val="FootnoteReference"/>
          <w:b w:val="0"/>
          <w:sz w:val="28"/>
          <w:szCs w:val="28"/>
        </w:rPr>
        <w:footnoteReference w:id="68"/>
      </w:r>
      <w:r w:rsidR="001952BF" w:rsidRPr="00760BA0">
        <w:rPr>
          <w:b w:val="0"/>
          <w:sz w:val="28"/>
          <w:szCs w:val="28"/>
        </w:rPr>
        <w:t xml:space="preserve"> </w:t>
      </w:r>
      <w:r w:rsidR="004E34EA" w:rsidRPr="00760BA0">
        <w:rPr>
          <w:b w:val="0"/>
          <w:sz w:val="28"/>
          <w:szCs w:val="28"/>
        </w:rPr>
        <w:t xml:space="preserve">  </w:t>
      </w:r>
    </w:p>
    <w:p w14:paraId="0A85786B" w14:textId="77777777" w:rsidR="00610037" w:rsidRPr="00760BA0" w:rsidRDefault="00610037" w:rsidP="00E662DA">
      <w:pPr>
        <w:pStyle w:val="Heading3"/>
        <w:shd w:val="clear" w:color="auto" w:fill="FFFFFF"/>
        <w:jc w:val="both"/>
        <w:rPr>
          <w:b w:val="0"/>
          <w:sz w:val="28"/>
          <w:szCs w:val="28"/>
        </w:rPr>
      </w:pPr>
    </w:p>
    <w:p w14:paraId="6B81A56F" w14:textId="16DEA4FF" w:rsidR="008101DC" w:rsidRPr="00760BA0" w:rsidRDefault="00610037" w:rsidP="00066434">
      <w:pPr>
        <w:pStyle w:val="Heading3"/>
        <w:shd w:val="clear" w:color="auto" w:fill="FFFFFF"/>
        <w:jc w:val="both"/>
        <w:rPr>
          <w:b w:val="0"/>
          <w:sz w:val="28"/>
          <w:szCs w:val="28"/>
        </w:rPr>
      </w:pPr>
      <w:r w:rsidRPr="00760BA0">
        <w:rPr>
          <w:b w:val="0"/>
          <w:sz w:val="28"/>
          <w:szCs w:val="28"/>
        </w:rPr>
        <w:t>2</w:t>
      </w:r>
      <w:r w:rsidR="00550295">
        <w:rPr>
          <w:b w:val="0"/>
          <w:sz w:val="28"/>
          <w:szCs w:val="28"/>
        </w:rPr>
        <w:t>8</w:t>
      </w:r>
      <w:r w:rsidRPr="00760BA0">
        <w:rPr>
          <w:b w:val="0"/>
          <w:sz w:val="28"/>
          <w:szCs w:val="28"/>
        </w:rPr>
        <w:t>.</w:t>
      </w:r>
      <w:r w:rsidR="001952BF" w:rsidRPr="00760BA0">
        <w:rPr>
          <w:b w:val="0"/>
          <w:sz w:val="28"/>
          <w:szCs w:val="28"/>
        </w:rPr>
        <w:t xml:space="preserve">  Jim Freeman</w:t>
      </w:r>
      <w:r w:rsidR="009428B5" w:rsidRPr="00760BA0">
        <w:rPr>
          <w:b w:val="0"/>
          <w:sz w:val="28"/>
          <w:szCs w:val="28"/>
        </w:rPr>
        <w:t>, a civil rights attorney,</w:t>
      </w:r>
      <w:r w:rsidR="001952BF" w:rsidRPr="00760BA0">
        <w:rPr>
          <w:b w:val="0"/>
          <w:sz w:val="28"/>
          <w:szCs w:val="28"/>
        </w:rPr>
        <w:t xml:space="preserve"> notes that the movement has </w:t>
      </w:r>
      <w:r w:rsidR="00DE4407">
        <w:rPr>
          <w:b w:val="0"/>
          <w:sz w:val="28"/>
          <w:szCs w:val="28"/>
        </w:rPr>
        <w:t>operated heavily</w:t>
      </w:r>
      <w:r w:rsidR="001952BF" w:rsidRPr="00760BA0">
        <w:rPr>
          <w:b w:val="0"/>
          <w:sz w:val="28"/>
          <w:szCs w:val="28"/>
        </w:rPr>
        <w:t xml:space="preserve"> in communities of </w:t>
      </w:r>
      <w:r w:rsidR="00CD588F" w:rsidRPr="00760BA0">
        <w:rPr>
          <w:b w:val="0"/>
          <w:sz w:val="28"/>
          <w:szCs w:val="28"/>
        </w:rPr>
        <w:t>colour</w:t>
      </w:r>
      <w:r w:rsidRPr="00760BA0">
        <w:rPr>
          <w:b w:val="0"/>
          <w:sz w:val="28"/>
          <w:szCs w:val="28"/>
        </w:rPr>
        <w:t>.  The</w:t>
      </w:r>
      <w:r w:rsidR="001952BF" w:rsidRPr="00760BA0">
        <w:rPr>
          <w:b w:val="0"/>
          <w:sz w:val="28"/>
          <w:szCs w:val="28"/>
        </w:rPr>
        <w:t xml:space="preserve"> reforms</w:t>
      </w:r>
      <w:r w:rsidRPr="00760BA0">
        <w:rPr>
          <w:b w:val="0"/>
          <w:sz w:val="28"/>
          <w:szCs w:val="28"/>
        </w:rPr>
        <w:t xml:space="preserve">, he suggests, </w:t>
      </w:r>
      <w:r w:rsidR="001952BF" w:rsidRPr="00760BA0">
        <w:rPr>
          <w:b w:val="0"/>
          <w:sz w:val="28"/>
          <w:szCs w:val="28"/>
        </w:rPr>
        <w:t xml:space="preserve">are often imposed </w:t>
      </w:r>
      <w:r w:rsidR="005C51D6" w:rsidRPr="00760BA0">
        <w:rPr>
          <w:b w:val="0"/>
          <w:sz w:val="28"/>
          <w:szCs w:val="28"/>
        </w:rPr>
        <w:t>w</w:t>
      </w:r>
      <w:r w:rsidR="001952BF" w:rsidRPr="00760BA0">
        <w:rPr>
          <w:b w:val="0"/>
          <w:sz w:val="28"/>
          <w:szCs w:val="28"/>
        </w:rPr>
        <w:t xml:space="preserve">ithout </w:t>
      </w:r>
      <w:r w:rsidR="00B439B9" w:rsidRPr="00760BA0">
        <w:rPr>
          <w:b w:val="0"/>
          <w:sz w:val="28"/>
          <w:szCs w:val="28"/>
        </w:rPr>
        <w:t xml:space="preserve">community </w:t>
      </w:r>
      <w:r w:rsidR="001952BF" w:rsidRPr="00760BA0">
        <w:rPr>
          <w:b w:val="0"/>
          <w:sz w:val="28"/>
          <w:szCs w:val="28"/>
        </w:rPr>
        <w:t xml:space="preserve">consultation </w:t>
      </w:r>
      <w:r w:rsidR="00B439B9" w:rsidRPr="00760BA0">
        <w:rPr>
          <w:b w:val="0"/>
          <w:sz w:val="28"/>
          <w:szCs w:val="28"/>
        </w:rPr>
        <w:t>(or d</w:t>
      </w:r>
      <w:r w:rsidR="00A409D1" w:rsidRPr="00760BA0">
        <w:rPr>
          <w:b w:val="0"/>
          <w:sz w:val="28"/>
          <w:szCs w:val="28"/>
        </w:rPr>
        <w:t xml:space="preserve">espite </w:t>
      </w:r>
      <w:r w:rsidR="00B439B9" w:rsidRPr="00760BA0">
        <w:rPr>
          <w:b w:val="0"/>
          <w:sz w:val="28"/>
          <w:szCs w:val="28"/>
        </w:rPr>
        <w:t xml:space="preserve">opposition) and </w:t>
      </w:r>
      <w:r w:rsidR="001952BF" w:rsidRPr="00760BA0">
        <w:rPr>
          <w:b w:val="0"/>
          <w:sz w:val="28"/>
          <w:szCs w:val="28"/>
        </w:rPr>
        <w:t xml:space="preserve">have led to an </w:t>
      </w:r>
      <w:r w:rsidR="001952BF" w:rsidRPr="00760BA0">
        <w:rPr>
          <w:b w:val="0"/>
          <w:i/>
          <w:sz w:val="28"/>
          <w:szCs w:val="28"/>
        </w:rPr>
        <w:t>epidemic</w:t>
      </w:r>
      <w:r w:rsidR="001952BF" w:rsidRPr="00760BA0">
        <w:rPr>
          <w:b w:val="0"/>
          <w:sz w:val="28"/>
          <w:szCs w:val="28"/>
        </w:rPr>
        <w:t xml:space="preserve"> of school closings that destabilize </w:t>
      </w:r>
      <w:r w:rsidR="00AA0EA8" w:rsidRPr="00760BA0">
        <w:rPr>
          <w:b w:val="0"/>
          <w:sz w:val="28"/>
          <w:szCs w:val="28"/>
        </w:rPr>
        <w:t xml:space="preserve">these </w:t>
      </w:r>
      <w:r w:rsidR="001952BF" w:rsidRPr="00760BA0">
        <w:rPr>
          <w:b w:val="0"/>
          <w:sz w:val="28"/>
          <w:szCs w:val="28"/>
        </w:rPr>
        <w:t>communities</w:t>
      </w:r>
      <w:r w:rsidR="000821A8" w:rsidRPr="00760BA0">
        <w:rPr>
          <w:b w:val="0"/>
          <w:sz w:val="28"/>
          <w:szCs w:val="28"/>
        </w:rPr>
        <w:t xml:space="preserve">, given </w:t>
      </w:r>
      <w:r w:rsidR="00A409D1" w:rsidRPr="00760BA0">
        <w:rPr>
          <w:b w:val="0"/>
          <w:sz w:val="28"/>
          <w:szCs w:val="28"/>
        </w:rPr>
        <w:t xml:space="preserve">the centrality of </w:t>
      </w:r>
      <w:r w:rsidR="000821A8" w:rsidRPr="00760BA0">
        <w:rPr>
          <w:b w:val="0"/>
          <w:sz w:val="28"/>
          <w:szCs w:val="28"/>
        </w:rPr>
        <w:t xml:space="preserve">community </w:t>
      </w:r>
      <w:r w:rsidR="00A409D1" w:rsidRPr="00760BA0">
        <w:rPr>
          <w:b w:val="0"/>
          <w:sz w:val="28"/>
          <w:szCs w:val="28"/>
        </w:rPr>
        <w:t>schools</w:t>
      </w:r>
      <w:r w:rsidR="000821A8" w:rsidRPr="00760BA0">
        <w:rPr>
          <w:b w:val="0"/>
          <w:sz w:val="28"/>
          <w:szCs w:val="28"/>
        </w:rPr>
        <w:t>.</w:t>
      </w:r>
      <w:r w:rsidR="001952BF" w:rsidRPr="00760BA0">
        <w:rPr>
          <w:b w:val="0"/>
          <w:sz w:val="28"/>
          <w:szCs w:val="28"/>
        </w:rPr>
        <w:t xml:space="preserve">  For </w:t>
      </w:r>
      <w:r w:rsidR="008101DC" w:rsidRPr="00760BA0">
        <w:rPr>
          <w:b w:val="0"/>
          <w:sz w:val="28"/>
          <w:szCs w:val="28"/>
        </w:rPr>
        <w:t xml:space="preserve">instance, he notes that in Gary </w:t>
      </w:r>
      <w:r w:rsidR="00B87ACA" w:rsidRPr="00760BA0">
        <w:rPr>
          <w:b w:val="0"/>
          <w:sz w:val="28"/>
          <w:szCs w:val="28"/>
        </w:rPr>
        <w:t>(</w:t>
      </w:r>
      <w:r w:rsidR="008101DC" w:rsidRPr="00760BA0">
        <w:rPr>
          <w:b w:val="0"/>
          <w:sz w:val="28"/>
          <w:szCs w:val="28"/>
        </w:rPr>
        <w:t>I</w:t>
      </w:r>
      <w:r w:rsidR="00B87ACA" w:rsidRPr="00760BA0">
        <w:rPr>
          <w:b w:val="0"/>
          <w:sz w:val="28"/>
          <w:szCs w:val="28"/>
        </w:rPr>
        <w:t>N)</w:t>
      </w:r>
      <w:r w:rsidR="008101DC" w:rsidRPr="00760BA0">
        <w:rPr>
          <w:b w:val="0"/>
          <w:sz w:val="28"/>
          <w:szCs w:val="28"/>
        </w:rPr>
        <w:t>, Detroit</w:t>
      </w:r>
      <w:r w:rsidR="00B87ACA" w:rsidRPr="00760BA0">
        <w:rPr>
          <w:b w:val="0"/>
          <w:sz w:val="28"/>
          <w:szCs w:val="28"/>
        </w:rPr>
        <w:t xml:space="preserve"> (MI)</w:t>
      </w:r>
      <w:r w:rsidR="008101DC" w:rsidRPr="00760BA0">
        <w:rPr>
          <w:b w:val="0"/>
          <w:sz w:val="28"/>
          <w:szCs w:val="28"/>
        </w:rPr>
        <w:t xml:space="preserve"> and </w:t>
      </w:r>
      <w:r w:rsidR="00AF1B95" w:rsidRPr="00760BA0">
        <w:rPr>
          <w:b w:val="0"/>
          <w:sz w:val="28"/>
          <w:szCs w:val="28"/>
        </w:rPr>
        <w:t>Camden (</w:t>
      </w:r>
      <w:r w:rsidR="00B87ACA" w:rsidRPr="00760BA0">
        <w:rPr>
          <w:b w:val="0"/>
          <w:sz w:val="28"/>
          <w:szCs w:val="28"/>
        </w:rPr>
        <w:t>NJ)</w:t>
      </w:r>
      <w:r w:rsidR="008101DC" w:rsidRPr="00760BA0">
        <w:rPr>
          <w:b w:val="0"/>
          <w:sz w:val="28"/>
          <w:szCs w:val="28"/>
        </w:rPr>
        <w:t xml:space="preserve"> public </w:t>
      </w:r>
      <w:r w:rsidR="00CD588F" w:rsidRPr="00760BA0">
        <w:rPr>
          <w:b w:val="0"/>
          <w:sz w:val="28"/>
          <w:szCs w:val="28"/>
        </w:rPr>
        <w:t>school</w:t>
      </w:r>
      <w:r w:rsidR="008101DC" w:rsidRPr="00760BA0">
        <w:rPr>
          <w:b w:val="0"/>
          <w:sz w:val="28"/>
          <w:szCs w:val="28"/>
        </w:rPr>
        <w:t xml:space="preserve"> districts, each with </w:t>
      </w:r>
      <w:r w:rsidR="00AF1B95" w:rsidRPr="00760BA0">
        <w:rPr>
          <w:b w:val="0"/>
          <w:sz w:val="28"/>
          <w:szCs w:val="28"/>
        </w:rPr>
        <w:t xml:space="preserve">children of </w:t>
      </w:r>
      <w:r w:rsidR="004C2608" w:rsidRPr="00760BA0">
        <w:rPr>
          <w:b w:val="0"/>
          <w:sz w:val="28"/>
          <w:szCs w:val="28"/>
        </w:rPr>
        <w:t>colour</w:t>
      </w:r>
      <w:r w:rsidR="00AF1B95" w:rsidRPr="00760BA0">
        <w:rPr>
          <w:b w:val="0"/>
          <w:sz w:val="28"/>
          <w:szCs w:val="28"/>
        </w:rPr>
        <w:t xml:space="preserve"> </w:t>
      </w:r>
      <w:r w:rsidR="000821A8" w:rsidRPr="00760BA0">
        <w:rPr>
          <w:b w:val="0"/>
          <w:sz w:val="28"/>
          <w:szCs w:val="28"/>
        </w:rPr>
        <w:t>constituting</w:t>
      </w:r>
      <w:r w:rsidR="00AF1B95" w:rsidRPr="00760BA0">
        <w:rPr>
          <w:b w:val="0"/>
          <w:sz w:val="28"/>
          <w:szCs w:val="28"/>
        </w:rPr>
        <w:t xml:space="preserve"> </w:t>
      </w:r>
      <w:r w:rsidR="008101DC" w:rsidRPr="00760BA0">
        <w:rPr>
          <w:b w:val="0"/>
          <w:sz w:val="28"/>
          <w:szCs w:val="28"/>
        </w:rPr>
        <w:t>over 95</w:t>
      </w:r>
      <w:r w:rsidR="004E34EA" w:rsidRPr="00760BA0">
        <w:rPr>
          <w:b w:val="0"/>
          <w:sz w:val="28"/>
          <w:szCs w:val="28"/>
        </w:rPr>
        <w:t xml:space="preserve"> </w:t>
      </w:r>
      <w:r w:rsidR="008101DC" w:rsidRPr="00760BA0">
        <w:rPr>
          <w:b w:val="0"/>
          <w:sz w:val="28"/>
          <w:szCs w:val="28"/>
        </w:rPr>
        <w:t xml:space="preserve">% </w:t>
      </w:r>
      <w:r w:rsidR="00AF1B95" w:rsidRPr="00760BA0">
        <w:rPr>
          <w:b w:val="0"/>
          <w:sz w:val="28"/>
          <w:szCs w:val="28"/>
        </w:rPr>
        <w:t xml:space="preserve">of </w:t>
      </w:r>
      <w:r w:rsidR="00066434" w:rsidRPr="00760BA0">
        <w:rPr>
          <w:b w:val="0"/>
          <w:sz w:val="28"/>
          <w:szCs w:val="28"/>
        </w:rPr>
        <w:t xml:space="preserve">the </w:t>
      </w:r>
      <w:r w:rsidR="004C2608" w:rsidRPr="00760BA0">
        <w:rPr>
          <w:b w:val="0"/>
          <w:sz w:val="28"/>
          <w:szCs w:val="28"/>
        </w:rPr>
        <w:t>students, 69</w:t>
      </w:r>
      <w:r w:rsidR="008101DC" w:rsidRPr="00760BA0">
        <w:rPr>
          <w:b w:val="0"/>
          <w:sz w:val="28"/>
          <w:szCs w:val="28"/>
        </w:rPr>
        <w:t xml:space="preserve">%, 66%, and 50% of the </w:t>
      </w:r>
      <w:r w:rsidR="00CD588F" w:rsidRPr="00760BA0">
        <w:rPr>
          <w:b w:val="0"/>
          <w:sz w:val="28"/>
          <w:szCs w:val="28"/>
        </w:rPr>
        <w:t>public</w:t>
      </w:r>
      <w:r w:rsidR="008101DC" w:rsidRPr="00760BA0">
        <w:rPr>
          <w:b w:val="0"/>
          <w:sz w:val="28"/>
          <w:szCs w:val="28"/>
        </w:rPr>
        <w:t xml:space="preserve"> schools</w:t>
      </w:r>
      <w:r w:rsidR="00066434" w:rsidRPr="00760BA0">
        <w:rPr>
          <w:b w:val="0"/>
          <w:sz w:val="28"/>
          <w:szCs w:val="28"/>
        </w:rPr>
        <w:t>, respectively,</w:t>
      </w:r>
      <w:r w:rsidR="008101DC" w:rsidRPr="00760BA0">
        <w:rPr>
          <w:b w:val="0"/>
          <w:sz w:val="28"/>
          <w:szCs w:val="28"/>
        </w:rPr>
        <w:t xml:space="preserve"> have been closed</w:t>
      </w:r>
      <w:r w:rsidR="00760BA0" w:rsidRPr="00760BA0">
        <w:rPr>
          <w:b w:val="0"/>
          <w:sz w:val="28"/>
          <w:szCs w:val="28"/>
        </w:rPr>
        <w:t>, among other harms</w:t>
      </w:r>
      <w:r w:rsidR="00066434" w:rsidRPr="00760BA0">
        <w:rPr>
          <w:b w:val="0"/>
          <w:sz w:val="28"/>
          <w:szCs w:val="28"/>
        </w:rPr>
        <w:t>.</w:t>
      </w:r>
      <w:r w:rsidR="008101DC" w:rsidRPr="00760BA0">
        <w:rPr>
          <w:rStyle w:val="FootnoteReference"/>
          <w:b w:val="0"/>
          <w:sz w:val="28"/>
          <w:szCs w:val="28"/>
        </w:rPr>
        <w:footnoteReference w:id="69"/>
      </w:r>
      <w:r w:rsidR="008101DC" w:rsidRPr="00760BA0">
        <w:rPr>
          <w:b w:val="0"/>
          <w:sz w:val="28"/>
          <w:szCs w:val="28"/>
        </w:rPr>
        <w:t xml:space="preserve"> </w:t>
      </w:r>
    </w:p>
    <w:p w14:paraId="7A34B0CD" w14:textId="77777777" w:rsidR="00B87ACA" w:rsidRPr="00760BA0" w:rsidRDefault="00B87ACA" w:rsidP="00E662DA">
      <w:pPr>
        <w:jc w:val="both"/>
        <w:rPr>
          <w:sz w:val="28"/>
          <w:szCs w:val="28"/>
        </w:rPr>
      </w:pPr>
    </w:p>
    <w:p w14:paraId="44AF247A" w14:textId="3135F0EA" w:rsidR="00B61338" w:rsidRPr="00131E69" w:rsidRDefault="00550295" w:rsidP="00E662DA">
      <w:pPr>
        <w:pStyle w:val="Heading3"/>
        <w:shd w:val="clear" w:color="auto" w:fill="FFFFFF"/>
        <w:jc w:val="both"/>
        <w:rPr>
          <w:b w:val="0"/>
          <w:sz w:val="28"/>
          <w:szCs w:val="28"/>
        </w:rPr>
      </w:pPr>
      <w:r>
        <w:rPr>
          <w:b w:val="0"/>
          <w:sz w:val="28"/>
          <w:szCs w:val="28"/>
        </w:rPr>
        <w:t>29</w:t>
      </w:r>
      <w:r w:rsidR="008101DC" w:rsidRPr="00760BA0">
        <w:rPr>
          <w:b w:val="0"/>
          <w:sz w:val="28"/>
          <w:szCs w:val="28"/>
        </w:rPr>
        <w:t>.  While Ravitch distin</w:t>
      </w:r>
      <w:r w:rsidR="00066434" w:rsidRPr="00760BA0">
        <w:rPr>
          <w:b w:val="0"/>
          <w:sz w:val="28"/>
          <w:szCs w:val="28"/>
        </w:rPr>
        <w:t>guishes</w:t>
      </w:r>
      <w:r w:rsidR="000821A8" w:rsidRPr="00760BA0">
        <w:rPr>
          <w:b w:val="0"/>
          <w:sz w:val="28"/>
          <w:szCs w:val="28"/>
        </w:rPr>
        <w:t xml:space="preserve"> among the various types of </w:t>
      </w:r>
      <w:r w:rsidR="00066434" w:rsidRPr="00760BA0">
        <w:rPr>
          <w:b w:val="0"/>
          <w:sz w:val="28"/>
          <w:szCs w:val="28"/>
        </w:rPr>
        <w:t>privatization</w:t>
      </w:r>
      <w:r w:rsidR="000821A8" w:rsidRPr="00760BA0">
        <w:rPr>
          <w:b w:val="0"/>
          <w:sz w:val="28"/>
          <w:szCs w:val="28"/>
        </w:rPr>
        <w:t xml:space="preserve"> warriors, </w:t>
      </w:r>
      <w:r w:rsidR="00B61338" w:rsidRPr="00760BA0">
        <w:rPr>
          <w:b w:val="0"/>
          <w:sz w:val="28"/>
          <w:szCs w:val="28"/>
        </w:rPr>
        <w:t xml:space="preserve">she like Freeman, </w:t>
      </w:r>
      <w:r w:rsidR="000821A8" w:rsidRPr="00760BA0">
        <w:rPr>
          <w:b w:val="0"/>
          <w:sz w:val="28"/>
          <w:szCs w:val="28"/>
        </w:rPr>
        <w:t>a</w:t>
      </w:r>
      <w:r w:rsidR="00066434" w:rsidRPr="00760BA0">
        <w:rPr>
          <w:b w:val="0"/>
          <w:sz w:val="28"/>
          <w:szCs w:val="28"/>
        </w:rPr>
        <w:t>rgue</w:t>
      </w:r>
      <w:r w:rsidR="00760BA0" w:rsidRPr="00760BA0">
        <w:rPr>
          <w:b w:val="0"/>
          <w:sz w:val="28"/>
          <w:szCs w:val="28"/>
        </w:rPr>
        <w:t>s</w:t>
      </w:r>
      <w:r w:rsidR="00B61338" w:rsidRPr="00760BA0">
        <w:rPr>
          <w:b w:val="0"/>
          <w:sz w:val="28"/>
          <w:szCs w:val="28"/>
        </w:rPr>
        <w:t xml:space="preserve"> that </w:t>
      </w:r>
      <w:r w:rsidR="00CD588F" w:rsidRPr="00760BA0">
        <w:rPr>
          <w:b w:val="0"/>
          <w:sz w:val="28"/>
          <w:szCs w:val="28"/>
        </w:rPr>
        <w:t>privatization</w:t>
      </w:r>
      <w:r w:rsidR="00B61338" w:rsidRPr="00760BA0">
        <w:rPr>
          <w:b w:val="0"/>
          <w:sz w:val="28"/>
          <w:szCs w:val="28"/>
        </w:rPr>
        <w:t xml:space="preserve"> is simply a “money-grab,”</w:t>
      </w:r>
      <w:r w:rsidR="00B61338" w:rsidRPr="00760BA0">
        <w:rPr>
          <w:rStyle w:val="FootnoteReference"/>
          <w:b w:val="0"/>
          <w:sz w:val="28"/>
          <w:szCs w:val="28"/>
        </w:rPr>
        <w:footnoteReference w:id="70"/>
      </w:r>
      <w:r w:rsidR="00B61338" w:rsidRPr="00760BA0">
        <w:rPr>
          <w:b w:val="0"/>
          <w:sz w:val="28"/>
          <w:szCs w:val="28"/>
        </w:rPr>
        <w:t xml:space="preserve"> a potential transfer of $500</w:t>
      </w:r>
      <w:r w:rsidR="00B87ACA" w:rsidRPr="00760BA0">
        <w:rPr>
          <w:b w:val="0"/>
          <w:sz w:val="28"/>
          <w:szCs w:val="28"/>
        </w:rPr>
        <w:t xml:space="preserve"> </w:t>
      </w:r>
      <w:r w:rsidR="00B61338" w:rsidRPr="00760BA0">
        <w:rPr>
          <w:b w:val="0"/>
          <w:sz w:val="28"/>
          <w:szCs w:val="28"/>
        </w:rPr>
        <w:t xml:space="preserve">to $600 billion of </w:t>
      </w:r>
      <w:r w:rsidR="007004F5" w:rsidRPr="00760BA0">
        <w:rPr>
          <w:b w:val="0"/>
          <w:sz w:val="28"/>
          <w:szCs w:val="28"/>
        </w:rPr>
        <w:t>“</w:t>
      </w:r>
      <w:r w:rsidR="00B61338" w:rsidRPr="00760BA0">
        <w:rPr>
          <w:b w:val="0"/>
          <w:sz w:val="28"/>
          <w:szCs w:val="28"/>
        </w:rPr>
        <w:t xml:space="preserve">public funds to private management and </w:t>
      </w:r>
      <w:r w:rsidR="007004F5" w:rsidRPr="00760BA0">
        <w:rPr>
          <w:b w:val="0"/>
          <w:sz w:val="28"/>
          <w:szCs w:val="28"/>
        </w:rPr>
        <w:t>[</w:t>
      </w:r>
      <w:r w:rsidR="00CD588F" w:rsidRPr="00760BA0">
        <w:rPr>
          <w:b w:val="0"/>
          <w:sz w:val="28"/>
          <w:szCs w:val="28"/>
        </w:rPr>
        <w:t>through</w:t>
      </w:r>
      <w:r w:rsidR="00B61338" w:rsidRPr="00760BA0">
        <w:rPr>
          <w:b w:val="0"/>
          <w:sz w:val="28"/>
          <w:szCs w:val="28"/>
        </w:rPr>
        <w:t xml:space="preserve"> the creation</w:t>
      </w:r>
      <w:r w:rsidR="007004F5" w:rsidRPr="00760BA0">
        <w:rPr>
          <w:b w:val="0"/>
          <w:sz w:val="28"/>
          <w:szCs w:val="28"/>
        </w:rPr>
        <w:t>]</w:t>
      </w:r>
      <w:r w:rsidR="00B61338" w:rsidRPr="00760BA0">
        <w:rPr>
          <w:b w:val="0"/>
          <w:sz w:val="28"/>
          <w:szCs w:val="28"/>
        </w:rPr>
        <w:t xml:space="preserve"> of thousands of deregulated, unsupervised, and unaccountable</w:t>
      </w:r>
      <w:r w:rsidR="00B61338" w:rsidRPr="00131E69">
        <w:rPr>
          <w:b w:val="0"/>
          <w:sz w:val="28"/>
          <w:szCs w:val="28"/>
        </w:rPr>
        <w:t xml:space="preserve"> schools,</w:t>
      </w:r>
      <w:r w:rsidR="00066434">
        <w:rPr>
          <w:b w:val="0"/>
          <w:sz w:val="28"/>
          <w:szCs w:val="28"/>
        </w:rPr>
        <w:t xml:space="preserve"> </w:t>
      </w:r>
      <w:r w:rsidR="00B61338" w:rsidRPr="00131E69">
        <w:rPr>
          <w:b w:val="0"/>
          <w:sz w:val="28"/>
          <w:szCs w:val="28"/>
        </w:rPr>
        <w:t>open</w:t>
      </w:r>
      <w:r w:rsidR="000821A8">
        <w:rPr>
          <w:b w:val="0"/>
          <w:sz w:val="28"/>
          <w:szCs w:val="28"/>
        </w:rPr>
        <w:t>s</w:t>
      </w:r>
      <w:r w:rsidR="00B61338" w:rsidRPr="00131E69">
        <w:rPr>
          <w:b w:val="0"/>
          <w:sz w:val="28"/>
          <w:szCs w:val="28"/>
        </w:rPr>
        <w:t xml:space="preserve"> </w:t>
      </w:r>
      <w:r w:rsidR="00CD588F" w:rsidRPr="00131E69">
        <w:rPr>
          <w:b w:val="0"/>
          <w:sz w:val="28"/>
          <w:szCs w:val="28"/>
        </w:rPr>
        <w:t>the public</w:t>
      </w:r>
      <w:r w:rsidR="00B61338" w:rsidRPr="00131E69">
        <w:rPr>
          <w:b w:val="0"/>
          <w:sz w:val="28"/>
          <w:szCs w:val="28"/>
        </w:rPr>
        <w:t xml:space="preserve"> coffers to profiteering, fraud, and exploitation by large and small entrepreneurs.</w:t>
      </w:r>
      <w:r w:rsidR="007004F5" w:rsidRPr="00131E69">
        <w:rPr>
          <w:b w:val="0"/>
          <w:sz w:val="28"/>
          <w:szCs w:val="28"/>
        </w:rPr>
        <w:t>”</w:t>
      </w:r>
      <w:r w:rsidR="005C51D6" w:rsidRPr="00131E69">
        <w:rPr>
          <w:rStyle w:val="FootnoteReference"/>
          <w:b w:val="0"/>
          <w:sz w:val="28"/>
          <w:szCs w:val="28"/>
        </w:rPr>
        <w:footnoteReference w:id="71"/>
      </w:r>
    </w:p>
    <w:bookmarkEnd w:id="7"/>
    <w:p w14:paraId="266A0D14" w14:textId="77777777" w:rsidR="00CD588F" w:rsidRPr="00131E69" w:rsidRDefault="00CD588F" w:rsidP="00E662DA">
      <w:pPr>
        <w:pStyle w:val="Heading3"/>
        <w:shd w:val="clear" w:color="auto" w:fill="FFFFFF"/>
        <w:jc w:val="both"/>
        <w:rPr>
          <w:b w:val="0"/>
          <w:sz w:val="28"/>
          <w:szCs w:val="28"/>
          <w:lang w:val="en-US"/>
        </w:rPr>
      </w:pPr>
    </w:p>
    <w:p w14:paraId="6386053F" w14:textId="2B0ABB6A" w:rsidR="00CD588F" w:rsidRPr="001755D2" w:rsidRDefault="005C51D6" w:rsidP="00E662DA">
      <w:pPr>
        <w:pStyle w:val="Heading3"/>
        <w:shd w:val="clear" w:color="auto" w:fill="FFFFFF"/>
        <w:jc w:val="both"/>
        <w:rPr>
          <w:b w:val="0"/>
          <w:sz w:val="28"/>
          <w:szCs w:val="28"/>
          <w:u w:val="single"/>
          <w:lang w:val="en-US"/>
        </w:rPr>
      </w:pPr>
      <w:r w:rsidRPr="001755D2">
        <w:rPr>
          <w:b w:val="0"/>
          <w:sz w:val="28"/>
          <w:szCs w:val="28"/>
          <w:u w:val="single"/>
          <w:lang w:val="en-US"/>
        </w:rPr>
        <w:t>Privatization</w:t>
      </w:r>
      <w:r w:rsidR="00CD588F" w:rsidRPr="001755D2">
        <w:rPr>
          <w:b w:val="0"/>
          <w:sz w:val="28"/>
          <w:szCs w:val="28"/>
          <w:u w:val="single"/>
          <w:lang w:val="en-US"/>
        </w:rPr>
        <w:t xml:space="preserve"> and Corporatization in Higher Education</w:t>
      </w:r>
    </w:p>
    <w:p w14:paraId="16C5EB18" w14:textId="77777777" w:rsidR="00CD588F" w:rsidRPr="001755D2" w:rsidRDefault="00CD588F" w:rsidP="00E662DA">
      <w:pPr>
        <w:pStyle w:val="Heading3"/>
        <w:shd w:val="clear" w:color="auto" w:fill="FFFFFF"/>
        <w:jc w:val="both"/>
        <w:rPr>
          <w:b w:val="0"/>
          <w:sz w:val="28"/>
          <w:szCs w:val="28"/>
          <w:u w:val="single"/>
          <w:lang w:val="en-US"/>
        </w:rPr>
      </w:pPr>
    </w:p>
    <w:p w14:paraId="50B1499D" w14:textId="1CFA9298" w:rsidR="00154F66" w:rsidRPr="00F451F6" w:rsidRDefault="00EA34E0" w:rsidP="00F451F6">
      <w:pPr>
        <w:pStyle w:val="Heading3"/>
        <w:shd w:val="clear" w:color="auto" w:fill="FFFFFF"/>
        <w:jc w:val="both"/>
        <w:rPr>
          <w:b w:val="0"/>
          <w:sz w:val="28"/>
          <w:szCs w:val="28"/>
          <w:lang w:val="en-US"/>
        </w:rPr>
      </w:pPr>
      <w:r w:rsidRPr="00131E69">
        <w:rPr>
          <w:b w:val="0"/>
          <w:sz w:val="28"/>
          <w:szCs w:val="28"/>
          <w:lang w:val="en-US"/>
        </w:rPr>
        <w:t>3</w:t>
      </w:r>
      <w:r w:rsidR="00550295">
        <w:rPr>
          <w:b w:val="0"/>
          <w:sz w:val="28"/>
          <w:szCs w:val="28"/>
          <w:lang w:val="en-US"/>
        </w:rPr>
        <w:t>0</w:t>
      </w:r>
      <w:r w:rsidR="005C51D6" w:rsidRPr="00131E69">
        <w:rPr>
          <w:b w:val="0"/>
          <w:sz w:val="28"/>
          <w:szCs w:val="28"/>
          <w:lang w:val="en-US"/>
        </w:rPr>
        <w:t xml:space="preserve">.  </w:t>
      </w:r>
      <w:r w:rsidR="004429B4" w:rsidRPr="00131E69">
        <w:rPr>
          <w:b w:val="0"/>
          <w:sz w:val="28"/>
          <w:szCs w:val="28"/>
          <w:lang w:val="en-US"/>
        </w:rPr>
        <w:t xml:space="preserve">Privatization </w:t>
      </w:r>
      <w:r w:rsidR="00402833" w:rsidRPr="00131E69">
        <w:rPr>
          <w:b w:val="0"/>
          <w:sz w:val="28"/>
          <w:szCs w:val="28"/>
          <w:lang w:val="en-US"/>
        </w:rPr>
        <w:t>in th</w:t>
      </w:r>
      <w:r w:rsidR="005C51D6" w:rsidRPr="00131E69">
        <w:rPr>
          <w:b w:val="0"/>
          <w:sz w:val="28"/>
          <w:szCs w:val="28"/>
          <w:lang w:val="en-US"/>
        </w:rPr>
        <w:t xml:space="preserve">e context of </w:t>
      </w:r>
      <w:r w:rsidR="00780F66" w:rsidRPr="00131E69">
        <w:rPr>
          <w:b w:val="0"/>
          <w:sz w:val="28"/>
          <w:szCs w:val="28"/>
          <w:lang w:val="en-US"/>
        </w:rPr>
        <w:t xml:space="preserve">U.S. </w:t>
      </w:r>
      <w:r w:rsidR="005C51D6" w:rsidRPr="00131E69">
        <w:rPr>
          <w:b w:val="0"/>
          <w:sz w:val="28"/>
          <w:szCs w:val="28"/>
          <w:lang w:val="en-US"/>
        </w:rPr>
        <w:t xml:space="preserve">higher education </w:t>
      </w:r>
      <w:r w:rsidR="004429B4" w:rsidRPr="00131E69">
        <w:rPr>
          <w:b w:val="0"/>
          <w:sz w:val="28"/>
          <w:szCs w:val="28"/>
          <w:lang w:val="en-US"/>
        </w:rPr>
        <w:t xml:space="preserve">is manifest most squarely </w:t>
      </w:r>
      <w:r w:rsidR="00402833" w:rsidRPr="00F451F6">
        <w:rPr>
          <w:b w:val="0"/>
          <w:sz w:val="28"/>
          <w:szCs w:val="28"/>
          <w:lang w:val="en-US"/>
        </w:rPr>
        <w:t xml:space="preserve">in the </w:t>
      </w:r>
      <w:r w:rsidR="004429B4" w:rsidRPr="00F451F6">
        <w:rPr>
          <w:b w:val="0"/>
          <w:sz w:val="28"/>
          <w:szCs w:val="28"/>
          <w:lang w:val="en-US"/>
        </w:rPr>
        <w:t>“steep decline of public funding</w:t>
      </w:r>
      <w:r w:rsidR="00402833" w:rsidRPr="00F451F6">
        <w:rPr>
          <w:b w:val="0"/>
          <w:sz w:val="28"/>
          <w:szCs w:val="28"/>
          <w:lang w:val="en-US"/>
        </w:rPr>
        <w:t xml:space="preserve"> for higher education</w:t>
      </w:r>
      <w:r w:rsidR="00235FC0" w:rsidRPr="00F451F6">
        <w:rPr>
          <w:b w:val="0"/>
          <w:sz w:val="28"/>
          <w:szCs w:val="28"/>
          <w:lang w:val="en-US"/>
        </w:rPr>
        <w:t>,</w:t>
      </w:r>
      <w:r w:rsidR="00402833" w:rsidRPr="00F451F6">
        <w:rPr>
          <w:b w:val="0"/>
          <w:sz w:val="28"/>
          <w:szCs w:val="28"/>
          <w:lang w:val="en-US"/>
        </w:rPr>
        <w:t xml:space="preserve"> with more deleterious effects</w:t>
      </w:r>
      <w:r w:rsidR="004429B4" w:rsidRPr="00F451F6">
        <w:rPr>
          <w:b w:val="0"/>
          <w:sz w:val="28"/>
          <w:szCs w:val="28"/>
          <w:lang w:val="en-US"/>
        </w:rPr>
        <w:t xml:space="preserve"> on public universitie</w:t>
      </w:r>
      <w:r w:rsidR="00172B16" w:rsidRPr="00F451F6">
        <w:rPr>
          <w:b w:val="0"/>
          <w:sz w:val="28"/>
          <w:szCs w:val="28"/>
          <w:lang w:val="en-US"/>
        </w:rPr>
        <w:t>s</w:t>
      </w:r>
      <w:r w:rsidR="004429B4" w:rsidRPr="00F451F6">
        <w:rPr>
          <w:b w:val="0"/>
          <w:sz w:val="28"/>
          <w:szCs w:val="28"/>
          <w:lang w:val="en-US"/>
        </w:rPr>
        <w:t>.</w:t>
      </w:r>
      <w:r w:rsidR="004429B4" w:rsidRPr="00F451F6">
        <w:rPr>
          <w:rStyle w:val="FootnoteReference"/>
          <w:b w:val="0"/>
          <w:sz w:val="28"/>
          <w:szCs w:val="28"/>
          <w:lang w:val="en-US"/>
        </w:rPr>
        <w:footnoteReference w:id="72"/>
      </w:r>
      <w:r w:rsidR="00172B16" w:rsidRPr="00F451F6">
        <w:rPr>
          <w:b w:val="0"/>
          <w:sz w:val="28"/>
          <w:szCs w:val="28"/>
          <w:lang w:val="en-US"/>
        </w:rPr>
        <w:t xml:space="preserve">  </w:t>
      </w:r>
      <w:r w:rsidR="00496C91" w:rsidRPr="00F451F6">
        <w:rPr>
          <w:b w:val="0"/>
          <w:sz w:val="28"/>
          <w:szCs w:val="28"/>
          <w:lang w:val="en-US"/>
        </w:rPr>
        <w:t>Some of the e</w:t>
      </w:r>
      <w:r w:rsidR="00154F66" w:rsidRPr="00F451F6">
        <w:rPr>
          <w:b w:val="0"/>
          <w:sz w:val="28"/>
          <w:szCs w:val="28"/>
          <w:lang w:val="en-US"/>
        </w:rPr>
        <w:t>ffects</w:t>
      </w:r>
      <w:r w:rsidR="00235FC0" w:rsidRPr="00F451F6">
        <w:rPr>
          <w:b w:val="0"/>
          <w:sz w:val="28"/>
          <w:szCs w:val="28"/>
          <w:lang w:val="en-US"/>
        </w:rPr>
        <w:t>,</w:t>
      </w:r>
      <w:r w:rsidR="00E30B44" w:rsidRPr="00F451F6">
        <w:rPr>
          <w:b w:val="0"/>
          <w:sz w:val="28"/>
          <w:szCs w:val="28"/>
          <w:lang w:val="en-US"/>
        </w:rPr>
        <w:t xml:space="preserve"> as </w:t>
      </w:r>
      <w:r w:rsidR="00E310C9">
        <w:rPr>
          <w:b w:val="0"/>
          <w:sz w:val="28"/>
          <w:szCs w:val="28"/>
          <w:lang w:val="en-US"/>
        </w:rPr>
        <w:t xml:space="preserve">Professor </w:t>
      </w:r>
      <w:proofErr w:type="spellStart"/>
      <w:r w:rsidR="00E30B44" w:rsidRPr="00F451F6">
        <w:rPr>
          <w:b w:val="0"/>
          <w:sz w:val="28"/>
          <w:szCs w:val="28"/>
          <w:lang w:val="en-US"/>
        </w:rPr>
        <w:t>Lieberwitz</w:t>
      </w:r>
      <w:proofErr w:type="spellEnd"/>
      <w:r w:rsidR="00E30B44" w:rsidRPr="00F451F6">
        <w:rPr>
          <w:b w:val="0"/>
          <w:sz w:val="28"/>
          <w:szCs w:val="28"/>
          <w:lang w:val="en-US"/>
        </w:rPr>
        <w:t xml:space="preserve"> notes,</w:t>
      </w:r>
      <w:r w:rsidR="00154F66" w:rsidRPr="00F451F6">
        <w:rPr>
          <w:b w:val="0"/>
          <w:sz w:val="28"/>
          <w:szCs w:val="28"/>
          <w:lang w:val="en-US"/>
        </w:rPr>
        <w:t xml:space="preserve"> include:</w:t>
      </w:r>
      <w:r w:rsidR="00F451F6" w:rsidRPr="00F451F6">
        <w:rPr>
          <w:b w:val="0"/>
          <w:sz w:val="28"/>
          <w:szCs w:val="28"/>
          <w:lang w:val="en-US"/>
        </w:rPr>
        <w:t xml:space="preserve"> </w:t>
      </w:r>
      <w:r w:rsidR="00DE4407">
        <w:rPr>
          <w:b w:val="0"/>
          <w:sz w:val="28"/>
          <w:szCs w:val="28"/>
          <w:lang w:val="en-US"/>
        </w:rPr>
        <w:t>h</w:t>
      </w:r>
      <w:r w:rsidR="0011331A" w:rsidRPr="00F451F6">
        <w:rPr>
          <w:b w:val="0"/>
          <w:sz w:val="28"/>
          <w:szCs w:val="28"/>
          <w:lang w:val="en-US"/>
        </w:rPr>
        <w:t>igher</w:t>
      </w:r>
      <w:r w:rsidR="00172B16" w:rsidRPr="00F451F6">
        <w:rPr>
          <w:b w:val="0"/>
          <w:sz w:val="28"/>
          <w:szCs w:val="28"/>
          <w:lang w:val="en-US"/>
        </w:rPr>
        <w:t xml:space="preserve"> tuition fees, </w:t>
      </w:r>
      <w:r w:rsidR="000821A8" w:rsidRPr="00F451F6">
        <w:rPr>
          <w:b w:val="0"/>
          <w:sz w:val="28"/>
          <w:szCs w:val="28"/>
          <w:lang w:val="en-US"/>
        </w:rPr>
        <w:t>increased</w:t>
      </w:r>
      <w:r w:rsidR="00154F66" w:rsidRPr="00F451F6">
        <w:rPr>
          <w:b w:val="0"/>
          <w:sz w:val="28"/>
          <w:szCs w:val="28"/>
          <w:lang w:val="en-US"/>
        </w:rPr>
        <w:t xml:space="preserve"> commodification of education</w:t>
      </w:r>
      <w:r w:rsidR="00F451F6" w:rsidRPr="00F451F6">
        <w:rPr>
          <w:b w:val="0"/>
          <w:sz w:val="28"/>
          <w:szCs w:val="28"/>
          <w:lang w:val="en-US"/>
        </w:rPr>
        <w:t xml:space="preserve">, </w:t>
      </w:r>
      <w:r w:rsidR="00DE4407">
        <w:rPr>
          <w:b w:val="0"/>
          <w:sz w:val="28"/>
          <w:szCs w:val="28"/>
          <w:lang w:val="en-US"/>
        </w:rPr>
        <w:t xml:space="preserve">and </w:t>
      </w:r>
      <w:r w:rsidR="00F451F6" w:rsidRPr="00F451F6">
        <w:rPr>
          <w:b w:val="0"/>
          <w:sz w:val="28"/>
          <w:szCs w:val="28"/>
          <w:lang w:val="en-US"/>
        </w:rPr>
        <w:t>extremely high s</w:t>
      </w:r>
      <w:r w:rsidR="00F451F6">
        <w:rPr>
          <w:b w:val="0"/>
          <w:sz w:val="28"/>
          <w:szCs w:val="28"/>
          <w:lang w:val="en-US"/>
        </w:rPr>
        <w:t>t</w:t>
      </w:r>
      <w:r w:rsidR="004E2698" w:rsidRPr="00F451F6">
        <w:rPr>
          <w:b w:val="0"/>
          <w:sz w:val="28"/>
          <w:szCs w:val="28"/>
          <w:lang w:val="en-US"/>
        </w:rPr>
        <w:t>udent debt</w:t>
      </w:r>
      <w:r w:rsidR="00DE4407">
        <w:rPr>
          <w:b w:val="0"/>
          <w:sz w:val="28"/>
          <w:szCs w:val="28"/>
          <w:lang w:val="en-US"/>
        </w:rPr>
        <w:t xml:space="preserve"> </w:t>
      </w:r>
      <w:r w:rsidR="00F451F6" w:rsidRPr="00F451F6">
        <w:rPr>
          <w:b w:val="0"/>
          <w:sz w:val="28"/>
          <w:szCs w:val="28"/>
          <w:lang w:val="en-US"/>
        </w:rPr>
        <w:t>with universities f</w:t>
      </w:r>
      <w:r w:rsidR="00C26E81" w:rsidRPr="00F451F6">
        <w:rPr>
          <w:b w:val="0"/>
          <w:sz w:val="28"/>
          <w:szCs w:val="28"/>
          <w:lang w:val="en-US"/>
        </w:rPr>
        <w:t>orce</w:t>
      </w:r>
      <w:r w:rsidR="00E30B44" w:rsidRPr="00F451F6">
        <w:rPr>
          <w:b w:val="0"/>
          <w:sz w:val="28"/>
          <w:szCs w:val="28"/>
          <w:lang w:val="en-US"/>
        </w:rPr>
        <w:t>d</w:t>
      </w:r>
      <w:r w:rsidR="00C26E81" w:rsidRPr="00F451F6">
        <w:rPr>
          <w:b w:val="0"/>
          <w:sz w:val="28"/>
          <w:szCs w:val="28"/>
          <w:lang w:val="en-US"/>
        </w:rPr>
        <w:t xml:space="preserve"> to search for additional funds</w:t>
      </w:r>
      <w:r w:rsidR="00F451F6" w:rsidRPr="00F451F6">
        <w:rPr>
          <w:b w:val="0"/>
          <w:sz w:val="28"/>
          <w:szCs w:val="28"/>
          <w:lang w:val="en-US"/>
        </w:rPr>
        <w:t xml:space="preserve"> </w:t>
      </w:r>
      <w:r w:rsidR="00600D4D" w:rsidRPr="00F451F6">
        <w:rPr>
          <w:b w:val="0"/>
          <w:sz w:val="28"/>
          <w:szCs w:val="28"/>
          <w:lang w:val="en-US"/>
        </w:rPr>
        <w:t>in</w:t>
      </w:r>
      <w:r w:rsidR="00C26E81" w:rsidRPr="00F451F6">
        <w:rPr>
          <w:b w:val="0"/>
          <w:sz w:val="28"/>
          <w:szCs w:val="28"/>
          <w:lang w:val="en-US"/>
        </w:rPr>
        <w:t xml:space="preserve"> the private market </w:t>
      </w:r>
      <w:r w:rsidR="00600D4D" w:rsidRPr="00F451F6">
        <w:rPr>
          <w:b w:val="0"/>
          <w:sz w:val="28"/>
          <w:szCs w:val="28"/>
          <w:lang w:val="en-US"/>
        </w:rPr>
        <w:t>or</w:t>
      </w:r>
      <w:r w:rsidR="00C26E81" w:rsidRPr="00F451F6">
        <w:rPr>
          <w:b w:val="0"/>
          <w:sz w:val="28"/>
          <w:szCs w:val="28"/>
          <w:lang w:val="en-US"/>
        </w:rPr>
        <w:t xml:space="preserve"> cut program</w:t>
      </w:r>
      <w:r w:rsidR="00600D4D" w:rsidRPr="00F451F6">
        <w:rPr>
          <w:b w:val="0"/>
          <w:sz w:val="28"/>
          <w:szCs w:val="28"/>
          <w:lang w:val="en-US"/>
        </w:rPr>
        <w:t>s</w:t>
      </w:r>
      <w:r w:rsidR="00F451F6" w:rsidRPr="00F451F6">
        <w:rPr>
          <w:b w:val="0"/>
          <w:sz w:val="28"/>
          <w:szCs w:val="28"/>
          <w:lang w:val="en-US"/>
        </w:rPr>
        <w:t xml:space="preserve">, and </w:t>
      </w:r>
      <w:r w:rsidR="00DE4407">
        <w:rPr>
          <w:b w:val="0"/>
          <w:sz w:val="28"/>
          <w:szCs w:val="28"/>
          <w:lang w:val="en-US"/>
        </w:rPr>
        <w:t xml:space="preserve">suffering </w:t>
      </w:r>
      <w:r w:rsidR="00F451F6" w:rsidRPr="00F451F6">
        <w:rPr>
          <w:b w:val="0"/>
          <w:sz w:val="28"/>
          <w:szCs w:val="28"/>
          <w:lang w:val="en-US"/>
        </w:rPr>
        <w:t>de</w:t>
      </w:r>
      <w:r w:rsidR="0011331A" w:rsidRPr="00F451F6">
        <w:rPr>
          <w:b w:val="0"/>
          <w:sz w:val="28"/>
          <w:szCs w:val="28"/>
          <w:lang w:val="en-US"/>
        </w:rPr>
        <w:t xml:space="preserve">clines in </w:t>
      </w:r>
      <w:r w:rsidR="00154F66" w:rsidRPr="00F451F6">
        <w:rPr>
          <w:b w:val="0"/>
          <w:sz w:val="28"/>
          <w:szCs w:val="28"/>
          <w:lang w:val="en-US"/>
        </w:rPr>
        <w:t>li</w:t>
      </w:r>
      <w:r w:rsidR="00172B16" w:rsidRPr="00F451F6">
        <w:rPr>
          <w:b w:val="0"/>
          <w:sz w:val="28"/>
          <w:szCs w:val="28"/>
          <w:lang w:val="en-US"/>
        </w:rPr>
        <w:t>beral arts studies</w:t>
      </w:r>
      <w:r w:rsidR="00154F66" w:rsidRPr="00F451F6">
        <w:rPr>
          <w:b w:val="0"/>
          <w:sz w:val="28"/>
          <w:szCs w:val="28"/>
          <w:lang w:val="en-US"/>
        </w:rPr>
        <w:t>.</w:t>
      </w:r>
      <w:r w:rsidR="00E30B44" w:rsidRPr="00F451F6">
        <w:rPr>
          <w:rStyle w:val="FootnoteReference"/>
          <w:b w:val="0"/>
          <w:sz w:val="28"/>
          <w:szCs w:val="28"/>
          <w:lang w:val="en-US"/>
        </w:rPr>
        <w:footnoteReference w:id="73"/>
      </w:r>
    </w:p>
    <w:p w14:paraId="5248EA0B" w14:textId="69C9DA05" w:rsidR="00D7420D" w:rsidRPr="00131E69" w:rsidRDefault="00EA34E0" w:rsidP="00E662DA">
      <w:pPr>
        <w:spacing w:before="120" w:after="120"/>
        <w:jc w:val="both"/>
        <w:rPr>
          <w:sz w:val="28"/>
          <w:szCs w:val="28"/>
        </w:rPr>
      </w:pPr>
      <w:r w:rsidRPr="00131E69">
        <w:rPr>
          <w:sz w:val="28"/>
          <w:szCs w:val="28"/>
          <w:lang w:val="en-US"/>
        </w:rPr>
        <w:t>3</w:t>
      </w:r>
      <w:r w:rsidR="00550295">
        <w:rPr>
          <w:sz w:val="28"/>
          <w:szCs w:val="28"/>
          <w:lang w:val="en-US"/>
        </w:rPr>
        <w:t>1</w:t>
      </w:r>
      <w:r w:rsidR="0011331A" w:rsidRPr="00131E69">
        <w:rPr>
          <w:sz w:val="28"/>
          <w:szCs w:val="28"/>
          <w:lang w:val="en-US"/>
        </w:rPr>
        <w:t xml:space="preserve">. </w:t>
      </w:r>
      <w:r w:rsidR="00BE5133" w:rsidRPr="00131E69">
        <w:rPr>
          <w:sz w:val="28"/>
          <w:szCs w:val="28"/>
        </w:rPr>
        <w:t xml:space="preserve"> "Corporatization" is pervasive throughout the </w:t>
      </w:r>
      <w:r w:rsidR="00235FC0">
        <w:rPr>
          <w:sz w:val="28"/>
          <w:szCs w:val="28"/>
        </w:rPr>
        <w:t xml:space="preserve">U.S. </w:t>
      </w:r>
      <w:r w:rsidR="00BE5133" w:rsidRPr="00131E69">
        <w:rPr>
          <w:sz w:val="28"/>
          <w:szCs w:val="28"/>
        </w:rPr>
        <w:t>university</w:t>
      </w:r>
      <w:r w:rsidR="00C26E81" w:rsidRPr="00131E69">
        <w:rPr>
          <w:sz w:val="28"/>
          <w:szCs w:val="28"/>
        </w:rPr>
        <w:t>,</w:t>
      </w:r>
      <w:r w:rsidR="00BE5133" w:rsidRPr="00131E69">
        <w:rPr>
          <w:sz w:val="28"/>
          <w:szCs w:val="28"/>
        </w:rPr>
        <w:t xml:space="preserve"> shifting the institutional social role of the </w:t>
      </w:r>
      <w:r w:rsidR="004C2608" w:rsidRPr="00131E69">
        <w:rPr>
          <w:sz w:val="28"/>
          <w:szCs w:val="28"/>
        </w:rPr>
        <w:t>university from</w:t>
      </w:r>
      <w:r w:rsidR="00BE5133" w:rsidRPr="00131E69">
        <w:rPr>
          <w:sz w:val="28"/>
          <w:szCs w:val="28"/>
        </w:rPr>
        <w:t xml:space="preserve"> serving a democratic public mission</w:t>
      </w:r>
      <w:r w:rsidR="00235FC0">
        <w:rPr>
          <w:sz w:val="28"/>
          <w:szCs w:val="28"/>
        </w:rPr>
        <w:t xml:space="preserve"> </w:t>
      </w:r>
      <w:r w:rsidR="00BE5133" w:rsidRPr="00131E69">
        <w:rPr>
          <w:sz w:val="28"/>
          <w:szCs w:val="28"/>
        </w:rPr>
        <w:t>to serving private economic interests</w:t>
      </w:r>
      <w:r w:rsidR="00C26E81" w:rsidRPr="00131E69">
        <w:rPr>
          <w:sz w:val="28"/>
          <w:szCs w:val="28"/>
        </w:rPr>
        <w:t xml:space="preserve">,” especially the private economic interest of for-profit corporations.  </w:t>
      </w:r>
      <w:r w:rsidR="00496C91" w:rsidRPr="00131E69">
        <w:rPr>
          <w:sz w:val="28"/>
          <w:szCs w:val="28"/>
        </w:rPr>
        <w:t>T</w:t>
      </w:r>
      <w:r w:rsidR="00BE5133" w:rsidRPr="00131E69">
        <w:rPr>
          <w:sz w:val="28"/>
          <w:szCs w:val="28"/>
        </w:rPr>
        <w:t>he corporate business model</w:t>
      </w:r>
      <w:r w:rsidR="00496C91" w:rsidRPr="00131E69">
        <w:rPr>
          <w:sz w:val="28"/>
          <w:szCs w:val="28"/>
        </w:rPr>
        <w:t xml:space="preserve"> of managing universities </w:t>
      </w:r>
      <w:r w:rsidR="00496C91" w:rsidRPr="00131E69">
        <w:rPr>
          <w:i/>
          <w:sz w:val="28"/>
          <w:szCs w:val="28"/>
        </w:rPr>
        <w:t>as a business,</w:t>
      </w:r>
      <w:r w:rsidR="00235FC0">
        <w:rPr>
          <w:i/>
          <w:sz w:val="28"/>
          <w:szCs w:val="28"/>
        </w:rPr>
        <w:t xml:space="preserve"> </w:t>
      </w:r>
      <w:r w:rsidR="00316C63" w:rsidRPr="00131E69">
        <w:rPr>
          <w:i/>
          <w:sz w:val="28"/>
          <w:szCs w:val="28"/>
        </w:rPr>
        <w:t>“</w:t>
      </w:r>
      <w:r w:rsidR="00316C63" w:rsidRPr="00131E69">
        <w:rPr>
          <w:sz w:val="28"/>
          <w:szCs w:val="28"/>
        </w:rPr>
        <w:t xml:space="preserve">strengthens the </w:t>
      </w:r>
      <w:r w:rsidR="004C2608" w:rsidRPr="00131E69">
        <w:rPr>
          <w:sz w:val="28"/>
          <w:szCs w:val="28"/>
        </w:rPr>
        <w:t>top down</w:t>
      </w:r>
      <w:r w:rsidR="00316C63" w:rsidRPr="00131E69">
        <w:rPr>
          <w:sz w:val="28"/>
          <w:szCs w:val="28"/>
        </w:rPr>
        <w:t xml:space="preserve"> decision-making power of the administration,”</w:t>
      </w:r>
      <w:r w:rsidR="00316C63" w:rsidRPr="00131E69">
        <w:rPr>
          <w:rStyle w:val="FootnoteReference"/>
          <w:sz w:val="28"/>
          <w:szCs w:val="28"/>
        </w:rPr>
        <w:footnoteReference w:id="74"/>
      </w:r>
      <w:r w:rsidR="00316C63" w:rsidRPr="00131E69">
        <w:rPr>
          <w:sz w:val="28"/>
          <w:szCs w:val="28"/>
        </w:rPr>
        <w:t xml:space="preserve">  </w:t>
      </w:r>
      <w:r w:rsidR="00D7420D" w:rsidRPr="00131E69">
        <w:rPr>
          <w:sz w:val="28"/>
          <w:szCs w:val="28"/>
        </w:rPr>
        <w:t>encourages</w:t>
      </w:r>
      <w:r w:rsidR="00316C63" w:rsidRPr="00131E69">
        <w:rPr>
          <w:sz w:val="28"/>
          <w:szCs w:val="28"/>
        </w:rPr>
        <w:t xml:space="preserve"> university-industry ties, </w:t>
      </w:r>
      <w:r w:rsidR="004C2608" w:rsidRPr="00131E69">
        <w:rPr>
          <w:sz w:val="28"/>
          <w:szCs w:val="28"/>
        </w:rPr>
        <w:t>and “</w:t>
      </w:r>
      <w:r w:rsidR="00BE5133" w:rsidRPr="00131E69">
        <w:rPr>
          <w:sz w:val="28"/>
          <w:szCs w:val="28"/>
        </w:rPr>
        <w:t>creates</w:t>
      </w:r>
      <w:r w:rsidR="00F451F6">
        <w:rPr>
          <w:sz w:val="28"/>
          <w:szCs w:val="28"/>
        </w:rPr>
        <w:t xml:space="preserve"> a </w:t>
      </w:r>
      <w:r w:rsidR="00BE5133" w:rsidRPr="00131E69">
        <w:rPr>
          <w:sz w:val="28"/>
          <w:szCs w:val="28"/>
        </w:rPr>
        <w:t>strong incentive to</w:t>
      </w:r>
      <w:r w:rsidR="00316C63" w:rsidRPr="00131E69">
        <w:rPr>
          <w:sz w:val="28"/>
          <w:szCs w:val="28"/>
        </w:rPr>
        <w:t xml:space="preserve"> </w:t>
      </w:r>
      <w:r w:rsidR="00BE5133" w:rsidRPr="00131E69">
        <w:rPr>
          <w:sz w:val="28"/>
          <w:szCs w:val="28"/>
        </w:rPr>
        <w:t xml:space="preserve">commercialize academic </w:t>
      </w:r>
      <w:r w:rsidR="00D7420D" w:rsidRPr="00131E69">
        <w:rPr>
          <w:sz w:val="28"/>
          <w:szCs w:val="28"/>
        </w:rPr>
        <w:t>research.</w:t>
      </w:r>
      <w:r w:rsidR="00316C63" w:rsidRPr="00131E69">
        <w:rPr>
          <w:sz w:val="28"/>
          <w:szCs w:val="28"/>
        </w:rPr>
        <w:t>”</w:t>
      </w:r>
      <w:r w:rsidR="00316C63" w:rsidRPr="00131E69">
        <w:rPr>
          <w:rStyle w:val="FootnoteReference"/>
          <w:sz w:val="28"/>
          <w:szCs w:val="28"/>
        </w:rPr>
        <w:footnoteReference w:id="75"/>
      </w:r>
      <w:r w:rsidR="00D7420D" w:rsidRPr="00131E69">
        <w:rPr>
          <w:sz w:val="28"/>
          <w:szCs w:val="28"/>
        </w:rPr>
        <w:t xml:space="preserve">  These </w:t>
      </w:r>
      <w:r w:rsidR="00F451F6">
        <w:rPr>
          <w:sz w:val="28"/>
          <w:szCs w:val="28"/>
        </w:rPr>
        <w:t>“</w:t>
      </w:r>
      <w:r w:rsidR="005B244B">
        <w:rPr>
          <w:sz w:val="28"/>
          <w:szCs w:val="28"/>
        </w:rPr>
        <w:t xml:space="preserve">undermine </w:t>
      </w:r>
      <w:r w:rsidR="00D7420D" w:rsidRPr="00131E69">
        <w:rPr>
          <w:sz w:val="28"/>
          <w:szCs w:val="28"/>
        </w:rPr>
        <w:t xml:space="preserve">university's institutional independence, faculty impartiality in choosing and carrying out a research agenda, and the norms of the academic </w:t>
      </w:r>
      <w:r w:rsidR="004C2608" w:rsidRPr="00131E69">
        <w:rPr>
          <w:sz w:val="28"/>
          <w:szCs w:val="28"/>
        </w:rPr>
        <w:t>profession.</w:t>
      </w:r>
      <w:r w:rsidR="00D7420D" w:rsidRPr="00131E69">
        <w:rPr>
          <w:sz w:val="28"/>
          <w:szCs w:val="28"/>
        </w:rPr>
        <w:t>”</w:t>
      </w:r>
      <w:r w:rsidR="005B244B">
        <w:rPr>
          <w:rStyle w:val="FootnoteReference"/>
          <w:sz w:val="28"/>
          <w:szCs w:val="28"/>
        </w:rPr>
        <w:footnoteReference w:id="76"/>
      </w:r>
      <w:r w:rsidR="00D7420D" w:rsidRPr="00131E69">
        <w:rPr>
          <w:sz w:val="28"/>
          <w:szCs w:val="28"/>
        </w:rPr>
        <w:t xml:space="preserve">  Some of the effects of this include:</w:t>
      </w:r>
    </w:p>
    <w:p w14:paraId="5E69FD3A" w14:textId="77777777" w:rsidR="00EA34E0" w:rsidRPr="00131E69" w:rsidRDefault="00EA34E0" w:rsidP="00E662DA">
      <w:pPr>
        <w:spacing w:before="120" w:after="120"/>
        <w:jc w:val="both"/>
        <w:rPr>
          <w:sz w:val="28"/>
          <w:szCs w:val="28"/>
        </w:rPr>
      </w:pPr>
    </w:p>
    <w:p w14:paraId="2E7BC1F5" w14:textId="31A335FF" w:rsidR="00A56C9C" w:rsidRPr="00131E69" w:rsidRDefault="004C2608" w:rsidP="00E662DA">
      <w:pPr>
        <w:pStyle w:val="ListParagraph"/>
        <w:numPr>
          <w:ilvl w:val="0"/>
          <w:numId w:val="39"/>
        </w:numPr>
        <w:jc w:val="both"/>
        <w:rPr>
          <w:sz w:val="28"/>
          <w:szCs w:val="28"/>
        </w:rPr>
      </w:pPr>
      <w:r w:rsidRPr="00365402">
        <w:rPr>
          <w:b/>
          <w:i/>
          <w:sz w:val="28"/>
          <w:szCs w:val="28"/>
        </w:rPr>
        <w:t>Remov</w:t>
      </w:r>
      <w:r w:rsidR="00F451F6" w:rsidRPr="00365402">
        <w:rPr>
          <w:b/>
          <w:i/>
          <w:sz w:val="28"/>
          <w:szCs w:val="28"/>
        </w:rPr>
        <w:t>ing</w:t>
      </w:r>
      <w:r w:rsidRPr="00365402">
        <w:rPr>
          <w:b/>
          <w:i/>
          <w:sz w:val="28"/>
          <w:szCs w:val="28"/>
        </w:rPr>
        <w:t xml:space="preserve"> academic</w:t>
      </w:r>
      <w:r w:rsidR="00D7420D" w:rsidRPr="00365402">
        <w:rPr>
          <w:b/>
          <w:i/>
          <w:sz w:val="28"/>
          <w:szCs w:val="28"/>
        </w:rPr>
        <w:t xml:space="preserve"> research from the public domain</w:t>
      </w:r>
      <w:r w:rsidR="00235FC0" w:rsidRPr="00365402">
        <w:rPr>
          <w:b/>
          <w:i/>
          <w:sz w:val="28"/>
          <w:szCs w:val="28"/>
        </w:rPr>
        <w:t xml:space="preserve"> for public use</w:t>
      </w:r>
      <w:r w:rsidR="00E30B44" w:rsidRPr="00365402">
        <w:rPr>
          <w:b/>
          <w:i/>
          <w:sz w:val="28"/>
          <w:szCs w:val="28"/>
        </w:rPr>
        <w:t>, placing it in</w:t>
      </w:r>
      <w:r w:rsidR="00235FC0" w:rsidRPr="00365402">
        <w:rPr>
          <w:b/>
          <w:i/>
          <w:sz w:val="28"/>
          <w:szCs w:val="28"/>
        </w:rPr>
        <w:t>stead in</w:t>
      </w:r>
      <w:r w:rsidR="00E30B44" w:rsidRPr="00365402">
        <w:rPr>
          <w:b/>
          <w:i/>
          <w:sz w:val="28"/>
          <w:szCs w:val="28"/>
        </w:rPr>
        <w:t xml:space="preserve"> private for</w:t>
      </w:r>
      <w:r w:rsidR="0005192B" w:rsidRPr="00365402">
        <w:rPr>
          <w:b/>
          <w:i/>
          <w:sz w:val="28"/>
          <w:szCs w:val="28"/>
        </w:rPr>
        <w:t>-</w:t>
      </w:r>
      <w:r w:rsidR="00E30B44" w:rsidRPr="00365402">
        <w:rPr>
          <w:b/>
          <w:i/>
          <w:sz w:val="28"/>
          <w:szCs w:val="28"/>
        </w:rPr>
        <w:t>profit hands</w:t>
      </w:r>
      <w:r w:rsidR="00A56C9C" w:rsidRPr="00131E69">
        <w:rPr>
          <w:b/>
          <w:i/>
          <w:sz w:val="28"/>
          <w:szCs w:val="28"/>
        </w:rPr>
        <w:t>: “</w:t>
      </w:r>
      <w:r w:rsidR="00A56C9C" w:rsidRPr="00131E69">
        <w:rPr>
          <w:sz w:val="28"/>
          <w:szCs w:val="28"/>
        </w:rPr>
        <w:t xml:space="preserve">In 1979, before the </w:t>
      </w:r>
      <w:proofErr w:type="spellStart"/>
      <w:r w:rsidR="00A56C9C" w:rsidRPr="00131E69">
        <w:rPr>
          <w:sz w:val="28"/>
          <w:szCs w:val="28"/>
        </w:rPr>
        <w:t>Bayh</w:t>
      </w:r>
      <w:proofErr w:type="spellEnd"/>
      <w:r w:rsidR="00A56C9C" w:rsidRPr="00131E69">
        <w:rPr>
          <w:sz w:val="28"/>
          <w:szCs w:val="28"/>
        </w:rPr>
        <w:t>-Dole Act, US universities obtained 264 patents</w:t>
      </w:r>
      <w:r w:rsidR="00235FC0">
        <w:rPr>
          <w:sz w:val="28"/>
          <w:szCs w:val="28"/>
        </w:rPr>
        <w:t>.</w:t>
      </w:r>
      <w:r w:rsidR="00A56C9C" w:rsidRPr="00131E69">
        <w:rPr>
          <w:sz w:val="28"/>
          <w:szCs w:val="28"/>
        </w:rPr>
        <w:t xml:space="preserve"> Between 1988 and 2003, US patents awarded to academic institutions </w:t>
      </w:r>
      <w:bookmarkStart w:id="9" w:name="_Hlk157980018"/>
      <w:r w:rsidR="00A56C9C" w:rsidRPr="00131E69">
        <w:rPr>
          <w:sz w:val="28"/>
          <w:szCs w:val="28"/>
        </w:rPr>
        <w:t>quadrupled</w:t>
      </w:r>
      <w:bookmarkEnd w:id="9"/>
      <w:r w:rsidR="00A56C9C" w:rsidRPr="00131E69">
        <w:rPr>
          <w:sz w:val="28"/>
          <w:szCs w:val="28"/>
        </w:rPr>
        <w:t>, from about 800 to more than 3,200 per year (Johnston 2007: 162) and by 2016 had more than</w:t>
      </w:r>
      <w:r w:rsidR="00B10B71" w:rsidRPr="00131E69">
        <w:rPr>
          <w:sz w:val="28"/>
          <w:szCs w:val="28"/>
        </w:rPr>
        <w:t xml:space="preserve"> doubled.</w:t>
      </w:r>
      <w:r w:rsidR="00235FC0">
        <w:rPr>
          <w:sz w:val="28"/>
          <w:szCs w:val="28"/>
        </w:rPr>
        <w:t>”</w:t>
      </w:r>
      <w:r w:rsidR="00235FC0">
        <w:rPr>
          <w:rStyle w:val="FootnoteReference"/>
          <w:sz w:val="28"/>
          <w:szCs w:val="28"/>
        </w:rPr>
        <w:footnoteReference w:id="77"/>
      </w:r>
    </w:p>
    <w:p w14:paraId="17B4F619" w14:textId="3F062430" w:rsidR="00B10B71" w:rsidRPr="00131E69" w:rsidRDefault="00E662DA" w:rsidP="00E662DA">
      <w:pPr>
        <w:pStyle w:val="ListParagraph"/>
        <w:numPr>
          <w:ilvl w:val="0"/>
          <w:numId w:val="38"/>
        </w:numPr>
        <w:jc w:val="both"/>
        <w:rPr>
          <w:sz w:val="28"/>
          <w:szCs w:val="28"/>
        </w:rPr>
      </w:pPr>
      <w:r w:rsidRPr="00365402">
        <w:rPr>
          <w:b/>
          <w:i/>
          <w:sz w:val="28"/>
          <w:szCs w:val="28"/>
        </w:rPr>
        <w:t>Reduc</w:t>
      </w:r>
      <w:r w:rsidR="00F451F6" w:rsidRPr="00365402">
        <w:rPr>
          <w:b/>
          <w:i/>
          <w:sz w:val="28"/>
          <w:szCs w:val="28"/>
        </w:rPr>
        <w:t>ing the</w:t>
      </w:r>
      <w:r w:rsidRPr="00365402">
        <w:rPr>
          <w:b/>
          <w:i/>
          <w:sz w:val="28"/>
          <w:szCs w:val="28"/>
        </w:rPr>
        <w:t xml:space="preserve"> </w:t>
      </w:r>
      <w:r w:rsidR="00B10B71" w:rsidRPr="00365402">
        <w:rPr>
          <w:b/>
          <w:i/>
          <w:sz w:val="28"/>
          <w:szCs w:val="28"/>
        </w:rPr>
        <w:t>number of</w:t>
      </w:r>
      <w:r w:rsidR="00365402">
        <w:rPr>
          <w:b/>
          <w:i/>
          <w:sz w:val="28"/>
          <w:szCs w:val="28"/>
        </w:rPr>
        <w:t xml:space="preserve"> t</w:t>
      </w:r>
      <w:r w:rsidR="00B10B71" w:rsidRPr="00365402">
        <w:rPr>
          <w:b/>
          <w:i/>
          <w:sz w:val="28"/>
          <w:szCs w:val="28"/>
        </w:rPr>
        <w:t xml:space="preserve">enured </w:t>
      </w:r>
      <w:r w:rsidR="00365402">
        <w:rPr>
          <w:b/>
          <w:i/>
          <w:sz w:val="28"/>
          <w:szCs w:val="28"/>
        </w:rPr>
        <w:t>f</w:t>
      </w:r>
      <w:r w:rsidR="00B10B71" w:rsidRPr="00365402">
        <w:rPr>
          <w:b/>
          <w:i/>
          <w:sz w:val="28"/>
          <w:szCs w:val="28"/>
        </w:rPr>
        <w:t>aculty</w:t>
      </w:r>
      <w:r w:rsidR="00B10B71" w:rsidRPr="00131E69">
        <w:rPr>
          <w:sz w:val="28"/>
          <w:szCs w:val="28"/>
        </w:rPr>
        <w:t xml:space="preserve">: Nationally, “the percentage of tenure-track/tenured faculty positions </w:t>
      </w:r>
      <w:r w:rsidR="004C2608" w:rsidRPr="00131E69">
        <w:rPr>
          <w:sz w:val="28"/>
          <w:szCs w:val="28"/>
        </w:rPr>
        <w:t>ha</w:t>
      </w:r>
      <w:r w:rsidR="00235FC0">
        <w:rPr>
          <w:sz w:val="28"/>
          <w:szCs w:val="28"/>
        </w:rPr>
        <w:t>s</w:t>
      </w:r>
      <w:r w:rsidR="00B10B71" w:rsidRPr="00131E69">
        <w:rPr>
          <w:sz w:val="28"/>
          <w:szCs w:val="28"/>
        </w:rPr>
        <w:t xml:space="preserve"> plummeted from 78 percent in 1969 to… 30 percent today.</w:t>
      </w:r>
      <w:r w:rsidR="00235FC0">
        <w:rPr>
          <w:sz w:val="28"/>
          <w:szCs w:val="28"/>
        </w:rPr>
        <w:t>”</w:t>
      </w:r>
      <w:r w:rsidR="00235FC0">
        <w:rPr>
          <w:rStyle w:val="FootnoteReference"/>
          <w:sz w:val="28"/>
          <w:szCs w:val="28"/>
        </w:rPr>
        <w:footnoteReference w:id="78"/>
      </w:r>
      <w:r w:rsidR="00B10B71" w:rsidRPr="00131E69">
        <w:rPr>
          <w:sz w:val="28"/>
          <w:szCs w:val="28"/>
        </w:rPr>
        <w:t xml:space="preserve">  Growth in contingent faculty has </w:t>
      </w:r>
      <w:r w:rsidR="004C2608" w:rsidRPr="00131E69">
        <w:rPr>
          <w:sz w:val="28"/>
          <w:szCs w:val="28"/>
        </w:rPr>
        <w:t>racial</w:t>
      </w:r>
      <w:r w:rsidR="00B10B71" w:rsidRPr="00131E69">
        <w:rPr>
          <w:sz w:val="28"/>
          <w:szCs w:val="28"/>
        </w:rPr>
        <w:t xml:space="preserve"> and gender impacts, stratifies the faculty, delinks </w:t>
      </w:r>
      <w:r w:rsidR="00080AA9" w:rsidRPr="00131E69">
        <w:rPr>
          <w:sz w:val="28"/>
          <w:szCs w:val="28"/>
        </w:rPr>
        <w:t xml:space="preserve">academic </w:t>
      </w:r>
      <w:r w:rsidR="004C2608" w:rsidRPr="00131E69">
        <w:rPr>
          <w:sz w:val="28"/>
          <w:szCs w:val="28"/>
        </w:rPr>
        <w:t>freedom</w:t>
      </w:r>
      <w:r w:rsidR="00080AA9" w:rsidRPr="00131E69">
        <w:rPr>
          <w:sz w:val="28"/>
          <w:szCs w:val="28"/>
        </w:rPr>
        <w:t xml:space="preserve"> </w:t>
      </w:r>
      <w:r w:rsidR="004C2608" w:rsidRPr="00131E69">
        <w:rPr>
          <w:sz w:val="28"/>
          <w:szCs w:val="28"/>
        </w:rPr>
        <w:t xml:space="preserve">from </w:t>
      </w:r>
      <w:r w:rsidR="00080AA9" w:rsidRPr="00131E69">
        <w:rPr>
          <w:sz w:val="28"/>
          <w:szCs w:val="28"/>
        </w:rPr>
        <w:t>ten</w:t>
      </w:r>
      <w:r w:rsidR="004C2608" w:rsidRPr="00131E69">
        <w:rPr>
          <w:sz w:val="28"/>
          <w:szCs w:val="28"/>
        </w:rPr>
        <w:t>ure</w:t>
      </w:r>
      <w:r w:rsidR="00080AA9" w:rsidRPr="00131E69">
        <w:rPr>
          <w:sz w:val="28"/>
          <w:szCs w:val="28"/>
        </w:rPr>
        <w:t xml:space="preserve">, limiting their </w:t>
      </w:r>
      <w:r w:rsidR="004C2608" w:rsidRPr="00131E69">
        <w:rPr>
          <w:sz w:val="28"/>
          <w:szCs w:val="28"/>
        </w:rPr>
        <w:t>ability</w:t>
      </w:r>
      <w:r w:rsidR="00080AA9" w:rsidRPr="00131E69">
        <w:rPr>
          <w:sz w:val="28"/>
          <w:szCs w:val="28"/>
        </w:rPr>
        <w:t xml:space="preserve"> to speak out and their </w:t>
      </w:r>
      <w:r w:rsidR="004C2608" w:rsidRPr="00131E69">
        <w:rPr>
          <w:sz w:val="28"/>
          <w:szCs w:val="28"/>
        </w:rPr>
        <w:t>participation</w:t>
      </w:r>
      <w:r w:rsidR="00080AA9" w:rsidRPr="00131E69">
        <w:rPr>
          <w:sz w:val="28"/>
          <w:szCs w:val="28"/>
        </w:rPr>
        <w:t xml:space="preserve"> in shar</w:t>
      </w:r>
      <w:r w:rsidR="00AA0EA8">
        <w:rPr>
          <w:sz w:val="28"/>
          <w:szCs w:val="28"/>
        </w:rPr>
        <w:t>e</w:t>
      </w:r>
      <w:r w:rsidR="00080AA9" w:rsidRPr="00131E69">
        <w:rPr>
          <w:sz w:val="28"/>
          <w:szCs w:val="28"/>
        </w:rPr>
        <w:t xml:space="preserve">d governance.  </w:t>
      </w:r>
    </w:p>
    <w:p w14:paraId="7E3AFDD8" w14:textId="483D1CEF" w:rsidR="00D7420D" w:rsidRDefault="00D7420D" w:rsidP="00E662DA">
      <w:pPr>
        <w:pStyle w:val="ListParagraph"/>
        <w:numPr>
          <w:ilvl w:val="0"/>
          <w:numId w:val="38"/>
        </w:numPr>
        <w:jc w:val="both"/>
        <w:rPr>
          <w:sz w:val="28"/>
          <w:szCs w:val="28"/>
        </w:rPr>
      </w:pPr>
      <w:r w:rsidRPr="00131E69">
        <w:rPr>
          <w:b/>
          <w:i/>
          <w:sz w:val="28"/>
          <w:szCs w:val="28"/>
        </w:rPr>
        <w:t>Increas</w:t>
      </w:r>
      <w:r w:rsidR="00F451F6">
        <w:rPr>
          <w:b/>
          <w:i/>
          <w:sz w:val="28"/>
          <w:szCs w:val="28"/>
        </w:rPr>
        <w:t>ing</w:t>
      </w:r>
      <w:r w:rsidRPr="00131E69">
        <w:rPr>
          <w:b/>
          <w:i/>
          <w:sz w:val="28"/>
          <w:szCs w:val="28"/>
        </w:rPr>
        <w:t xml:space="preserve"> </w:t>
      </w:r>
      <w:r w:rsidR="00365402">
        <w:rPr>
          <w:b/>
          <w:i/>
          <w:sz w:val="28"/>
          <w:szCs w:val="28"/>
        </w:rPr>
        <w:t>a</w:t>
      </w:r>
      <w:r w:rsidRPr="00131E69">
        <w:rPr>
          <w:b/>
          <w:i/>
          <w:sz w:val="28"/>
          <w:szCs w:val="28"/>
        </w:rPr>
        <w:t>dministrative staff</w:t>
      </w:r>
      <w:proofErr w:type="gramStart"/>
      <w:r w:rsidR="00235FC0">
        <w:rPr>
          <w:b/>
          <w:i/>
          <w:sz w:val="28"/>
          <w:szCs w:val="28"/>
        </w:rPr>
        <w:t xml:space="preserve">: </w:t>
      </w:r>
      <w:r w:rsidRPr="00131E69">
        <w:rPr>
          <w:sz w:val="28"/>
          <w:szCs w:val="28"/>
        </w:rPr>
        <w:t xml:space="preserve"> “</w:t>
      </w:r>
      <w:proofErr w:type="gramEnd"/>
      <w:r w:rsidRPr="00131E69">
        <w:rPr>
          <w:sz w:val="28"/>
          <w:szCs w:val="28"/>
        </w:rPr>
        <w:t xml:space="preserve">Between the years of 1976 and 2015, the number of full-time university executives and managers grew by 140 percent, compared </w:t>
      </w:r>
      <w:r w:rsidR="00AA0EA8">
        <w:rPr>
          <w:sz w:val="28"/>
          <w:szCs w:val="28"/>
        </w:rPr>
        <w:t xml:space="preserve">to a </w:t>
      </w:r>
      <w:r w:rsidRPr="00131E69">
        <w:rPr>
          <w:sz w:val="28"/>
          <w:szCs w:val="28"/>
        </w:rPr>
        <w:t xml:space="preserve">smaller growth rate for faulty. </w:t>
      </w:r>
      <w:r w:rsidR="00E30B44">
        <w:rPr>
          <w:rStyle w:val="FootnoteReference"/>
          <w:sz w:val="28"/>
          <w:szCs w:val="28"/>
        </w:rPr>
        <w:footnoteReference w:id="79"/>
      </w:r>
      <w:r w:rsidRPr="00131E69">
        <w:rPr>
          <w:sz w:val="28"/>
          <w:szCs w:val="28"/>
        </w:rPr>
        <w:t xml:space="preserve"> </w:t>
      </w:r>
    </w:p>
    <w:p w14:paraId="1EB331A0" w14:textId="51707F4D" w:rsidR="005C7A08" w:rsidRPr="009F387A" w:rsidRDefault="0005192B" w:rsidP="00A31B2D">
      <w:pPr>
        <w:pStyle w:val="ListParagraph"/>
        <w:numPr>
          <w:ilvl w:val="0"/>
          <w:numId w:val="38"/>
        </w:numPr>
        <w:jc w:val="both"/>
        <w:rPr>
          <w:sz w:val="28"/>
          <w:szCs w:val="28"/>
          <w:lang w:val="en-US"/>
        </w:rPr>
      </w:pPr>
      <w:r w:rsidRPr="00365402">
        <w:rPr>
          <w:b/>
          <w:i/>
          <w:sz w:val="28"/>
          <w:szCs w:val="28"/>
        </w:rPr>
        <w:t>Increas</w:t>
      </w:r>
      <w:r w:rsidR="00F451F6" w:rsidRPr="00365402">
        <w:rPr>
          <w:b/>
          <w:i/>
          <w:sz w:val="28"/>
          <w:szCs w:val="28"/>
        </w:rPr>
        <w:t xml:space="preserve">ing the </w:t>
      </w:r>
      <w:r w:rsidRPr="00365402">
        <w:rPr>
          <w:b/>
          <w:i/>
          <w:sz w:val="28"/>
          <w:szCs w:val="28"/>
        </w:rPr>
        <w:t>power of corporate funders</w:t>
      </w:r>
      <w:r w:rsidR="002C26D4" w:rsidRPr="00365402">
        <w:rPr>
          <w:b/>
          <w:i/>
          <w:sz w:val="28"/>
          <w:szCs w:val="28"/>
        </w:rPr>
        <w:t xml:space="preserve"> and donors</w:t>
      </w:r>
      <w:r w:rsidR="00235FC0" w:rsidRPr="00365402">
        <w:rPr>
          <w:b/>
          <w:i/>
          <w:sz w:val="28"/>
          <w:szCs w:val="28"/>
        </w:rPr>
        <w:t xml:space="preserve">: </w:t>
      </w:r>
      <w:r w:rsidR="00235FC0">
        <w:rPr>
          <w:b/>
          <w:sz w:val="28"/>
          <w:szCs w:val="28"/>
        </w:rPr>
        <w:t xml:space="preserve"> </w:t>
      </w:r>
      <w:r w:rsidR="00235FC0">
        <w:rPr>
          <w:sz w:val="28"/>
          <w:szCs w:val="28"/>
        </w:rPr>
        <w:t>Allows them to shape</w:t>
      </w:r>
      <w:r w:rsidR="002C26D4">
        <w:rPr>
          <w:sz w:val="28"/>
          <w:szCs w:val="28"/>
        </w:rPr>
        <w:t xml:space="preserve"> the institutions and studies to meet their own narrow pecuniary needs and ideological perspectives</w:t>
      </w:r>
      <w:r w:rsidR="00AA0EA8">
        <w:rPr>
          <w:sz w:val="28"/>
          <w:szCs w:val="28"/>
        </w:rPr>
        <w:t xml:space="preserve">, which overall tend to be more conservative than </w:t>
      </w:r>
      <w:r w:rsidR="001A6C14">
        <w:rPr>
          <w:sz w:val="28"/>
          <w:szCs w:val="28"/>
        </w:rPr>
        <w:t xml:space="preserve">those of </w:t>
      </w:r>
      <w:r w:rsidR="00AA0EA8">
        <w:rPr>
          <w:sz w:val="28"/>
          <w:szCs w:val="28"/>
        </w:rPr>
        <w:t>the American public.</w:t>
      </w:r>
      <w:r w:rsidR="002C26D4">
        <w:rPr>
          <w:sz w:val="28"/>
          <w:szCs w:val="28"/>
        </w:rPr>
        <w:t xml:space="preserve"> And donors, in this regard have become more aggressive as three recent scandals reveal.</w:t>
      </w:r>
      <w:r w:rsidR="001A6C14">
        <w:rPr>
          <w:sz w:val="28"/>
          <w:szCs w:val="28"/>
        </w:rPr>
        <w:t xml:space="preserve"> </w:t>
      </w:r>
      <w:r w:rsidR="002C26D4">
        <w:rPr>
          <w:sz w:val="28"/>
          <w:szCs w:val="28"/>
        </w:rPr>
        <w:t>The</w:t>
      </w:r>
      <w:r w:rsidR="00DE4407">
        <w:rPr>
          <w:sz w:val="28"/>
          <w:szCs w:val="28"/>
        </w:rPr>
        <w:t>y</w:t>
      </w:r>
      <w:r w:rsidR="002C26D4">
        <w:rPr>
          <w:sz w:val="28"/>
          <w:szCs w:val="28"/>
        </w:rPr>
        <w:t xml:space="preserve"> involve the </w:t>
      </w:r>
      <w:r w:rsidR="00E310C9">
        <w:rPr>
          <w:sz w:val="28"/>
          <w:szCs w:val="28"/>
        </w:rPr>
        <w:t xml:space="preserve">donor-driven </w:t>
      </w:r>
      <w:r w:rsidR="002C26D4">
        <w:rPr>
          <w:sz w:val="28"/>
          <w:szCs w:val="28"/>
        </w:rPr>
        <w:t>reshaping of George Mason law school,</w:t>
      </w:r>
      <w:r w:rsidR="00A31B2D">
        <w:rPr>
          <w:rStyle w:val="FootnoteReference"/>
          <w:sz w:val="28"/>
          <w:szCs w:val="28"/>
        </w:rPr>
        <w:footnoteReference w:id="80"/>
      </w:r>
      <w:r w:rsidR="002C26D4">
        <w:rPr>
          <w:sz w:val="28"/>
          <w:szCs w:val="28"/>
        </w:rPr>
        <w:t xml:space="preserve"> UNC’s journalism school’s failure to secure Nicole Hannah-Jones, and the resignations </w:t>
      </w:r>
      <w:r w:rsidR="00A31B2D">
        <w:rPr>
          <w:sz w:val="28"/>
          <w:szCs w:val="28"/>
        </w:rPr>
        <w:t xml:space="preserve">as college presidents </w:t>
      </w:r>
      <w:r w:rsidR="002C26D4">
        <w:rPr>
          <w:sz w:val="28"/>
          <w:szCs w:val="28"/>
        </w:rPr>
        <w:t xml:space="preserve">of </w:t>
      </w:r>
      <w:proofErr w:type="spellStart"/>
      <w:r w:rsidR="00E310C9">
        <w:rPr>
          <w:sz w:val="28"/>
          <w:szCs w:val="28"/>
        </w:rPr>
        <w:t>Dr.</w:t>
      </w:r>
      <w:proofErr w:type="spellEnd"/>
      <w:r w:rsidR="00E310C9">
        <w:rPr>
          <w:sz w:val="28"/>
          <w:szCs w:val="28"/>
        </w:rPr>
        <w:t xml:space="preserve"> </w:t>
      </w:r>
      <w:r w:rsidR="002C26D4">
        <w:rPr>
          <w:sz w:val="28"/>
          <w:szCs w:val="28"/>
        </w:rPr>
        <w:t xml:space="preserve">Claudine Gay </w:t>
      </w:r>
      <w:r w:rsidR="00A31B2D">
        <w:rPr>
          <w:sz w:val="28"/>
          <w:szCs w:val="28"/>
        </w:rPr>
        <w:t>(Harvard)</w:t>
      </w:r>
      <w:r w:rsidR="00E02C94">
        <w:rPr>
          <w:rStyle w:val="FootnoteReference"/>
          <w:sz w:val="28"/>
          <w:szCs w:val="28"/>
        </w:rPr>
        <w:footnoteReference w:id="81"/>
      </w:r>
      <w:r w:rsidR="00A31B2D">
        <w:rPr>
          <w:sz w:val="28"/>
          <w:szCs w:val="28"/>
        </w:rPr>
        <w:t xml:space="preserve"> </w:t>
      </w:r>
      <w:r w:rsidR="002C26D4">
        <w:rPr>
          <w:sz w:val="28"/>
          <w:szCs w:val="28"/>
        </w:rPr>
        <w:t xml:space="preserve">and </w:t>
      </w:r>
      <w:r w:rsidR="00E310C9">
        <w:rPr>
          <w:sz w:val="28"/>
          <w:szCs w:val="28"/>
        </w:rPr>
        <w:t xml:space="preserve">Dr. </w:t>
      </w:r>
      <w:proofErr w:type="spellStart"/>
      <w:r w:rsidR="00A31B2D" w:rsidRPr="00A31B2D">
        <w:rPr>
          <w:sz w:val="28"/>
          <w:szCs w:val="28"/>
        </w:rPr>
        <w:t>Liz</w:t>
      </w:r>
      <w:proofErr w:type="spellEnd"/>
      <w:r w:rsidR="00A31B2D" w:rsidRPr="00A31B2D">
        <w:rPr>
          <w:sz w:val="28"/>
          <w:szCs w:val="28"/>
        </w:rPr>
        <w:t xml:space="preserve"> Magill</w:t>
      </w:r>
      <w:r w:rsidR="00A31B2D">
        <w:rPr>
          <w:sz w:val="28"/>
          <w:szCs w:val="28"/>
        </w:rPr>
        <w:t xml:space="preserve"> (Univ. of </w:t>
      </w:r>
      <w:r w:rsidR="009F387A">
        <w:rPr>
          <w:sz w:val="28"/>
          <w:szCs w:val="28"/>
        </w:rPr>
        <w:t>Pennsylvania</w:t>
      </w:r>
      <w:r w:rsidR="00A31B2D">
        <w:rPr>
          <w:sz w:val="28"/>
          <w:szCs w:val="28"/>
        </w:rPr>
        <w:t>).</w:t>
      </w:r>
      <w:r w:rsidR="00A31B2D">
        <w:rPr>
          <w:rStyle w:val="FootnoteReference"/>
          <w:sz w:val="28"/>
          <w:szCs w:val="28"/>
        </w:rPr>
        <w:footnoteReference w:id="82"/>
      </w:r>
      <w:r w:rsidR="00A31B2D">
        <w:rPr>
          <w:sz w:val="28"/>
          <w:szCs w:val="28"/>
        </w:rPr>
        <w:t xml:space="preserve"> </w:t>
      </w:r>
      <w:r w:rsidR="002C26D4">
        <w:rPr>
          <w:sz w:val="28"/>
          <w:szCs w:val="28"/>
        </w:rPr>
        <w:t xml:space="preserve"> </w:t>
      </w:r>
    </w:p>
    <w:p w14:paraId="3C5F9DAC" w14:textId="66587EB0" w:rsidR="009F387A" w:rsidRDefault="009F387A" w:rsidP="009F387A">
      <w:pPr>
        <w:jc w:val="both"/>
        <w:rPr>
          <w:sz w:val="28"/>
          <w:szCs w:val="28"/>
          <w:lang w:val="en-US"/>
        </w:rPr>
      </w:pPr>
    </w:p>
    <w:p w14:paraId="6C010ED6" w14:textId="7FA30CF7" w:rsidR="009F387A" w:rsidRDefault="009F387A" w:rsidP="009F387A">
      <w:pPr>
        <w:jc w:val="both"/>
        <w:rPr>
          <w:sz w:val="28"/>
          <w:szCs w:val="28"/>
          <w:lang w:val="en-US"/>
        </w:rPr>
      </w:pPr>
    </w:p>
    <w:p w14:paraId="2D356F38" w14:textId="7A54AAC9" w:rsidR="009F387A" w:rsidRDefault="00E52FA8" w:rsidP="009F387A">
      <w:pPr>
        <w:jc w:val="both"/>
        <w:rPr>
          <w:sz w:val="28"/>
          <w:szCs w:val="28"/>
          <w:lang w:val="en-US"/>
        </w:rPr>
      </w:pPr>
      <w:r>
        <w:rPr>
          <w:sz w:val="28"/>
          <w:szCs w:val="28"/>
          <w:lang w:val="en-US"/>
        </w:rPr>
        <w:t>END</w:t>
      </w:r>
    </w:p>
    <w:sectPr w:rsidR="009F387A" w:rsidSect="00C772EF">
      <w:headerReference w:type="default" r:id="rId14"/>
      <w:footerReference w:type="default" r:id="rId15"/>
      <w:footerReference w:type="first" r:id="rId16"/>
      <w:pgSz w:w="11906" w:h="16838" w:code="9"/>
      <w:pgMar w:top="1134" w:right="1701" w:bottom="1134" w:left="1701" w:header="284" w:footer="567" w:gutter="0"/>
      <w:cols w:space="720"/>
      <w:formProt w:val="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053E84" w16cex:dateUtc="2024-02-02T18:19:00Z"/>
  <w16cex:commentExtensible w16cex:durableId="6B002DB8" w16cex:dateUtc="2024-02-02T18:22:00Z"/>
  <w16cex:commentExtensible w16cex:durableId="56E9A4DB" w16cex:dateUtc="2024-02-02T19:12:00Z"/>
  <w16cex:commentExtensible w16cex:durableId="08C98A80" w16cex:dateUtc="2024-02-02T18:31:00Z"/>
  <w16cex:commentExtensible w16cex:durableId="17F915F5" w16cex:dateUtc="2024-02-02T18:39:00Z"/>
  <w16cex:commentExtensible w16cex:durableId="61C59340" w16cex:dateUtc="2024-02-02T18:39:00Z"/>
  <w16cex:commentExtensible w16cex:durableId="13D127E1" w16cex:dateUtc="2024-02-02T18:42:00Z"/>
  <w16cex:commentExtensible w16cex:durableId="6FEE7602" w16cex:dateUtc="2024-02-02T18:44:00Z"/>
  <w16cex:commentExtensible w16cex:durableId="0579379B" w16cex:dateUtc="2024-02-02T18:52:00Z"/>
  <w16cex:commentExtensible w16cex:durableId="32D20619" w16cex:dateUtc="2024-02-02T18:50:00Z"/>
  <w16cex:commentExtensible w16cex:durableId="7CB38560" w16cex:dateUtc="2024-02-02T18:51:00Z"/>
  <w16cex:commentExtensible w16cex:durableId="75F2698C" w16cex:dateUtc="2024-02-02T18:58:00Z"/>
  <w16cex:commentExtensible w16cex:durableId="4C3C99D5" w16cex:dateUtc="2024-02-02T19:00:00Z"/>
  <w16cex:commentExtensible w16cex:durableId="0C0B71C3" w16cex:dateUtc="2024-02-02T19:04:00Z"/>
  <w16cex:commentExtensible w16cex:durableId="31E34216" w16cex:dateUtc="2024-02-02T19:07:00Z"/>
  <w16cex:commentExtensible w16cex:durableId="4398900E" w16cex:dateUtc="2024-02-02T19: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54C2E" w14:textId="77777777" w:rsidR="004B2E43" w:rsidRDefault="004B2E43">
      <w:r>
        <w:separator/>
      </w:r>
    </w:p>
  </w:endnote>
  <w:endnote w:type="continuationSeparator" w:id="0">
    <w:p w14:paraId="3D7E711C" w14:textId="77777777" w:rsidR="004B2E43" w:rsidRDefault="004B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default"/>
    <w:sig w:usb0="00000001" w:usb1="08070000" w:usb2="00000010" w:usb3="00000000" w:csb0="0002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917570"/>
      <w:docPartObj>
        <w:docPartGallery w:val="Page Numbers (Bottom of Page)"/>
        <w:docPartUnique/>
      </w:docPartObj>
    </w:sdtPr>
    <w:sdtEndPr>
      <w:rPr>
        <w:noProof/>
      </w:rPr>
    </w:sdtEndPr>
    <w:sdtContent>
      <w:p w14:paraId="4DEABF44" w14:textId="5BED580E" w:rsidR="00506EDB" w:rsidRDefault="00506E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6FBBF" w14:textId="77777777" w:rsidR="00506EDB" w:rsidRDefault="00506ED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135205"/>
      <w:docPartObj>
        <w:docPartGallery w:val="Page Numbers (Bottom of Page)"/>
        <w:docPartUnique/>
      </w:docPartObj>
    </w:sdtPr>
    <w:sdtEndPr>
      <w:rPr>
        <w:noProof/>
      </w:rPr>
    </w:sdtEndPr>
    <w:sdtContent>
      <w:p w14:paraId="32C2751D" w14:textId="30FB1C66" w:rsidR="00506EDB" w:rsidRDefault="00506E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42CDD" w14:textId="77777777" w:rsidR="00506EDB" w:rsidRPr="00683D25" w:rsidRDefault="00506EDB"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0A023" w14:textId="77777777" w:rsidR="004B2E43" w:rsidRDefault="004B2E43">
      <w:r>
        <w:separator/>
      </w:r>
    </w:p>
  </w:footnote>
  <w:footnote w:type="continuationSeparator" w:id="0">
    <w:p w14:paraId="1418861F" w14:textId="77777777" w:rsidR="004B2E43" w:rsidRDefault="004B2E43">
      <w:r>
        <w:continuationSeparator/>
      </w:r>
    </w:p>
  </w:footnote>
  <w:footnote w:id="1">
    <w:p w14:paraId="14D26553" w14:textId="59CBAEDB" w:rsidR="00506EDB" w:rsidRPr="004C69B4" w:rsidRDefault="00506EDB">
      <w:pPr>
        <w:pStyle w:val="FootnoteText"/>
        <w:rPr>
          <w:rFonts w:ascii="Times New Roman" w:hAnsi="Times New Roman" w:cs="Times New Roman"/>
        </w:rPr>
      </w:pPr>
      <w:r w:rsidRPr="004C69B4">
        <w:rPr>
          <w:rStyle w:val="FootnoteReference"/>
          <w:rFonts w:ascii="Times New Roman" w:hAnsi="Times New Roman"/>
        </w:rPr>
        <w:footnoteRef/>
      </w:r>
      <w:r w:rsidRPr="004C69B4">
        <w:rPr>
          <w:rFonts w:ascii="Times New Roman" w:hAnsi="Times New Roman" w:cs="Times New Roman"/>
        </w:rPr>
        <w:t xml:space="preserve"> </w:t>
      </w:r>
      <w:r w:rsidRPr="004C69B4">
        <w:rPr>
          <w:rFonts w:ascii="Times New Roman" w:hAnsi="Times New Roman" w:cs="Times New Roman"/>
          <w:i/>
        </w:rPr>
        <w:t>See generally</w:t>
      </w:r>
      <w:r w:rsidRPr="004C69B4">
        <w:rPr>
          <w:rFonts w:ascii="Times New Roman" w:hAnsi="Times New Roman" w:cs="Times New Roman"/>
        </w:rPr>
        <w:t xml:space="preserve">, Athena D. Mutua, </w:t>
      </w:r>
      <w:bookmarkStart w:id="0" w:name="_Hlk155203160"/>
      <w:r w:rsidRPr="004C69B4">
        <w:rPr>
          <w:rFonts w:ascii="Times New Roman" w:hAnsi="Times New Roman" w:cs="Times New Roman"/>
          <w:i/>
          <w:iCs/>
          <w:lang w:val="en-GB"/>
        </w:rPr>
        <w:t xml:space="preserve">Reflections on Critical Race Theory in a Time of Backlash, </w:t>
      </w:r>
      <w:r w:rsidRPr="004C69B4">
        <w:rPr>
          <w:rFonts w:ascii="Times New Roman" w:hAnsi="Times New Roman" w:cs="Times New Roman"/>
          <w:iCs/>
          <w:lang w:val="en-GB"/>
        </w:rPr>
        <w:t xml:space="preserve">100 </w:t>
      </w:r>
      <w:r w:rsidRPr="004C69B4">
        <w:rPr>
          <w:rFonts w:ascii="Times New Roman" w:hAnsi="Times New Roman" w:cs="Times New Roman"/>
          <w:iCs/>
          <w:smallCaps/>
          <w:lang w:val="en-GB"/>
        </w:rPr>
        <w:t>Denver law Review</w:t>
      </w:r>
      <w:r w:rsidRPr="004C69B4">
        <w:rPr>
          <w:rFonts w:ascii="Times New Roman" w:hAnsi="Times New Roman" w:cs="Times New Roman"/>
          <w:iCs/>
          <w:lang w:val="en-GB"/>
        </w:rPr>
        <w:t xml:space="preserve"> </w:t>
      </w:r>
      <w:bookmarkEnd w:id="0"/>
      <w:r w:rsidRPr="004C69B4">
        <w:rPr>
          <w:rFonts w:ascii="Times New Roman" w:hAnsi="Times New Roman" w:cs="Times New Roman"/>
          <w:iCs/>
          <w:lang w:val="en-GB"/>
        </w:rPr>
        <w:t xml:space="preserve">553 (2023), </w:t>
      </w:r>
      <w:hyperlink r:id="rId1" w:history="1">
        <w:r w:rsidRPr="004C69B4">
          <w:rPr>
            <w:rStyle w:val="Hyperlink"/>
            <w:rFonts w:ascii="Times New Roman" w:hAnsi="Times New Roman" w:cs="Times New Roman"/>
            <w:iCs/>
            <w:lang w:val="en-GB"/>
          </w:rPr>
          <w:t>https://digitalcommons.law.buffalo.edu/journal_articles/1198/</w:t>
        </w:r>
      </w:hyperlink>
      <w:r w:rsidRPr="004C69B4">
        <w:rPr>
          <w:rFonts w:ascii="Times New Roman" w:hAnsi="Times New Roman" w:cs="Times New Roman"/>
          <w:iCs/>
          <w:lang w:val="en-GB"/>
        </w:rPr>
        <w:t xml:space="preserve">, (discussing the miseducation campaigns against critical race theory) </w:t>
      </w:r>
    </w:p>
  </w:footnote>
  <w:footnote w:id="2">
    <w:p w14:paraId="71FC4F1E" w14:textId="633B4A89" w:rsidR="00506EDB" w:rsidRPr="004C69B4" w:rsidRDefault="00506EDB" w:rsidP="008D2AD0">
      <w:pPr>
        <w:pStyle w:val="FootnoteText"/>
        <w:rPr>
          <w:rFonts w:ascii="Times New Roman" w:hAnsi="Times New Roman" w:cs="Times New Roman"/>
        </w:rPr>
      </w:pPr>
      <w:r w:rsidRPr="004C69B4">
        <w:rPr>
          <w:rStyle w:val="FootnoteReference"/>
          <w:rFonts w:ascii="Times New Roman" w:hAnsi="Times New Roman"/>
        </w:rPr>
        <w:footnoteRef/>
      </w:r>
      <w:r w:rsidRPr="004C69B4">
        <w:rPr>
          <w:rFonts w:ascii="Times New Roman" w:hAnsi="Times New Roman" w:cs="Times New Roman"/>
        </w:rPr>
        <w:t xml:space="preserve"> The 800 proposals include federal, state and local </w:t>
      </w:r>
      <w:r w:rsidRPr="004C69B4">
        <w:rPr>
          <w:rFonts w:ascii="Times New Roman" w:hAnsi="Times New Roman" w:cs="Times New Roman"/>
          <w:color w:val="393B3D"/>
        </w:rPr>
        <w:t xml:space="preserve">bills, resolutions, executive orders, opinion letters, statements, and other measures. See CRT Forward, </w:t>
      </w:r>
      <w:hyperlink r:id="rId2" w:history="1">
        <w:r w:rsidRPr="004C69B4">
          <w:rPr>
            <w:rStyle w:val="Hyperlink"/>
            <w:rFonts w:ascii="Times New Roman" w:hAnsi="Times New Roman" w:cs="Times New Roman"/>
          </w:rPr>
          <w:t>https://crtforward.law.ucla.edu/</w:t>
        </w:r>
      </w:hyperlink>
      <w:r>
        <w:rPr>
          <w:rFonts w:ascii="Times New Roman" w:hAnsi="Times New Roman" w:cs="Times New Roman"/>
        </w:rPr>
        <w:t xml:space="preserve">; and </w:t>
      </w:r>
      <w:r w:rsidRPr="008D2AD0">
        <w:rPr>
          <w:rFonts w:ascii="Times New Roman" w:hAnsi="Times New Roman" w:cs="Times New Roman"/>
        </w:rPr>
        <w:t>CRT Forward</w:t>
      </w:r>
      <w:r>
        <w:rPr>
          <w:rFonts w:ascii="Times New Roman" w:hAnsi="Times New Roman" w:cs="Times New Roman"/>
        </w:rPr>
        <w:t xml:space="preserve"> (Report)</w:t>
      </w:r>
      <w:r w:rsidRPr="008D2AD0">
        <w:rPr>
          <w:rFonts w:ascii="Times New Roman" w:hAnsi="Times New Roman" w:cs="Times New Roman"/>
        </w:rPr>
        <w:t>: Tracking the Attack</w:t>
      </w:r>
      <w:r>
        <w:rPr>
          <w:rFonts w:ascii="Times New Roman" w:hAnsi="Times New Roman" w:cs="Times New Roman"/>
        </w:rPr>
        <w:t xml:space="preserve"> </w:t>
      </w:r>
      <w:r w:rsidRPr="008D2AD0">
        <w:rPr>
          <w:rFonts w:ascii="Times New Roman" w:hAnsi="Times New Roman" w:cs="Times New Roman"/>
        </w:rPr>
        <w:t xml:space="preserve">on Critical Race Theory (Apr. 6, 2023), </w:t>
      </w:r>
      <w:hyperlink r:id="rId3" w:history="1">
        <w:r w:rsidRPr="00D460B7">
          <w:rPr>
            <w:rStyle w:val="Hyperlink"/>
            <w:rFonts w:ascii="Times New Roman" w:hAnsi="Times New Roman" w:cs="Times New Roman"/>
          </w:rPr>
          <w:t>https://crtforward.law.ucla.edu/wp-content/uploads/2023/04/UCLA-Law_CRT-Report_Final.pdf</w:t>
        </w:r>
      </w:hyperlink>
      <w:r>
        <w:rPr>
          <w:rFonts w:ascii="Times New Roman" w:hAnsi="Times New Roman" w:cs="Times New Roman"/>
        </w:rPr>
        <w:t>, [CRT Forward Report]</w:t>
      </w:r>
      <w:r w:rsidRPr="004C69B4">
        <w:rPr>
          <w:rFonts w:ascii="Times New Roman" w:hAnsi="Times New Roman" w:cs="Times New Roman"/>
        </w:rPr>
        <w:t xml:space="preserve">.  The term “discriminatory censorship laws is taken from Feingold &amp; Weishart, Discriminatory Censorship Laws Imperil Public Education (2023), </w:t>
      </w:r>
      <w:hyperlink r:id="rId4" w:history="1">
        <w:r w:rsidRPr="00403D0A">
          <w:rPr>
            <w:rStyle w:val="Hyperlink"/>
            <w:rFonts w:ascii="Times New Roman" w:hAnsi="Times New Roman" w:cs="Times New Roman"/>
          </w:rPr>
          <w:t>https://nepc.colorado.edu/publication/censorship</w:t>
        </w:r>
      </w:hyperlink>
      <w:r>
        <w:rPr>
          <w:rFonts w:ascii="Times New Roman" w:hAnsi="Times New Roman" w:cs="Times New Roman"/>
        </w:rPr>
        <w:t xml:space="preserve">. </w:t>
      </w:r>
    </w:p>
  </w:footnote>
  <w:footnote w:id="3">
    <w:p w14:paraId="0C70521C" w14:textId="5449213A" w:rsidR="00506EDB" w:rsidRPr="004C69B4" w:rsidRDefault="00506EDB">
      <w:pPr>
        <w:pStyle w:val="FootnoteText"/>
        <w:rPr>
          <w:rFonts w:ascii="Times New Roman" w:hAnsi="Times New Roman" w:cs="Times New Roman"/>
        </w:rPr>
      </w:pPr>
      <w:r w:rsidRPr="004C69B4">
        <w:rPr>
          <w:rStyle w:val="FootnoteReference"/>
          <w:rFonts w:ascii="Times New Roman" w:hAnsi="Times New Roman"/>
        </w:rPr>
        <w:footnoteRef/>
      </w:r>
      <w:r w:rsidRPr="004C69B4">
        <w:rPr>
          <w:rFonts w:ascii="Times New Roman" w:hAnsi="Times New Roman" w:cs="Times New Roman"/>
        </w:rPr>
        <w:t xml:space="preserve"> CRT Forward, supra note 2.</w:t>
      </w:r>
    </w:p>
  </w:footnote>
  <w:footnote w:id="4">
    <w:p w14:paraId="73CF3B66" w14:textId="699B9CA7" w:rsidR="00506EDB" w:rsidRPr="004C69B4" w:rsidRDefault="00506EDB" w:rsidP="007C30DE">
      <w:pPr>
        <w:pStyle w:val="FootnoteText"/>
        <w:rPr>
          <w:rFonts w:ascii="Times New Roman" w:hAnsi="Times New Roman" w:cs="Times New Roman"/>
        </w:rPr>
      </w:pPr>
      <w:r w:rsidRPr="004C69B4">
        <w:rPr>
          <w:rStyle w:val="FootnoteReference"/>
          <w:rFonts w:ascii="Times New Roman" w:hAnsi="Times New Roman"/>
        </w:rPr>
        <w:footnoteRef/>
      </w:r>
      <w:r w:rsidRPr="004C69B4">
        <w:rPr>
          <w:rFonts w:ascii="Times New Roman" w:hAnsi="Times New Roman" w:cs="Times New Roman"/>
        </w:rPr>
        <w:t xml:space="preserve"> Pen America, Report: Spineless Shelves: Two Years of Book Banning (2023) (reporting 5894 instances), </w:t>
      </w:r>
      <w:hyperlink r:id="rId5" w:history="1">
        <w:r w:rsidRPr="00D460B7">
          <w:rPr>
            <w:rStyle w:val="Hyperlink"/>
            <w:rFonts w:ascii="Times New Roman" w:hAnsi="Times New Roman" w:cs="Times New Roman"/>
          </w:rPr>
          <w:t>https://pen.org/spineless-shelves/</w:t>
        </w:r>
      </w:hyperlink>
      <w:r>
        <w:rPr>
          <w:rFonts w:ascii="Times New Roman" w:hAnsi="Times New Roman" w:cs="Times New Roman"/>
        </w:rPr>
        <w:t xml:space="preserve">. </w:t>
      </w:r>
    </w:p>
  </w:footnote>
  <w:footnote w:id="5">
    <w:p w14:paraId="1BCCA7AA" w14:textId="26B8F3F9" w:rsidR="00506EDB" w:rsidRPr="00E52FA8" w:rsidRDefault="00506EDB" w:rsidP="00F1567C">
      <w:pPr>
        <w:pStyle w:val="FootnoteText"/>
        <w:rPr>
          <w:rFonts w:ascii="Times New Roman" w:hAnsi="Times New Roman" w:cs="Times New Roman"/>
        </w:rPr>
      </w:pPr>
      <w:r w:rsidRPr="004C69B4">
        <w:rPr>
          <w:rStyle w:val="FootnoteReference"/>
          <w:rFonts w:ascii="Times New Roman" w:hAnsi="Times New Roman"/>
        </w:rPr>
        <w:footnoteRef/>
      </w:r>
      <w:r w:rsidRPr="004C69B4">
        <w:rPr>
          <w:rFonts w:ascii="Times New Roman" w:hAnsi="Times New Roman" w:cs="Times New Roman"/>
        </w:rPr>
        <w:t xml:space="preserve"> </w:t>
      </w:r>
      <w:r w:rsidRPr="00E52FA8">
        <w:rPr>
          <w:rFonts w:ascii="Times New Roman" w:hAnsi="Times New Roman" w:cs="Times New Roman"/>
        </w:rPr>
        <w:t xml:space="preserve">Pen America, Report:  America’s Censored Classrooms 2023: Lawmakers Shift Strategies as Resistance Rises (November 9, 2023), </w:t>
      </w:r>
      <w:hyperlink r:id="rId6" w:history="1">
        <w:r w:rsidRPr="00E52FA8">
          <w:rPr>
            <w:rStyle w:val="Hyperlink"/>
            <w:rFonts w:ascii="Times New Roman" w:hAnsi="Times New Roman" w:cs="Times New Roman"/>
          </w:rPr>
          <w:t>https://pen.org/report/americas-censored-classrooms-2023/</w:t>
        </w:r>
      </w:hyperlink>
      <w:r w:rsidRPr="00E52FA8">
        <w:rPr>
          <w:rFonts w:ascii="Times New Roman" w:hAnsi="Times New Roman" w:cs="Times New Roman"/>
        </w:rPr>
        <w:t xml:space="preserve"> </w:t>
      </w:r>
    </w:p>
    <w:p w14:paraId="6A21E2CD" w14:textId="5E4E6B9F" w:rsidR="00506EDB" w:rsidRPr="00E52FA8" w:rsidRDefault="00506EDB">
      <w:pPr>
        <w:pStyle w:val="FootnoteText"/>
        <w:rPr>
          <w:rFonts w:ascii="Times New Roman" w:hAnsi="Times New Roman" w:cs="Times New Roman"/>
        </w:rPr>
      </w:pPr>
      <w:r w:rsidRPr="00E52FA8">
        <w:rPr>
          <w:rFonts w:ascii="Times New Roman" w:hAnsi="Times New Roman" w:cs="Times New Roman"/>
        </w:rPr>
        <w:t xml:space="preserve">at 15-22 [Hereinafter “Censored Classrooms”]. </w:t>
      </w:r>
    </w:p>
  </w:footnote>
  <w:footnote w:id="6">
    <w:p w14:paraId="60A2D119" w14:textId="100D1BCC" w:rsidR="00506EDB" w:rsidRPr="00BA141A" w:rsidRDefault="00506EDB">
      <w:pPr>
        <w:pStyle w:val="FootnoteText"/>
        <w:rPr>
          <w:rFonts w:ascii="Times New Roman" w:hAnsi="Times New Roman" w:cs="Times New Roman"/>
        </w:rPr>
      </w:pPr>
      <w:r w:rsidRPr="00BA141A">
        <w:rPr>
          <w:rStyle w:val="FootnoteReference"/>
          <w:rFonts w:ascii="Times New Roman" w:hAnsi="Times New Roman"/>
        </w:rPr>
        <w:footnoteRef/>
      </w:r>
      <w:r w:rsidRPr="00BA141A">
        <w:rPr>
          <w:rFonts w:ascii="Times New Roman" w:hAnsi="Times New Roman" w:cs="Times New Roman"/>
        </w:rPr>
        <w:t xml:space="preserve"> </w:t>
      </w:r>
      <w:r w:rsidRPr="00BA141A">
        <w:rPr>
          <w:rFonts w:ascii="Times New Roman" w:hAnsi="Times New Roman" w:cs="Times New Roman"/>
          <w:i/>
        </w:rPr>
        <w:t>Id.</w:t>
      </w:r>
      <w:r w:rsidRPr="00BA141A">
        <w:rPr>
          <w:rFonts w:ascii="Times New Roman" w:hAnsi="Times New Roman" w:cs="Times New Roman"/>
        </w:rPr>
        <w:t xml:space="preserve"> at 3-4</w:t>
      </w:r>
    </w:p>
  </w:footnote>
  <w:footnote w:id="7">
    <w:p w14:paraId="5022DCFE" w14:textId="2B3B7FA2" w:rsidR="00E310C9" w:rsidRPr="00BA141A" w:rsidRDefault="00E310C9">
      <w:pPr>
        <w:pStyle w:val="FootnoteText"/>
        <w:rPr>
          <w:rFonts w:ascii="Times New Roman" w:hAnsi="Times New Roman" w:cs="Times New Roman"/>
        </w:rPr>
      </w:pPr>
      <w:r w:rsidRPr="00BA141A">
        <w:rPr>
          <w:rStyle w:val="FootnoteReference"/>
          <w:rFonts w:ascii="Times New Roman" w:hAnsi="Times New Roman"/>
        </w:rPr>
        <w:footnoteRef/>
      </w:r>
      <w:r w:rsidRPr="00BA141A">
        <w:rPr>
          <w:rFonts w:ascii="Times New Roman" w:hAnsi="Times New Roman" w:cs="Times New Roman"/>
        </w:rPr>
        <w:t xml:space="preserve"> </w:t>
      </w:r>
      <w:r w:rsidR="00BA141A" w:rsidRPr="00BA141A">
        <w:rPr>
          <w:rFonts w:ascii="Times New Roman" w:hAnsi="Times New Roman" w:cs="Times New Roman"/>
          <w:lang w:val="en-GB"/>
        </w:rPr>
        <w:t xml:space="preserve">CLC Organizing for Democracy and Liberation: The Right to Learn, The Right to Teach, The Right to Thrive, </w:t>
      </w:r>
      <w:hyperlink r:id="rId7" w:anchor="title_207228381" w:history="1">
        <w:r w:rsidR="00BA141A" w:rsidRPr="00BA141A">
          <w:rPr>
            <w:rStyle w:val="Hyperlink"/>
            <w:rFonts w:ascii="Times New Roman" w:hAnsi="Times New Roman" w:cs="Times New Roman"/>
            <w:lang w:val="en-GB"/>
          </w:rPr>
          <w:t>https://www.buffalo.edu/baldycenter/multimedia/blog/23-24-blog.html#title_207228381</w:t>
        </w:r>
      </w:hyperlink>
    </w:p>
  </w:footnote>
  <w:footnote w:id="8">
    <w:p w14:paraId="567EBA17" w14:textId="33DA7747" w:rsidR="00E310C9" w:rsidRPr="00BA141A" w:rsidRDefault="00E310C9">
      <w:pPr>
        <w:pStyle w:val="FootnoteText"/>
        <w:rPr>
          <w:rFonts w:ascii="Times New Roman" w:hAnsi="Times New Roman" w:cs="Times New Roman"/>
          <w:i/>
        </w:rPr>
      </w:pPr>
      <w:r w:rsidRPr="00BA141A">
        <w:rPr>
          <w:rStyle w:val="FootnoteReference"/>
          <w:rFonts w:ascii="Times New Roman" w:hAnsi="Times New Roman"/>
        </w:rPr>
        <w:footnoteRef/>
      </w:r>
      <w:r w:rsidRPr="00BA141A">
        <w:rPr>
          <w:rFonts w:ascii="Times New Roman" w:hAnsi="Times New Roman" w:cs="Times New Roman"/>
        </w:rPr>
        <w:t xml:space="preserve"> </w:t>
      </w:r>
      <w:r w:rsidRPr="00BA141A">
        <w:rPr>
          <w:rFonts w:ascii="Times New Roman" w:hAnsi="Times New Roman" w:cs="Times New Roman"/>
          <w:i/>
        </w:rPr>
        <w:t>Id.</w:t>
      </w:r>
    </w:p>
  </w:footnote>
  <w:footnote w:id="9">
    <w:p w14:paraId="5FE50178" w14:textId="5E0EC299" w:rsidR="00506EDB" w:rsidRPr="00BA141A" w:rsidRDefault="00506EDB">
      <w:pPr>
        <w:pStyle w:val="FootnoteText"/>
        <w:rPr>
          <w:rFonts w:ascii="Times New Roman" w:hAnsi="Times New Roman" w:cs="Times New Roman"/>
        </w:rPr>
      </w:pPr>
      <w:r w:rsidRPr="00BA141A">
        <w:rPr>
          <w:rStyle w:val="FootnoteReference"/>
          <w:rFonts w:ascii="Times New Roman" w:hAnsi="Times New Roman"/>
        </w:rPr>
        <w:footnoteRef/>
      </w:r>
      <w:r w:rsidR="00BA141A">
        <w:rPr>
          <w:rFonts w:ascii="Times New Roman" w:hAnsi="Times New Roman" w:cs="Times New Roman"/>
          <w:i/>
        </w:rPr>
        <w:t xml:space="preserve"> </w:t>
      </w:r>
      <w:r w:rsidR="00BA141A" w:rsidRPr="00BA141A">
        <w:rPr>
          <w:rFonts w:ascii="Times New Roman" w:hAnsi="Times New Roman" w:cs="Times New Roman"/>
          <w:i/>
        </w:rPr>
        <w:t>Id.</w:t>
      </w:r>
    </w:p>
  </w:footnote>
  <w:footnote w:id="10">
    <w:p w14:paraId="71F0DA57" w14:textId="0938FFA4" w:rsidR="00506EDB" w:rsidRPr="00BA141A" w:rsidRDefault="00506EDB">
      <w:pPr>
        <w:pStyle w:val="FootnoteText"/>
        <w:rPr>
          <w:rFonts w:ascii="Times New Roman" w:hAnsi="Times New Roman" w:cs="Times New Roman"/>
          <w:i/>
        </w:rPr>
      </w:pPr>
      <w:r w:rsidRPr="00BA141A">
        <w:rPr>
          <w:rStyle w:val="FootnoteReference"/>
          <w:rFonts w:ascii="Times New Roman" w:hAnsi="Times New Roman"/>
        </w:rPr>
        <w:footnoteRef/>
      </w:r>
      <w:r w:rsidRPr="00BA141A">
        <w:rPr>
          <w:rFonts w:ascii="Times New Roman" w:hAnsi="Times New Roman" w:cs="Times New Roman"/>
        </w:rPr>
        <w:t xml:space="preserve"> </w:t>
      </w:r>
      <w:r w:rsidRPr="00BA141A">
        <w:rPr>
          <w:rFonts w:ascii="Times New Roman" w:hAnsi="Times New Roman" w:cs="Times New Roman"/>
          <w:i/>
        </w:rPr>
        <w:t>Id.</w:t>
      </w:r>
    </w:p>
  </w:footnote>
  <w:footnote w:id="11">
    <w:p w14:paraId="161DCA9E" w14:textId="743F4C42" w:rsidR="00506EDB" w:rsidRPr="00E52FA8" w:rsidRDefault="00506EDB">
      <w:pPr>
        <w:pStyle w:val="FootnoteText"/>
        <w:rPr>
          <w:rFonts w:ascii="Times New Roman" w:hAnsi="Times New Roman" w:cs="Times New Roman"/>
        </w:rPr>
      </w:pPr>
      <w:r w:rsidRPr="00BA141A">
        <w:rPr>
          <w:rStyle w:val="FootnoteReference"/>
          <w:rFonts w:ascii="Times New Roman" w:hAnsi="Times New Roman"/>
          <w:i/>
        </w:rPr>
        <w:footnoteRef/>
      </w:r>
      <w:r w:rsidRPr="00BA141A">
        <w:rPr>
          <w:rFonts w:ascii="Times New Roman" w:hAnsi="Times New Roman" w:cs="Times New Roman"/>
          <w:i/>
        </w:rPr>
        <w:t xml:space="preserve"> Id.</w:t>
      </w:r>
    </w:p>
  </w:footnote>
  <w:footnote w:id="12">
    <w:p w14:paraId="273D8773" w14:textId="3B65785C"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See generally, Censored Classrooms, </w:t>
      </w:r>
      <w:r w:rsidRPr="00E52FA8">
        <w:rPr>
          <w:rFonts w:ascii="Times New Roman" w:hAnsi="Times New Roman" w:cs="Times New Roman"/>
          <w:i/>
        </w:rPr>
        <w:t>supra</w:t>
      </w:r>
      <w:r w:rsidRPr="00E52FA8">
        <w:rPr>
          <w:rFonts w:ascii="Times New Roman" w:hAnsi="Times New Roman" w:cs="Times New Roman"/>
        </w:rPr>
        <w:t xml:space="preserve"> note 5 (discussing a shift in the campaign’s focus and strategy). </w:t>
      </w:r>
    </w:p>
  </w:footnote>
  <w:footnote w:id="13">
    <w:p w14:paraId="6239AEC6" w14:textId="530EDCF2" w:rsidR="00506EDB" w:rsidRPr="00E52FA8" w:rsidRDefault="00506EDB" w:rsidP="00C2158D">
      <w:r w:rsidRPr="00E52FA8">
        <w:rPr>
          <w:rStyle w:val="FootnoteReference"/>
        </w:rPr>
        <w:footnoteRef/>
      </w:r>
      <w:r w:rsidRPr="00E52FA8">
        <w:t xml:space="preserve"> Exec. Order No. 13950, 85 Fed. Reg. 60,683 (Sept. 22, 2020), </w:t>
      </w:r>
      <w:hyperlink r:id="rId8" w:history="1">
        <w:r w:rsidRPr="00E52FA8">
          <w:rPr>
            <w:rStyle w:val="Hyperlink"/>
          </w:rPr>
          <w:t>https://www.federalregister.gov/documents/2020/09/28/2020-21534/combating-race-and-sex-stereotyping</w:t>
        </w:r>
      </w:hyperlink>
      <w:r w:rsidRPr="00E52FA8">
        <w:t xml:space="preserve">) ( </w:t>
      </w:r>
      <w:r w:rsidRPr="00E52FA8">
        <w:rPr>
          <w:rFonts w:eastAsiaTheme="minorHAnsi"/>
          <w:kern w:val="2"/>
          <w:lang w:val="en-US"/>
          <w14:ligatures w14:val="standardContextual"/>
        </w:rPr>
        <w:t>EO 13950, September 22, 2020; Revoked by EO 13985, January 20, 2021)</w:t>
      </w:r>
      <w:r w:rsidRPr="00E52FA8">
        <w:t>;  See also  Memorandum from Russell T. Vought, OMB Dir. Exec. Off. of the President to the Heads of Exec. Dep’t &amp; Agencies 2 (Sept. 28, 2020), https://www.whitehouse.gov/wp-content/uploads/2020/09/M-20-37.pdf</w:t>
      </w:r>
    </w:p>
  </w:footnote>
  <w:footnote w:id="14">
    <w:p w14:paraId="2CD1BCDA" w14:textId="7C7BA0BF" w:rsidR="00506EDB" w:rsidRPr="00E52FA8" w:rsidRDefault="00506EDB">
      <w:pPr>
        <w:pStyle w:val="FootnoteText"/>
        <w:rPr>
          <w:rFonts w:ascii="Times New Roman" w:hAnsi="Times New Roman" w:cs="Times New Roman"/>
          <w:i/>
        </w:rPr>
      </w:pPr>
      <w:r w:rsidRPr="00E52FA8">
        <w:rPr>
          <w:rStyle w:val="FootnoteReference"/>
          <w:rFonts w:ascii="Times New Roman" w:hAnsi="Times New Roman"/>
        </w:rPr>
        <w:footnoteRef/>
      </w:r>
      <w:r w:rsidRPr="00E52FA8">
        <w:rPr>
          <w:rFonts w:ascii="Times New Roman" w:hAnsi="Times New Roman" w:cs="Times New Roman"/>
        </w:rPr>
        <w:t xml:space="preserve"> CRT Forward, </w:t>
      </w:r>
      <w:r w:rsidRPr="00E52FA8">
        <w:rPr>
          <w:rFonts w:ascii="Times New Roman" w:hAnsi="Times New Roman" w:cs="Times New Roman"/>
          <w:i/>
        </w:rPr>
        <w:t>supra note 2.</w:t>
      </w:r>
    </w:p>
  </w:footnote>
  <w:footnote w:id="15">
    <w:p w14:paraId="145D0C20" w14:textId="01450831" w:rsidR="00506EDB" w:rsidRPr="00E52FA8" w:rsidRDefault="00506EDB">
      <w:pPr>
        <w:pStyle w:val="FootnoteText"/>
        <w:rPr>
          <w:rFonts w:ascii="Times New Roman" w:hAnsi="Times New Roman" w:cs="Times New Roman"/>
        </w:rPr>
      </w:pPr>
      <w:r w:rsidRPr="00E52FA8">
        <w:rPr>
          <w:rStyle w:val="FootnoteReference"/>
          <w:rFonts w:ascii="Times New Roman" w:hAnsi="Times New Roman"/>
          <w:i/>
        </w:rPr>
        <w:footnoteRef/>
      </w:r>
      <w:r w:rsidRPr="00E52FA8">
        <w:rPr>
          <w:rFonts w:ascii="Times New Roman" w:hAnsi="Times New Roman" w:cs="Times New Roman"/>
          <w:i/>
        </w:rPr>
        <w:t xml:space="preserve"> </w:t>
      </w:r>
      <w:r w:rsidRPr="00E52FA8">
        <w:rPr>
          <w:rFonts w:ascii="Times New Roman" w:hAnsi="Times New Roman" w:cs="Times New Roman"/>
        </w:rPr>
        <w:t xml:space="preserve">Pen America, Report: The Florida Effect: How the Sunshine State is Driving the Conservative Agenda on Free Expression, November 28, 2023, </w:t>
      </w:r>
      <w:hyperlink r:id="rId9" w:history="1">
        <w:r w:rsidRPr="00E52FA8">
          <w:rPr>
            <w:rStyle w:val="Hyperlink"/>
            <w:rFonts w:ascii="Times New Roman" w:hAnsi="Times New Roman" w:cs="Times New Roman"/>
          </w:rPr>
          <w:t>https://pen.org/report/the-florida-effect/</w:t>
        </w:r>
      </w:hyperlink>
      <w:r w:rsidRPr="00E52FA8">
        <w:rPr>
          <w:rFonts w:ascii="Times New Roman" w:hAnsi="Times New Roman" w:cs="Times New Roman"/>
        </w:rPr>
        <w:t xml:space="preserve"> .</w:t>
      </w:r>
    </w:p>
  </w:footnote>
  <w:footnote w:id="16">
    <w:p w14:paraId="7EA9A5F9" w14:textId="5568D741" w:rsidR="00506EDB" w:rsidRPr="00E52FA8" w:rsidRDefault="00506EDB" w:rsidP="007C30DE">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rPr>
        <w:t>Id.</w:t>
      </w:r>
      <w:r w:rsidRPr="00E52FA8">
        <w:rPr>
          <w:rFonts w:ascii="Times New Roman" w:hAnsi="Times New Roman" w:cs="Times New Roman"/>
        </w:rPr>
        <w:t xml:space="preserve">   </w:t>
      </w:r>
    </w:p>
  </w:footnote>
  <w:footnote w:id="17">
    <w:p w14:paraId="4ECE5E3C" w14:textId="77777777" w:rsidR="00506EDB" w:rsidRPr="00E52FA8" w:rsidRDefault="00506EDB" w:rsidP="00CC0E2E">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rPr>
        <w:t>See e.g.,</w:t>
      </w:r>
      <w:r w:rsidRPr="00E52FA8">
        <w:rPr>
          <w:rFonts w:ascii="Times New Roman" w:hAnsi="Times New Roman" w:cs="Times New Roman"/>
        </w:rPr>
        <w:t xml:space="preserve"> Letter to Co-Sponsors of Proposed American Bar Association Resolution 514 on Antisemitism</w:t>
      </w:r>
    </w:p>
    <w:p w14:paraId="57AAE876" w14:textId="3577AF79" w:rsidR="00506EDB" w:rsidRPr="00E52FA8" w:rsidRDefault="00506EDB" w:rsidP="00CC0E2E">
      <w:pPr>
        <w:pStyle w:val="FootnoteText"/>
        <w:rPr>
          <w:rFonts w:ascii="Times New Roman" w:hAnsi="Times New Roman" w:cs="Times New Roman"/>
        </w:rPr>
      </w:pPr>
      <w:r w:rsidRPr="00E52FA8">
        <w:rPr>
          <w:rFonts w:ascii="Times New Roman" w:hAnsi="Times New Roman" w:cs="Times New Roman"/>
        </w:rPr>
        <w:t xml:space="preserve">Document Date: January 19, 2023, </w:t>
      </w:r>
      <w:hyperlink r:id="rId10" w:history="1">
        <w:r w:rsidRPr="00E52FA8">
          <w:rPr>
            <w:rStyle w:val="Hyperlink"/>
            <w:rFonts w:ascii="Times New Roman" w:hAnsi="Times New Roman" w:cs="Times New Roman"/>
          </w:rPr>
          <w:t>https://www.aclu.org/documents/letter-co-sponsors-proposed-american-bar-association-resolution-514-antisemitism</w:t>
        </w:r>
      </w:hyperlink>
      <w:r w:rsidRPr="00E52FA8">
        <w:rPr>
          <w:rFonts w:ascii="Times New Roman" w:hAnsi="Times New Roman" w:cs="Times New Roman"/>
        </w:rPr>
        <w:t xml:space="preserve"> (arguing that “[o]</w:t>
      </w:r>
      <w:proofErr w:type="spellStart"/>
      <w:r w:rsidRPr="00E52FA8">
        <w:rPr>
          <w:rFonts w:ascii="Times New Roman" w:hAnsi="Times New Roman" w:cs="Times New Roman"/>
        </w:rPr>
        <w:t>ngoing</w:t>
      </w:r>
      <w:proofErr w:type="spellEnd"/>
      <w:r w:rsidRPr="00E52FA8">
        <w:rPr>
          <w:rFonts w:ascii="Times New Roman" w:hAnsi="Times New Roman" w:cs="Times New Roman"/>
        </w:rPr>
        <w:t xml:space="preserve"> efforts to codify the IHRA definition into law and policy, including at the ABA, are invariably framed as efforts to fight antisemitism. Yet, the clear objective behind the promotion of the IHRA definition is the suppression of non-violent protest, activism, and criticism of Israel and/or Zionism).”</w:t>
      </w:r>
    </w:p>
  </w:footnote>
  <w:footnote w:id="18">
    <w:p w14:paraId="4621B752" w14:textId="4574E77C" w:rsidR="00506EDB" w:rsidRPr="00E52FA8" w:rsidRDefault="00506EDB" w:rsidP="00D47B53">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International Holocaust Remembrance Alliance (IHRA) website at </w:t>
      </w:r>
      <w:hyperlink r:id="rId11" w:history="1">
        <w:r w:rsidRPr="00E52FA8">
          <w:rPr>
            <w:rStyle w:val="Hyperlink"/>
            <w:rFonts w:ascii="Times New Roman" w:hAnsi="Times New Roman" w:cs="Times New Roman"/>
          </w:rPr>
          <w:t>https://holocaustremembrance.com/resources/working-definition-antisemitism</w:t>
        </w:r>
      </w:hyperlink>
      <w:r w:rsidRPr="00E52FA8">
        <w:rPr>
          <w:rFonts w:ascii="Times New Roman" w:hAnsi="Times New Roman" w:cs="Times New Roman"/>
        </w:rPr>
        <w:t xml:space="preserve">. For a discussion of various definitions and background of advocacy around them see, Masha </w:t>
      </w:r>
      <w:proofErr w:type="spellStart"/>
      <w:r w:rsidRPr="00E52FA8">
        <w:rPr>
          <w:rFonts w:ascii="Times New Roman" w:hAnsi="Times New Roman" w:cs="Times New Roman"/>
        </w:rPr>
        <w:t>Gessen</w:t>
      </w:r>
      <w:proofErr w:type="spellEnd"/>
      <w:r w:rsidRPr="00E52FA8">
        <w:rPr>
          <w:rFonts w:ascii="Times New Roman" w:hAnsi="Times New Roman" w:cs="Times New Roman"/>
        </w:rPr>
        <w:t xml:space="preserve">, </w:t>
      </w:r>
      <w:r w:rsidRPr="00E52FA8">
        <w:rPr>
          <w:rFonts w:ascii="Times New Roman" w:hAnsi="Times New Roman" w:cs="Times New Roman"/>
          <w:i/>
        </w:rPr>
        <w:t>In the Shadow of the Holocaust: How the politics of memory in Europe obscures what we see in Israel and Gaza today</w:t>
      </w:r>
      <w:r w:rsidRPr="00E52FA8">
        <w:rPr>
          <w:rFonts w:ascii="Times New Roman" w:hAnsi="Times New Roman" w:cs="Times New Roman"/>
        </w:rPr>
        <w:t xml:space="preserve">, </w:t>
      </w:r>
      <w:r w:rsidRPr="00E52FA8">
        <w:rPr>
          <w:rFonts w:ascii="Times New Roman" w:hAnsi="Times New Roman" w:cs="Times New Roman"/>
          <w:smallCaps/>
        </w:rPr>
        <w:t>The New Yorker</w:t>
      </w:r>
      <w:r w:rsidRPr="00E52FA8">
        <w:rPr>
          <w:rFonts w:ascii="Times New Roman" w:hAnsi="Times New Roman" w:cs="Times New Roman"/>
        </w:rPr>
        <w:t xml:space="preserve">, December 9, 2024, </w:t>
      </w:r>
      <w:hyperlink r:id="rId12" w:history="1">
        <w:r w:rsidRPr="00E52FA8">
          <w:rPr>
            <w:rStyle w:val="Hyperlink"/>
            <w:rFonts w:ascii="Times New Roman" w:hAnsi="Times New Roman" w:cs="Times New Roman"/>
          </w:rPr>
          <w:t>In the Shadow of the Holocaust | The New Yorker</w:t>
        </w:r>
      </w:hyperlink>
      <w:r w:rsidRPr="00E52FA8">
        <w:rPr>
          <w:rFonts w:ascii="Times New Roman" w:hAnsi="Times New Roman" w:cs="Times New Roman"/>
        </w:rPr>
        <w:t>.</w:t>
      </w:r>
    </w:p>
  </w:footnote>
  <w:footnote w:id="19">
    <w:p w14:paraId="5A286E6A" w14:textId="5BA07228"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Geoff Mulvihill, </w:t>
      </w:r>
      <w:r w:rsidRPr="00E52FA8">
        <w:rPr>
          <w:rFonts w:ascii="Times New Roman" w:hAnsi="Times New Roman" w:cs="Times New Roman"/>
          <w:i/>
        </w:rPr>
        <w:t xml:space="preserve">There's a wave of new bills to define antisemitism. In these 3 states, they could become </w:t>
      </w:r>
      <w:proofErr w:type="spellStart"/>
      <w:r w:rsidRPr="00E52FA8">
        <w:rPr>
          <w:rFonts w:ascii="Times New Roman" w:hAnsi="Times New Roman" w:cs="Times New Roman"/>
          <w:i/>
        </w:rPr>
        <w:t>law</w:t>
      </w:r>
      <w:r w:rsidRPr="00E52FA8">
        <w:rPr>
          <w:rFonts w:ascii="Times New Roman" w:hAnsi="Times New Roman" w:cs="Times New Roman"/>
        </w:rPr>
        <w:t>,A</w:t>
      </w:r>
      <w:proofErr w:type="spellEnd"/>
      <w:r w:rsidRPr="00E52FA8">
        <w:rPr>
          <w:rFonts w:ascii="Times New Roman" w:hAnsi="Times New Roman" w:cs="Times New Roman"/>
        </w:rPr>
        <w:t xml:space="preserve"> BC NEWS, January 29, 2024, </w:t>
      </w:r>
      <w:hyperlink r:id="rId13" w:history="1">
        <w:r w:rsidRPr="00E52FA8">
          <w:rPr>
            <w:rStyle w:val="Hyperlink"/>
            <w:rFonts w:ascii="Times New Roman" w:hAnsi="Times New Roman" w:cs="Times New Roman"/>
          </w:rPr>
          <w:t>https://abcnews.go.com/US/wireStory/wave-new-bills-define-antisemitism-3-states-become-106756518</w:t>
        </w:r>
      </w:hyperlink>
      <w:r w:rsidRPr="00E52FA8">
        <w:rPr>
          <w:rFonts w:ascii="Times New Roman" w:hAnsi="Times New Roman" w:cs="Times New Roman"/>
        </w:rPr>
        <w:t xml:space="preserve">. </w:t>
      </w:r>
    </w:p>
  </w:footnote>
  <w:footnote w:id="20">
    <w:p w14:paraId="135E043A" w14:textId="32B0ECE4"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For more information about the case see, ACLU/Palestine Legal case against Florida: </w:t>
      </w:r>
      <w:hyperlink r:id="rId14" w:history="1">
        <w:r w:rsidRPr="00E52FA8">
          <w:rPr>
            <w:rStyle w:val="Hyperlink"/>
            <w:rFonts w:ascii="Times New Roman" w:hAnsi="Times New Roman" w:cs="Times New Roman"/>
          </w:rPr>
          <w:t>https://www.aclu.org/cases/students-for-justice-in-palestine-at-the-university-of-florida-v-raymond-rodrigues</w:t>
        </w:r>
      </w:hyperlink>
      <w:r w:rsidRPr="00E52FA8">
        <w:rPr>
          <w:rFonts w:ascii="Times New Roman" w:hAnsi="Times New Roman" w:cs="Times New Roman"/>
        </w:rPr>
        <w:t xml:space="preserve">.  </w:t>
      </w:r>
    </w:p>
  </w:footnote>
  <w:footnote w:id="21">
    <w:p w14:paraId="1A7ED4FA" w14:textId="4D168A64" w:rsidR="00506EDB" w:rsidRPr="00E52FA8" w:rsidRDefault="00506EDB" w:rsidP="006F63D3">
      <w:r w:rsidRPr="00E52FA8">
        <w:rPr>
          <w:vertAlign w:val="superscript"/>
        </w:rPr>
        <w:footnoteRef/>
      </w:r>
      <w:r w:rsidRPr="00E52FA8">
        <w:t xml:space="preserve"> </w:t>
      </w:r>
      <w:r w:rsidRPr="00E52FA8">
        <w:rPr>
          <w:i/>
        </w:rPr>
        <w:t xml:space="preserve">See </w:t>
      </w:r>
      <w:r w:rsidRPr="00E52FA8">
        <w:t xml:space="preserve">Rachel Levinson, </w:t>
      </w:r>
      <w:r w:rsidRPr="00E52FA8">
        <w:rPr>
          <w:i/>
        </w:rPr>
        <w:t>Academic Freedom and the First Amendment: Presentation to the AAUP Summer Institute</w:t>
      </w:r>
      <w:r w:rsidRPr="00E52FA8">
        <w:t xml:space="preserve">, American Association of University Professors (last visited Jan. 31, 2024), </w:t>
      </w:r>
      <w:hyperlink r:id="rId15" w:history="1">
        <w:r w:rsidRPr="00E52FA8">
          <w:rPr>
            <w:rStyle w:val="Hyperlink"/>
          </w:rPr>
          <w:t>https://www.aaup.org/our-work/protecting-academic-freed</w:t>
        </w:r>
        <w:r w:rsidRPr="00E52FA8">
          <w:rPr>
            <w:rStyle w:val="Hyperlink"/>
          </w:rPr>
          <w:t>o</w:t>
        </w:r>
        <w:r w:rsidRPr="00E52FA8">
          <w:rPr>
            <w:rStyle w:val="Hyperlink"/>
          </w:rPr>
          <w:t>m/academic-freedom-and-first-amendment-2007</w:t>
        </w:r>
      </w:hyperlink>
      <w:r w:rsidRPr="00E52FA8">
        <w:t>.</w:t>
      </w:r>
    </w:p>
  </w:footnote>
  <w:footnote w:id="22">
    <w:p w14:paraId="2FC2BC86" w14:textId="4DD53EF0"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iCs/>
        </w:rPr>
        <w:t xml:space="preserve">See </w:t>
      </w:r>
      <w:r w:rsidRPr="00E52FA8">
        <w:rPr>
          <w:rFonts w:ascii="Times New Roman" w:hAnsi="Times New Roman" w:cs="Times New Roman"/>
          <w:smallCaps/>
        </w:rPr>
        <w:t>U.S. Const.</w:t>
      </w:r>
      <w:r w:rsidRPr="00E52FA8">
        <w:rPr>
          <w:rFonts w:ascii="Times New Roman" w:hAnsi="Times New Roman" w:cs="Times New Roman"/>
        </w:rPr>
        <w:t xml:space="preserve"> amend</w:t>
      </w:r>
      <w:r w:rsidRPr="00E52FA8">
        <w:rPr>
          <w:rFonts w:ascii="Times New Roman" w:hAnsi="Times New Roman" w:cs="Times New Roman"/>
          <w:i/>
          <w:iCs/>
        </w:rPr>
        <w:t>.</w:t>
      </w:r>
      <w:r w:rsidRPr="00E52FA8">
        <w:rPr>
          <w:rFonts w:ascii="Times New Roman" w:hAnsi="Times New Roman" w:cs="Times New Roman"/>
        </w:rPr>
        <w:t xml:space="preserve"> I., </w:t>
      </w:r>
      <w:hyperlink r:id="rId16" w:history="1">
        <w:r w:rsidRPr="00E52FA8">
          <w:rPr>
            <w:rStyle w:val="Hyperlink"/>
            <w:rFonts w:ascii="Times New Roman" w:hAnsi="Times New Roman" w:cs="Times New Roman"/>
          </w:rPr>
          <w:t>https://constitution.congress.gov/constitution/amendment-1/</w:t>
        </w:r>
      </w:hyperlink>
      <w:r w:rsidRPr="00E52FA8">
        <w:rPr>
          <w:rFonts w:ascii="Times New Roman" w:hAnsi="Times New Roman" w:cs="Times New Roman"/>
        </w:rPr>
        <w:t>.</w:t>
      </w:r>
    </w:p>
  </w:footnote>
  <w:footnote w:id="23">
    <w:p w14:paraId="6477AEAE" w14:textId="77777777" w:rsidR="00506EDB" w:rsidRPr="00E52FA8" w:rsidRDefault="00506EDB" w:rsidP="006F63D3">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iCs/>
        </w:rPr>
        <w:t>See</w:t>
      </w:r>
      <w:r w:rsidRPr="00E52FA8">
        <w:rPr>
          <w:rFonts w:ascii="Times New Roman" w:hAnsi="Times New Roman" w:cs="Times New Roman"/>
        </w:rPr>
        <w:t xml:space="preserve"> New York Times Co. v. Sullivan, 376 U.S. 254, 272 (1964).</w:t>
      </w:r>
    </w:p>
  </w:footnote>
  <w:footnote w:id="24">
    <w:p w14:paraId="6ED3FC7E" w14:textId="6651429D" w:rsidR="00506EDB" w:rsidRPr="00E52FA8" w:rsidRDefault="00506EDB" w:rsidP="006F63D3">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proofErr w:type="spellStart"/>
      <w:r w:rsidRPr="00E52FA8">
        <w:rPr>
          <w:rFonts w:ascii="Times New Roman" w:hAnsi="Times New Roman" w:cs="Times New Roman"/>
        </w:rPr>
        <w:t>Keyishian</w:t>
      </w:r>
      <w:proofErr w:type="spellEnd"/>
      <w:r w:rsidRPr="00E52FA8">
        <w:rPr>
          <w:rFonts w:ascii="Times New Roman" w:hAnsi="Times New Roman" w:cs="Times New Roman"/>
        </w:rPr>
        <w:t xml:space="preserve"> v. Board of Regents, 385 U.S. at 602-03.</w:t>
      </w:r>
    </w:p>
  </w:footnote>
  <w:footnote w:id="25">
    <w:p w14:paraId="558A4FC7" w14:textId="13D9F8CA" w:rsidR="00506EDB" w:rsidRPr="00E52FA8" w:rsidRDefault="00506EDB" w:rsidP="006F63D3">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i/>
        </w:rPr>
        <w:t xml:space="preserve"> Id</w:t>
      </w:r>
      <w:r w:rsidRPr="00E52FA8">
        <w:rPr>
          <w:rFonts w:ascii="Times New Roman" w:hAnsi="Times New Roman" w:cs="Times New Roman"/>
        </w:rPr>
        <w:t>. at 603. Ultimately, the university violated the First Amendment rights of the professors because it prohibited associations with an organization, without determining whether there was intent to further unlawful aims of that organization.</w:t>
      </w:r>
    </w:p>
  </w:footnote>
  <w:footnote w:id="26">
    <w:p w14:paraId="3623759D" w14:textId="196AE9C2" w:rsidR="00506EDB" w:rsidRPr="00E52FA8" w:rsidRDefault="00506EDB" w:rsidP="006F63D3">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Garcetti v. Ceballos, 547 U.S. 410, 421 (2006).</w:t>
      </w:r>
    </w:p>
  </w:footnote>
  <w:footnote w:id="27">
    <w:p w14:paraId="0963C63B" w14:textId="3C00B118" w:rsidR="00506EDB" w:rsidRPr="00E52FA8" w:rsidRDefault="00506EDB" w:rsidP="006F63D3">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iCs/>
        </w:rPr>
        <w:t>See</w:t>
      </w:r>
      <w:r w:rsidRPr="00E52FA8">
        <w:rPr>
          <w:rFonts w:ascii="Times New Roman" w:hAnsi="Times New Roman" w:cs="Times New Roman"/>
        </w:rPr>
        <w:t xml:space="preserve"> </w:t>
      </w:r>
      <w:r w:rsidRPr="00E52FA8">
        <w:rPr>
          <w:rFonts w:ascii="Times New Roman" w:hAnsi="Times New Roman" w:cs="Times New Roman"/>
          <w:i/>
          <w:iCs/>
        </w:rPr>
        <w:t>Protecting an Independent Faculty Voice: Academic Freedom after Garcetti v. Ceballos</w:t>
      </w:r>
      <w:r w:rsidRPr="00E52FA8">
        <w:rPr>
          <w:rFonts w:ascii="Times New Roman" w:hAnsi="Times New Roman" w:cs="Times New Roman"/>
        </w:rPr>
        <w:t>, https://www.aaup.org/report/protecting-independent-faculty-voice-academic-freedom-after-garcetti-v-ceballos.</w:t>
      </w:r>
    </w:p>
  </w:footnote>
  <w:footnote w:id="28">
    <w:p w14:paraId="738E210D" w14:textId="77777777" w:rsidR="00506EDB" w:rsidRPr="00E52FA8" w:rsidRDefault="00506EDB" w:rsidP="006F63D3">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Pernell v. Fla. Bd. of Governors of State U. System, 4:22CV304-MW/MAF, 2022 WL 16985720, at 25 (N.D. Fla. Nov. 17, 2022</w:t>
      </w:r>
      <w:r w:rsidRPr="00E52FA8">
        <w:rPr>
          <w:rFonts w:ascii="Times New Roman" w:hAnsi="Times New Roman" w:cs="Times New Roman"/>
          <w:i/>
        </w:rPr>
        <w:t>)</w:t>
      </w:r>
      <w:r w:rsidRPr="00E52FA8">
        <w:rPr>
          <w:rFonts w:ascii="Times New Roman" w:hAnsi="Times New Roman" w:cs="Times New Roman"/>
        </w:rPr>
        <w:t xml:space="preserve"> (noting:</w:t>
      </w:r>
    </w:p>
    <w:p w14:paraId="25DB709A" w14:textId="77777777" w:rsidR="00506EDB" w:rsidRPr="00E52FA8" w:rsidRDefault="00506EDB" w:rsidP="006F63D3">
      <w:pPr>
        <w:pStyle w:val="FootnoteText"/>
        <w:ind w:firstLine="720"/>
        <w:rPr>
          <w:rFonts w:ascii="Times New Roman" w:hAnsi="Times New Roman" w:cs="Times New Roman"/>
        </w:rPr>
      </w:pPr>
      <w:r w:rsidRPr="00E52FA8">
        <w:rPr>
          <w:rFonts w:ascii="Times New Roman" w:hAnsi="Times New Roman" w:cs="Times New Roman"/>
        </w:rPr>
        <w:t xml:space="preserve"> All this is to say that Defendants have identified no case, nor has this Court</w:t>
      </w:r>
    </w:p>
    <w:p w14:paraId="6CCA6816" w14:textId="281417A2" w:rsidR="00506EDB" w:rsidRPr="00E52FA8" w:rsidRDefault="00506EDB" w:rsidP="006F63D3">
      <w:pPr>
        <w:pStyle w:val="FootnoteText"/>
        <w:ind w:firstLine="720"/>
        <w:rPr>
          <w:rFonts w:ascii="Times New Roman" w:hAnsi="Times New Roman" w:cs="Times New Roman"/>
        </w:rPr>
      </w:pPr>
      <w:r w:rsidRPr="00E52FA8">
        <w:rPr>
          <w:rFonts w:ascii="Times New Roman" w:hAnsi="Times New Roman" w:cs="Times New Roman"/>
        </w:rPr>
        <w:t>identified any auth</w:t>
      </w:r>
      <w:bookmarkStart w:id="2" w:name="_GoBack"/>
      <w:bookmarkEnd w:id="2"/>
      <w:r w:rsidRPr="00E52FA8">
        <w:rPr>
          <w:rFonts w:ascii="Times New Roman" w:hAnsi="Times New Roman" w:cs="Times New Roman"/>
        </w:rPr>
        <w:t>ority—binding or persuasive—holding that Garcetti applies to</w:t>
      </w:r>
    </w:p>
    <w:p w14:paraId="2C07F70D" w14:textId="77777777" w:rsidR="00506EDB" w:rsidRPr="00E52FA8" w:rsidRDefault="00506EDB" w:rsidP="006F63D3">
      <w:pPr>
        <w:pStyle w:val="FootnoteText"/>
        <w:ind w:firstLine="720"/>
        <w:rPr>
          <w:rFonts w:ascii="Times New Roman" w:hAnsi="Times New Roman" w:cs="Times New Roman"/>
        </w:rPr>
      </w:pPr>
      <w:r w:rsidRPr="00E52FA8">
        <w:rPr>
          <w:rFonts w:ascii="Times New Roman" w:hAnsi="Times New Roman" w:cs="Times New Roman"/>
        </w:rPr>
        <w:t>university professors’ in-class speech such that it amounts to government speech</w:t>
      </w:r>
    </w:p>
    <w:p w14:paraId="489D664B" w14:textId="77777777" w:rsidR="00506EDB" w:rsidRPr="00E52FA8" w:rsidRDefault="00506EDB" w:rsidP="006F63D3">
      <w:pPr>
        <w:pStyle w:val="FootnoteText"/>
        <w:ind w:firstLine="720"/>
        <w:rPr>
          <w:rFonts w:ascii="Times New Roman" w:hAnsi="Times New Roman" w:cs="Times New Roman"/>
        </w:rPr>
      </w:pPr>
      <w:r w:rsidRPr="00E52FA8">
        <w:rPr>
          <w:rFonts w:ascii="Times New Roman" w:hAnsi="Times New Roman" w:cs="Times New Roman"/>
        </w:rPr>
        <w:t>outside the First Amendment’s protection. To the extent Defendants urge this Court</w:t>
      </w:r>
    </w:p>
    <w:p w14:paraId="596A2A67" w14:textId="77777777" w:rsidR="00506EDB" w:rsidRPr="00E52FA8" w:rsidRDefault="00506EDB" w:rsidP="006F63D3">
      <w:pPr>
        <w:pStyle w:val="FootnoteText"/>
        <w:ind w:firstLine="720"/>
        <w:rPr>
          <w:rFonts w:ascii="Times New Roman" w:hAnsi="Times New Roman" w:cs="Times New Roman"/>
        </w:rPr>
      </w:pPr>
      <w:r w:rsidRPr="00E52FA8">
        <w:rPr>
          <w:rFonts w:ascii="Times New Roman" w:hAnsi="Times New Roman" w:cs="Times New Roman"/>
        </w:rPr>
        <w:t>to determine that university professors’ in-class speech is always pure government</w:t>
      </w:r>
    </w:p>
    <w:p w14:paraId="58E9A57B" w14:textId="77777777" w:rsidR="00506EDB" w:rsidRPr="00E52FA8" w:rsidRDefault="00506EDB" w:rsidP="006F63D3">
      <w:pPr>
        <w:pStyle w:val="FootnoteText"/>
        <w:ind w:firstLine="720"/>
        <w:rPr>
          <w:rFonts w:ascii="Times New Roman" w:hAnsi="Times New Roman" w:cs="Times New Roman"/>
        </w:rPr>
      </w:pPr>
      <w:r w:rsidRPr="00E52FA8">
        <w:rPr>
          <w:rFonts w:ascii="Times New Roman" w:hAnsi="Times New Roman" w:cs="Times New Roman"/>
        </w:rPr>
        <w:t>speech, the weight of binding authority requires this Court to decline the invitation.</w:t>
      </w:r>
    </w:p>
  </w:footnote>
  <w:footnote w:id="29">
    <w:p w14:paraId="0585636E" w14:textId="0400CF52" w:rsidR="00506EDB" w:rsidRPr="00E52FA8" w:rsidRDefault="00506EDB" w:rsidP="006F63D3">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BA141A">
        <w:rPr>
          <w:rFonts w:ascii="Times New Roman" w:hAnsi="Times New Roman" w:cs="Times New Roman"/>
          <w:i/>
        </w:rPr>
        <w:t>Id.</w:t>
      </w:r>
      <w:r w:rsidRPr="00E52FA8">
        <w:rPr>
          <w:rFonts w:ascii="Times New Roman" w:hAnsi="Times New Roman" w:cs="Times New Roman"/>
        </w:rPr>
        <w:t xml:space="preserve"> For more information about the case see </w:t>
      </w:r>
      <w:r w:rsidRPr="00E52FA8">
        <w:rPr>
          <w:rFonts w:ascii="Times New Roman" w:hAnsi="Times New Roman" w:cs="Times New Roman"/>
          <w:i/>
        </w:rPr>
        <w:t>infra</w:t>
      </w:r>
      <w:r w:rsidRPr="00E52FA8">
        <w:rPr>
          <w:rFonts w:ascii="Times New Roman" w:hAnsi="Times New Roman" w:cs="Times New Roman"/>
        </w:rPr>
        <w:t xml:space="preserve"> note 31.</w:t>
      </w:r>
    </w:p>
  </w:footnote>
  <w:footnote w:id="30">
    <w:p w14:paraId="69442ADB" w14:textId="77777777" w:rsidR="00506EDB" w:rsidRPr="00E52FA8" w:rsidRDefault="00506EDB" w:rsidP="006F63D3">
      <w:r w:rsidRPr="00E52FA8">
        <w:rPr>
          <w:rStyle w:val="FootnoteReference"/>
        </w:rPr>
        <w:footnoteRef/>
      </w:r>
      <w:r w:rsidRPr="00E52FA8">
        <w:t>In August of 2022, Florida Governor Ron DeSantis signed into law Florida House Bill 7 (“HB 7”), more commonly referred to as the “Stop W.O.K.E. Act”</w:t>
      </w:r>
      <w:r w:rsidRPr="00E52FA8">
        <w:rPr>
          <w:vertAlign w:val="superscript"/>
        </w:rPr>
        <w:footnoteRef/>
      </w:r>
      <w:r w:rsidRPr="00E52FA8">
        <w:t>, or the redubbed “Individual Freedom Act.”  H.R. 7, 124th Leg. Reg. Sess. (Fla. 2022).</w:t>
      </w:r>
    </w:p>
  </w:footnote>
  <w:footnote w:id="31">
    <w:p w14:paraId="772D00BA" w14:textId="77777777" w:rsidR="00506EDB" w:rsidRPr="00E52FA8" w:rsidRDefault="00506EDB" w:rsidP="006F63D3">
      <w:r w:rsidRPr="00E52FA8">
        <w:rPr>
          <w:vertAlign w:val="superscript"/>
        </w:rPr>
        <w:footnoteRef/>
      </w:r>
      <w:r w:rsidRPr="00E52FA8">
        <w:t xml:space="preserve"> </w:t>
      </w:r>
      <w:r w:rsidRPr="00E52FA8">
        <w:rPr>
          <w:i/>
        </w:rPr>
        <w:t xml:space="preserve">See </w:t>
      </w:r>
      <w:r w:rsidRPr="00E52FA8">
        <w:t xml:space="preserve">ACLU of Florida, </w:t>
      </w:r>
      <w:r w:rsidRPr="00E52FA8">
        <w:rPr>
          <w:i/>
        </w:rPr>
        <w:t>Florida’s “Stop W.O.K.E.” Censorship Bill Continues to Be Blocked After Eleventh Circuit Decision</w:t>
      </w:r>
      <w:r w:rsidRPr="00E52FA8">
        <w:t>, ACLU of Florida (Mar. 16, 2023, 2:30 PM), https://www.aclu.org/press-releases/floridas-stop-w-o-k-e-censorship-bill-continues-to-be-blocked-after-eleventh-circuit-decision.</w:t>
      </w:r>
    </w:p>
  </w:footnote>
  <w:footnote w:id="32">
    <w:p w14:paraId="1481D25D" w14:textId="77777777" w:rsidR="00506EDB" w:rsidRPr="00E52FA8" w:rsidRDefault="00506EDB" w:rsidP="006F63D3">
      <w:r w:rsidRPr="00E52FA8">
        <w:rPr>
          <w:vertAlign w:val="superscript"/>
        </w:rPr>
        <w:footnoteRef/>
      </w:r>
      <w:r w:rsidRPr="00E52FA8">
        <w:t xml:space="preserve"> </w:t>
      </w:r>
      <w:r w:rsidRPr="00E52FA8">
        <w:rPr>
          <w:i/>
        </w:rPr>
        <w:t xml:space="preserve">See Pernell </w:t>
      </w:r>
      <w:r w:rsidRPr="00E52FA8">
        <w:t>at *1 (providing its interpretation of the Act).</w:t>
      </w:r>
    </w:p>
  </w:footnote>
  <w:footnote w:id="33">
    <w:p w14:paraId="536FF7C0" w14:textId="77777777" w:rsidR="00506EDB" w:rsidRPr="00E52FA8" w:rsidRDefault="00506EDB" w:rsidP="006F63D3">
      <w:r w:rsidRPr="00E52FA8">
        <w:rPr>
          <w:vertAlign w:val="superscript"/>
        </w:rPr>
        <w:footnoteRef/>
      </w:r>
      <w:r w:rsidRPr="00E52FA8">
        <w:t xml:space="preserve"> </w:t>
      </w:r>
      <w:r w:rsidRPr="00E52FA8">
        <w:rPr>
          <w:i/>
        </w:rPr>
        <w:t xml:space="preserve">Id. </w:t>
      </w:r>
      <w:r w:rsidRPr="00E52FA8">
        <w:t xml:space="preserve">at *2. </w:t>
      </w:r>
    </w:p>
  </w:footnote>
  <w:footnote w:id="34">
    <w:p w14:paraId="7E03D3E3" w14:textId="77777777" w:rsidR="00506EDB" w:rsidRPr="00E52FA8" w:rsidRDefault="00506EDB" w:rsidP="00C70208">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rPr>
        <w:t>See, e.g.,</w:t>
      </w:r>
      <w:r w:rsidRPr="00E52FA8">
        <w:rPr>
          <w:rFonts w:ascii="Times New Roman" w:hAnsi="Times New Roman" w:cs="Times New Roman"/>
        </w:rPr>
        <w:t xml:space="preserve"> Parate v. Isibor, 868 F.2d 821 (1989) (a university’s changing a final grade doesn’t offend the professor’s First Amendment speech rights or academic freedom.)</w:t>
      </w:r>
    </w:p>
  </w:footnote>
  <w:footnote w:id="35">
    <w:p w14:paraId="294702C4" w14:textId="4285FE4B"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lang w:val="en-GB"/>
        </w:rPr>
        <w:t>Cf. Students for Fair Admissions v. Harvard College/University of North Carolina, 600 U.S. 181 (2023) (striking down both schools affirmative action program and holding that academic freedoms over admissions is an insufficient shield against Fourteenth Amendment equal protection and Title VI claims that race-conscious admissions programs unlawfully discriminate on the basis of race).</w:t>
      </w:r>
    </w:p>
  </w:footnote>
  <w:footnote w:id="36">
    <w:p w14:paraId="3A335911" w14:textId="02E74B9A"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rPr>
        <w:t>See, e.g</w:t>
      </w:r>
      <w:r w:rsidRPr="00E52FA8">
        <w:rPr>
          <w:rFonts w:ascii="Times New Roman" w:hAnsi="Times New Roman" w:cs="Times New Roman"/>
        </w:rPr>
        <w:t>., Evans- Marshall v. Bd. of Educ. of the Tipp Cty. Exempted Vill. Sch. Dist., 624 F.3d 332 (6th Cir. 2010)).</w:t>
      </w:r>
    </w:p>
  </w:footnote>
  <w:footnote w:id="37">
    <w:p w14:paraId="441B205E" w14:textId="41AE9CB0"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Pen America, Report: Banned in the USA: The Growing Movement to Censor Books in Schools (2022), https://pen.org/report/banned-usa-growing-movement-to-censor-books-in-schools/</w:t>
      </w:r>
    </w:p>
  </w:footnote>
  <w:footnote w:id="38">
    <w:p w14:paraId="5D0E47F9" w14:textId="2A2A0873"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lang w:val="en-GB"/>
        </w:rPr>
        <w:t xml:space="preserve"> Cf. Goss v. Lopez, 419 U.S. 565 (1975) (unilaterally depriving a school child of access to the schooling the state has guaranteed them violates their due process rights)).</w:t>
      </w:r>
    </w:p>
  </w:footnote>
  <w:footnote w:id="39">
    <w:p w14:paraId="46693B39" w14:textId="6DCBFDF0"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Bd. of Educ. of Island Trees Union Sch. Dist. No. 26 v. Pico, 457 U.S. 853 (1982) (plurality). </w:t>
      </w:r>
    </w:p>
  </w:footnote>
  <w:footnote w:id="40">
    <w:p w14:paraId="4193DF73" w14:textId="74C7ECC6"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Rosenberger v. Rector &amp; Visitors of the University of Virginia, 515 U.S. 819 (1995)). </w:t>
      </w:r>
    </w:p>
  </w:footnote>
  <w:footnote w:id="41">
    <w:p w14:paraId="6AF7BBB2" w14:textId="77777777" w:rsidR="00506EDB" w:rsidRPr="00E52FA8" w:rsidRDefault="00506EDB" w:rsidP="00A927BA">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Pulled from Feingold &amp; Weishart, </w:t>
      </w:r>
      <w:hyperlink r:id="rId17" w:history="1">
        <w:r w:rsidRPr="00E52FA8">
          <w:rPr>
            <w:rStyle w:val="Hyperlink"/>
            <w:rFonts w:ascii="Times New Roman" w:hAnsi="Times New Roman" w:cs="Times New Roman"/>
            <w:i/>
            <w:iCs/>
          </w:rPr>
          <w:t>Discriminatory Censorship Laws Imperil Public Education</w:t>
        </w:r>
      </w:hyperlink>
      <w:r w:rsidRPr="00E52FA8">
        <w:rPr>
          <w:rFonts w:ascii="Times New Roman" w:hAnsi="Times New Roman" w:cs="Times New Roman"/>
        </w:rPr>
        <w:t xml:space="preserve"> (2023).</w:t>
      </w:r>
    </w:p>
  </w:footnote>
  <w:footnote w:id="42">
    <w:p w14:paraId="3C44AD88" w14:textId="66EB67B7" w:rsidR="00506EDB" w:rsidRPr="00E52FA8" w:rsidRDefault="00506EDB">
      <w:pPr>
        <w:pStyle w:val="FootnoteText"/>
        <w:rPr>
          <w:rFonts w:ascii="Times New Roman" w:hAnsi="Times New Roman" w:cs="Times New Roman"/>
          <w:i/>
        </w:rPr>
      </w:pPr>
      <w:r w:rsidRPr="00E52FA8">
        <w:rPr>
          <w:rStyle w:val="FootnoteReference"/>
          <w:rFonts w:ascii="Times New Roman" w:hAnsi="Times New Roman"/>
          <w:i/>
        </w:rPr>
        <w:footnoteRef/>
      </w:r>
      <w:r w:rsidRPr="00E52FA8">
        <w:rPr>
          <w:rFonts w:ascii="Times New Roman" w:hAnsi="Times New Roman" w:cs="Times New Roman"/>
          <w:i/>
        </w:rPr>
        <w:t xml:space="preserve"> Id.</w:t>
      </w:r>
    </w:p>
  </w:footnote>
  <w:footnote w:id="43">
    <w:p w14:paraId="3640ABEC" w14:textId="2AC23CDD"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Seligman et al., </w:t>
      </w:r>
      <w:r w:rsidRPr="00E52FA8">
        <w:rPr>
          <w:rFonts w:ascii="Times New Roman" w:hAnsi="Times New Roman" w:cs="Times New Roman"/>
          <w:i/>
        </w:rPr>
        <w:t xml:space="preserve">1915 Declaration of Principles on American Freedom and Academic Tenure,   </w:t>
      </w:r>
      <w:hyperlink r:id="rId18" w:history="1">
        <w:r w:rsidRPr="00E52FA8">
          <w:rPr>
            <w:rStyle w:val="Hyperlink"/>
            <w:rFonts w:ascii="Times New Roman" w:hAnsi="Times New Roman" w:cs="Times New Roman"/>
            <w:lang w:val="en-GB"/>
          </w:rPr>
          <w:t>FinalEdits (aaup.org)</w:t>
        </w:r>
      </w:hyperlink>
      <w:r w:rsidRPr="00E52FA8">
        <w:rPr>
          <w:rFonts w:ascii="Times New Roman" w:hAnsi="Times New Roman" w:cs="Times New Roman"/>
          <w:lang w:val="en-GB"/>
        </w:rPr>
        <w:t xml:space="preserve"> https://www.aaup.org/NR/rdonlyres/A6520A9D-0A9A-47B3-B550-C006B5B224E7/0/1915Declaration.pdf., 295 (1915)</w:t>
      </w:r>
      <w:r w:rsidRPr="00E52FA8">
        <w:rPr>
          <w:rFonts w:ascii="Times New Roman" w:hAnsi="Times New Roman" w:cs="Times New Roman"/>
          <w:i/>
        </w:rPr>
        <w:t>.</w:t>
      </w:r>
    </w:p>
  </w:footnote>
  <w:footnote w:id="44">
    <w:p w14:paraId="07CE3158" w14:textId="5922A330"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rPr>
        <w:t>See</w:t>
      </w:r>
      <w:r w:rsidRPr="00E52FA8">
        <w:rPr>
          <w:rFonts w:ascii="Times New Roman" w:hAnsi="Times New Roman" w:cs="Times New Roman"/>
        </w:rPr>
        <w:t xml:space="preserve">,  </w:t>
      </w:r>
      <w:hyperlink r:id="rId19" w:history="1">
        <w:r w:rsidRPr="00E52FA8">
          <w:rPr>
            <w:rStyle w:val="Hyperlink"/>
            <w:rFonts w:ascii="Times New Roman" w:hAnsi="Times New Roman" w:cs="Times New Roman"/>
          </w:rPr>
          <w:t>https://www.aaup.org/report/1940-statement-principles-academic-freedom-and-tenure</w:t>
        </w:r>
      </w:hyperlink>
      <w:r w:rsidRPr="00E52FA8">
        <w:rPr>
          <w:rFonts w:ascii="Times New Roman" w:hAnsi="Times New Roman" w:cs="Times New Roman"/>
        </w:rPr>
        <w:t xml:space="preserve">. </w:t>
      </w:r>
    </w:p>
  </w:footnote>
  <w:footnote w:id="45">
    <w:p w14:paraId="1CDB4D6C" w14:textId="395288FB"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i/>
        </w:rPr>
        <w:t>See</w:t>
      </w:r>
      <w:r w:rsidRPr="00E52FA8">
        <w:rPr>
          <w:rFonts w:ascii="Times New Roman" w:hAnsi="Times New Roman" w:cs="Times New Roman"/>
        </w:rPr>
        <w:t xml:space="preserve">, </w:t>
      </w:r>
      <w:hyperlink r:id="rId20" w:history="1">
        <w:r w:rsidRPr="00E52FA8">
          <w:rPr>
            <w:rStyle w:val="Hyperlink"/>
            <w:rFonts w:ascii="Times New Roman" w:hAnsi="Times New Roman" w:cs="Times New Roman"/>
          </w:rPr>
          <w:t>https://www.aaup.org/report/statement-government-colleges-and-universities</w:t>
        </w:r>
      </w:hyperlink>
      <w:r w:rsidRPr="00E52FA8">
        <w:rPr>
          <w:rFonts w:ascii="Times New Roman" w:hAnsi="Times New Roman" w:cs="Times New Roman"/>
        </w:rPr>
        <w:t xml:space="preserve">.  </w:t>
      </w:r>
    </w:p>
  </w:footnote>
  <w:footnote w:id="46">
    <w:p w14:paraId="3DFB2575" w14:textId="43AA5B94" w:rsidR="00506EDB" w:rsidRPr="00E52FA8" w:rsidRDefault="00506EDB" w:rsidP="00C50CBB">
      <w:r w:rsidRPr="00E52FA8">
        <w:rPr>
          <w:vertAlign w:val="superscript"/>
        </w:rPr>
        <w:footnoteRef/>
      </w:r>
      <w:r w:rsidRPr="00E52FA8">
        <w:t xml:space="preserve"> </w:t>
      </w:r>
      <w:bookmarkStart w:id="5" w:name="_Hlk157966592"/>
      <w:r w:rsidRPr="00E52FA8">
        <w:rPr>
          <w:highlight w:val="white"/>
        </w:rPr>
        <w:t xml:space="preserve">Seligman, </w:t>
      </w:r>
      <w:r w:rsidRPr="00E52FA8">
        <w:rPr>
          <w:i/>
          <w:highlight w:val="white"/>
        </w:rPr>
        <w:t>supra</w:t>
      </w:r>
      <w:r w:rsidRPr="00E52FA8">
        <w:rPr>
          <w:highlight w:val="white"/>
        </w:rPr>
        <w:t xml:space="preserve"> note 4</w:t>
      </w:r>
      <w:r w:rsidR="00BA141A">
        <w:rPr>
          <w:highlight w:val="white"/>
        </w:rPr>
        <w:t>5</w:t>
      </w:r>
      <w:r w:rsidRPr="00E52FA8">
        <w:rPr>
          <w:highlight w:val="white"/>
        </w:rPr>
        <w:t xml:space="preserve"> at 295</w:t>
      </w:r>
      <w:bookmarkEnd w:id="5"/>
      <w:r w:rsidRPr="00E52FA8">
        <w:rPr>
          <w:highlight w:val="white"/>
        </w:rPr>
        <w:t>.</w:t>
      </w:r>
    </w:p>
  </w:footnote>
  <w:footnote w:id="47">
    <w:p w14:paraId="3BF554CC" w14:textId="77777777" w:rsidR="00506EDB" w:rsidRPr="00E52FA8" w:rsidRDefault="00506EDB" w:rsidP="00CC53F9">
      <w:r w:rsidRPr="00E52FA8">
        <w:rPr>
          <w:vertAlign w:val="superscript"/>
        </w:rPr>
        <w:footnoteRef/>
      </w:r>
      <w:r w:rsidRPr="00E52FA8">
        <w:t xml:space="preserve"> </w:t>
      </w:r>
      <w:r w:rsidRPr="00E52FA8">
        <w:rPr>
          <w:i/>
        </w:rPr>
        <w:t xml:space="preserve">Id. </w:t>
      </w:r>
      <w:r w:rsidRPr="00E52FA8">
        <w:t>at 292.</w:t>
      </w:r>
    </w:p>
  </w:footnote>
  <w:footnote w:id="48">
    <w:p w14:paraId="49DBE46D" w14:textId="3FBEFDCD" w:rsidR="00506EDB" w:rsidRPr="00E52FA8" w:rsidRDefault="00506EDB" w:rsidP="00121907">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00602CC1" w:rsidRPr="00E52FA8">
        <w:rPr>
          <w:rFonts w:ascii="Times New Roman" w:hAnsi="Times New Roman" w:cs="Times New Roman"/>
        </w:rPr>
        <w:t xml:space="preserve">Risa L. </w:t>
      </w:r>
      <w:proofErr w:type="spellStart"/>
      <w:r w:rsidR="00602CC1" w:rsidRPr="00E52FA8">
        <w:rPr>
          <w:rFonts w:ascii="Times New Roman" w:hAnsi="Times New Roman" w:cs="Times New Roman"/>
        </w:rPr>
        <w:t>Lieberwitz</w:t>
      </w:r>
      <w:proofErr w:type="spellEnd"/>
      <w:r w:rsidR="00602CC1" w:rsidRPr="00E52FA8">
        <w:rPr>
          <w:rFonts w:ascii="Times New Roman" w:hAnsi="Times New Roman" w:cs="Times New Roman"/>
        </w:rPr>
        <w:t>,</w:t>
      </w:r>
      <w:r w:rsidR="00602CC1" w:rsidRPr="00E52FA8">
        <w:rPr>
          <w:rFonts w:ascii="Times New Roman" w:hAnsi="Times New Roman" w:cs="Times New Roman"/>
          <w:i/>
          <w:iCs/>
        </w:rPr>
        <w:t xml:space="preserve"> Corporatization of Higher Education: A Crisis of Labor and Democracy, </w:t>
      </w:r>
      <w:r w:rsidR="00602CC1" w:rsidRPr="00E52FA8">
        <w:rPr>
          <w:rFonts w:ascii="Times New Roman" w:hAnsi="Times New Roman" w:cs="Times New Roman"/>
        </w:rPr>
        <w:t xml:space="preserve">in The Cambridge Handbook of Labor and Democracy, Angela B. Cornell and Mark Barenberg, eds. (Cambridge University Press 2022) </w:t>
      </w:r>
      <w:r w:rsidR="00602CC1" w:rsidRPr="00E52FA8">
        <w:rPr>
          <w:rFonts w:ascii="Times New Roman" w:hAnsi="Times New Roman" w:cs="Times New Roman"/>
        </w:rPr>
        <w:t xml:space="preserve">, </w:t>
      </w:r>
      <w:r w:rsidRPr="00E52FA8">
        <w:rPr>
          <w:rFonts w:ascii="Times New Roman" w:hAnsi="Times New Roman" w:cs="Times New Roman"/>
        </w:rPr>
        <w:t>at 321</w:t>
      </w:r>
      <w:r w:rsidR="00602CC1" w:rsidRPr="00E52FA8">
        <w:rPr>
          <w:rFonts w:ascii="Times New Roman" w:hAnsi="Times New Roman" w:cs="Times New Roman"/>
        </w:rPr>
        <w:t>.</w:t>
      </w:r>
    </w:p>
  </w:footnote>
  <w:footnote w:id="49">
    <w:p w14:paraId="30D6C031" w14:textId="1AB7FAB6"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00BA141A" w:rsidRPr="00BA141A">
        <w:rPr>
          <w:rFonts w:ascii="Times New Roman" w:hAnsi="Times New Roman" w:cs="Times New Roman"/>
          <w:i/>
          <w:lang w:val="en-GB"/>
        </w:rPr>
        <w:t>Id</w:t>
      </w:r>
      <w:r w:rsidR="00BA141A">
        <w:rPr>
          <w:rFonts w:ascii="Times New Roman" w:hAnsi="Times New Roman" w:cs="Times New Roman"/>
          <w:i/>
          <w:lang w:val="en-GB"/>
        </w:rPr>
        <w:t>.</w:t>
      </w:r>
    </w:p>
  </w:footnote>
  <w:footnote w:id="50">
    <w:p w14:paraId="37A66509" w14:textId="127CA835"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proofErr w:type="spellStart"/>
      <w:r w:rsidR="00602CC1" w:rsidRPr="00E52FA8">
        <w:rPr>
          <w:rFonts w:ascii="Times New Roman" w:hAnsi="Times New Roman" w:cs="Times New Roman"/>
        </w:rPr>
        <w:t>Lieberwitz</w:t>
      </w:r>
      <w:proofErr w:type="spellEnd"/>
      <w:r w:rsidR="00602CC1" w:rsidRPr="00E52FA8">
        <w:rPr>
          <w:rFonts w:ascii="Times New Roman" w:hAnsi="Times New Roman" w:cs="Times New Roman"/>
        </w:rPr>
        <w:t xml:space="preserve">, </w:t>
      </w:r>
      <w:r w:rsidR="00602CC1" w:rsidRPr="00BA141A">
        <w:rPr>
          <w:rFonts w:ascii="Times New Roman" w:hAnsi="Times New Roman" w:cs="Times New Roman"/>
          <w:i/>
        </w:rPr>
        <w:t>supra</w:t>
      </w:r>
      <w:r w:rsidR="00602CC1" w:rsidRPr="00E52FA8">
        <w:rPr>
          <w:rFonts w:ascii="Times New Roman" w:hAnsi="Times New Roman" w:cs="Times New Roman"/>
        </w:rPr>
        <w:t xml:space="preserve"> note </w:t>
      </w:r>
      <w:r w:rsidR="00550295">
        <w:rPr>
          <w:rFonts w:ascii="Times New Roman" w:hAnsi="Times New Roman" w:cs="Times New Roman"/>
        </w:rPr>
        <w:t>48</w:t>
      </w:r>
      <w:r w:rsidR="00602CC1" w:rsidRPr="00E52FA8">
        <w:rPr>
          <w:rFonts w:ascii="Times New Roman" w:hAnsi="Times New Roman" w:cs="Times New Roman"/>
        </w:rPr>
        <w:t xml:space="preserve">, </w:t>
      </w:r>
      <w:r w:rsidR="002774C5" w:rsidRPr="00E52FA8">
        <w:rPr>
          <w:rFonts w:ascii="Times New Roman" w:hAnsi="Times New Roman" w:cs="Times New Roman"/>
          <w:lang w:val="en-GB"/>
        </w:rPr>
        <w:t>at 320.</w:t>
      </w:r>
    </w:p>
  </w:footnote>
  <w:footnote w:id="51">
    <w:p w14:paraId="231AA45F" w14:textId="476F9E65"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002774C5" w:rsidRPr="00E52FA8">
        <w:rPr>
          <w:rFonts w:ascii="Times New Roman" w:hAnsi="Times New Roman" w:cs="Times New Roman"/>
          <w:i/>
        </w:rPr>
        <w:t>Id</w:t>
      </w:r>
      <w:r w:rsidR="002774C5" w:rsidRPr="00E52FA8">
        <w:rPr>
          <w:rFonts w:ascii="Times New Roman" w:hAnsi="Times New Roman" w:cs="Times New Roman"/>
        </w:rPr>
        <w:t>., at 321, 323.</w:t>
      </w:r>
    </w:p>
  </w:footnote>
  <w:footnote w:id="52">
    <w:p w14:paraId="6B6D40AE" w14:textId="77777777" w:rsidR="00506EDB" w:rsidRPr="00E52FA8" w:rsidRDefault="00506EDB" w:rsidP="004E406F">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Melissa De Witte, </w:t>
      </w:r>
      <w:r w:rsidRPr="00E52FA8">
        <w:rPr>
          <w:rFonts w:ascii="Times New Roman" w:hAnsi="Times New Roman" w:cs="Times New Roman"/>
          <w:i/>
        </w:rPr>
        <w:t>Academic freedom’s origin story</w:t>
      </w:r>
      <w:r w:rsidRPr="00E52FA8">
        <w:rPr>
          <w:rFonts w:ascii="Times New Roman" w:hAnsi="Times New Roman" w:cs="Times New Roman"/>
        </w:rPr>
        <w:t xml:space="preserve">, The Stanford Report, May 1, 2023 (discussing scholar Emily J. Levine’s ideas and book entitled, </w:t>
      </w:r>
      <w:r w:rsidRPr="00E52FA8">
        <w:rPr>
          <w:rFonts w:ascii="Times New Roman" w:hAnsi="Times New Roman" w:cs="Times New Roman"/>
          <w:u w:val="single"/>
        </w:rPr>
        <w:t>Allies and Rivals: German-American Exchange and the Rise of the Modern Research University (The University of Chicago Press, 2021</w:t>
      </w:r>
      <w:r w:rsidRPr="00E52FA8">
        <w:rPr>
          <w:rFonts w:ascii="Times New Roman" w:hAnsi="Times New Roman" w:cs="Times New Roman"/>
        </w:rPr>
        <w:t>),</w:t>
      </w:r>
    </w:p>
  </w:footnote>
  <w:footnote w:id="53">
    <w:p w14:paraId="73F6A5B0" w14:textId="2D36F8F8"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proofErr w:type="spellStart"/>
      <w:r w:rsidRPr="00E52FA8">
        <w:rPr>
          <w:rFonts w:ascii="Times New Roman" w:hAnsi="Times New Roman" w:cs="Times New Roman"/>
        </w:rPr>
        <w:t>Lieberwitz</w:t>
      </w:r>
      <w:proofErr w:type="spellEnd"/>
      <w:r w:rsidRPr="00E52FA8">
        <w:rPr>
          <w:rFonts w:ascii="Times New Roman" w:hAnsi="Times New Roman" w:cs="Times New Roman"/>
        </w:rPr>
        <w:t xml:space="preserve">, </w:t>
      </w:r>
      <w:r w:rsidR="002774C5" w:rsidRPr="00E52FA8">
        <w:rPr>
          <w:rFonts w:ascii="Times New Roman" w:hAnsi="Times New Roman" w:cs="Times New Roman"/>
          <w:i/>
        </w:rPr>
        <w:t xml:space="preserve">supra </w:t>
      </w:r>
      <w:r w:rsidR="002774C5" w:rsidRPr="00E52FA8">
        <w:rPr>
          <w:rFonts w:ascii="Times New Roman" w:hAnsi="Times New Roman" w:cs="Times New Roman"/>
        </w:rPr>
        <w:t xml:space="preserve">note </w:t>
      </w:r>
      <w:r w:rsidR="00550295">
        <w:rPr>
          <w:rFonts w:ascii="Times New Roman" w:hAnsi="Times New Roman" w:cs="Times New Roman"/>
        </w:rPr>
        <w:t>48</w:t>
      </w:r>
      <w:r w:rsidR="002774C5" w:rsidRPr="00E52FA8">
        <w:rPr>
          <w:rFonts w:ascii="Times New Roman" w:hAnsi="Times New Roman" w:cs="Times New Roman"/>
        </w:rPr>
        <w:t xml:space="preserve"> </w:t>
      </w:r>
      <w:r w:rsidRPr="00E52FA8">
        <w:rPr>
          <w:rFonts w:ascii="Times New Roman" w:hAnsi="Times New Roman" w:cs="Times New Roman"/>
        </w:rPr>
        <w:t xml:space="preserve">at </w:t>
      </w:r>
      <w:r w:rsidR="002774C5" w:rsidRPr="00E52FA8">
        <w:rPr>
          <w:rFonts w:ascii="Times New Roman" w:hAnsi="Times New Roman" w:cs="Times New Roman"/>
        </w:rPr>
        <w:t>325.</w:t>
      </w:r>
    </w:p>
  </w:footnote>
  <w:footnote w:id="54">
    <w:p w14:paraId="1DDF12E7" w14:textId="3CA1811B" w:rsidR="00506EDB" w:rsidRPr="00E52FA8" w:rsidRDefault="00506EDB" w:rsidP="00097413">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AAUP, Governance, Academic Freedom, and Institutional Racism in the University of North Carolina System (April 2022), https://www.aaup.org/report/governance-academic-freedom-and-institutional-racism-university-north-carolina-system.</w:t>
      </w:r>
    </w:p>
  </w:footnote>
  <w:footnote w:id="55">
    <w:p w14:paraId="061065FA" w14:textId="17CE9CA5"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AAUP, Report of a Special Committee: Political Interference and Academic Freedom in Florida’s Public Higher Education System (December 2023), https://www.aaup.org/report/report-special-committee-political-interference-and-academic-freedom-florida%E2%80%99s-public-higher</w:t>
      </w:r>
    </w:p>
  </w:footnote>
  <w:footnote w:id="56">
    <w:p w14:paraId="61EBE1E5" w14:textId="0EFBD9BE"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rPr>
        <w:t>Id</w:t>
      </w:r>
      <w:r w:rsidRPr="00E52FA8">
        <w:rPr>
          <w:rFonts w:ascii="Times New Roman" w:hAnsi="Times New Roman" w:cs="Times New Roman"/>
        </w:rPr>
        <w:t>. at</w:t>
      </w:r>
      <w:r w:rsidR="002774C5" w:rsidRPr="00E52FA8">
        <w:rPr>
          <w:rFonts w:ascii="Times New Roman" w:hAnsi="Times New Roman" w:cs="Times New Roman"/>
        </w:rPr>
        <w:t xml:space="preserve"> 49.</w:t>
      </w:r>
    </w:p>
  </w:footnote>
  <w:footnote w:id="57">
    <w:p w14:paraId="63D643DB" w14:textId="6EDD113B" w:rsidR="00506EDB" w:rsidRPr="00E52FA8" w:rsidRDefault="00506EDB" w:rsidP="00D66738">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For a l</w:t>
      </w:r>
      <w:r w:rsidR="002774C5" w:rsidRPr="00E52FA8">
        <w:rPr>
          <w:rFonts w:ascii="Times New Roman" w:hAnsi="Times New Roman" w:cs="Times New Roman"/>
        </w:rPr>
        <w:t>i</w:t>
      </w:r>
      <w:r w:rsidRPr="00E52FA8">
        <w:rPr>
          <w:rFonts w:ascii="Times New Roman" w:hAnsi="Times New Roman" w:cs="Times New Roman"/>
        </w:rPr>
        <w:t xml:space="preserve">st of U.S. federal grant- making agencies see, Federal Grant-Making Agencies, </w:t>
      </w:r>
      <w:hyperlink r:id="rId21" w:history="1">
        <w:r w:rsidRPr="00E52FA8">
          <w:rPr>
            <w:rStyle w:val="Hyperlink"/>
            <w:rFonts w:ascii="Times New Roman" w:hAnsi="Times New Roman" w:cs="Times New Roman"/>
          </w:rPr>
          <w:t>https://www.grants.gov/learn-grants/grant-making-agencies.html</w:t>
        </w:r>
      </w:hyperlink>
      <w:r w:rsidRPr="00E52FA8">
        <w:rPr>
          <w:rFonts w:ascii="Times New Roman" w:hAnsi="Times New Roman" w:cs="Times New Roman"/>
        </w:rPr>
        <w:t xml:space="preserve"> .  See also e.g., , Peer Review for Sponsored Research, https://ari.hms.harvard.edu/research-influence/peer-review-confidentiality/peer-review-sponsored-research#:~:text=Peer%20Review%20for%20sponsored%20research%20funding%20is%20a%20process%20adopted,strength%20of%20proposed%20research%20plans.</w:t>
      </w:r>
    </w:p>
  </w:footnote>
  <w:footnote w:id="58">
    <w:p w14:paraId="3FBADF31" w14:textId="0180B172"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proofErr w:type="spellStart"/>
      <w:r w:rsidRPr="00E52FA8">
        <w:rPr>
          <w:rFonts w:ascii="Times New Roman" w:hAnsi="Times New Roman" w:cs="Times New Roman"/>
        </w:rPr>
        <w:t>Lieberwitz</w:t>
      </w:r>
      <w:proofErr w:type="spellEnd"/>
      <w:r w:rsidRPr="00E52FA8">
        <w:rPr>
          <w:rFonts w:ascii="Times New Roman" w:hAnsi="Times New Roman" w:cs="Times New Roman"/>
        </w:rPr>
        <w:t xml:space="preserve">, </w:t>
      </w:r>
      <w:r w:rsidRPr="00E52FA8">
        <w:rPr>
          <w:rFonts w:ascii="Times New Roman" w:hAnsi="Times New Roman" w:cs="Times New Roman"/>
          <w:i/>
        </w:rPr>
        <w:t>supra</w:t>
      </w:r>
      <w:r w:rsidRPr="00E52FA8">
        <w:rPr>
          <w:rFonts w:ascii="Times New Roman" w:hAnsi="Times New Roman" w:cs="Times New Roman"/>
        </w:rPr>
        <w:t xml:space="preserve"> note </w:t>
      </w:r>
      <w:r w:rsidR="00550295">
        <w:rPr>
          <w:rFonts w:ascii="Times New Roman" w:hAnsi="Times New Roman" w:cs="Times New Roman"/>
        </w:rPr>
        <w:t>48</w:t>
      </w:r>
      <w:r w:rsidRPr="00E52FA8">
        <w:rPr>
          <w:rFonts w:ascii="Times New Roman" w:hAnsi="Times New Roman" w:cs="Times New Roman"/>
        </w:rPr>
        <w:t xml:space="preserve">  at 324.</w:t>
      </w:r>
    </w:p>
  </w:footnote>
  <w:footnote w:id="59">
    <w:p w14:paraId="7D02E24B" w14:textId="05AD391B" w:rsidR="00506EDB" w:rsidRPr="00E52FA8" w:rsidRDefault="00506EDB">
      <w:pPr>
        <w:pStyle w:val="FootnoteText"/>
        <w:rPr>
          <w:rFonts w:ascii="Times New Roman" w:hAnsi="Times New Roman" w:cs="Times New Roman"/>
          <w:i/>
        </w:rPr>
      </w:pPr>
      <w:r w:rsidRPr="00E52FA8">
        <w:rPr>
          <w:rStyle w:val="FootnoteReference"/>
          <w:rFonts w:ascii="Times New Roman" w:hAnsi="Times New Roman"/>
        </w:rPr>
        <w:footnoteRef/>
      </w:r>
      <w:r w:rsidRPr="00E52FA8">
        <w:rPr>
          <w:rFonts w:ascii="Times New Roman" w:hAnsi="Times New Roman" w:cs="Times New Roman"/>
          <w:i/>
        </w:rPr>
        <w:t xml:space="preserve"> Id.</w:t>
      </w:r>
    </w:p>
  </w:footnote>
  <w:footnote w:id="60">
    <w:p w14:paraId="1CD23254" w14:textId="6D7F394F" w:rsidR="00506EDB" w:rsidRPr="00E52FA8" w:rsidRDefault="00506EDB">
      <w:pPr>
        <w:pStyle w:val="FootnoteText"/>
        <w:rPr>
          <w:rFonts w:ascii="Times New Roman" w:hAnsi="Times New Roman" w:cs="Times New Roman"/>
          <w:i/>
        </w:rPr>
      </w:pPr>
      <w:r w:rsidRPr="00E52FA8">
        <w:rPr>
          <w:rStyle w:val="FootnoteReference"/>
          <w:rFonts w:ascii="Times New Roman" w:hAnsi="Times New Roman"/>
          <w:i/>
        </w:rPr>
        <w:footnoteRef/>
      </w:r>
      <w:r w:rsidRPr="00E52FA8">
        <w:rPr>
          <w:rFonts w:ascii="Times New Roman" w:hAnsi="Times New Roman" w:cs="Times New Roman"/>
          <w:i/>
        </w:rPr>
        <w:t xml:space="preserve"> Id. </w:t>
      </w:r>
    </w:p>
  </w:footnote>
  <w:footnote w:id="61">
    <w:p w14:paraId="67320953" w14:textId="7233FEA3" w:rsidR="00506EDB" w:rsidRPr="00E52FA8" w:rsidRDefault="00506EDB">
      <w:pPr>
        <w:pStyle w:val="FootnoteText"/>
        <w:rPr>
          <w:rFonts w:ascii="Times New Roman" w:hAnsi="Times New Roman" w:cs="Times New Roman"/>
        </w:rPr>
      </w:pPr>
      <w:r w:rsidRPr="00E52FA8">
        <w:rPr>
          <w:rStyle w:val="FootnoteReference"/>
          <w:rFonts w:ascii="Times New Roman" w:hAnsi="Times New Roman"/>
          <w:i/>
        </w:rPr>
        <w:footnoteRef/>
      </w:r>
      <w:r w:rsidRPr="00E52FA8">
        <w:rPr>
          <w:rFonts w:ascii="Times New Roman" w:hAnsi="Times New Roman" w:cs="Times New Roman"/>
          <w:i/>
        </w:rPr>
        <w:t xml:space="preserve"> Id</w:t>
      </w:r>
      <w:r w:rsidRPr="00E52FA8">
        <w:rPr>
          <w:rFonts w:ascii="Times New Roman" w:hAnsi="Times New Roman" w:cs="Times New Roman"/>
        </w:rPr>
        <w:t>., at 325</w:t>
      </w:r>
    </w:p>
  </w:footnote>
  <w:footnote w:id="62">
    <w:p w14:paraId="3E9AC984" w14:textId="5D487542" w:rsidR="00506EDB" w:rsidRPr="00E52FA8" w:rsidRDefault="00506EDB">
      <w:pPr>
        <w:pStyle w:val="FootnoteText"/>
        <w:rPr>
          <w:rFonts w:ascii="Times New Roman" w:hAnsi="Times New Roman" w:cs="Times New Roman"/>
        </w:rPr>
      </w:pPr>
      <w:r w:rsidRPr="00E52FA8">
        <w:rPr>
          <w:rStyle w:val="FootnoteReference"/>
          <w:rFonts w:ascii="Times New Roman" w:hAnsi="Times New Roman"/>
          <w:i/>
        </w:rPr>
        <w:footnoteRef/>
      </w:r>
      <w:r w:rsidRPr="00E52FA8">
        <w:rPr>
          <w:rFonts w:ascii="Times New Roman" w:hAnsi="Times New Roman" w:cs="Times New Roman"/>
          <w:i/>
        </w:rPr>
        <w:t xml:space="preserve"> Id</w:t>
      </w:r>
      <w:r w:rsidRPr="00E52FA8">
        <w:rPr>
          <w:rFonts w:ascii="Times New Roman" w:hAnsi="Times New Roman" w:cs="Times New Roman"/>
        </w:rPr>
        <w:t xml:space="preserve">. and 35 U.S.C. §18, </w:t>
      </w:r>
      <w:hyperlink r:id="rId22" w:history="1">
        <w:r w:rsidRPr="00E52FA8">
          <w:rPr>
            <w:rStyle w:val="Hyperlink"/>
            <w:rFonts w:ascii="Times New Roman" w:hAnsi="Times New Roman" w:cs="Times New Roman"/>
          </w:rPr>
          <w:t>https://www.govinfo.gov/content/pkg/USCODE-2011-title35/html/USCODE-2011-title35-partII-chap18.htm</w:t>
        </w:r>
      </w:hyperlink>
      <w:r w:rsidRPr="00E52FA8">
        <w:rPr>
          <w:rFonts w:ascii="Times New Roman" w:hAnsi="Times New Roman" w:cs="Times New Roman"/>
        </w:rPr>
        <w:t xml:space="preserve">. </w:t>
      </w:r>
    </w:p>
  </w:footnote>
  <w:footnote w:id="63">
    <w:p w14:paraId="1B8E3B78" w14:textId="5D8ECE2A"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smallCaps/>
        </w:rPr>
        <w:t>Jim Freeman,</w:t>
      </w:r>
      <w:r w:rsidR="004B0AB9" w:rsidRPr="00E52FA8">
        <w:rPr>
          <w:rFonts w:ascii="Times New Roman" w:hAnsi="Times New Roman" w:cs="Times New Roman"/>
        </w:rPr>
        <w:t xml:space="preserve"> </w:t>
      </w:r>
      <w:r w:rsidR="004B0AB9" w:rsidRPr="00E52FA8">
        <w:rPr>
          <w:rFonts w:ascii="Times New Roman" w:hAnsi="Times New Roman" w:cs="Times New Roman"/>
          <w:smallCaps/>
        </w:rPr>
        <w:t>Rich Thanks to Racism: How the Ultra-Wealthy Profit from Racial Injustice</w:t>
      </w:r>
      <w:r w:rsidR="004B0AB9" w:rsidRPr="00E52FA8">
        <w:rPr>
          <w:rFonts w:ascii="Times New Roman" w:hAnsi="Times New Roman" w:cs="Times New Roman"/>
        </w:rPr>
        <w:t xml:space="preserve"> 41 (2021).</w:t>
      </w:r>
    </w:p>
  </w:footnote>
  <w:footnote w:id="64">
    <w:p w14:paraId="5468B56F" w14:textId="0D806F3F"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bookmarkStart w:id="6" w:name="_Hlk157975865"/>
      <w:r w:rsidRPr="00E52FA8">
        <w:rPr>
          <w:rFonts w:ascii="Times New Roman" w:hAnsi="Times New Roman" w:cs="Times New Roman"/>
          <w:i/>
        </w:rPr>
        <w:t>Id</w:t>
      </w:r>
      <w:bookmarkEnd w:id="6"/>
      <w:r w:rsidRPr="00E52FA8">
        <w:rPr>
          <w:rFonts w:ascii="Times New Roman" w:hAnsi="Times New Roman" w:cs="Times New Roman"/>
        </w:rPr>
        <w:t>.</w:t>
      </w:r>
      <w:r w:rsidR="00E8361C" w:rsidRPr="00E52FA8">
        <w:rPr>
          <w:rFonts w:ascii="Times New Roman" w:hAnsi="Times New Roman" w:cs="Times New Roman"/>
        </w:rPr>
        <w:t xml:space="preserve"> 41-43.</w:t>
      </w:r>
    </w:p>
  </w:footnote>
  <w:footnote w:id="65">
    <w:p w14:paraId="113B2FE4" w14:textId="28CB5627" w:rsidR="00506EDB" w:rsidRPr="00E52FA8" w:rsidRDefault="00506EDB" w:rsidP="005A34D6">
      <w:pPr>
        <w:pStyle w:val="FootnoteText"/>
        <w:rPr>
          <w:rFonts w:ascii="Times New Roman" w:hAnsi="Times New Roman" w:cs="Times New Roman"/>
          <w:b/>
        </w:rPr>
      </w:pPr>
      <w:r w:rsidRPr="00E52FA8">
        <w:rPr>
          <w:rStyle w:val="FootnoteReference"/>
          <w:rFonts w:ascii="Times New Roman" w:hAnsi="Times New Roman"/>
        </w:rPr>
        <w:footnoteRef/>
      </w:r>
      <w:r w:rsidRPr="00E52FA8">
        <w:rPr>
          <w:rFonts w:ascii="Times New Roman" w:hAnsi="Times New Roman" w:cs="Times New Roman"/>
        </w:rPr>
        <w:t xml:space="preserve"> </w:t>
      </w:r>
      <w:r w:rsidR="00E8361C" w:rsidRPr="00E52FA8">
        <w:rPr>
          <w:rFonts w:ascii="Times New Roman" w:hAnsi="Times New Roman" w:cs="Times New Roman"/>
        </w:rPr>
        <w:t>Ravitch, Diane. Reign of Error: The Hoax of the Privatization Movement and the Danger to America's Public Schools . Knopf Doubleday Publishing Group. Kindle Edition, at Loc. 6425.</w:t>
      </w:r>
    </w:p>
  </w:footnote>
  <w:footnote w:id="66">
    <w:p w14:paraId="36FD7245" w14:textId="0690C9EB"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005B309F" w:rsidRPr="00BA141A">
        <w:rPr>
          <w:rFonts w:ascii="Times New Roman" w:hAnsi="Times New Roman" w:cs="Times New Roman"/>
          <w:i/>
        </w:rPr>
        <w:t xml:space="preserve"> Id</w:t>
      </w:r>
      <w:r w:rsidR="005B309F" w:rsidRPr="00E52FA8">
        <w:rPr>
          <w:rFonts w:ascii="Times New Roman" w:hAnsi="Times New Roman" w:cs="Times New Roman"/>
        </w:rPr>
        <w:t>. at Loc. 171.</w:t>
      </w:r>
    </w:p>
  </w:footnote>
  <w:footnote w:id="67">
    <w:p w14:paraId="56C25DA3" w14:textId="3FCFCB09"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00813FFA" w:rsidRPr="00E52FA8">
        <w:rPr>
          <w:rFonts w:ascii="Times New Roman" w:hAnsi="Times New Roman" w:cs="Times New Roman"/>
          <w:i/>
        </w:rPr>
        <w:t>See generally id.</w:t>
      </w:r>
      <w:r w:rsidRPr="00E52FA8">
        <w:rPr>
          <w:rFonts w:ascii="Times New Roman" w:hAnsi="Times New Roman" w:cs="Times New Roman"/>
        </w:rPr>
        <w:t xml:space="preserve"> </w:t>
      </w:r>
    </w:p>
  </w:footnote>
  <w:footnote w:id="68">
    <w:p w14:paraId="177B6438" w14:textId="02D87E92"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00813FFA" w:rsidRPr="00BA141A">
        <w:rPr>
          <w:rFonts w:ascii="Times New Roman" w:hAnsi="Times New Roman" w:cs="Times New Roman"/>
          <w:i/>
        </w:rPr>
        <w:t>Id</w:t>
      </w:r>
      <w:r w:rsidR="00813FFA" w:rsidRPr="00E52FA8">
        <w:rPr>
          <w:rFonts w:ascii="Times New Roman" w:hAnsi="Times New Roman" w:cs="Times New Roman"/>
        </w:rPr>
        <w:t xml:space="preserve">., at Loc. 5852;  See also </w:t>
      </w:r>
      <w:r w:rsidR="00813FFA" w:rsidRPr="00E52FA8">
        <w:rPr>
          <w:rFonts w:ascii="Times New Roman" w:hAnsi="Times New Roman" w:cs="Times New Roman"/>
          <w:smallCaps/>
        </w:rPr>
        <w:t xml:space="preserve">Ravitch, Diane Ravitch, Slaying Goliath: The Passionate Resistance to Privatization and the Fight to Save America’s Public Schools </w:t>
      </w:r>
      <w:r w:rsidR="00602CC1" w:rsidRPr="00E52FA8">
        <w:rPr>
          <w:rFonts w:ascii="Times New Roman" w:hAnsi="Times New Roman" w:cs="Times New Roman"/>
          <w:smallCaps/>
        </w:rPr>
        <w:t xml:space="preserve">2602 </w:t>
      </w:r>
      <w:r w:rsidR="00813FFA" w:rsidRPr="00E52FA8">
        <w:rPr>
          <w:rFonts w:ascii="Times New Roman" w:hAnsi="Times New Roman" w:cs="Times New Roman"/>
          <w:smallCaps/>
        </w:rPr>
        <w:t>(2020).</w:t>
      </w:r>
    </w:p>
  </w:footnote>
  <w:footnote w:id="69">
    <w:p w14:paraId="5E3D632E" w14:textId="7D53D58D" w:rsidR="00506EDB" w:rsidRPr="00E52FA8" w:rsidRDefault="00602CC1">
      <w:pPr>
        <w:pStyle w:val="FootnoteText"/>
        <w:rPr>
          <w:rFonts w:ascii="Times New Roman" w:hAnsi="Times New Roman" w:cs="Times New Roman"/>
        </w:rPr>
      </w:pPr>
      <w:r w:rsidRPr="00E52FA8">
        <w:rPr>
          <w:rFonts w:ascii="Times New Roman" w:hAnsi="Times New Roman" w:cs="Times New Roman"/>
        </w:rPr>
        <w:t xml:space="preserve"> </w:t>
      </w:r>
      <w:r w:rsidR="00506EDB" w:rsidRPr="00E52FA8">
        <w:rPr>
          <w:rStyle w:val="FootnoteReference"/>
          <w:rFonts w:ascii="Times New Roman" w:hAnsi="Times New Roman"/>
        </w:rPr>
        <w:footnoteRef/>
      </w:r>
      <w:r w:rsidR="00506EDB" w:rsidRPr="00E52FA8">
        <w:rPr>
          <w:rFonts w:ascii="Times New Roman" w:hAnsi="Times New Roman" w:cs="Times New Roman"/>
        </w:rPr>
        <w:t xml:space="preserve"> Ravitch, </w:t>
      </w:r>
      <w:r w:rsidRPr="00E52FA8">
        <w:rPr>
          <w:rFonts w:ascii="Times New Roman" w:hAnsi="Times New Roman" w:cs="Times New Roman"/>
        </w:rPr>
        <w:t xml:space="preserve">Slaying Goliath, supra note </w:t>
      </w:r>
      <w:r w:rsidR="00BA141A">
        <w:rPr>
          <w:rFonts w:ascii="Times New Roman" w:hAnsi="Times New Roman" w:cs="Times New Roman"/>
        </w:rPr>
        <w:t>70</w:t>
      </w:r>
      <w:r w:rsidRPr="00E52FA8">
        <w:rPr>
          <w:rFonts w:ascii="Times New Roman" w:hAnsi="Times New Roman" w:cs="Times New Roman"/>
        </w:rPr>
        <w:t xml:space="preserve"> at 11 (</w:t>
      </w:r>
      <w:r w:rsidR="00506EDB" w:rsidRPr="00E52FA8">
        <w:rPr>
          <w:rFonts w:ascii="Times New Roman" w:hAnsi="Times New Roman" w:cs="Times New Roman"/>
        </w:rPr>
        <w:t>listing a multitude of harms</w:t>
      </w:r>
      <w:r w:rsidRPr="00E52FA8">
        <w:rPr>
          <w:rFonts w:ascii="Times New Roman" w:hAnsi="Times New Roman" w:cs="Times New Roman"/>
        </w:rPr>
        <w:t>)</w:t>
      </w:r>
      <w:r w:rsidR="00506EDB" w:rsidRPr="00E52FA8">
        <w:rPr>
          <w:rFonts w:ascii="Times New Roman" w:hAnsi="Times New Roman" w:cs="Times New Roman"/>
        </w:rPr>
        <w:t>.</w:t>
      </w:r>
    </w:p>
  </w:footnote>
  <w:footnote w:id="70">
    <w:p w14:paraId="12720286" w14:textId="2296446A"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Freeman, </w:t>
      </w:r>
      <w:r w:rsidR="00BA141A" w:rsidRPr="00BA141A">
        <w:rPr>
          <w:rFonts w:ascii="Times New Roman" w:hAnsi="Times New Roman" w:cs="Times New Roman"/>
          <w:i/>
        </w:rPr>
        <w:t>supra</w:t>
      </w:r>
      <w:r w:rsidR="00BA141A">
        <w:rPr>
          <w:rFonts w:ascii="Times New Roman" w:hAnsi="Times New Roman" w:cs="Times New Roman"/>
        </w:rPr>
        <w:t xml:space="preserve"> note 6</w:t>
      </w:r>
      <w:r w:rsidR="00550295">
        <w:rPr>
          <w:rFonts w:ascii="Times New Roman" w:hAnsi="Times New Roman" w:cs="Times New Roman"/>
        </w:rPr>
        <w:t>3</w:t>
      </w:r>
      <w:r w:rsidR="00BA141A">
        <w:rPr>
          <w:rFonts w:ascii="Times New Roman" w:hAnsi="Times New Roman" w:cs="Times New Roman"/>
        </w:rPr>
        <w:t xml:space="preserve">, </w:t>
      </w:r>
      <w:r w:rsidRPr="00E52FA8">
        <w:rPr>
          <w:rFonts w:ascii="Times New Roman" w:hAnsi="Times New Roman" w:cs="Times New Roman"/>
        </w:rPr>
        <w:t>at  41</w:t>
      </w:r>
    </w:p>
  </w:footnote>
  <w:footnote w:id="71">
    <w:p w14:paraId="66E81A3C" w14:textId="09745C9B"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00602CC1" w:rsidRPr="00E52FA8">
        <w:rPr>
          <w:rFonts w:ascii="Times New Roman" w:hAnsi="Times New Roman" w:cs="Times New Roman"/>
        </w:rPr>
        <w:t xml:space="preserve">Ravitch, </w:t>
      </w:r>
      <w:r w:rsidR="00602CC1" w:rsidRPr="00E52FA8">
        <w:rPr>
          <w:rFonts w:ascii="Times New Roman" w:hAnsi="Times New Roman" w:cs="Times New Roman"/>
          <w:i/>
        </w:rPr>
        <w:t>supra</w:t>
      </w:r>
      <w:r w:rsidR="00602CC1" w:rsidRPr="00E52FA8">
        <w:rPr>
          <w:rFonts w:ascii="Times New Roman" w:hAnsi="Times New Roman" w:cs="Times New Roman"/>
        </w:rPr>
        <w:t xml:space="preserve"> note 6</w:t>
      </w:r>
      <w:r w:rsidR="00550295">
        <w:rPr>
          <w:rFonts w:ascii="Times New Roman" w:hAnsi="Times New Roman" w:cs="Times New Roman"/>
        </w:rPr>
        <w:t>5</w:t>
      </w:r>
      <w:r w:rsidR="00602CC1" w:rsidRPr="00E52FA8">
        <w:rPr>
          <w:rFonts w:ascii="Times New Roman" w:hAnsi="Times New Roman" w:cs="Times New Roman"/>
        </w:rPr>
        <w:t xml:space="preserve"> at Loc. 2602. </w:t>
      </w:r>
    </w:p>
  </w:footnote>
  <w:footnote w:id="72">
    <w:p w14:paraId="2CA29563" w14:textId="74F2AD14"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proofErr w:type="spellStart"/>
      <w:r w:rsidR="00C6538B" w:rsidRPr="00E52FA8">
        <w:rPr>
          <w:rFonts w:ascii="Times New Roman" w:hAnsi="Times New Roman" w:cs="Times New Roman"/>
          <w:lang w:val="en-GB"/>
        </w:rPr>
        <w:t>Lieberwitz</w:t>
      </w:r>
      <w:proofErr w:type="spellEnd"/>
      <w:r w:rsidRPr="00E52FA8">
        <w:rPr>
          <w:rFonts w:ascii="Times New Roman" w:hAnsi="Times New Roman" w:cs="Times New Roman"/>
          <w:lang w:val="en-GB"/>
        </w:rPr>
        <w:t xml:space="preserve">, </w:t>
      </w:r>
      <w:r w:rsidR="00C6538B" w:rsidRPr="00E52FA8">
        <w:rPr>
          <w:rFonts w:ascii="Times New Roman" w:hAnsi="Times New Roman" w:cs="Times New Roman"/>
          <w:i/>
          <w:lang w:val="en-GB"/>
        </w:rPr>
        <w:t>supra</w:t>
      </w:r>
      <w:r w:rsidR="00C6538B" w:rsidRPr="00E52FA8">
        <w:rPr>
          <w:rFonts w:ascii="Times New Roman" w:hAnsi="Times New Roman" w:cs="Times New Roman"/>
          <w:lang w:val="en-GB"/>
        </w:rPr>
        <w:t xml:space="preserve"> note </w:t>
      </w:r>
      <w:r w:rsidR="00550295">
        <w:rPr>
          <w:rFonts w:ascii="Times New Roman" w:hAnsi="Times New Roman" w:cs="Times New Roman"/>
          <w:lang w:val="en-GB"/>
        </w:rPr>
        <w:t>48</w:t>
      </w:r>
      <w:r w:rsidR="00C6538B" w:rsidRPr="00E52FA8">
        <w:rPr>
          <w:rFonts w:ascii="Times New Roman" w:hAnsi="Times New Roman" w:cs="Times New Roman"/>
          <w:lang w:val="en-GB"/>
        </w:rPr>
        <w:t xml:space="preserve"> at</w:t>
      </w:r>
      <w:r w:rsidRPr="00E52FA8">
        <w:rPr>
          <w:rFonts w:ascii="Times New Roman" w:hAnsi="Times New Roman" w:cs="Times New Roman"/>
          <w:lang w:val="en-GB"/>
        </w:rPr>
        <w:t xml:space="preserve"> 318-333</w:t>
      </w:r>
      <w:r w:rsidR="00E02C94" w:rsidRPr="00E52FA8">
        <w:rPr>
          <w:rFonts w:ascii="Times New Roman" w:hAnsi="Times New Roman" w:cs="Times New Roman"/>
          <w:lang w:val="en-GB"/>
        </w:rPr>
        <w:t>.</w:t>
      </w:r>
    </w:p>
  </w:footnote>
  <w:footnote w:id="73">
    <w:p w14:paraId="3A13ECFA" w14:textId="764F61F0" w:rsidR="00506EDB" w:rsidRPr="00E52FA8" w:rsidRDefault="00506EDB">
      <w:pPr>
        <w:pStyle w:val="FootnoteText"/>
        <w:rPr>
          <w:rFonts w:ascii="Times New Roman" w:hAnsi="Times New Roman" w:cs="Times New Roman"/>
          <w:i/>
        </w:rPr>
      </w:pPr>
      <w:r w:rsidRPr="00E52FA8">
        <w:rPr>
          <w:rStyle w:val="FootnoteReference"/>
          <w:rFonts w:ascii="Times New Roman" w:hAnsi="Times New Roman"/>
        </w:rPr>
        <w:footnoteRef/>
      </w:r>
      <w:r w:rsidRPr="00E52FA8">
        <w:rPr>
          <w:rFonts w:ascii="Times New Roman" w:hAnsi="Times New Roman" w:cs="Times New Roman"/>
        </w:rPr>
        <w:t xml:space="preserve"> </w:t>
      </w:r>
      <w:bookmarkStart w:id="8" w:name="_Hlk157979695"/>
      <w:r w:rsidR="00602CC1" w:rsidRPr="00E52FA8">
        <w:rPr>
          <w:rFonts w:ascii="Times New Roman" w:hAnsi="Times New Roman" w:cs="Times New Roman"/>
          <w:i/>
        </w:rPr>
        <w:t>Id.</w:t>
      </w:r>
      <w:bookmarkEnd w:id="8"/>
    </w:p>
  </w:footnote>
  <w:footnote w:id="74">
    <w:p w14:paraId="6D954426" w14:textId="00790349"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00602CC1" w:rsidRPr="00E52FA8">
        <w:rPr>
          <w:rFonts w:ascii="Times New Roman" w:hAnsi="Times New Roman" w:cs="Times New Roman"/>
          <w:i/>
          <w:lang w:val="en-GB"/>
        </w:rPr>
        <w:t>Id.</w:t>
      </w:r>
      <w:r w:rsidRPr="00E52FA8">
        <w:rPr>
          <w:rFonts w:ascii="Times New Roman" w:hAnsi="Times New Roman" w:cs="Times New Roman"/>
        </w:rPr>
        <w:t xml:space="preserve"> at 325</w:t>
      </w:r>
      <w:r w:rsidR="00E02C94" w:rsidRPr="00E52FA8">
        <w:rPr>
          <w:rFonts w:ascii="Times New Roman" w:hAnsi="Times New Roman" w:cs="Times New Roman"/>
        </w:rPr>
        <w:t>.</w:t>
      </w:r>
    </w:p>
  </w:footnote>
  <w:footnote w:id="75">
    <w:p w14:paraId="3A6AF1D5" w14:textId="698C373A" w:rsidR="00506EDB" w:rsidRPr="00E52FA8" w:rsidRDefault="00506EDB">
      <w:pPr>
        <w:pStyle w:val="FootnoteText"/>
        <w:rPr>
          <w:rFonts w:ascii="Times New Roman" w:hAnsi="Times New Roman" w:cs="Times New Roman"/>
          <w:i/>
        </w:rPr>
      </w:pPr>
      <w:r w:rsidRPr="00E52FA8">
        <w:rPr>
          <w:rStyle w:val="FootnoteReference"/>
          <w:rFonts w:ascii="Times New Roman" w:hAnsi="Times New Roman"/>
        </w:rPr>
        <w:footnoteRef/>
      </w:r>
      <w:r w:rsidRPr="00E52FA8">
        <w:rPr>
          <w:rFonts w:ascii="Times New Roman" w:hAnsi="Times New Roman" w:cs="Times New Roman"/>
        </w:rPr>
        <w:t xml:space="preserve"> </w:t>
      </w:r>
      <w:r w:rsidRPr="00E52FA8">
        <w:rPr>
          <w:rFonts w:ascii="Times New Roman" w:hAnsi="Times New Roman" w:cs="Times New Roman"/>
          <w:i/>
        </w:rPr>
        <w:t>Id.</w:t>
      </w:r>
    </w:p>
  </w:footnote>
  <w:footnote w:id="76">
    <w:p w14:paraId="2B09B4E1" w14:textId="3D7FA844" w:rsidR="00506EDB" w:rsidRPr="00E52FA8" w:rsidRDefault="00506EDB">
      <w:pPr>
        <w:pStyle w:val="FootnoteText"/>
        <w:rPr>
          <w:rFonts w:ascii="Times New Roman" w:hAnsi="Times New Roman" w:cs="Times New Roman"/>
          <w:i/>
        </w:rPr>
      </w:pPr>
      <w:r w:rsidRPr="00E52FA8">
        <w:rPr>
          <w:rStyle w:val="FootnoteReference"/>
          <w:rFonts w:ascii="Times New Roman" w:hAnsi="Times New Roman"/>
          <w:i/>
        </w:rPr>
        <w:footnoteRef/>
      </w:r>
      <w:r w:rsidRPr="00E52FA8">
        <w:rPr>
          <w:rFonts w:ascii="Times New Roman" w:hAnsi="Times New Roman" w:cs="Times New Roman"/>
          <w:i/>
        </w:rPr>
        <w:t xml:space="preserve"> Id.</w:t>
      </w:r>
      <w:r w:rsidR="00E02C94" w:rsidRPr="00E52FA8">
        <w:rPr>
          <w:rFonts w:ascii="Times New Roman" w:hAnsi="Times New Roman" w:cs="Times New Roman"/>
          <w:i/>
        </w:rPr>
        <w:t>, at 326.</w:t>
      </w:r>
    </w:p>
  </w:footnote>
  <w:footnote w:id="77">
    <w:p w14:paraId="2C8F808A" w14:textId="6566FAA4" w:rsidR="00506EDB" w:rsidRPr="00E52FA8" w:rsidRDefault="00506EDB">
      <w:pPr>
        <w:pStyle w:val="FootnoteText"/>
        <w:rPr>
          <w:rFonts w:ascii="Times New Roman" w:hAnsi="Times New Roman" w:cs="Times New Roman"/>
          <w:i/>
        </w:rPr>
      </w:pPr>
      <w:r w:rsidRPr="00E52FA8">
        <w:rPr>
          <w:rStyle w:val="FootnoteReference"/>
          <w:rFonts w:ascii="Times New Roman" w:hAnsi="Times New Roman"/>
          <w:i/>
        </w:rPr>
        <w:footnoteRef/>
      </w:r>
      <w:r w:rsidRPr="00E52FA8">
        <w:rPr>
          <w:rFonts w:ascii="Times New Roman" w:hAnsi="Times New Roman" w:cs="Times New Roman"/>
          <w:i/>
        </w:rPr>
        <w:t xml:space="preserve"> Id.</w:t>
      </w:r>
      <w:r w:rsidR="00E02C94" w:rsidRPr="00E52FA8">
        <w:rPr>
          <w:rFonts w:ascii="Times New Roman" w:hAnsi="Times New Roman" w:cs="Times New Roman"/>
          <w:i/>
        </w:rPr>
        <w:t>, at 325.</w:t>
      </w:r>
    </w:p>
  </w:footnote>
  <w:footnote w:id="78">
    <w:p w14:paraId="55FE8C6B" w14:textId="16825848"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00602CC1" w:rsidRPr="00E52FA8">
        <w:rPr>
          <w:rFonts w:ascii="Times New Roman" w:hAnsi="Times New Roman" w:cs="Times New Roman"/>
        </w:rPr>
        <w:t xml:space="preserve"> </w:t>
      </w:r>
      <w:r w:rsidR="00E02C94" w:rsidRPr="00E52FA8">
        <w:rPr>
          <w:rFonts w:ascii="Times New Roman" w:hAnsi="Times New Roman" w:cs="Times New Roman"/>
        </w:rPr>
        <w:t>Id., at 327.</w:t>
      </w:r>
    </w:p>
  </w:footnote>
  <w:footnote w:id="79">
    <w:p w14:paraId="44986BC5" w14:textId="703B88E7"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00E02C94" w:rsidRPr="00E52FA8">
        <w:rPr>
          <w:rFonts w:ascii="Times New Roman" w:hAnsi="Times New Roman" w:cs="Times New Roman"/>
          <w:i/>
        </w:rPr>
        <w:t>Id.</w:t>
      </w:r>
    </w:p>
  </w:footnote>
  <w:footnote w:id="80">
    <w:p w14:paraId="4DD67D04" w14:textId="101770DA" w:rsidR="00506EDB" w:rsidRPr="00E52FA8" w:rsidRDefault="00506EDB">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https://www.aaup.org/article/george-mason-university%E2%80%99s-donor-problem-and-fight-transparency </w:t>
      </w:r>
    </w:p>
  </w:footnote>
  <w:footnote w:id="81">
    <w:p w14:paraId="13938C11" w14:textId="3DF3972C" w:rsidR="00E02C94" w:rsidRPr="00E52FA8" w:rsidRDefault="00E02C94">
      <w:pPr>
        <w:pStyle w:val="FootnoteText"/>
        <w:rPr>
          <w:rFonts w:ascii="Times New Roman" w:hAnsi="Times New Roman" w:cs="Times New Roman"/>
        </w:rPr>
      </w:pPr>
      <w:r w:rsidRPr="00E52FA8">
        <w:rPr>
          <w:rStyle w:val="FootnoteReference"/>
          <w:rFonts w:ascii="Times New Roman" w:hAnsi="Times New Roman"/>
        </w:rPr>
        <w:footnoteRef/>
      </w:r>
      <w:r w:rsidRPr="00E52FA8">
        <w:rPr>
          <w:rFonts w:ascii="Times New Roman" w:hAnsi="Times New Roman" w:cs="Times New Roman"/>
        </w:rPr>
        <w:t xml:space="preserve"> </w:t>
      </w:r>
      <w:r w:rsidR="00E52FA8" w:rsidRPr="00E52FA8">
        <w:rPr>
          <w:rFonts w:ascii="Times New Roman" w:hAnsi="Times New Roman" w:cs="Times New Roman"/>
        </w:rPr>
        <w:t xml:space="preserve">Alvin Tillery, Putting the Racist Crusade against Harvard’s Dr. Claudine Gay in Context, </w:t>
      </w:r>
      <w:r w:rsidR="00E52FA8" w:rsidRPr="00E52FA8">
        <w:rPr>
          <w:rFonts w:ascii="Times New Roman" w:hAnsi="Times New Roman" w:cs="Times New Roman"/>
          <w:smallCaps/>
        </w:rPr>
        <w:t xml:space="preserve">Medium, January 5, 2024, </w:t>
      </w:r>
      <w:hyperlink r:id="rId23" w:history="1">
        <w:r w:rsidR="00E52FA8" w:rsidRPr="00E52FA8">
          <w:rPr>
            <w:rStyle w:val="Hyperlink"/>
            <w:rFonts w:ascii="Times New Roman" w:hAnsi="Times New Roman" w:cs="Times New Roman"/>
            <w:smallCaps/>
          </w:rPr>
          <w:t>https://medium.com/@atillery2/putting-the-racist-crusade-against-harvards-dr-claudine-gay-in-context-26535c307f96</w:t>
        </w:r>
      </w:hyperlink>
      <w:r w:rsidR="00E52FA8" w:rsidRPr="00E52FA8">
        <w:rPr>
          <w:rFonts w:ascii="Times New Roman" w:hAnsi="Times New Roman" w:cs="Times New Roman"/>
          <w:smallCaps/>
        </w:rPr>
        <w:t xml:space="preserve">, </w:t>
      </w:r>
      <w:hyperlink r:id="rId24" w:history="1">
        <w:r w:rsidR="00E52FA8" w:rsidRPr="00E52FA8">
          <w:rPr>
            <w:rStyle w:val="Hyperlink"/>
            <w:rFonts w:ascii="Times New Roman" w:hAnsi="Times New Roman" w:cs="Times New Roman"/>
            <w:smallCaps/>
          </w:rPr>
          <w:t>https://acrobat.adobe.com/id/urn:aaid:sc:US:6f42f4a5-6f67-47d4-af57-0ecfc56bc091</w:t>
        </w:r>
      </w:hyperlink>
      <w:r w:rsidR="00E52FA8" w:rsidRPr="00E52FA8">
        <w:rPr>
          <w:rFonts w:ascii="Times New Roman" w:hAnsi="Times New Roman" w:cs="Times New Roman"/>
          <w:smallCaps/>
        </w:rPr>
        <w:t xml:space="preserve">. </w:t>
      </w:r>
    </w:p>
  </w:footnote>
  <w:footnote w:id="82">
    <w:p w14:paraId="723BFEEB" w14:textId="1A880597" w:rsidR="00506EDB" w:rsidRDefault="00506EDB">
      <w:pPr>
        <w:pStyle w:val="FootnoteText"/>
      </w:pPr>
      <w:r w:rsidRPr="00E52FA8">
        <w:rPr>
          <w:rStyle w:val="FootnoteReference"/>
          <w:rFonts w:ascii="Times New Roman" w:hAnsi="Times New Roman"/>
        </w:rPr>
        <w:footnoteRef/>
      </w:r>
      <w:r w:rsidRPr="00E52FA8">
        <w:rPr>
          <w:rFonts w:ascii="Times New Roman" w:hAnsi="Times New Roman" w:cs="Times New Roman"/>
        </w:rPr>
        <w:t xml:space="preserve"> </w:t>
      </w:r>
      <w:hyperlink r:id="rId25" w:history="1">
        <w:r w:rsidRPr="00E52FA8">
          <w:rPr>
            <w:rStyle w:val="Hyperlink"/>
            <w:rFonts w:ascii="Times New Roman" w:hAnsi="Times New Roman" w:cs="Times New Roman"/>
          </w:rPr>
          <w:t>University of Pennsylvania president resigns after furor over free speech and antisemitism | US universities | The Guardian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6FBBE" w14:textId="5C9DAF67" w:rsidR="00506EDB" w:rsidRPr="00AD4CA9" w:rsidRDefault="00506ED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D5339"/>
    <w:multiLevelType w:val="hybridMultilevel"/>
    <w:tmpl w:val="4EDA6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236D"/>
    <w:multiLevelType w:val="hybridMultilevel"/>
    <w:tmpl w:val="FFA629F8"/>
    <w:lvl w:ilvl="0" w:tplc="6068F0B6">
      <w:start w:val="1"/>
      <w:numFmt w:val="decimal"/>
      <w:lvlText w:val="(%1)"/>
      <w:lvlJc w:val="left"/>
      <w:pPr>
        <w:ind w:left="790" w:hanging="43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71C25"/>
    <w:multiLevelType w:val="hybridMultilevel"/>
    <w:tmpl w:val="70F0213E"/>
    <w:lvl w:ilvl="0" w:tplc="B76C4C84">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7E4F83"/>
    <w:multiLevelType w:val="hybridMultilevel"/>
    <w:tmpl w:val="1BA2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3364F"/>
    <w:multiLevelType w:val="hybridMultilevel"/>
    <w:tmpl w:val="5124378A"/>
    <w:lvl w:ilvl="0" w:tplc="B76C4C8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2461CA5"/>
    <w:multiLevelType w:val="hybridMultilevel"/>
    <w:tmpl w:val="48B6E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5B3678AF"/>
    <w:multiLevelType w:val="hybridMultilevel"/>
    <w:tmpl w:val="25FE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6EA15FE4"/>
    <w:multiLevelType w:val="hybridMultilevel"/>
    <w:tmpl w:val="A442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CA57E9"/>
    <w:multiLevelType w:val="hybridMultilevel"/>
    <w:tmpl w:val="AD6E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158F0"/>
    <w:multiLevelType w:val="hybridMultilevel"/>
    <w:tmpl w:val="703A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41" w15:restartNumberingAfterBreak="0">
    <w:nsid w:val="7ACE71BA"/>
    <w:multiLevelType w:val="multilevel"/>
    <w:tmpl w:val="68588F40"/>
    <w:lvl w:ilvl="0">
      <w:start w:val="1"/>
      <w:numFmt w:val="bullet"/>
      <w:lvlText w:val=""/>
      <w:lvlJc w:val="left"/>
      <w:pPr>
        <w:tabs>
          <w:tab w:val="num" w:pos="780"/>
        </w:tabs>
        <w:ind w:left="780" w:hanging="360"/>
      </w:pPr>
      <w:rPr>
        <w:rFonts w:ascii="Symbol" w:hAnsi="Symbol" w:hint="default"/>
        <w:sz w:val="20"/>
      </w:rPr>
    </w:lvl>
    <w:lvl w:ilvl="1">
      <w:start w:val="1"/>
      <w:numFmt w:val="bullet"/>
      <w:lvlText w:val=""/>
      <w:lvlJc w:val="left"/>
      <w:pPr>
        <w:tabs>
          <w:tab w:val="num" w:pos="1500"/>
        </w:tabs>
        <w:ind w:left="1500" w:hanging="360"/>
      </w:pPr>
      <w:rPr>
        <w:rFonts w:ascii="Symbol" w:hAnsi="Symbol" w:hint="default"/>
        <w:sz w:val="20"/>
      </w:rPr>
    </w:lvl>
    <w:lvl w:ilvl="2">
      <w:start w:val="1"/>
      <w:numFmt w:val="bullet"/>
      <w:lvlText w:val=""/>
      <w:lvlJc w:val="left"/>
      <w:pPr>
        <w:tabs>
          <w:tab w:val="num" w:pos="2220"/>
        </w:tabs>
        <w:ind w:left="2220" w:hanging="360"/>
      </w:pPr>
      <w:rPr>
        <w:rFonts w:ascii="Symbol" w:hAnsi="Symbol" w:hint="default"/>
        <w:sz w:val="20"/>
      </w:rPr>
    </w:lvl>
    <w:lvl w:ilvl="3">
      <w:start w:val="1"/>
      <w:numFmt w:val="bullet"/>
      <w:lvlText w:val=""/>
      <w:lvlJc w:val="left"/>
      <w:pPr>
        <w:tabs>
          <w:tab w:val="num" w:pos="2940"/>
        </w:tabs>
        <w:ind w:left="2940" w:hanging="360"/>
      </w:pPr>
      <w:rPr>
        <w:rFonts w:ascii="Symbol" w:hAnsi="Symbol" w:hint="default"/>
        <w:sz w:val="20"/>
      </w:rPr>
    </w:lvl>
    <w:lvl w:ilvl="4">
      <w:start w:val="1"/>
      <w:numFmt w:val="bullet"/>
      <w:lvlText w:val=""/>
      <w:lvlJc w:val="left"/>
      <w:pPr>
        <w:tabs>
          <w:tab w:val="num" w:pos="3660"/>
        </w:tabs>
        <w:ind w:left="3660" w:hanging="360"/>
      </w:pPr>
      <w:rPr>
        <w:rFonts w:ascii="Symbol" w:hAnsi="Symbol" w:hint="default"/>
        <w:sz w:val="20"/>
      </w:rPr>
    </w:lvl>
    <w:lvl w:ilvl="5">
      <w:start w:val="1"/>
      <w:numFmt w:val="bullet"/>
      <w:lvlText w:val=""/>
      <w:lvlJc w:val="left"/>
      <w:pPr>
        <w:tabs>
          <w:tab w:val="num" w:pos="4380"/>
        </w:tabs>
        <w:ind w:left="4380" w:hanging="360"/>
      </w:pPr>
      <w:rPr>
        <w:rFonts w:ascii="Symbol" w:hAnsi="Symbol" w:hint="default"/>
        <w:sz w:val="20"/>
      </w:rPr>
    </w:lvl>
    <w:lvl w:ilvl="6">
      <w:start w:val="1"/>
      <w:numFmt w:val="bullet"/>
      <w:lvlText w:val=""/>
      <w:lvlJc w:val="left"/>
      <w:pPr>
        <w:tabs>
          <w:tab w:val="num" w:pos="5100"/>
        </w:tabs>
        <w:ind w:left="5100" w:hanging="360"/>
      </w:pPr>
      <w:rPr>
        <w:rFonts w:ascii="Symbol" w:hAnsi="Symbol" w:hint="default"/>
        <w:sz w:val="20"/>
      </w:rPr>
    </w:lvl>
    <w:lvl w:ilvl="7">
      <w:start w:val="1"/>
      <w:numFmt w:val="bullet"/>
      <w:lvlText w:val=""/>
      <w:lvlJc w:val="left"/>
      <w:pPr>
        <w:tabs>
          <w:tab w:val="num" w:pos="5820"/>
        </w:tabs>
        <w:ind w:left="5820" w:hanging="360"/>
      </w:pPr>
      <w:rPr>
        <w:rFonts w:ascii="Symbol" w:hAnsi="Symbol" w:hint="default"/>
        <w:sz w:val="20"/>
      </w:rPr>
    </w:lvl>
    <w:lvl w:ilvl="8">
      <w:start w:val="1"/>
      <w:numFmt w:val="bullet"/>
      <w:lvlText w:val=""/>
      <w:lvlJc w:val="left"/>
      <w:pPr>
        <w:tabs>
          <w:tab w:val="num" w:pos="6540"/>
        </w:tabs>
        <w:ind w:left="6540" w:hanging="360"/>
      </w:pPr>
      <w:rPr>
        <w:rFonts w:ascii="Symbol" w:hAnsi="Symbol" w:hint="default"/>
        <w:sz w:val="20"/>
      </w:rPr>
    </w:lvl>
  </w:abstractNum>
  <w:abstractNum w:abstractNumId="4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826A3"/>
    <w:multiLevelType w:val="hybridMultilevel"/>
    <w:tmpl w:val="FF2A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abstractNumId w:val="27"/>
  </w:num>
  <w:num w:numId="2">
    <w:abstractNumId w:val="42"/>
  </w:num>
  <w:num w:numId="3">
    <w:abstractNumId w:val="29"/>
  </w:num>
  <w:num w:numId="4">
    <w:abstractNumId w:val="13"/>
  </w:num>
  <w:num w:numId="5">
    <w:abstractNumId w:val="30"/>
  </w:num>
  <w:num w:numId="6">
    <w:abstractNumId w:val="18"/>
  </w:num>
  <w:num w:numId="7">
    <w:abstractNumId w:val="2"/>
  </w:num>
  <w:num w:numId="8">
    <w:abstractNumId w:val="20"/>
  </w:num>
  <w:num w:numId="9">
    <w:abstractNumId w:val="6"/>
  </w:num>
  <w:num w:numId="10">
    <w:abstractNumId w:val="1"/>
  </w:num>
  <w:num w:numId="11">
    <w:abstractNumId w:val="15"/>
  </w:num>
  <w:num w:numId="12">
    <w:abstractNumId w:val="34"/>
  </w:num>
  <w:num w:numId="13">
    <w:abstractNumId w:val="39"/>
  </w:num>
  <w:num w:numId="14">
    <w:abstractNumId w:val="26"/>
  </w:num>
  <w:num w:numId="15">
    <w:abstractNumId w:val="10"/>
  </w:num>
  <w:num w:numId="16">
    <w:abstractNumId w:val="0"/>
  </w:num>
  <w:num w:numId="17">
    <w:abstractNumId w:val="33"/>
  </w:num>
  <w:num w:numId="18">
    <w:abstractNumId w:val="11"/>
  </w:num>
  <w:num w:numId="19">
    <w:abstractNumId w:val="24"/>
  </w:num>
  <w:num w:numId="20">
    <w:abstractNumId w:val="7"/>
  </w:num>
  <w:num w:numId="21">
    <w:abstractNumId w:val="31"/>
  </w:num>
  <w:num w:numId="22">
    <w:abstractNumId w:val="28"/>
  </w:num>
  <w:num w:numId="23">
    <w:abstractNumId w:val="21"/>
  </w:num>
  <w:num w:numId="24">
    <w:abstractNumId w:val="9"/>
  </w:num>
  <w:num w:numId="25">
    <w:abstractNumId w:val="19"/>
  </w:num>
  <w:num w:numId="26">
    <w:abstractNumId w:val="14"/>
  </w:num>
  <w:num w:numId="27">
    <w:abstractNumId w:val="12"/>
  </w:num>
  <w:num w:numId="28">
    <w:abstractNumId w:val="22"/>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5"/>
  </w:num>
  <w:num w:numId="36">
    <w:abstractNumId w:val="3"/>
  </w:num>
  <w:num w:numId="37">
    <w:abstractNumId w:val="41"/>
  </w:num>
  <w:num w:numId="38">
    <w:abstractNumId w:val="25"/>
  </w:num>
  <w:num w:numId="39">
    <w:abstractNumId w:val="16"/>
  </w:num>
  <w:num w:numId="40">
    <w:abstractNumId w:val="36"/>
  </w:num>
  <w:num w:numId="41">
    <w:abstractNumId w:val="38"/>
  </w:num>
  <w:num w:numId="42">
    <w:abstractNumId w:val="43"/>
  </w:num>
  <w:num w:numId="43">
    <w:abstractNumId w:val="4"/>
  </w:num>
  <w:num w:numId="44">
    <w:abstractNumId w:val="3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013FC"/>
    <w:rsid w:val="00007D44"/>
    <w:rsid w:val="000138F6"/>
    <w:rsid w:val="00014D92"/>
    <w:rsid w:val="0001635E"/>
    <w:rsid w:val="0002041D"/>
    <w:rsid w:val="000225FC"/>
    <w:rsid w:val="00026D1F"/>
    <w:rsid w:val="00034133"/>
    <w:rsid w:val="0003674D"/>
    <w:rsid w:val="0004207B"/>
    <w:rsid w:val="0005192B"/>
    <w:rsid w:val="00052953"/>
    <w:rsid w:val="0005390B"/>
    <w:rsid w:val="00056A66"/>
    <w:rsid w:val="00063BFD"/>
    <w:rsid w:val="00066434"/>
    <w:rsid w:val="00075C70"/>
    <w:rsid w:val="00077294"/>
    <w:rsid w:val="00080796"/>
    <w:rsid w:val="00080AA9"/>
    <w:rsid w:val="000821A8"/>
    <w:rsid w:val="00086101"/>
    <w:rsid w:val="000875C6"/>
    <w:rsid w:val="00091AC2"/>
    <w:rsid w:val="00091BF0"/>
    <w:rsid w:val="00097413"/>
    <w:rsid w:val="000A25F8"/>
    <w:rsid w:val="000A2B89"/>
    <w:rsid w:val="000A6F03"/>
    <w:rsid w:val="000B2EEE"/>
    <w:rsid w:val="000B56AC"/>
    <w:rsid w:val="000C38A3"/>
    <w:rsid w:val="000C7660"/>
    <w:rsid w:val="000D210E"/>
    <w:rsid w:val="000D34F2"/>
    <w:rsid w:val="000D3904"/>
    <w:rsid w:val="000D5600"/>
    <w:rsid w:val="000E2860"/>
    <w:rsid w:val="000E3D65"/>
    <w:rsid w:val="000E42EE"/>
    <w:rsid w:val="000E7AF7"/>
    <w:rsid w:val="000F183C"/>
    <w:rsid w:val="000F2385"/>
    <w:rsid w:val="0010253E"/>
    <w:rsid w:val="00103AE3"/>
    <w:rsid w:val="00106F64"/>
    <w:rsid w:val="00111191"/>
    <w:rsid w:val="0011331A"/>
    <w:rsid w:val="00115798"/>
    <w:rsid w:val="00117F5F"/>
    <w:rsid w:val="001205D6"/>
    <w:rsid w:val="00121907"/>
    <w:rsid w:val="0012265D"/>
    <w:rsid w:val="001252C8"/>
    <w:rsid w:val="00125D9E"/>
    <w:rsid w:val="001279AB"/>
    <w:rsid w:val="00131E69"/>
    <w:rsid w:val="0013487C"/>
    <w:rsid w:val="001456CB"/>
    <w:rsid w:val="001537CC"/>
    <w:rsid w:val="00153DB2"/>
    <w:rsid w:val="00154F66"/>
    <w:rsid w:val="0015615C"/>
    <w:rsid w:val="001676BA"/>
    <w:rsid w:val="00172B16"/>
    <w:rsid w:val="0017491B"/>
    <w:rsid w:val="001755D2"/>
    <w:rsid w:val="001812FA"/>
    <w:rsid w:val="00183B60"/>
    <w:rsid w:val="00186C4F"/>
    <w:rsid w:val="00193467"/>
    <w:rsid w:val="00194332"/>
    <w:rsid w:val="001952BF"/>
    <w:rsid w:val="00196A2E"/>
    <w:rsid w:val="001A1EBF"/>
    <w:rsid w:val="001A2C13"/>
    <w:rsid w:val="001A3463"/>
    <w:rsid w:val="001A46C3"/>
    <w:rsid w:val="001A6C14"/>
    <w:rsid w:val="001B0523"/>
    <w:rsid w:val="001B3614"/>
    <w:rsid w:val="001B7B09"/>
    <w:rsid w:val="001C329C"/>
    <w:rsid w:val="001C3648"/>
    <w:rsid w:val="001C4360"/>
    <w:rsid w:val="001D3313"/>
    <w:rsid w:val="001E2C51"/>
    <w:rsid w:val="001E3384"/>
    <w:rsid w:val="001E432B"/>
    <w:rsid w:val="001F18B6"/>
    <w:rsid w:val="001F389B"/>
    <w:rsid w:val="001F6E5F"/>
    <w:rsid w:val="0020144A"/>
    <w:rsid w:val="002028A9"/>
    <w:rsid w:val="0021296A"/>
    <w:rsid w:val="002129D5"/>
    <w:rsid w:val="00220231"/>
    <w:rsid w:val="00221893"/>
    <w:rsid w:val="00224386"/>
    <w:rsid w:val="00227E2F"/>
    <w:rsid w:val="00230775"/>
    <w:rsid w:val="00230883"/>
    <w:rsid w:val="00235A1A"/>
    <w:rsid w:val="00235FC0"/>
    <w:rsid w:val="00241E57"/>
    <w:rsid w:val="002431DB"/>
    <w:rsid w:val="00244860"/>
    <w:rsid w:val="0024583B"/>
    <w:rsid w:val="002470BE"/>
    <w:rsid w:val="0025174E"/>
    <w:rsid w:val="00254DB5"/>
    <w:rsid w:val="002565D4"/>
    <w:rsid w:val="00257195"/>
    <w:rsid w:val="00263039"/>
    <w:rsid w:val="00266D70"/>
    <w:rsid w:val="00272201"/>
    <w:rsid w:val="002774C5"/>
    <w:rsid w:val="00282E14"/>
    <w:rsid w:val="0028624E"/>
    <w:rsid w:val="002863A2"/>
    <w:rsid w:val="002873B2"/>
    <w:rsid w:val="00293243"/>
    <w:rsid w:val="002969BF"/>
    <w:rsid w:val="002975C1"/>
    <w:rsid w:val="002A055A"/>
    <w:rsid w:val="002A2F06"/>
    <w:rsid w:val="002A5AA8"/>
    <w:rsid w:val="002B3D33"/>
    <w:rsid w:val="002B4B8A"/>
    <w:rsid w:val="002C14E0"/>
    <w:rsid w:val="002C20F0"/>
    <w:rsid w:val="002C26D4"/>
    <w:rsid w:val="002C2A0B"/>
    <w:rsid w:val="002C4310"/>
    <w:rsid w:val="002D21F2"/>
    <w:rsid w:val="002D2906"/>
    <w:rsid w:val="002D29A4"/>
    <w:rsid w:val="002E088D"/>
    <w:rsid w:val="002E233C"/>
    <w:rsid w:val="002E2F61"/>
    <w:rsid w:val="002E65F4"/>
    <w:rsid w:val="002E7CCD"/>
    <w:rsid w:val="002F68F0"/>
    <w:rsid w:val="00305B08"/>
    <w:rsid w:val="0031438B"/>
    <w:rsid w:val="00316C63"/>
    <w:rsid w:val="00317F0A"/>
    <w:rsid w:val="003229FA"/>
    <w:rsid w:val="00333987"/>
    <w:rsid w:val="00335FB9"/>
    <w:rsid w:val="003376D0"/>
    <w:rsid w:val="0035072E"/>
    <w:rsid w:val="00351E6A"/>
    <w:rsid w:val="00356299"/>
    <w:rsid w:val="003577DB"/>
    <w:rsid w:val="00360493"/>
    <w:rsid w:val="00364EEC"/>
    <w:rsid w:val="00365402"/>
    <w:rsid w:val="00366B46"/>
    <w:rsid w:val="00371D9F"/>
    <w:rsid w:val="0037361B"/>
    <w:rsid w:val="00380489"/>
    <w:rsid w:val="00384E88"/>
    <w:rsid w:val="00386C90"/>
    <w:rsid w:val="003956EF"/>
    <w:rsid w:val="00396E4C"/>
    <w:rsid w:val="003A3957"/>
    <w:rsid w:val="003A5229"/>
    <w:rsid w:val="003B488C"/>
    <w:rsid w:val="003C37C3"/>
    <w:rsid w:val="003D0C10"/>
    <w:rsid w:val="003D28F2"/>
    <w:rsid w:val="003D3D66"/>
    <w:rsid w:val="003E552B"/>
    <w:rsid w:val="003F6CF7"/>
    <w:rsid w:val="00400FFE"/>
    <w:rsid w:val="00401FD2"/>
    <w:rsid w:val="00402833"/>
    <w:rsid w:val="00410560"/>
    <w:rsid w:val="00411C0A"/>
    <w:rsid w:val="004153DE"/>
    <w:rsid w:val="00415EFC"/>
    <w:rsid w:val="00427D8D"/>
    <w:rsid w:val="0043060F"/>
    <w:rsid w:val="00440385"/>
    <w:rsid w:val="00440E30"/>
    <w:rsid w:val="00440ED0"/>
    <w:rsid w:val="004429B4"/>
    <w:rsid w:val="00443DF5"/>
    <w:rsid w:val="004454D0"/>
    <w:rsid w:val="00446309"/>
    <w:rsid w:val="00447412"/>
    <w:rsid w:val="00455C6D"/>
    <w:rsid w:val="00456419"/>
    <w:rsid w:val="00460258"/>
    <w:rsid w:val="004614D4"/>
    <w:rsid w:val="00466255"/>
    <w:rsid w:val="00482520"/>
    <w:rsid w:val="00483BE4"/>
    <w:rsid w:val="00483FC0"/>
    <w:rsid w:val="00485B7C"/>
    <w:rsid w:val="004935CC"/>
    <w:rsid w:val="00495C01"/>
    <w:rsid w:val="00496C91"/>
    <w:rsid w:val="00497922"/>
    <w:rsid w:val="004A5D9B"/>
    <w:rsid w:val="004A6B59"/>
    <w:rsid w:val="004B0AB9"/>
    <w:rsid w:val="004B2E43"/>
    <w:rsid w:val="004B4CAC"/>
    <w:rsid w:val="004B709A"/>
    <w:rsid w:val="004C044F"/>
    <w:rsid w:val="004C2608"/>
    <w:rsid w:val="004C3786"/>
    <w:rsid w:val="004C69B4"/>
    <w:rsid w:val="004C72E6"/>
    <w:rsid w:val="004D14C7"/>
    <w:rsid w:val="004D21C9"/>
    <w:rsid w:val="004D2E7F"/>
    <w:rsid w:val="004D3D30"/>
    <w:rsid w:val="004D5717"/>
    <w:rsid w:val="004D5D19"/>
    <w:rsid w:val="004D5DF0"/>
    <w:rsid w:val="004E0AB6"/>
    <w:rsid w:val="004E1130"/>
    <w:rsid w:val="004E2698"/>
    <w:rsid w:val="004E34EA"/>
    <w:rsid w:val="004E406F"/>
    <w:rsid w:val="004E49EC"/>
    <w:rsid w:val="004E4D86"/>
    <w:rsid w:val="004E71C5"/>
    <w:rsid w:val="004F4DB0"/>
    <w:rsid w:val="004F58DC"/>
    <w:rsid w:val="004F7A97"/>
    <w:rsid w:val="00502167"/>
    <w:rsid w:val="0050455C"/>
    <w:rsid w:val="00506218"/>
    <w:rsid w:val="00506EDB"/>
    <w:rsid w:val="00512DAE"/>
    <w:rsid w:val="00513254"/>
    <w:rsid w:val="005167F0"/>
    <w:rsid w:val="00520DCB"/>
    <w:rsid w:val="005245DD"/>
    <w:rsid w:val="00530EF5"/>
    <w:rsid w:val="00531996"/>
    <w:rsid w:val="00531AFA"/>
    <w:rsid w:val="00535992"/>
    <w:rsid w:val="005417E4"/>
    <w:rsid w:val="00542FDB"/>
    <w:rsid w:val="005455F8"/>
    <w:rsid w:val="0054619A"/>
    <w:rsid w:val="00550295"/>
    <w:rsid w:val="0055573E"/>
    <w:rsid w:val="00561A22"/>
    <w:rsid w:val="00562176"/>
    <w:rsid w:val="00562D63"/>
    <w:rsid w:val="00564733"/>
    <w:rsid w:val="005667A2"/>
    <w:rsid w:val="00570A1B"/>
    <w:rsid w:val="00570E41"/>
    <w:rsid w:val="00571526"/>
    <w:rsid w:val="00573291"/>
    <w:rsid w:val="00576638"/>
    <w:rsid w:val="005849E6"/>
    <w:rsid w:val="00585F8E"/>
    <w:rsid w:val="005871D9"/>
    <w:rsid w:val="00590218"/>
    <w:rsid w:val="0059481D"/>
    <w:rsid w:val="005957ED"/>
    <w:rsid w:val="005A34D6"/>
    <w:rsid w:val="005A3E64"/>
    <w:rsid w:val="005A5A1D"/>
    <w:rsid w:val="005A5C51"/>
    <w:rsid w:val="005A7F75"/>
    <w:rsid w:val="005B244B"/>
    <w:rsid w:val="005B284C"/>
    <w:rsid w:val="005B309F"/>
    <w:rsid w:val="005B744E"/>
    <w:rsid w:val="005C51D6"/>
    <w:rsid w:val="005C677D"/>
    <w:rsid w:val="005C7A08"/>
    <w:rsid w:val="005D146B"/>
    <w:rsid w:val="005D622D"/>
    <w:rsid w:val="005E7C37"/>
    <w:rsid w:val="005F122E"/>
    <w:rsid w:val="005F283E"/>
    <w:rsid w:val="005F7B55"/>
    <w:rsid w:val="0060068B"/>
    <w:rsid w:val="00600D4D"/>
    <w:rsid w:val="00601791"/>
    <w:rsid w:val="00602CC1"/>
    <w:rsid w:val="0060785C"/>
    <w:rsid w:val="00610037"/>
    <w:rsid w:val="00615D8F"/>
    <w:rsid w:val="00627A52"/>
    <w:rsid w:val="0063240F"/>
    <w:rsid w:val="00633709"/>
    <w:rsid w:val="00635102"/>
    <w:rsid w:val="00635589"/>
    <w:rsid w:val="00636BD7"/>
    <w:rsid w:val="006375A5"/>
    <w:rsid w:val="0064066D"/>
    <w:rsid w:val="006412EA"/>
    <w:rsid w:val="00645695"/>
    <w:rsid w:val="00650CD4"/>
    <w:rsid w:val="006519C0"/>
    <w:rsid w:val="006532CA"/>
    <w:rsid w:val="00657AFD"/>
    <w:rsid w:val="006605E5"/>
    <w:rsid w:val="00660EDA"/>
    <w:rsid w:val="0066142E"/>
    <w:rsid w:val="006617A4"/>
    <w:rsid w:val="00667227"/>
    <w:rsid w:val="006749F6"/>
    <w:rsid w:val="00675E2A"/>
    <w:rsid w:val="006814EB"/>
    <w:rsid w:val="00682C24"/>
    <w:rsid w:val="00682D26"/>
    <w:rsid w:val="00682DDB"/>
    <w:rsid w:val="006834E4"/>
    <w:rsid w:val="00683D25"/>
    <w:rsid w:val="00687E4F"/>
    <w:rsid w:val="006924CF"/>
    <w:rsid w:val="00695D3E"/>
    <w:rsid w:val="006A07AD"/>
    <w:rsid w:val="006A3798"/>
    <w:rsid w:val="006A7352"/>
    <w:rsid w:val="006B5A71"/>
    <w:rsid w:val="006B72E8"/>
    <w:rsid w:val="006C177C"/>
    <w:rsid w:val="006C7762"/>
    <w:rsid w:val="006D0D94"/>
    <w:rsid w:val="006D0FD7"/>
    <w:rsid w:val="006D2FEC"/>
    <w:rsid w:val="006D37D7"/>
    <w:rsid w:val="006D5B97"/>
    <w:rsid w:val="006D6FD8"/>
    <w:rsid w:val="006E144E"/>
    <w:rsid w:val="006E2807"/>
    <w:rsid w:val="006E6CC3"/>
    <w:rsid w:val="006F4A8C"/>
    <w:rsid w:val="006F4B15"/>
    <w:rsid w:val="006F63D3"/>
    <w:rsid w:val="006F790C"/>
    <w:rsid w:val="007004F5"/>
    <w:rsid w:val="007114F8"/>
    <w:rsid w:val="00711F29"/>
    <w:rsid w:val="00712363"/>
    <w:rsid w:val="00712EFD"/>
    <w:rsid w:val="00716886"/>
    <w:rsid w:val="00716D30"/>
    <w:rsid w:val="007210F6"/>
    <w:rsid w:val="00723438"/>
    <w:rsid w:val="007235E7"/>
    <w:rsid w:val="00733660"/>
    <w:rsid w:val="00733B1E"/>
    <w:rsid w:val="00740E9B"/>
    <w:rsid w:val="00741EBC"/>
    <w:rsid w:val="007432E5"/>
    <w:rsid w:val="007450E8"/>
    <w:rsid w:val="007530CA"/>
    <w:rsid w:val="00756E9B"/>
    <w:rsid w:val="00760BA0"/>
    <w:rsid w:val="007625BA"/>
    <w:rsid w:val="0077498C"/>
    <w:rsid w:val="00776BDB"/>
    <w:rsid w:val="00780F66"/>
    <w:rsid w:val="00785A14"/>
    <w:rsid w:val="00785F07"/>
    <w:rsid w:val="007877AB"/>
    <w:rsid w:val="00790C76"/>
    <w:rsid w:val="00790CBE"/>
    <w:rsid w:val="0079503A"/>
    <w:rsid w:val="00795469"/>
    <w:rsid w:val="00796729"/>
    <w:rsid w:val="00797214"/>
    <w:rsid w:val="007A008F"/>
    <w:rsid w:val="007A0F27"/>
    <w:rsid w:val="007A4975"/>
    <w:rsid w:val="007A64C0"/>
    <w:rsid w:val="007B01A6"/>
    <w:rsid w:val="007B5929"/>
    <w:rsid w:val="007C30DE"/>
    <w:rsid w:val="007C4483"/>
    <w:rsid w:val="007C4A8E"/>
    <w:rsid w:val="007C5369"/>
    <w:rsid w:val="007D1657"/>
    <w:rsid w:val="007D47FE"/>
    <w:rsid w:val="007D78F9"/>
    <w:rsid w:val="007D7C28"/>
    <w:rsid w:val="007E39E1"/>
    <w:rsid w:val="007F027F"/>
    <w:rsid w:val="007F590A"/>
    <w:rsid w:val="007F7DA3"/>
    <w:rsid w:val="008053F9"/>
    <w:rsid w:val="008076A8"/>
    <w:rsid w:val="00807D4D"/>
    <w:rsid w:val="008101DC"/>
    <w:rsid w:val="00813FFA"/>
    <w:rsid w:val="0081788D"/>
    <w:rsid w:val="0082026D"/>
    <w:rsid w:val="00820F9C"/>
    <w:rsid w:val="00826BE2"/>
    <w:rsid w:val="00840069"/>
    <w:rsid w:val="00842120"/>
    <w:rsid w:val="00842220"/>
    <w:rsid w:val="008427AA"/>
    <w:rsid w:val="00845C19"/>
    <w:rsid w:val="00846B4A"/>
    <w:rsid w:val="00851193"/>
    <w:rsid w:val="00851B7C"/>
    <w:rsid w:val="008553DE"/>
    <w:rsid w:val="008568EA"/>
    <w:rsid w:val="00862EDA"/>
    <w:rsid w:val="00863357"/>
    <w:rsid w:val="008656FA"/>
    <w:rsid w:val="0086736C"/>
    <w:rsid w:val="00874280"/>
    <w:rsid w:val="008774E3"/>
    <w:rsid w:val="008813AA"/>
    <w:rsid w:val="00890E06"/>
    <w:rsid w:val="008A23CB"/>
    <w:rsid w:val="008A2623"/>
    <w:rsid w:val="008A2957"/>
    <w:rsid w:val="008A64C0"/>
    <w:rsid w:val="008B1C4B"/>
    <w:rsid w:val="008B33E8"/>
    <w:rsid w:val="008B4DD7"/>
    <w:rsid w:val="008B4F3E"/>
    <w:rsid w:val="008B6B53"/>
    <w:rsid w:val="008C2924"/>
    <w:rsid w:val="008C60C0"/>
    <w:rsid w:val="008D1A3C"/>
    <w:rsid w:val="008D2AD0"/>
    <w:rsid w:val="008D3B8A"/>
    <w:rsid w:val="008E0B63"/>
    <w:rsid w:val="008E46C1"/>
    <w:rsid w:val="008E4D15"/>
    <w:rsid w:val="008F0423"/>
    <w:rsid w:val="008F3473"/>
    <w:rsid w:val="008F70B1"/>
    <w:rsid w:val="00900285"/>
    <w:rsid w:val="009066BC"/>
    <w:rsid w:val="00917D2A"/>
    <w:rsid w:val="009240B2"/>
    <w:rsid w:val="00925A9D"/>
    <w:rsid w:val="00930656"/>
    <w:rsid w:val="00931478"/>
    <w:rsid w:val="009337F5"/>
    <w:rsid w:val="009347B0"/>
    <w:rsid w:val="009358CD"/>
    <w:rsid w:val="009407DB"/>
    <w:rsid w:val="009428B5"/>
    <w:rsid w:val="00944040"/>
    <w:rsid w:val="00944423"/>
    <w:rsid w:val="00944E25"/>
    <w:rsid w:val="00945265"/>
    <w:rsid w:val="009469B5"/>
    <w:rsid w:val="00946B6F"/>
    <w:rsid w:val="00951601"/>
    <w:rsid w:val="009557C1"/>
    <w:rsid w:val="009574B9"/>
    <w:rsid w:val="009658A9"/>
    <w:rsid w:val="00972F61"/>
    <w:rsid w:val="00977C96"/>
    <w:rsid w:val="00982FCF"/>
    <w:rsid w:val="00983FB8"/>
    <w:rsid w:val="0098565E"/>
    <w:rsid w:val="00986237"/>
    <w:rsid w:val="00987912"/>
    <w:rsid w:val="00997618"/>
    <w:rsid w:val="009A0057"/>
    <w:rsid w:val="009A2849"/>
    <w:rsid w:val="009A4A7A"/>
    <w:rsid w:val="009B0194"/>
    <w:rsid w:val="009B03A9"/>
    <w:rsid w:val="009B459A"/>
    <w:rsid w:val="009B6A76"/>
    <w:rsid w:val="009C0B26"/>
    <w:rsid w:val="009C1586"/>
    <w:rsid w:val="009C72D8"/>
    <w:rsid w:val="009D76A9"/>
    <w:rsid w:val="009E00AF"/>
    <w:rsid w:val="009E20EC"/>
    <w:rsid w:val="009E2A86"/>
    <w:rsid w:val="009E3B88"/>
    <w:rsid w:val="009F18EC"/>
    <w:rsid w:val="009F2043"/>
    <w:rsid w:val="009F387A"/>
    <w:rsid w:val="00A00A6E"/>
    <w:rsid w:val="00A01741"/>
    <w:rsid w:val="00A06803"/>
    <w:rsid w:val="00A13CE5"/>
    <w:rsid w:val="00A153DB"/>
    <w:rsid w:val="00A2100F"/>
    <w:rsid w:val="00A21EF1"/>
    <w:rsid w:val="00A2631E"/>
    <w:rsid w:val="00A3079E"/>
    <w:rsid w:val="00A31B2D"/>
    <w:rsid w:val="00A33048"/>
    <w:rsid w:val="00A34DA7"/>
    <w:rsid w:val="00A364CF"/>
    <w:rsid w:val="00A3761B"/>
    <w:rsid w:val="00A40490"/>
    <w:rsid w:val="00A409D1"/>
    <w:rsid w:val="00A41142"/>
    <w:rsid w:val="00A439B9"/>
    <w:rsid w:val="00A476B4"/>
    <w:rsid w:val="00A528C8"/>
    <w:rsid w:val="00A54482"/>
    <w:rsid w:val="00A55E16"/>
    <w:rsid w:val="00A564C7"/>
    <w:rsid w:val="00A56C9C"/>
    <w:rsid w:val="00A572A9"/>
    <w:rsid w:val="00A61B32"/>
    <w:rsid w:val="00A61B37"/>
    <w:rsid w:val="00A61E26"/>
    <w:rsid w:val="00A63977"/>
    <w:rsid w:val="00A86B19"/>
    <w:rsid w:val="00A86E08"/>
    <w:rsid w:val="00A9048E"/>
    <w:rsid w:val="00A92159"/>
    <w:rsid w:val="00A927BA"/>
    <w:rsid w:val="00AA0EA8"/>
    <w:rsid w:val="00AA1AE0"/>
    <w:rsid w:val="00AA2691"/>
    <w:rsid w:val="00AA3895"/>
    <w:rsid w:val="00AB235D"/>
    <w:rsid w:val="00AB3535"/>
    <w:rsid w:val="00AB763F"/>
    <w:rsid w:val="00AC015D"/>
    <w:rsid w:val="00AC50E4"/>
    <w:rsid w:val="00AD1796"/>
    <w:rsid w:val="00AD4CA9"/>
    <w:rsid w:val="00AD75DC"/>
    <w:rsid w:val="00AE2231"/>
    <w:rsid w:val="00AE3819"/>
    <w:rsid w:val="00AE69A2"/>
    <w:rsid w:val="00AE796C"/>
    <w:rsid w:val="00AF1B95"/>
    <w:rsid w:val="00AF291B"/>
    <w:rsid w:val="00AF3626"/>
    <w:rsid w:val="00AF73D0"/>
    <w:rsid w:val="00B00183"/>
    <w:rsid w:val="00B04529"/>
    <w:rsid w:val="00B10799"/>
    <w:rsid w:val="00B10B71"/>
    <w:rsid w:val="00B13589"/>
    <w:rsid w:val="00B14752"/>
    <w:rsid w:val="00B234F6"/>
    <w:rsid w:val="00B246B4"/>
    <w:rsid w:val="00B2618C"/>
    <w:rsid w:val="00B27FCE"/>
    <w:rsid w:val="00B30EA6"/>
    <w:rsid w:val="00B31236"/>
    <w:rsid w:val="00B41AEA"/>
    <w:rsid w:val="00B42B30"/>
    <w:rsid w:val="00B439B9"/>
    <w:rsid w:val="00B43D96"/>
    <w:rsid w:val="00B4534B"/>
    <w:rsid w:val="00B458F6"/>
    <w:rsid w:val="00B54DD5"/>
    <w:rsid w:val="00B55227"/>
    <w:rsid w:val="00B61338"/>
    <w:rsid w:val="00B61545"/>
    <w:rsid w:val="00B63B77"/>
    <w:rsid w:val="00B73FA8"/>
    <w:rsid w:val="00B73FD1"/>
    <w:rsid w:val="00B7425B"/>
    <w:rsid w:val="00B831AE"/>
    <w:rsid w:val="00B84F46"/>
    <w:rsid w:val="00B87ACA"/>
    <w:rsid w:val="00B97F08"/>
    <w:rsid w:val="00BA141A"/>
    <w:rsid w:val="00BA28E4"/>
    <w:rsid w:val="00BB5492"/>
    <w:rsid w:val="00BC009B"/>
    <w:rsid w:val="00BD2C78"/>
    <w:rsid w:val="00BD48E5"/>
    <w:rsid w:val="00BD6119"/>
    <w:rsid w:val="00BE5133"/>
    <w:rsid w:val="00BE7DF3"/>
    <w:rsid w:val="00BE7F21"/>
    <w:rsid w:val="00BF3ADB"/>
    <w:rsid w:val="00BF539E"/>
    <w:rsid w:val="00BF69D2"/>
    <w:rsid w:val="00C02DDB"/>
    <w:rsid w:val="00C07B5F"/>
    <w:rsid w:val="00C12BED"/>
    <w:rsid w:val="00C162CD"/>
    <w:rsid w:val="00C17B65"/>
    <w:rsid w:val="00C2158D"/>
    <w:rsid w:val="00C234D8"/>
    <w:rsid w:val="00C23DDD"/>
    <w:rsid w:val="00C243B9"/>
    <w:rsid w:val="00C24B3D"/>
    <w:rsid w:val="00C24FAC"/>
    <w:rsid w:val="00C26E81"/>
    <w:rsid w:val="00C30506"/>
    <w:rsid w:val="00C35851"/>
    <w:rsid w:val="00C36DD3"/>
    <w:rsid w:val="00C427D7"/>
    <w:rsid w:val="00C50365"/>
    <w:rsid w:val="00C50CBB"/>
    <w:rsid w:val="00C5361E"/>
    <w:rsid w:val="00C54332"/>
    <w:rsid w:val="00C56B9F"/>
    <w:rsid w:val="00C6141D"/>
    <w:rsid w:val="00C64254"/>
    <w:rsid w:val="00C6538B"/>
    <w:rsid w:val="00C67170"/>
    <w:rsid w:val="00C70208"/>
    <w:rsid w:val="00C707EA"/>
    <w:rsid w:val="00C7237F"/>
    <w:rsid w:val="00C73CD7"/>
    <w:rsid w:val="00C74811"/>
    <w:rsid w:val="00C762CA"/>
    <w:rsid w:val="00C772EF"/>
    <w:rsid w:val="00C82CCE"/>
    <w:rsid w:val="00C91085"/>
    <w:rsid w:val="00CA65D2"/>
    <w:rsid w:val="00CB1C6E"/>
    <w:rsid w:val="00CB643F"/>
    <w:rsid w:val="00CC0E2E"/>
    <w:rsid w:val="00CC53F9"/>
    <w:rsid w:val="00CC5BEF"/>
    <w:rsid w:val="00CD029A"/>
    <w:rsid w:val="00CD588F"/>
    <w:rsid w:val="00CD67FB"/>
    <w:rsid w:val="00CE1E29"/>
    <w:rsid w:val="00CE310F"/>
    <w:rsid w:val="00CE3298"/>
    <w:rsid w:val="00CE4C92"/>
    <w:rsid w:val="00CE6A0E"/>
    <w:rsid w:val="00CF0B69"/>
    <w:rsid w:val="00CF345A"/>
    <w:rsid w:val="00D006F7"/>
    <w:rsid w:val="00D00DDC"/>
    <w:rsid w:val="00D018B1"/>
    <w:rsid w:val="00D02F61"/>
    <w:rsid w:val="00D075E5"/>
    <w:rsid w:val="00D1125E"/>
    <w:rsid w:val="00D115F7"/>
    <w:rsid w:val="00D129FA"/>
    <w:rsid w:val="00D16D56"/>
    <w:rsid w:val="00D21936"/>
    <w:rsid w:val="00D230B7"/>
    <w:rsid w:val="00D24A16"/>
    <w:rsid w:val="00D27B4E"/>
    <w:rsid w:val="00D32E5B"/>
    <w:rsid w:val="00D337A9"/>
    <w:rsid w:val="00D3608E"/>
    <w:rsid w:val="00D36635"/>
    <w:rsid w:val="00D371C8"/>
    <w:rsid w:val="00D4007B"/>
    <w:rsid w:val="00D458A1"/>
    <w:rsid w:val="00D4635B"/>
    <w:rsid w:val="00D47B53"/>
    <w:rsid w:val="00D5082F"/>
    <w:rsid w:val="00D66738"/>
    <w:rsid w:val="00D67524"/>
    <w:rsid w:val="00D70178"/>
    <w:rsid w:val="00D7420D"/>
    <w:rsid w:val="00D80783"/>
    <w:rsid w:val="00D80C41"/>
    <w:rsid w:val="00D82BE4"/>
    <w:rsid w:val="00D84C7E"/>
    <w:rsid w:val="00D9452C"/>
    <w:rsid w:val="00D95A6C"/>
    <w:rsid w:val="00D963DD"/>
    <w:rsid w:val="00D968C8"/>
    <w:rsid w:val="00DA5FC2"/>
    <w:rsid w:val="00DA669D"/>
    <w:rsid w:val="00DB007B"/>
    <w:rsid w:val="00DB33A4"/>
    <w:rsid w:val="00DB415F"/>
    <w:rsid w:val="00DB5055"/>
    <w:rsid w:val="00DB5616"/>
    <w:rsid w:val="00DC0CA6"/>
    <w:rsid w:val="00DD4909"/>
    <w:rsid w:val="00DE0B44"/>
    <w:rsid w:val="00DE4407"/>
    <w:rsid w:val="00DE5C84"/>
    <w:rsid w:val="00DF2181"/>
    <w:rsid w:val="00DF26E9"/>
    <w:rsid w:val="00E02C94"/>
    <w:rsid w:val="00E0776F"/>
    <w:rsid w:val="00E14B3F"/>
    <w:rsid w:val="00E15347"/>
    <w:rsid w:val="00E217AB"/>
    <w:rsid w:val="00E22392"/>
    <w:rsid w:val="00E272B8"/>
    <w:rsid w:val="00E30296"/>
    <w:rsid w:val="00E30B44"/>
    <w:rsid w:val="00E310C9"/>
    <w:rsid w:val="00E4367D"/>
    <w:rsid w:val="00E47F1B"/>
    <w:rsid w:val="00E52FA8"/>
    <w:rsid w:val="00E56372"/>
    <w:rsid w:val="00E60057"/>
    <w:rsid w:val="00E6579B"/>
    <w:rsid w:val="00E65D04"/>
    <w:rsid w:val="00E662DA"/>
    <w:rsid w:val="00E6747D"/>
    <w:rsid w:val="00E679E8"/>
    <w:rsid w:val="00E73F13"/>
    <w:rsid w:val="00E7648C"/>
    <w:rsid w:val="00E8309D"/>
    <w:rsid w:val="00E8361C"/>
    <w:rsid w:val="00E84288"/>
    <w:rsid w:val="00E92B75"/>
    <w:rsid w:val="00E95052"/>
    <w:rsid w:val="00E95A48"/>
    <w:rsid w:val="00E97A8F"/>
    <w:rsid w:val="00EA34E0"/>
    <w:rsid w:val="00EA6B3E"/>
    <w:rsid w:val="00EA6FB0"/>
    <w:rsid w:val="00EB2578"/>
    <w:rsid w:val="00EB4CDE"/>
    <w:rsid w:val="00EC09C0"/>
    <w:rsid w:val="00EC123F"/>
    <w:rsid w:val="00EC2E3F"/>
    <w:rsid w:val="00EC3E83"/>
    <w:rsid w:val="00EC6F64"/>
    <w:rsid w:val="00ED1D8B"/>
    <w:rsid w:val="00EE0A7C"/>
    <w:rsid w:val="00EE5BA8"/>
    <w:rsid w:val="00EE6765"/>
    <w:rsid w:val="00EF0B0D"/>
    <w:rsid w:val="00EF0FB1"/>
    <w:rsid w:val="00EF2930"/>
    <w:rsid w:val="00EF5685"/>
    <w:rsid w:val="00F006B5"/>
    <w:rsid w:val="00F03F4C"/>
    <w:rsid w:val="00F0710E"/>
    <w:rsid w:val="00F07C8F"/>
    <w:rsid w:val="00F130B3"/>
    <w:rsid w:val="00F14740"/>
    <w:rsid w:val="00F1567C"/>
    <w:rsid w:val="00F161EC"/>
    <w:rsid w:val="00F16EAA"/>
    <w:rsid w:val="00F40C1F"/>
    <w:rsid w:val="00F44EA7"/>
    <w:rsid w:val="00F451F6"/>
    <w:rsid w:val="00F459E5"/>
    <w:rsid w:val="00F47B64"/>
    <w:rsid w:val="00F611C6"/>
    <w:rsid w:val="00F62027"/>
    <w:rsid w:val="00F6733B"/>
    <w:rsid w:val="00F80A14"/>
    <w:rsid w:val="00F80D28"/>
    <w:rsid w:val="00F86E74"/>
    <w:rsid w:val="00F927D4"/>
    <w:rsid w:val="00FA2377"/>
    <w:rsid w:val="00FA61F7"/>
    <w:rsid w:val="00FB1650"/>
    <w:rsid w:val="00FB32FB"/>
    <w:rsid w:val="00FB365F"/>
    <w:rsid w:val="00FB41B6"/>
    <w:rsid w:val="00FB501C"/>
    <w:rsid w:val="00FC0B84"/>
    <w:rsid w:val="00FC1DDB"/>
    <w:rsid w:val="00FD41D3"/>
    <w:rsid w:val="00FD48EB"/>
    <w:rsid w:val="00FD659F"/>
    <w:rsid w:val="00FE18A9"/>
    <w:rsid w:val="00FE416F"/>
    <w:rsid w:val="00FE6E4C"/>
    <w:rsid w:val="00FE7724"/>
    <w:rsid w:val="00FE7C0D"/>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6FB70"/>
  <w15:docId w15:val="{3DDF238B-A242-4964-80EA-725BB714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7FCE"/>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link w:val="Heading3Char"/>
    <w:qFormat/>
    <w:pPr>
      <w:keepNext/>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semiHidden/>
    <w:unhideWhenUsed/>
    <w:qFormat/>
    <w:rsid w:val="004D2E7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customStyle="1" w:styleId="xmsonormal">
    <w:name w:val="x_msonormal"/>
    <w:basedOn w:val="Normal"/>
    <w:rsid w:val="001B3614"/>
    <w:rPr>
      <w:rFonts w:ascii="Calibri" w:eastAsiaTheme="minorEastAsia" w:hAnsi="Calibri" w:cs="Calibri"/>
      <w:sz w:val="22"/>
      <w:szCs w:val="22"/>
      <w:lang w:val="en-US"/>
    </w:rPr>
  </w:style>
  <w:style w:type="paragraph" w:styleId="FootnoteText">
    <w:name w:val="footnote text"/>
    <w:basedOn w:val="Normal"/>
    <w:link w:val="FootnoteTextChar"/>
    <w:uiPriority w:val="99"/>
    <w:unhideWhenUsed/>
    <w:rsid w:val="001B3614"/>
    <w:rPr>
      <w:rFonts w:asciiTheme="minorHAnsi" w:eastAsiaTheme="minorHAnsi" w:hAnsiTheme="minorHAnsi" w:cstheme="minorBidi"/>
      <w:kern w:val="2"/>
      <w:lang w:val="en-US"/>
      <w14:ligatures w14:val="standardContextual"/>
    </w:rPr>
  </w:style>
  <w:style w:type="character" w:customStyle="1" w:styleId="FootnoteTextChar">
    <w:name w:val="Footnote Text Char"/>
    <w:basedOn w:val="DefaultParagraphFont"/>
    <w:link w:val="FootnoteText"/>
    <w:uiPriority w:val="99"/>
    <w:rsid w:val="001B3614"/>
    <w:rPr>
      <w:rFonts w:asciiTheme="minorHAnsi" w:eastAsiaTheme="minorHAnsi" w:hAnsiTheme="minorHAnsi" w:cstheme="minorBidi"/>
      <w:kern w:val="2"/>
      <w:lang w:val="en-US" w:eastAsia="en-US"/>
      <w14:ligatures w14:val="standardContextual"/>
    </w:rPr>
  </w:style>
  <w:style w:type="paragraph" w:styleId="NormalWeb">
    <w:name w:val="Normal (Web)"/>
    <w:basedOn w:val="Normal"/>
    <w:uiPriority w:val="99"/>
    <w:unhideWhenUsed/>
    <w:rsid w:val="001B3614"/>
    <w:pPr>
      <w:spacing w:before="100" w:beforeAutospacing="1" w:after="100" w:afterAutospacing="1"/>
    </w:pPr>
    <w:rPr>
      <w:sz w:val="24"/>
      <w:szCs w:val="24"/>
      <w:lang w:val="en-US"/>
    </w:rPr>
  </w:style>
  <w:style w:type="paragraph" w:styleId="NoSpacing">
    <w:name w:val="No Spacing"/>
    <w:uiPriority w:val="1"/>
    <w:qFormat/>
    <w:rsid w:val="001B3614"/>
    <w:rPr>
      <w:rFonts w:asciiTheme="minorHAnsi" w:eastAsiaTheme="minorHAnsi" w:hAnsiTheme="minorHAnsi" w:cstheme="minorBidi"/>
      <w:kern w:val="2"/>
      <w:sz w:val="24"/>
      <w:szCs w:val="24"/>
      <w:lang w:val="en-US" w:eastAsia="en-US"/>
      <w14:ligatures w14:val="standardContextual"/>
    </w:rPr>
  </w:style>
  <w:style w:type="character" w:styleId="Emphasis">
    <w:name w:val="Emphasis"/>
    <w:basedOn w:val="DefaultParagraphFont"/>
    <w:uiPriority w:val="20"/>
    <w:qFormat/>
    <w:rsid w:val="004E406F"/>
    <w:rPr>
      <w:i/>
      <w:iCs/>
    </w:rPr>
  </w:style>
  <w:style w:type="character" w:customStyle="1" w:styleId="Heading3Char">
    <w:name w:val="Heading 3 Char"/>
    <w:basedOn w:val="DefaultParagraphFont"/>
    <w:link w:val="Heading3"/>
    <w:rsid w:val="00D66738"/>
    <w:rPr>
      <w:b/>
      <w:sz w:val="24"/>
      <w:lang w:eastAsia="en-US"/>
    </w:rPr>
  </w:style>
  <w:style w:type="character" w:customStyle="1" w:styleId="Heading5Char">
    <w:name w:val="Heading 5 Char"/>
    <w:basedOn w:val="DefaultParagraphFont"/>
    <w:link w:val="Heading5"/>
    <w:semiHidden/>
    <w:rsid w:val="004D2E7F"/>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9988852">
      <w:bodyDiv w:val="1"/>
      <w:marLeft w:val="0"/>
      <w:marRight w:val="0"/>
      <w:marTop w:val="0"/>
      <w:marBottom w:val="0"/>
      <w:divBdr>
        <w:top w:val="none" w:sz="0" w:space="0" w:color="auto"/>
        <w:left w:val="none" w:sz="0" w:space="0" w:color="auto"/>
        <w:bottom w:val="none" w:sz="0" w:space="0" w:color="auto"/>
        <w:right w:val="none" w:sz="0" w:space="0" w:color="auto"/>
      </w:divBdr>
      <w:divsChild>
        <w:div w:id="650600314">
          <w:marLeft w:val="0"/>
          <w:marRight w:val="0"/>
          <w:marTop w:val="0"/>
          <w:marBottom w:val="0"/>
          <w:divBdr>
            <w:top w:val="none" w:sz="0" w:space="0" w:color="auto"/>
            <w:left w:val="none" w:sz="0" w:space="0" w:color="auto"/>
            <w:bottom w:val="none" w:sz="0" w:space="0" w:color="auto"/>
            <w:right w:val="none" w:sz="0" w:space="0" w:color="auto"/>
          </w:divBdr>
          <w:divsChild>
            <w:div w:id="11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332">
      <w:bodyDiv w:val="1"/>
      <w:marLeft w:val="0"/>
      <w:marRight w:val="0"/>
      <w:marTop w:val="0"/>
      <w:marBottom w:val="0"/>
      <w:divBdr>
        <w:top w:val="none" w:sz="0" w:space="0" w:color="auto"/>
        <w:left w:val="none" w:sz="0" w:space="0" w:color="auto"/>
        <w:bottom w:val="none" w:sz="0" w:space="0" w:color="auto"/>
        <w:right w:val="none" w:sz="0" w:space="0" w:color="auto"/>
      </w:divBdr>
    </w:div>
    <w:div w:id="152988245">
      <w:bodyDiv w:val="1"/>
      <w:marLeft w:val="0"/>
      <w:marRight w:val="0"/>
      <w:marTop w:val="0"/>
      <w:marBottom w:val="0"/>
      <w:divBdr>
        <w:top w:val="none" w:sz="0" w:space="0" w:color="auto"/>
        <w:left w:val="none" w:sz="0" w:space="0" w:color="auto"/>
        <w:bottom w:val="none" w:sz="0" w:space="0" w:color="auto"/>
        <w:right w:val="none" w:sz="0" w:space="0" w:color="auto"/>
      </w:divBdr>
    </w:div>
    <w:div w:id="182256614">
      <w:bodyDiv w:val="1"/>
      <w:marLeft w:val="0"/>
      <w:marRight w:val="0"/>
      <w:marTop w:val="0"/>
      <w:marBottom w:val="0"/>
      <w:divBdr>
        <w:top w:val="none" w:sz="0" w:space="0" w:color="auto"/>
        <w:left w:val="none" w:sz="0" w:space="0" w:color="auto"/>
        <w:bottom w:val="none" w:sz="0" w:space="0" w:color="auto"/>
        <w:right w:val="none" w:sz="0" w:space="0" w:color="auto"/>
      </w:divBdr>
    </w:div>
    <w:div w:id="194269893">
      <w:bodyDiv w:val="1"/>
      <w:marLeft w:val="0"/>
      <w:marRight w:val="0"/>
      <w:marTop w:val="0"/>
      <w:marBottom w:val="0"/>
      <w:divBdr>
        <w:top w:val="none" w:sz="0" w:space="0" w:color="auto"/>
        <w:left w:val="none" w:sz="0" w:space="0" w:color="auto"/>
        <w:bottom w:val="none" w:sz="0" w:space="0" w:color="auto"/>
        <w:right w:val="none" w:sz="0" w:space="0" w:color="auto"/>
      </w:divBdr>
      <w:divsChild>
        <w:div w:id="1699037691">
          <w:marLeft w:val="0"/>
          <w:marRight w:val="0"/>
          <w:marTop w:val="0"/>
          <w:marBottom w:val="0"/>
          <w:divBdr>
            <w:top w:val="none" w:sz="0" w:space="0" w:color="auto"/>
            <w:left w:val="none" w:sz="0" w:space="0" w:color="auto"/>
            <w:bottom w:val="none" w:sz="0" w:space="0" w:color="auto"/>
            <w:right w:val="none" w:sz="0" w:space="0" w:color="auto"/>
          </w:divBdr>
        </w:div>
        <w:div w:id="676151017">
          <w:marLeft w:val="0"/>
          <w:marRight w:val="0"/>
          <w:marTop w:val="0"/>
          <w:marBottom w:val="0"/>
          <w:divBdr>
            <w:top w:val="none" w:sz="0" w:space="0" w:color="auto"/>
            <w:left w:val="none" w:sz="0" w:space="0" w:color="auto"/>
            <w:bottom w:val="none" w:sz="0" w:space="0" w:color="auto"/>
            <w:right w:val="none" w:sz="0" w:space="0" w:color="auto"/>
          </w:divBdr>
        </w:div>
      </w:divsChild>
    </w:div>
    <w:div w:id="201480715">
      <w:bodyDiv w:val="1"/>
      <w:marLeft w:val="0"/>
      <w:marRight w:val="0"/>
      <w:marTop w:val="0"/>
      <w:marBottom w:val="0"/>
      <w:divBdr>
        <w:top w:val="none" w:sz="0" w:space="0" w:color="auto"/>
        <w:left w:val="none" w:sz="0" w:space="0" w:color="auto"/>
        <w:bottom w:val="none" w:sz="0" w:space="0" w:color="auto"/>
        <w:right w:val="none" w:sz="0" w:space="0" w:color="auto"/>
      </w:divBdr>
    </w:div>
    <w:div w:id="256526259">
      <w:bodyDiv w:val="1"/>
      <w:marLeft w:val="0"/>
      <w:marRight w:val="0"/>
      <w:marTop w:val="0"/>
      <w:marBottom w:val="0"/>
      <w:divBdr>
        <w:top w:val="none" w:sz="0" w:space="0" w:color="auto"/>
        <w:left w:val="none" w:sz="0" w:space="0" w:color="auto"/>
        <w:bottom w:val="none" w:sz="0" w:space="0" w:color="auto"/>
        <w:right w:val="none" w:sz="0" w:space="0" w:color="auto"/>
      </w:divBdr>
    </w:div>
    <w:div w:id="273437629">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409621652">
      <w:bodyDiv w:val="1"/>
      <w:marLeft w:val="0"/>
      <w:marRight w:val="0"/>
      <w:marTop w:val="0"/>
      <w:marBottom w:val="0"/>
      <w:divBdr>
        <w:top w:val="none" w:sz="0" w:space="0" w:color="auto"/>
        <w:left w:val="none" w:sz="0" w:space="0" w:color="auto"/>
        <w:bottom w:val="none" w:sz="0" w:space="0" w:color="auto"/>
        <w:right w:val="none" w:sz="0" w:space="0" w:color="auto"/>
      </w:divBdr>
    </w:div>
    <w:div w:id="412509281">
      <w:bodyDiv w:val="1"/>
      <w:marLeft w:val="0"/>
      <w:marRight w:val="0"/>
      <w:marTop w:val="0"/>
      <w:marBottom w:val="0"/>
      <w:divBdr>
        <w:top w:val="none" w:sz="0" w:space="0" w:color="auto"/>
        <w:left w:val="none" w:sz="0" w:space="0" w:color="auto"/>
        <w:bottom w:val="none" w:sz="0" w:space="0" w:color="auto"/>
        <w:right w:val="none" w:sz="0" w:space="0" w:color="auto"/>
      </w:divBdr>
    </w:div>
    <w:div w:id="433594442">
      <w:bodyDiv w:val="1"/>
      <w:marLeft w:val="0"/>
      <w:marRight w:val="0"/>
      <w:marTop w:val="0"/>
      <w:marBottom w:val="0"/>
      <w:divBdr>
        <w:top w:val="none" w:sz="0" w:space="0" w:color="auto"/>
        <w:left w:val="none" w:sz="0" w:space="0" w:color="auto"/>
        <w:bottom w:val="none" w:sz="0" w:space="0" w:color="auto"/>
        <w:right w:val="none" w:sz="0" w:space="0" w:color="auto"/>
      </w:divBdr>
    </w:div>
    <w:div w:id="602303893">
      <w:bodyDiv w:val="1"/>
      <w:marLeft w:val="0"/>
      <w:marRight w:val="0"/>
      <w:marTop w:val="0"/>
      <w:marBottom w:val="0"/>
      <w:divBdr>
        <w:top w:val="none" w:sz="0" w:space="0" w:color="auto"/>
        <w:left w:val="none" w:sz="0" w:space="0" w:color="auto"/>
        <w:bottom w:val="none" w:sz="0" w:space="0" w:color="auto"/>
        <w:right w:val="none" w:sz="0" w:space="0" w:color="auto"/>
      </w:divBdr>
    </w:div>
    <w:div w:id="634988418">
      <w:bodyDiv w:val="1"/>
      <w:marLeft w:val="0"/>
      <w:marRight w:val="0"/>
      <w:marTop w:val="0"/>
      <w:marBottom w:val="0"/>
      <w:divBdr>
        <w:top w:val="none" w:sz="0" w:space="0" w:color="auto"/>
        <w:left w:val="none" w:sz="0" w:space="0" w:color="auto"/>
        <w:bottom w:val="none" w:sz="0" w:space="0" w:color="auto"/>
        <w:right w:val="none" w:sz="0" w:space="0" w:color="auto"/>
      </w:divBdr>
    </w:div>
    <w:div w:id="682589158">
      <w:bodyDiv w:val="1"/>
      <w:marLeft w:val="0"/>
      <w:marRight w:val="0"/>
      <w:marTop w:val="0"/>
      <w:marBottom w:val="0"/>
      <w:divBdr>
        <w:top w:val="none" w:sz="0" w:space="0" w:color="auto"/>
        <w:left w:val="none" w:sz="0" w:space="0" w:color="auto"/>
        <w:bottom w:val="none" w:sz="0" w:space="0" w:color="auto"/>
        <w:right w:val="none" w:sz="0" w:space="0" w:color="auto"/>
      </w:divBdr>
    </w:div>
    <w:div w:id="729184872">
      <w:bodyDiv w:val="1"/>
      <w:marLeft w:val="0"/>
      <w:marRight w:val="0"/>
      <w:marTop w:val="0"/>
      <w:marBottom w:val="0"/>
      <w:divBdr>
        <w:top w:val="none" w:sz="0" w:space="0" w:color="auto"/>
        <w:left w:val="none" w:sz="0" w:space="0" w:color="auto"/>
        <w:bottom w:val="none" w:sz="0" w:space="0" w:color="auto"/>
        <w:right w:val="none" w:sz="0" w:space="0" w:color="auto"/>
      </w:divBdr>
      <w:divsChild>
        <w:div w:id="1889220314">
          <w:marLeft w:val="0"/>
          <w:marRight w:val="0"/>
          <w:marTop w:val="0"/>
          <w:marBottom w:val="0"/>
          <w:divBdr>
            <w:top w:val="none" w:sz="0" w:space="0" w:color="auto"/>
            <w:left w:val="none" w:sz="0" w:space="0" w:color="auto"/>
            <w:bottom w:val="none" w:sz="0" w:space="0" w:color="auto"/>
            <w:right w:val="none" w:sz="0" w:space="0" w:color="auto"/>
          </w:divBdr>
        </w:div>
        <w:div w:id="1869289598">
          <w:marLeft w:val="0"/>
          <w:marRight w:val="0"/>
          <w:marTop w:val="0"/>
          <w:marBottom w:val="0"/>
          <w:divBdr>
            <w:top w:val="none" w:sz="0" w:space="0" w:color="auto"/>
            <w:left w:val="none" w:sz="0" w:space="0" w:color="auto"/>
            <w:bottom w:val="none" w:sz="0" w:space="0" w:color="auto"/>
            <w:right w:val="none" w:sz="0" w:space="0" w:color="auto"/>
          </w:divBdr>
        </w:div>
      </w:divsChild>
    </w:div>
    <w:div w:id="740758322">
      <w:bodyDiv w:val="1"/>
      <w:marLeft w:val="0"/>
      <w:marRight w:val="0"/>
      <w:marTop w:val="0"/>
      <w:marBottom w:val="0"/>
      <w:divBdr>
        <w:top w:val="none" w:sz="0" w:space="0" w:color="auto"/>
        <w:left w:val="none" w:sz="0" w:space="0" w:color="auto"/>
        <w:bottom w:val="none" w:sz="0" w:space="0" w:color="auto"/>
        <w:right w:val="none" w:sz="0" w:space="0" w:color="auto"/>
      </w:divBdr>
    </w:div>
    <w:div w:id="781145556">
      <w:bodyDiv w:val="1"/>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0"/>
          <w:marBottom w:val="0"/>
          <w:divBdr>
            <w:top w:val="none" w:sz="0" w:space="0" w:color="auto"/>
            <w:left w:val="none" w:sz="0" w:space="0" w:color="auto"/>
            <w:bottom w:val="none" w:sz="0" w:space="0" w:color="auto"/>
            <w:right w:val="none" w:sz="0" w:space="0" w:color="auto"/>
          </w:divBdr>
          <w:divsChild>
            <w:div w:id="1105267289">
              <w:marLeft w:val="0"/>
              <w:marRight w:val="0"/>
              <w:marTop w:val="0"/>
              <w:marBottom w:val="0"/>
              <w:divBdr>
                <w:top w:val="none" w:sz="0" w:space="0" w:color="auto"/>
                <w:left w:val="none" w:sz="0" w:space="0" w:color="auto"/>
                <w:bottom w:val="none" w:sz="0" w:space="0" w:color="auto"/>
                <w:right w:val="none" w:sz="0" w:space="0" w:color="auto"/>
              </w:divBdr>
              <w:divsChild>
                <w:div w:id="1394741017">
                  <w:marLeft w:val="0"/>
                  <w:marRight w:val="0"/>
                  <w:marTop w:val="150"/>
                  <w:marBottom w:val="0"/>
                  <w:divBdr>
                    <w:top w:val="none" w:sz="0" w:space="0" w:color="auto"/>
                    <w:left w:val="none" w:sz="0" w:space="0" w:color="auto"/>
                    <w:bottom w:val="none" w:sz="0" w:space="0" w:color="auto"/>
                    <w:right w:val="none" w:sz="0" w:space="0" w:color="auto"/>
                  </w:divBdr>
                  <w:divsChild>
                    <w:div w:id="1207375876">
                      <w:marLeft w:val="0"/>
                      <w:marRight w:val="0"/>
                      <w:marTop w:val="0"/>
                      <w:marBottom w:val="0"/>
                      <w:divBdr>
                        <w:top w:val="none" w:sz="0" w:space="0" w:color="auto"/>
                        <w:left w:val="none" w:sz="0" w:space="0" w:color="auto"/>
                        <w:bottom w:val="none" w:sz="0" w:space="0" w:color="auto"/>
                        <w:right w:val="none" w:sz="0" w:space="0" w:color="auto"/>
                      </w:divBdr>
                      <w:divsChild>
                        <w:div w:id="1142696331">
                          <w:marLeft w:val="0"/>
                          <w:marRight w:val="0"/>
                          <w:marTop w:val="150"/>
                          <w:marBottom w:val="0"/>
                          <w:divBdr>
                            <w:top w:val="none" w:sz="0" w:space="0" w:color="auto"/>
                            <w:left w:val="none" w:sz="0" w:space="0" w:color="auto"/>
                            <w:bottom w:val="none" w:sz="0" w:space="0" w:color="auto"/>
                            <w:right w:val="none" w:sz="0" w:space="0" w:color="auto"/>
                          </w:divBdr>
                          <w:divsChild>
                            <w:div w:id="841506878">
                              <w:marLeft w:val="0"/>
                              <w:marRight w:val="0"/>
                              <w:marTop w:val="0"/>
                              <w:marBottom w:val="0"/>
                              <w:divBdr>
                                <w:top w:val="none" w:sz="0" w:space="0" w:color="auto"/>
                                <w:left w:val="none" w:sz="0" w:space="0" w:color="auto"/>
                                <w:bottom w:val="none" w:sz="0" w:space="0" w:color="auto"/>
                                <w:right w:val="none" w:sz="0" w:space="0" w:color="auto"/>
                              </w:divBdr>
                              <w:divsChild>
                                <w:div w:id="899054231">
                                  <w:marLeft w:val="0"/>
                                  <w:marRight w:val="0"/>
                                  <w:marTop w:val="0"/>
                                  <w:marBottom w:val="0"/>
                                  <w:divBdr>
                                    <w:top w:val="none" w:sz="0" w:space="0" w:color="auto"/>
                                    <w:left w:val="none" w:sz="0" w:space="0" w:color="auto"/>
                                    <w:bottom w:val="none" w:sz="0" w:space="0" w:color="auto"/>
                                    <w:right w:val="none" w:sz="0" w:space="0" w:color="auto"/>
                                  </w:divBdr>
                                  <w:divsChild>
                                    <w:div w:id="19149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045189">
      <w:bodyDiv w:val="1"/>
      <w:marLeft w:val="0"/>
      <w:marRight w:val="0"/>
      <w:marTop w:val="0"/>
      <w:marBottom w:val="0"/>
      <w:divBdr>
        <w:top w:val="none" w:sz="0" w:space="0" w:color="auto"/>
        <w:left w:val="none" w:sz="0" w:space="0" w:color="auto"/>
        <w:bottom w:val="none" w:sz="0" w:space="0" w:color="auto"/>
        <w:right w:val="none" w:sz="0" w:space="0" w:color="auto"/>
      </w:divBdr>
    </w:div>
    <w:div w:id="815606733">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852690701">
      <w:bodyDiv w:val="1"/>
      <w:marLeft w:val="0"/>
      <w:marRight w:val="0"/>
      <w:marTop w:val="0"/>
      <w:marBottom w:val="0"/>
      <w:divBdr>
        <w:top w:val="none" w:sz="0" w:space="0" w:color="auto"/>
        <w:left w:val="none" w:sz="0" w:space="0" w:color="auto"/>
        <w:bottom w:val="none" w:sz="0" w:space="0" w:color="auto"/>
        <w:right w:val="none" w:sz="0" w:space="0" w:color="auto"/>
      </w:divBdr>
    </w:div>
    <w:div w:id="883760386">
      <w:bodyDiv w:val="1"/>
      <w:marLeft w:val="0"/>
      <w:marRight w:val="0"/>
      <w:marTop w:val="0"/>
      <w:marBottom w:val="0"/>
      <w:divBdr>
        <w:top w:val="none" w:sz="0" w:space="0" w:color="auto"/>
        <w:left w:val="none" w:sz="0" w:space="0" w:color="auto"/>
        <w:bottom w:val="none" w:sz="0" w:space="0" w:color="auto"/>
        <w:right w:val="none" w:sz="0" w:space="0" w:color="auto"/>
      </w:divBdr>
    </w:div>
    <w:div w:id="887183806">
      <w:bodyDiv w:val="1"/>
      <w:marLeft w:val="0"/>
      <w:marRight w:val="0"/>
      <w:marTop w:val="0"/>
      <w:marBottom w:val="0"/>
      <w:divBdr>
        <w:top w:val="none" w:sz="0" w:space="0" w:color="auto"/>
        <w:left w:val="none" w:sz="0" w:space="0" w:color="auto"/>
        <w:bottom w:val="none" w:sz="0" w:space="0" w:color="auto"/>
        <w:right w:val="none" w:sz="0" w:space="0" w:color="auto"/>
      </w:divBdr>
    </w:div>
    <w:div w:id="909971396">
      <w:bodyDiv w:val="1"/>
      <w:marLeft w:val="0"/>
      <w:marRight w:val="0"/>
      <w:marTop w:val="0"/>
      <w:marBottom w:val="0"/>
      <w:divBdr>
        <w:top w:val="none" w:sz="0" w:space="0" w:color="auto"/>
        <w:left w:val="none" w:sz="0" w:space="0" w:color="auto"/>
        <w:bottom w:val="none" w:sz="0" w:space="0" w:color="auto"/>
        <w:right w:val="none" w:sz="0" w:space="0" w:color="auto"/>
      </w:divBdr>
    </w:div>
    <w:div w:id="928394935">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478251">
      <w:bodyDiv w:val="1"/>
      <w:marLeft w:val="0"/>
      <w:marRight w:val="0"/>
      <w:marTop w:val="0"/>
      <w:marBottom w:val="0"/>
      <w:divBdr>
        <w:top w:val="none" w:sz="0" w:space="0" w:color="auto"/>
        <w:left w:val="none" w:sz="0" w:space="0" w:color="auto"/>
        <w:bottom w:val="none" w:sz="0" w:space="0" w:color="auto"/>
        <w:right w:val="none" w:sz="0" w:space="0" w:color="auto"/>
      </w:divBdr>
    </w:div>
    <w:div w:id="979117549">
      <w:bodyDiv w:val="1"/>
      <w:marLeft w:val="0"/>
      <w:marRight w:val="0"/>
      <w:marTop w:val="0"/>
      <w:marBottom w:val="0"/>
      <w:divBdr>
        <w:top w:val="none" w:sz="0" w:space="0" w:color="auto"/>
        <w:left w:val="none" w:sz="0" w:space="0" w:color="auto"/>
        <w:bottom w:val="none" w:sz="0" w:space="0" w:color="auto"/>
        <w:right w:val="none" w:sz="0" w:space="0" w:color="auto"/>
      </w:divBdr>
    </w:div>
    <w:div w:id="1009789715">
      <w:bodyDiv w:val="1"/>
      <w:marLeft w:val="0"/>
      <w:marRight w:val="0"/>
      <w:marTop w:val="0"/>
      <w:marBottom w:val="0"/>
      <w:divBdr>
        <w:top w:val="none" w:sz="0" w:space="0" w:color="auto"/>
        <w:left w:val="none" w:sz="0" w:space="0" w:color="auto"/>
        <w:bottom w:val="none" w:sz="0" w:space="0" w:color="auto"/>
        <w:right w:val="none" w:sz="0" w:space="0" w:color="auto"/>
      </w:divBdr>
    </w:div>
    <w:div w:id="1021010474">
      <w:bodyDiv w:val="1"/>
      <w:marLeft w:val="0"/>
      <w:marRight w:val="0"/>
      <w:marTop w:val="0"/>
      <w:marBottom w:val="0"/>
      <w:divBdr>
        <w:top w:val="none" w:sz="0" w:space="0" w:color="auto"/>
        <w:left w:val="none" w:sz="0" w:space="0" w:color="auto"/>
        <w:bottom w:val="none" w:sz="0" w:space="0" w:color="auto"/>
        <w:right w:val="none" w:sz="0" w:space="0" w:color="auto"/>
      </w:divBdr>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099333495">
      <w:bodyDiv w:val="1"/>
      <w:marLeft w:val="0"/>
      <w:marRight w:val="0"/>
      <w:marTop w:val="0"/>
      <w:marBottom w:val="0"/>
      <w:divBdr>
        <w:top w:val="none" w:sz="0" w:space="0" w:color="auto"/>
        <w:left w:val="none" w:sz="0" w:space="0" w:color="auto"/>
        <w:bottom w:val="none" w:sz="0" w:space="0" w:color="auto"/>
        <w:right w:val="none" w:sz="0" w:space="0" w:color="auto"/>
      </w:divBdr>
    </w:div>
    <w:div w:id="1109819355">
      <w:bodyDiv w:val="1"/>
      <w:marLeft w:val="0"/>
      <w:marRight w:val="0"/>
      <w:marTop w:val="0"/>
      <w:marBottom w:val="0"/>
      <w:divBdr>
        <w:top w:val="none" w:sz="0" w:space="0" w:color="auto"/>
        <w:left w:val="none" w:sz="0" w:space="0" w:color="auto"/>
        <w:bottom w:val="none" w:sz="0" w:space="0" w:color="auto"/>
        <w:right w:val="none" w:sz="0" w:space="0" w:color="auto"/>
      </w:divBdr>
      <w:divsChild>
        <w:div w:id="2001037278">
          <w:marLeft w:val="0"/>
          <w:marRight w:val="0"/>
          <w:marTop w:val="0"/>
          <w:marBottom w:val="0"/>
          <w:divBdr>
            <w:top w:val="single" w:sz="2" w:space="0" w:color="auto"/>
            <w:left w:val="single" w:sz="2" w:space="0" w:color="auto"/>
            <w:bottom w:val="single" w:sz="2" w:space="0" w:color="auto"/>
            <w:right w:val="single" w:sz="2" w:space="0" w:color="auto"/>
          </w:divBdr>
        </w:div>
        <w:div w:id="1036202780">
          <w:marLeft w:val="0"/>
          <w:marRight w:val="0"/>
          <w:marTop w:val="0"/>
          <w:marBottom w:val="0"/>
          <w:divBdr>
            <w:top w:val="single" w:sz="2" w:space="0" w:color="auto"/>
            <w:left w:val="single" w:sz="2" w:space="0" w:color="auto"/>
            <w:bottom w:val="single" w:sz="2" w:space="0" w:color="auto"/>
            <w:right w:val="single" w:sz="2" w:space="0" w:color="auto"/>
          </w:divBdr>
          <w:divsChild>
            <w:div w:id="1323511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56727965">
      <w:bodyDiv w:val="1"/>
      <w:marLeft w:val="0"/>
      <w:marRight w:val="0"/>
      <w:marTop w:val="0"/>
      <w:marBottom w:val="0"/>
      <w:divBdr>
        <w:top w:val="none" w:sz="0" w:space="0" w:color="auto"/>
        <w:left w:val="none" w:sz="0" w:space="0" w:color="auto"/>
        <w:bottom w:val="none" w:sz="0" w:space="0" w:color="auto"/>
        <w:right w:val="none" w:sz="0" w:space="0" w:color="auto"/>
      </w:divBdr>
    </w:div>
    <w:div w:id="1189024039">
      <w:bodyDiv w:val="1"/>
      <w:marLeft w:val="0"/>
      <w:marRight w:val="0"/>
      <w:marTop w:val="0"/>
      <w:marBottom w:val="0"/>
      <w:divBdr>
        <w:top w:val="none" w:sz="0" w:space="0" w:color="auto"/>
        <w:left w:val="none" w:sz="0" w:space="0" w:color="auto"/>
        <w:bottom w:val="none" w:sz="0" w:space="0" w:color="auto"/>
        <w:right w:val="none" w:sz="0" w:space="0" w:color="auto"/>
      </w:divBdr>
      <w:divsChild>
        <w:div w:id="489255589">
          <w:marLeft w:val="0"/>
          <w:marRight w:val="0"/>
          <w:marTop w:val="0"/>
          <w:marBottom w:val="0"/>
          <w:divBdr>
            <w:top w:val="none" w:sz="0" w:space="0" w:color="auto"/>
            <w:left w:val="none" w:sz="0" w:space="0" w:color="auto"/>
            <w:bottom w:val="none" w:sz="0" w:space="0" w:color="auto"/>
            <w:right w:val="none" w:sz="0" w:space="0" w:color="auto"/>
          </w:divBdr>
        </w:div>
      </w:divsChild>
    </w:div>
    <w:div w:id="1280264391">
      <w:bodyDiv w:val="1"/>
      <w:marLeft w:val="0"/>
      <w:marRight w:val="0"/>
      <w:marTop w:val="0"/>
      <w:marBottom w:val="0"/>
      <w:divBdr>
        <w:top w:val="none" w:sz="0" w:space="0" w:color="auto"/>
        <w:left w:val="none" w:sz="0" w:space="0" w:color="auto"/>
        <w:bottom w:val="none" w:sz="0" w:space="0" w:color="auto"/>
        <w:right w:val="none" w:sz="0" w:space="0" w:color="auto"/>
      </w:divBdr>
      <w:divsChild>
        <w:div w:id="1028873197">
          <w:marLeft w:val="0"/>
          <w:marRight w:val="0"/>
          <w:marTop w:val="0"/>
          <w:marBottom w:val="0"/>
          <w:divBdr>
            <w:top w:val="none" w:sz="0" w:space="0" w:color="auto"/>
            <w:left w:val="none" w:sz="0" w:space="0" w:color="auto"/>
            <w:bottom w:val="none" w:sz="0" w:space="0" w:color="auto"/>
            <w:right w:val="none" w:sz="0" w:space="0" w:color="auto"/>
          </w:divBdr>
        </w:div>
        <w:div w:id="462431580">
          <w:marLeft w:val="0"/>
          <w:marRight w:val="0"/>
          <w:marTop w:val="0"/>
          <w:marBottom w:val="0"/>
          <w:divBdr>
            <w:top w:val="none" w:sz="0" w:space="0" w:color="auto"/>
            <w:left w:val="none" w:sz="0" w:space="0" w:color="auto"/>
            <w:bottom w:val="none" w:sz="0" w:space="0" w:color="auto"/>
            <w:right w:val="none" w:sz="0" w:space="0" w:color="auto"/>
          </w:divBdr>
        </w:div>
      </w:divsChild>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326514765">
      <w:bodyDiv w:val="1"/>
      <w:marLeft w:val="0"/>
      <w:marRight w:val="0"/>
      <w:marTop w:val="0"/>
      <w:marBottom w:val="0"/>
      <w:divBdr>
        <w:top w:val="none" w:sz="0" w:space="0" w:color="auto"/>
        <w:left w:val="none" w:sz="0" w:space="0" w:color="auto"/>
        <w:bottom w:val="none" w:sz="0" w:space="0" w:color="auto"/>
        <w:right w:val="none" w:sz="0" w:space="0" w:color="auto"/>
      </w:divBdr>
    </w:div>
    <w:div w:id="1541278438">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1562475810">
      <w:bodyDiv w:val="1"/>
      <w:marLeft w:val="0"/>
      <w:marRight w:val="0"/>
      <w:marTop w:val="0"/>
      <w:marBottom w:val="0"/>
      <w:divBdr>
        <w:top w:val="none" w:sz="0" w:space="0" w:color="auto"/>
        <w:left w:val="none" w:sz="0" w:space="0" w:color="auto"/>
        <w:bottom w:val="none" w:sz="0" w:space="0" w:color="auto"/>
        <w:right w:val="none" w:sz="0" w:space="0" w:color="auto"/>
      </w:divBdr>
    </w:div>
    <w:div w:id="1653174677">
      <w:bodyDiv w:val="1"/>
      <w:marLeft w:val="0"/>
      <w:marRight w:val="0"/>
      <w:marTop w:val="0"/>
      <w:marBottom w:val="0"/>
      <w:divBdr>
        <w:top w:val="none" w:sz="0" w:space="0" w:color="auto"/>
        <w:left w:val="none" w:sz="0" w:space="0" w:color="auto"/>
        <w:bottom w:val="none" w:sz="0" w:space="0" w:color="auto"/>
        <w:right w:val="none" w:sz="0" w:space="0" w:color="auto"/>
      </w:divBdr>
    </w:div>
    <w:div w:id="1813015804">
      <w:bodyDiv w:val="1"/>
      <w:marLeft w:val="0"/>
      <w:marRight w:val="0"/>
      <w:marTop w:val="0"/>
      <w:marBottom w:val="0"/>
      <w:divBdr>
        <w:top w:val="none" w:sz="0" w:space="0" w:color="auto"/>
        <w:left w:val="none" w:sz="0" w:space="0" w:color="auto"/>
        <w:bottom w:val="none" w:sz="0" w:space="0" w:color="auto"/>
        <w:right w:val="none" w:sz="0" w:space="0" w:color="auto"/>
      </w:divBdr>
    </w:div>
    <w:div w:id="1849520062">
      <w:bodyDiv w:val="1"/>
      <w:marLeft w:val="0"/>
      <w:marRight w:val="0"/>
      <w:marTop w:val="0"/>
      <w:marBottom w:val="0"/>
      <w:divBdr>
        <w:top w:val="none" w:sz="0" w:space="0" w:color="auto"/>
        <w:left w:val="none" w:sz="0" w:space="0" w:color="auto"/>
        <w:bottom w:val="none" w:sz="0" w:space="0" w:color="auto"/>
        <w:right w:val="none" w:sz="0" w:space="0" w:color="auto"/>
      </w:divBdr>
    </w:div>
    <w:div w:id="1863132314">
      <w:bodyDiv w:val="1"/>
      <w:marLeft w:val="0"/>
      <w:marRight w:val="0"/>
      <w:marTop w:val="0"/>
      <w:marBottom w:val="0"/>
      <w:divBdr>
        <w:top w:val="none" w:sz="0" w:space="0" w:color="auto"/>
        <w:left w:val="none" w:sz="0" w:space="0" w:color="auto"/>
        <w:bottom w:val="none" w:sz="0" w:space="0" w:color="auto"/>
        <w:right w:val="none" w:sz="0" w:space="0" w:color="auto"/>
      </w:divBdr>
    </w:div>
    <w:div w:id="1915699988">
      <w:bodyDiv w:val="1"/>
      <w:marLeft w:val="0"/>
      <w:marRight w:val="0"/>
      <w:marTop w:val="0"/>
      <w:marBottom w:val="0"/>
      <w:divBdr>
        <w:top w:val="none" w:sz="0" w:space="0" w:color="auto"/>
        <w:left w:val="none" w:sz="0" w:space="0" w:color="auto"/>
        <w:bottom w:val="none" w:sz="0" w:space="0" w:color="auto"/>
        <w:right w:val="none" w:sz="0" w:space="0" w:color="auto"/>
      </w:divBdr>
    </w:div>
    <w:div w:id="1929195056">
      <w:bodyDiv w:val="1"/>
      <w:marLeft w:val="0"/>
      <w:marRight w:val="0"/>
      <w:marTop w:val="0"/>
      <w:marBottom w:val="0"/>
      <w:divBdr>
        <w:top w:val="none" w:sz="0" w:space="0" w:color="auto"/>
        <w:left w:val="none" w:sz="0" w:space="0" w:color="auto"/>
        <w:bottom w:val="none" w:sz="0" w:space="0" w:color="auto"/>
        <w:right w:val="none" w:sz="0" w:space="0" w:color="auto"/>
      </w:divBdr>
    </w:div>
    <w:div w:id="1977449346">
      <w:bodyDiv w:val="1"/>
      <w:marLeft w:val="0"/>
      <w:marRight w:val="0"/>
      <w:marTop w:val="0"/>
      <w:marBottom w:val="0"/>
      <w:divBdr>
        <w:top w:val="none" w:sz="0" w:space="0" w:color="auto"/>
        <w:left w:val="none" w:sz="0" w:space="0" w:color="auto"/>
        <w:bottom w:val="none" w:sz="0" w:space="0" w:color="auto"/>
        <w:right w:val="none" w:sz="0" w:space="0" w:color="auto"/>
      </w:divBdr>
    </w:div>
    <w:div w:id="2007126933">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pc.colorado.edu/publication/censorsh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pc.colorado.edu/publication/censor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utua@buffalo.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federalregister.gov/documents/2020/09/28/2020-21534/combating-race-and-sex-stereotyping" TargetMode="External"/><Relationship Id="rId13" Type="http://schemas.openxmlformats.org/officeDocument/2006/relationships/hyperlink" Target="https://abcnews.go.com/US/wireStory/wave-new-bills-define-antisemitism-3-states-become-106756518" TargetMode="External"/><Relationship Id="rId18" Type="http://schemas.openxmlformats.org/officeDocument/2006/relationships/hyperlink" Target="https://www.aaup.org/NR/rdonlyres/A6520A9D-0A9A-47B3-B550-C006B5B224E7/0/1915Declaration.pdf" TargetMode="External"/><Relationship Id="rId3" Type="http://schemas.openxmlformats.org/officeDocument/2006/relationships/hyperlink" Target="https://crtforward.law.ucla.edu/wp-content/uploads/2023/04/UCLA-Law_CRT-Report_Final.pdf" TargetMode="External"/><Relationship Id="rId21" Type="http://schemas.openxmlformats.org/officeDocument/2006/relationships/hyperlink" Target="https://www.grants.gov/learn-grants/grant-making-agencies.html" TargetMode="External"/><Relationship Id="rId7" Type="http://schemas.openxmlformats.org/officeDocument/2006/relationships/hyperlink" Target="https://www.buffalo.edu/baldycenter/multimedia/blog/23-24-blog.html" TargetMode="External"/><Relationship Id="rId12" Type="http://schemas.openxmlformats.org/officeDocument/2006/relationships/hyperlink" Target="https://www.newyorker.com/news/the-weekend-essay/in-the-shadow-of-the-holocaust" TargetMode="External"/><Relationship Id="rId17" Type="http://schemas.openxmlformats.org/officeDocument/2006/relationships/hyperlink" Target="https://nepc.colorado.edu/publication/censorship" TargetMode="External"/><Relationship Id="rId25" Type="http://schemas.openxmlformats.org/officeDocument/2006/relationships/hyperlink" Target="https://www.theguardian.com/us-news/2023/dec/09/university-of-pennsylvania-president-free-speech-antisemitism" TargetMode="External"/><Relationship Id="rId2" Type="http://schemas.openxmlformats.org/officeDocument/2006/relationships/hyperlink" Target="https://crtforward.law.ucla.edu/" TargetMode="External"/><Relationship Id="rId16" Type="http://schemas.openxmlformats.org/officeDocument/2006/relationships/hyperlink" Target="https://constitution.congress.gov/constitution/amendment-1/" TargetMode="External"/><Relationship Id="rId20" Type="http://schemas.openxmlformats.org/officeDocument/2006/relationships/hyperlink" Target="https://www.aaup.org/report/statement-government-colleges-and-universities" TargetMode="External"/><Relationship Id="rId1" Type="http://schemas.openxmlformats.org/officeDocument/2006/relationships/hyperlink" Target="https://digitalcommons.law.buffalo.edu/journal_articles/1198/" TargetMode="External"/><Relationship Id="rId6" Type="http://schemas.openxmlformats.org/officeDocument/2006/relationships/hyperlink" Target="https://pen.org/report/americas-censored-classrooms-2023/" TargetMode="External"/><Relationship Id="rId11" Type="http://schemas.openxmlformats.org/officeDocument/2006/relationships/hyperlink" Target="https://holocaustremembrance.com/resources/working-definition-antisemitism" TargetMode="External"/><Relationship Id="rId24" Type="http://schemas.openxmlformats.org/officeDocument/2006/relationships/hyperlink" Target="https://acrobat.adobe.com/id/urn:aaid:sc:US:6f42f4a5-6f67-47d4-af57-0ecfc56bc091" TargetMode="External"/><Relationship Id="rId5" Type="http://schemas.openxmlformats.org/officeDocument/2006/relationships/hyperlink" Target="https://pen.org/spineless-shelves/" TargetMode="External"/><Relationship Id="rId15" Type="http://schemas.openxmlformats.org/officeDocument/2006/relationships/hyperlink" Target="https://www.aaup.org/our-work/protecting-academic-freedom/academic-freedom-and-first-amendment-2007" TargetMode="External"/><Relationship Id="rId23" Type="http://schemas.openxmlformats.org/officeDocument/2006/relationships/hyperlink" Target="https://medium.com/@atillery2/putting-the-racist-crusade-against-harvards-dr-claudine-gay-in-context-26535c307f96" TargetMode="External"/><Relationship Id="rId10" Type="http://schemas.openxmlformats.org/officeDocument/2006/relationships/hyperlink" Target="https://www.aclu.org/documents/letter-co-sponsors-proposed-american-bar-association-resolution-514-antisemitism" TargetMode="External"/><Relationship Id="rId19" Type="http://schemas.openxmlformats.org/officeDocument/2006/relationships/hyperlink" Target="https://www.aaup.org/report/1940-statement-principles-academic-freedom-and-tenure" TargetMode="External"/><Relationship Id="rId4" Type="http://schemas.openxmlformats.org/officeDocument/2006/relationships/hyperlink" Target="https://nepc.colorado.edu/publication/censorship" TargetMode="External"/><Relationship Id="rId9" Type="http://schemas.openxmlformats.org/officeDocument/2006/relationships/hyperlink" Target="https://pen.org/report/the-florida-effect/" TargetMode="External"/><Relationship Id="rId14" Type="http://schemas.openxmlformats.org/officeDocument/2006/relationships/hyperlink" Target="https://www.aclu.org/cases/students-for-justice-in-palestine-at-the-university-of-florida-v-raymond-rodrigues" TargetMode="External"/><Relationship Id="rId22" Type="http://schemas.openxmlformats.org/officeDocument/2006/relationships/hyperlink" Target="https://www.govinfo.gov/content/pkg/USCODE-2011-title35/html/USCODE-2011-title35-partII-chap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CLC_Critical Legal Collective (United States)</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DEC768-9ACE-4094-A524-33E8F9A3DBBA}"/>
</file>

<file path=customXml/itemProps4.xml><?xml version="1.0" encoding="utf-8"?>
<ds:datastoreItem xmlns:ds="http://schemas.openxmlformats.org/officeDocument/2006/customXml" ds:itemID="{C9BB3F81-FDD3-4F64-A3A5-963A544E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3880</Words>
  <Characters>22122</Characters>
  <Application>Microsoft Office Word</Application>
  <DocSecurity>0</DocSecurity>
  <Lines>184</Lines>
  <Paragraphs>51</Paragraphs>
  <ScaleCrop>false</ScaleCrop>
  <HeadingPairs>
    <vt:vector size="6" baseType="variant">
      <vt:variant>
        <vt:lpstr>Title</vt:lpstr>
      </vt:variant>
      <vt:variant>
        <vt:i4>1</vt:i4>
      </vt:variant>
      <vt:variant>
        <vt:lpstr>Headings</vt:lpstr>
      </vt:variant>
      <vt:variant>
        <vt:i4>12</vt:i4>
      </vt:variant>
      <vt:variant>
        <vt:lpstr/>
      </vt:variant>
      <vt:variant>
        <vt:i4>1</vt:i4>
      </vt:variant>
    </vt:vector>
  </HeadingPairs>
  <TitlesOfParts>
    <vt:vector size="14" baseType="lpstr">
      <vt:lpstr/>
      <vt:lpstr>        </vt:lpstr>
      <vt:lpstr>        25.  However, federal government funding of academic research has declined.  Dur</vt:lpstr>
      <vt:lpstr>        26.  The move to privatize public education (K-12 schools) has had bipartisan su</vt:lpstr>
      <vt:lpstr>        </vt:lpstr>
      <vt:lpstr>        27.  Diane Ravitch, a leading education historian and a former member of the con</vt:lpstr>
      <vt:lpstr>        </vt:lpstr>
      <vt:lpstr>        28.  Jim Freeman, a civil rights attorney, notes that the movement has operated </vt:lpstr>
      <vt:lpstr>        29.  While Ravitch distinguishes among the various types of privatization warrio</vt:lpstr>
      <vt:lpstr>        </vt:lpstr>
      <vt:lpstr>        Privatization and Corporatization in Higher Education</vt:lpstr>
      <vt:lpstr>        </vt:lpstr>
      <vt:lpstr>        30.  Privatization in the context of U.S. higher education is manifest most squa</vt: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Athena Mutua</dc:creator>
  <cp:lastModifiedBy>Athena Mutua</cp:lastModifiedBy>
  <cp:revision>2</cp:revision>
  <cp:lastPrinted>2024-02-02T12:07:00Z</cp:lastPrinted>
  <dcterms:created xsi:type="dcterms:W3CDTF">2024-02-05T04:54:00Z</dcterms:created>
  <dcterms:modified xsi:type="dcterms:W3CDTF">2024-02-05T04:54:00Z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MediaServiceImageTags">
    <vt:lpwstr/>
  </property>
</Properties>
</file>