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A77C58">
        <w:rPr>
          <w:sz w:val="24"/>
          <w:szCs w:val="24"/>
          <w:lang w:val="en-US"/>
        </w:rPr>
        <w:t>actors</w:t>
      </w:r>
      <w:proofErr w:type="gramEnd"/>
      <w:r w:rsidRPr="00A77C58">
        <w:rPr>
          <w:sz w:val="24"/>
          <w:szCs w:val="24"/>
          <w:lang w:val="en-US"/>
        </w:rPr>
        <w:t xml:space="preserve">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3A55E96F" w:rsidR="004C72E6" w:rsidRPr="00BA4F85" w:rsidRDefault="00BA4F85" w:rsidP="004901B5">
            <w:pPr>
              <w:spacing w:before="120" w:after="120"/>
              <w:rPr>
                <w:sz w:val="24"/>
                <w:szCs w:val="24"/>
                <w:lang w:val="en-US"/>
              </w:rPr>
            </w:pPr>
            <w:r w:rsidRPr="00BA4F85">
              <w:rPr>
                <w:sz w:val="24"/>
                <w:szCs w:val="24"/>
                <w:lang w:val="en-US"/>
              </w:rPr>
              <w:t>Malaysian Academic Movement (GERAK)</w:t>
            </w:r>
          </w:p>
        </w:tc>
      </w:tr>
    </w:tbl>
    <w:p w14:paraId="4C1A65D3" w14:textId="77777777" w:rsidR="004C72E6" w:rsidRDefault="004C72E6" w:rsidP="00987912">
      <w:pPr>
        <w:spacing w:before="120" w:after="120"/>
        <w:ind w:firstLine="425"/>
        <w:jc w:val="both"/>
        <w:rPr>
          <w:sz w:val="24"/>
          <w:szCs w:val="24"/>
          <w:lang w:val="en-US"/>
        </w:rPr>
      </w:pPr>
    </w:p>
    <w:p w14:paraId="72684A72" w14:textId="77777777" w:rsidR="000325DB" w:rsidRDefault="000325DB" w:rsidP="00987912">
      <w:pPr>
        <w:spacing w:before="120" w:after="120"/>
        <w:ind w:firstLine="425"/>
        <w:jc w:val="both"/>
        <w:rPr>
          <w:sz w:val="24"/>
          <w:szCs w:val="24"/>
          <w:lang w:val="en-US"/>
        </w:rPr>
      </w:pPr>
    </w:p>
    <w:p w14:paraId="70C067AA" w14:textId="77777777" w:rsidR="000325DB" w:rsidRDefault="000325DB" w:rsidP="00987912">
      <w:pPr>
        <w:spacing w:before="120" w:after="120"/>
        <w:ind w:firstLine="425"/>
        <w:jc w:val="both"/>
        <w:rPr>
          <w:sz w:val="24"/>
          <w:szCs w:val="24"/>
          <w:lang w:val="en-US"/>
        </w:rPr>
      </w:pPr>
    </w:p>
    <w:p w14:paraId="13A1C00D" w14:textId="15996A3F" w:rsidR="00987912" w:rsidRDefault="00BA4F85" w:rsidP="00987912">
      <w:pPr>
        <w:spacing w:before="120" w:after="120"/>
        <w:ind w:firstLine="425"/>
        <w:jc w:val="both"/>
        <w:rPr>
          <w:sz w:val="24"/>
          <w:szCs w:val="24"/>
          <w:lang w:val="en-US"/>
        </w:rPr>
      </w:pPr>
      <w:r>
        <w:rPr>
          <w:sz w:val="24"/>
          <w:szCs w:val="24"/>
          <w:lang w:val="en-US"/>
        </w:rPr>
        <w:t xml:space="preserve"> </w:t>
      </w: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3FBA808A" w:rsidR="00987912" w:rsidRPr="004901B5" w:rsidRDefault="00987912" w:rsidP="004901B5">
      <w:pPr>
        <w:pStyle w:val="ListParagraph"/>
        <w:numPr>
          <w:ilvl w:val="0"/>
          <w:numId w:val="34"/>
        </w:numPr>
        <w:spacing w:before="120" w:after="120"/>
        <w:jc w:val="both"/>
        <w:rPr>
          <w:sz w:val="24"/>
          <w:szCs w:val="24"/>
          <w:lang w:val="en-US"/>
        </w:rPr>
      </w:pPr>
      <w:r w:rsidRPr="004901B5">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7776A595" w14:textId="77777777" w:rsidR="00F068C4" w:rsidRDefault="00F068C4" w:rsidP="004901B5">
      <w:pPr>
        <w:pStyle w:val="ListParagraph"/>
        <w:spacing w:before="120" w:after="120"/>
        <w:ind w:left="930"/>
        <w:jc w:val="both"/>
        <w:rPr>
          <w:i/>
          <w:iCs/>
          <w:sz w:val="24"/>
          <w:szCs w:val="24"/>
          <w:lang w:val="en-US"/>
        </w:rPr>
      </w:pPr>
    </w:p>
    <w:p w14:paraId="44EFD490" w14:textId="70513BF9" w:rsidR="004901B5" w:rsidRDefault="004901B5" w:rsidP="004901B5">
      <w:pPr>
        <w:pStyle w:val="ListParagraph"/>
        <w:spacing w:before="120" w:after="120"/>
        <w:ind w:left="930"/>
        <w:jc w:val="both"/>
        <w:rPr>
          <w:i/>
          <w:iCs/>
          <w:sz w:val="24"/>
          <w:szCs w:val="24"/>
          <w:lang w:val="en-US"/>
        </w:rPr>
      </w:pPr>
      <w:r>
        <w:rPr>
          <w:i/>
          <w:iCs/>
          <w:sz w:val="24"/>
          <w:szCs w:val="24"/>
          <w:lang w:val="en-US"/>
        </w:rPr>
        <w:t>Not defined in the Malaysian constitution nor law</w:t>
      </w:r>
    </w:p>
    <w:p w14:paraId="21D1D1B9" w14:textId="77777777" w:rsidR="004901B5" w:rsidRPr="004901B5" w:rsidRDefault="004901B5" w:rsidP="004901B5">
      <w:pPr>
        <w:pStyle w:val="ListParagraph"/>
        <w:spacing w:before="120" w:after="120"/>
        <w:ind w:left="930"/>
        <w:jc w:val="both"/>
        <w:rPr>
          <w:i/>
          <w:iCs/>
          <w:sz w:val="24"/>
          <w:szCs w:val="24"/>
          <w:lang w:val="en-US"/>
        </w:rPr>
      </w:pPr>
    </w:p>
    <w:p w14:paraId="374673F2" w14:textId="33AC6B5A" w:rsidR="00987912" w:rsidRPr="004901B5" w:rsidRDefault="00987912" w:rsidP="004901B5">
      <w:pPr>
        <w:pStyle w:val="ListParagraph"/>
        <w:numPr>
          <w:ilvl w:val="0"/>
          <w:numId w:val="34"/>
        </w:numPr>
        <w:spacing w:before="120" w:after="120"/>
        <w:jc w:val="both"/>
        <w:rPr>
          <w:sz w:val="24"/>
          <w:szCs w:val="24"/>
          <w:lang w:val="en-US"/>
        </w:rPr>
      </w:pPr>
      <w:r w:rsidRPr="004901B5">
        <w:rPr>
          <w:sz w:val="24"/>
          <w:szCs w:val="24"/>
          <w:lang w:val="en-US"/>
        </w:rPr>
        <w:t>Are academic staff, teachers, students all entitled to academic freedom? Does this differ by level of education? Please explain.</w:t>
      </w:r>
    </w:p>
    <w:p w14:paraId="31F2BB90" w14:textId="77777777" w:rsidR="00F068C4" w:rsidRDefault="00F068C4" w:rsidP="004901B5">
      <w:pPr>
        <w:pStyle w:val="ListParagraph"/>
        <w:spacing w:before="120" w:after="120"/>
        <w:ind w:left="930"/>
        <w:jc w:val="both"/>
        <w:rPr>
          <w:i/>
          <w:iCs/>
          <w:sz w:val="24"/>
          <w:szCs w:val="24"/>
          <w:lang w:val="en-US"/>
        </w:rPr>
      </w:pPr>
    </w:p>
    <w:p w14:paraId="60E7B234" w14:textId="1DBB3526" w:rsidR="004901B5" w:rsidRDefault="004901B5" w:rsidP="004901B5">
      <w:pPr>
        <w:pStyle w:val="ListParagraph"/>
        <w:spacing w:before="120" w:after="120"/>
        <w:ind w:left="930"/>
        <w:jc w:val="both"/>
        <w:rPr>
          <w:i/>
          <w:iCs/>
          <w:sz w:val="24"/>
          <w:szCs w:val="24"/>
          <w:lang w:val="en-US"/>
        </w:rPr>
      </w:pPr>
      <w:r>
        <w:rPr>
          <w:i/>
          <w:iCs/>
          <w:sz w:val="24"/>
          <w:szCs w:val="24"/>
          <w:lang w:val="en-US"/>
        </w:rPr>
        <w:t>No legal entitlement</w:t>
      </w:r>
      <w:r w:rsidR="00FE6F41">
        <w:rPr>
          <w:i/>
          <w:iCs/>
          <w:sz w:val="24"/>
          <w:szCs w:val="24"/>
          <w:lang w:val="en-US"/>
        </w:rPr>
        <w:t xml:space="preserve"> but practiced independently by HEI’s</w:t>
      </w:r>
    </w:p>
    <w:p w14:paraId="706F9BE8" w14:textId="5B52CB23" w:rsidR="00FE6F41" w:rsidRDefault="00FE6F41" w:rsidP="004901B5">
      <w:pPr>
        <w:pStyle w:val="ListParagraph"/>
        <w:spacing w:before="120" w:after="120"/>
        <w:ind w:left="930"/>
        <w:jc w:val="both"/>
        <w:rPr>
          <w:i/>
          <w:iCs/>
          <w:sz w:val="24"/>
          <w:szCs w:val="24"/>
          <w:lang w:val="en-US"/>
        </w:rPr>
      </w:pPr>
      <w:r>
        <w:rPr>
          <w:i/>
          <w:iCs/>
          <w:sz w:val="24"/>
          <w:szCs w:val="24"/>
          <w:lang w:val="en-US"/>
        </w:rPr>
        <w:t>Each HEI adopted</w:t>
      </w:r>
      <w:r w:rsidR="00EB5A47">
        <w:rPr>
          <w:i/>
          <w:iCs/>
          <w:sz w:val="24"/>
          <w:szCs w:val="24"/>
          <w:lang w:val="en-US"/>
        </w:rPr>
        <w:t xml:space="preserve"> differing,</w:t>
      </w:r>
      <w:r>
        <w:rPr>
          <w:i/>
          <w:iCs/>
          <w:sz w:val="24"/>
          <w:szCs w:val="24"/>
          <w:lang w:val="en-US"/>
        </w:rPr>
        <w:t xml:space="preserve"> selected parts of 1997 UN Recommendation </w:t>
      </w:r>
    </w:p>
    <w:p w14:paraId="6B053EA8" w14:textId="2C91B80C" w:rsidR="00EB5A47" w:rsidRDefault="00EB5A47" w:rsidP="004901B5">
      <w:pPr>
        <w:pStyle w:val="ListParagraph"/>
        <w:spacing w:before="120" w:after="120"/>
        <w:ind w:left="930"/>
        <w:jc w:val="both"/>
        <w:rPr>
          <w:i/>
          <w:iCs/>
          <w:sz w:val="24"/>
          <w:szCs w:val="24"/>
          <w:lang w:val="en-US"/>
        </w:rPr>
      </w:pPr>
      <w:r>
        <w:rPr>
          <w:i/>
          <w:iCs/>
          <w:sz w:val="24"/>
          <w:szCs w:val="24"/>
          <w:lang w:val="en-US"/>
        </w:rPr>
        <w:t>Each HEI has different level of adoption, but all are generally low</w:t>
      </w:r>
    </w:p>
    <w:p w14:paraId="53807FC7" w14:textId="77777777" w:rsidR="00EB5A47" w:rsidRPr="004901B5" w:rsidRDefault="00EB5A47" w:rsidP="004901B5">
      <w:pPr>
        <w:pStyle w:val="ListParagraph"/>
        <w:spacing w:before="120" w:after="120"/>
        <w:ind w:left="930"/>
        <w:jc w:val="both"/>
        <w:rPr>
          <w:i/>
          <w:iCs/>
          <w:sz w:val="24"/>
          <w:szCs w:val="24"/>
          <w:lang w:val="en-US"/>
        </w:rPr>
      </w:pPr>
    </w:p>
    <w:p w14:paraId="7FF1BC5A" w14:textId="77777777" w:rsidR="00F068C4" w:rsidRDefault="00987912" w:rsidP="00EB5A47">
      <w:pPr>
        <w:pStyle w:val="ListParagraph"/>
        <w:numPr>
          <w:ilvl w:val="0"/>
          <w:numId w:val="34"/>
        </w:numPr>
        <w:spacing w:before="120" w:after="120"/>
        <w:jc w:val="both"/>
        <w:rPr>
          <w:sz w:val="24"/>
          <w:szCs w:val="24"/>
          <w:lang w:val="en-US"/>
        </w:rPr>
      </w:pPr>
      <w:r w:rsidRPr="00EB5A47">
        <w:rPr>
          <w:sz w:val="24"/>
          <w:szCs w:val="24"/>
          <w:lang w:val="en-US"/>
        </w:rPr>
        <w:t>What do you consider to be (a) the main challenges to academic freedom, and (b) gaps in the legal framework for protecting academic freedom?</w:t>
      </w:r>
    </w:p>
    <w:p w14:paraId="24DAD4DF" w14:textId="48124519" w:rsidR="00987912" w:rsidRPr="00EB5A47" w:rsidRDefault="00987912" w:rsidP="00F068C4">
      <w:pPr>
        <w:pStyle w:val="ListParagraph"/>
        <w:spacing w:before="120" w:after="120"/>
        <w:ind w:left="930"/>
        <w:jc w:val="both"/>
        <w:rPr>
          <w:sz w:val="24"/>
          <w:szCs w:val="24"/>
          <w:lang w:val="en-US"/>
        </w:rPr>
      </w:pPr>
      <w:r w:rsidRPr="00EB5A47">
        <w:rPr>
          <w:sz w:val="24"/>
          <w:szCs w:val="24"/>
          <w:lang w:val="en-US"/>
        </w:rPr>
        <w:t xml:space="preserve"> </w:t>
      </w:r>
    </w:p>
    <w:p w14:paraId="727553F0" w14:textId="53841F63" w:rsidR="00EB5A47" w:rsidRDefault="00EB5A47" w:rsidP="00A56D2E">
      <w:pPr>
        <w:pStyle w:val="ListParagraph"/>
        <w:numPr>
          <w:ilvl w:val="0"/>
          <w:numId w:val="35"/>
        </w:numPr>
        <w:spacing w:before="120" w:after="120"/>
        <w:jc w:val="both"/>
        <w:rPr>
          <w:i/>
          <w:iCs/>
          <w:sz w:val="24"/>
          <w:szCs w:val="24"/>
          <w:lang w:val="en-US"/>
        </w:rPr>
      </w:pPr>
      <w:r>
        <w:rPr>
          <w:i/>
          <w:iCs/>
          <w:sz w:val="24"/>
          <w:szCs w:val="24"/>
          <w:lang w:val="en-US"/>
        </w:rPr>
        <w:t>Individuals and universities have different understanding of academic freedom.</w:t>
      </w:r>
    </w:p>
    <w:p w14:paraId="6E377E76" w14:textId="368BCBE0" w:rsidR="00A56D2E" w:rsidRDefault="00A56D2E" w:rsidP="00A56D2E">
      <w:pPr>
        <w:pStyle w:val="ListParagraph"/>
        <w:spacing w:before="120" w:after="120"/>
        <w:ind w:left="1290"/>
        <w:jc w:val="both"/>
        <w:rPr>
          <w:i/>
          <w:iCs/>
          <w:sz w:val="24"/>
          <w:szCs w:val="24"/>
          <w:lang w:val="en-US"/>
        </w:rPr>
      </w:pPr>
      <w:r>
        <w:rPr>
          <w:i/>
          <w:iCs/>
          <w:sz w:val="24"/>
          <w:szCs w:val="24"/>
          <w:lang w:val="en-US"/>
        </w:rPr>
        <w:t>Reluctance to adopt academic freedom by government and universities</w:t>
      </w:r>
    </w:p>
    <w:p w14:paraId="5930D749" w14:textId="5608AC76" w:rsidR="00A56D2E" w:rsidRDefault="00A56D2E" w:rsidP="00A56D2E">
      <w:pPr>
        <w:pStyle w:val="ListParagraph"/>
        <w:spacing w:before="120" w:after="120"/>
        <w:ind w:left="1290"/>
        <w:jc w:val="both"/>
        <w:rPr>
          <w:i/>
          <w:iCs/>
          <w:sz w:val="24"/>
          <w:szCs w:val="24"/>
          <w:lang w:val="en-US"/>
        </w:rPr>
      </w:pPr>
      <w:r>
        <w:rPr>
          <w:i/>
          <w:iCs/>
          <w:sz w:val="24"/>
          <w:szCs w:val="24"/>
          <w:lang w:val="en-US"/>
        </w:rPr>
        <w:t xml:space="preserve">Lack of advocacy. Very limited number of </w:t>
      </w:r>
      <w:r w:rsidR="005A0E8A">
        <w:rPr>
          <w:i/>
          <w:iCs/>
          <w:sz w:val="24"/>
          <w:szCs w:val="24"/>
          <w:lang w:val="en-US"/>
        </w:rPr>
        <w:t>organizations</w:t>
      </w:r>
      <w:r>
        <w:rPr>
          <w:i/>
          <w:iCs/>
          <w:sz w:val="24"/>
          <w:szCs w:val="24"/>
          <w:lang w:val="en-US"/>
        </w:rPr>
        <w:t xml:space="preserve"> and individuals</w:t>
      </w:r>
    </w:p>
    <w:p w14:paraId="5A387F2D" w14:textId="216DF249" w:rsidR="00A56D2E" w:rsidRPr="00EB5A47" w:rsidRDefault="00A56D2E" w:rsidP="00A56D2E">
      <w:pPr>
        <w:pStyle w:val="ListParagraph"/>
        <w:numPr>
          <w:ilvl w:val="0"/>
          <w:numId w:val="35"/>
        </w:numPr>
        <w:spacing w:before="120" w:after="120"/>
        <w:jc w:val="both"/>
        <w:rPr>
          <w:i/>
          <w:iCs/>
          <w:sz w:val="24"/>
          <w:szCs w:val="24"/>
          <w:lang w:val="en-US"/>
        </w:rPr>
      </w:pPr>
      <w:r>
        <w:rPr>
          <w:i/>
          <w:iCs/>
          <w:sz w:val="24"/>
          <w:szCs w:val="24"/>
          <w:lang w:val="en-US"/>
        </w:rPr>
        <w:t>No legal framework</w:t>
      </w: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6864FAC0" w:rsidR="00091AC2" w:rsidRPr="005A0E8A" w:rsidRDefault="00987912" w:rsidP="005A0E8A">
      <w:pPr>
        <w:pStyle w:val="ListParagraph"/>
        <w:numPr>
          <w:ilvl w:val="0"/>
          <w:numId w:val="34"/>
        </w:numPr>
        <w:spacing w:before="120" w:after="120"/>
        <w:jc w:val="both"/>
        <w:rPr>
          <w:sz w:val="24"/>
          <w:szCs w:val="24"/>
          <w:lang w:val="en-US"/>
        </w:rPr>
      </w:pPr>
      <w:r w:rsidRPr="005A0E8A">
        <w:rPr>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0FC3F447" w14:textId="77777777" w:rsidR="00F068C4" w:rsidRDefault="00F068C4" w:rsidP="005A0E8A">
      <w:pPr>
        <w:pStyle w:val="ListParagraph"/>
        <w:spacing w:before="120" w:after="120"/>
        <w:ind w:left="930"/>
        <w:jc w:val="both"/>
        <w:rPr>
          <w:i/>
          <w:iCs/>
          <w:sz w:val="24"/>
          <w:szCs w:val="24"/>
          <w:lang w:val="en-US"/>
        </w:rPr>
      </w:pPr>
    </w:p>
    <w:p w14:paraId="45264655" w14:textId="77D3B497" w:rsidR="005A0E8A" w:rsidRDefault="00A27328" w:rsidP="005A0E8A">
      <w:pPr>
        <w:pStyle w:val="ListParagraph"/>
        <w:spacing w:before="120" w:after="120"/>
        <w:ind w:left="930"/>
        <w:jc w:val="both"/>
        <w:rPr>
          <w:i/>
          <w:iCs/>
          <w:sz w:val="24"/>
          <w:szCs w:val="24"/>
          <w:lang w:val="en-US"/>
        </w:rPr>
      </w:pPr>
      <w:r w:rsidRPr="00A27328">
        <w:rPr>
          <w:i/>
          <w:iCs/>
          <w:sz w:val="24"/>
          <w:szCs w:val="24"/>
          <w:lang w:val="en-US"/>
        </w:rPr>
        <w:t xml:space="preserve">Varying </w:t>
      </w:r>
      <w:r>
        <w:rPr>
          <w:i/>
          <w:iCs/>
          <w:sz w:val="24"/>
          <w:szCs w:val="24"/>
          <w:lang w:val="en-US"/>
        </w:rPr>
        <w:t>level of autonomy among HEI</w:t>
      </w:r>
    </w:p>
    <w:p w14:paraId="62C562FD" w14:textId="41B4C34F" w:rsidR="00A27328" w:rsidRDefault="00A27328" w:rsidP="005A0E8A">
      <w:pPr>
        <w:pStyle w:val="ListParagraph"/>
        <w:spacing w:before="120" w:after="120"/>
        <w:ind w:left="930"/>
        <w:jc w:val="both"/>
        <w:rPr>
          <w:i/>
          <w:iCs/>
          <w:sz w:val="24"/>
          <w:szCs w:val="24"/>
          <w:lang w:val="en-US"/>
        </w:rPr>
      </w:pPr>
      <w:r>
        <w:rPr>
          <w:i/>
          <w:iCs/>
          <w:sz w:val="24"/>
          <w:szCs w:val="24"/>
          <w:lang w:val="en-US"/>
        </w:rPr>
        <w:t xml:space="preserve">Public universities are </w:t>
      </w:r>
      <w:proofErr w:type="spellStart"/>
      <w:proofErr w:type="gramStart"/>
      <w:r>
        <w:rPr>
          <w:i/>
          <w:iCs/>
          <w:sz w:val="24"/>
          <w:szCs w:val="24"/>
          <w:lang w:val="en-US"/>
        </w:rPr>
        <w:t>suppose</w:t>
      </w:r>
      <w:proofErr w:type="gramEnd"/>
      <w:r>
        <w:rPr>
          <w:i/>
          <w:iCs/>
          <w:sz w:val="24"/>
          <w:szCs w:val="24"/>
          <w:lang w:val="en-US"/>
        </w:rPr>
        <w:t xml:space="preserve"> to</w:t>
      </w:r>
      <w:proofErr w:type="spellEnd"/>
      <w:r>
        <w:rPr>
          <w:i/>
          <w:iCs/>
          <w:sz w:val="24"/>
          <w:szCs w:val="24"/>
          <w:lang w:val="en-US"/>
        </w:rPr>
        <w:t xml:space="preserve"> be autonomous, but the government still micromanage them</w:t>
      </w:r>
    </w:p>
    <w:p w14:paraId="2323D8EF" w14:textId="5EBE9036" w:rsidR="006F1DFE" w:rsidRDefault="006F1DFE" w:rsidP="005A0E8A">
      <w:pPr>
        <w:pStyle w:val="ListParagraph"/>
        <w:spacing w:before="120" w:after="120"/>
        <w:ind w:left="930"/>
        <w:jc w:val="both"/>
        <w:rPr>
          <w:i/>
          <w:iCs/>
          <w:sz w:val="24"/>
          <w:szCs w:val="24"/>
          <w:lang w:val="en-US"/>
        </w:rPr>
      </w:pPr>
      <w:r>
        <w:rPr>
          <w:i/>
          <w:iCs/>
          <w:sz w:val="24"/>
          <w:szCs w:val="24"/>
          <w:lang w:val="en-US"/>
        </w:rPr>
        <w:t xml:space="preserve">Autonomy being regarded as transferring of control of HEI </w:t>
      </w:r>
      <w:r w:rsidR="00F068C4">
        <w:rPr>
          <w:i/>
          <w:iCs/>
          <w:sz w:val="24"/>
          <w:szCs w:val="24"/>
          <w:lang w:val="en-US"/>
        </w:rPr>
        <w:t xml:space="preserve">to </w:t>
      </w:r>
      <w:proofErr w:type="gramStart"/>
      <w:r w:rsidR="00F068C4">
        <w:rPr>
          <w:i/>
          <w:iCs/>
          <w:sz w:val="24"/>
          <w:szCs w:val="24"/>
          <w:lang w:val="en-US"/>
        </w:rPr>
        <w:t>their</w:t>
      </w:r>
      <w:proofErr w:type="gramEnd"/>
      <w:r>
        <w:rPr>
          <w:i/>
          <w:iCs/>
          <w:sz w:val="24"/>
          <w:szCs w:val="24"/>
          <w:lang w:val="en-US"/>
        </w:rPr>
        <w:t xml:space="preserve"> </w:t>
      </w:r>
      <w:proofErr w:type="spellStart"/>
      <w:r>
        <w:rPr>
          <w:i/>
          <w:iCs/>
          <w:sz w:val="24"/>
          <w:szCs w:val="24"/>
          <w:lang w:val="en-US"/>
        </w:rPr>
        <w:t>their</w:t>
      </w:r>
      <w:proofErr w:type="spellEnd"/>
      <w:r>
        <w:rPr>
          <w:i/>
          <w:iCs/>
          <w:sz w:val="24"/>
          <w:szCs w:val="24"/>
          <w:lang w:val="en-US"/>
        </w:rPr>
        <w:t xml:space="preserve"> boards of directors or vice chancellors, without </w:t>
      </w:r>
      <w:r w:rsidR="00F068C4">
        <w:rPr>
          <w:i/>
          <w:iCs/>
          <w:sz w:val="24"/>
          <w:szCs w:val="24"/>
          <w:lang w:val="en-US"/>
        </w:rPr>
        <w:t xml:space="preserve">including the </w:t>
      </w:r>
      <w:r>
        <w:rPr>
          <w:i/>
          <w:iCs/>
          <w:sz w:val="24"/>
          <w:szCs w:val="24"/>
          <w:lang w:val="en-US"/>
        </w:rPr>
        <w:t>concept of collegiality. Generally, no changes in the level of academic freedom and rights within the universities.</w:t>
      </w:r>
    </w:p>
    <w:p w14:paraId="0BA120C3" w14:textId="3598675F" w:rsidR="00CB7FEA" w:rsidRDefault="00CB7FEA" w:rsidP="005A0E8A">
      <w:pPr>
        <w:pStyle w:val="ListParagraph"/>
        <w:spacing w:before="120" w:after="120"/>
        <w:ind w:left="930"/>
        <w:jc w:val="both"/>
        <w:rPr>
          <w:i/>
          <w:iCs/>
          <w:sz w:val="24"/>
          <w:szCs w:val="24"/>
          <w:lang w:val="en-US"/>
        </w:rPr>
      </w:pPr>
      <w:r>
        <w:rPr>
          <w:i/>
          <w:iCs/>
          <w:sz w:val="24"/>
          <w:szCs w:val="24"/>
          <w:lang w:val="en-US"/>
        </w:rPr>
        <w:t xml:space="preserve">The HEI were regarded as a normal public area, so there is no </w:t>
      </w:r>
      <w:proofErr w:type="spellStart"/>
      <w:r>
        <w:rPr>
          <w:i/>
          <w:iCs/>
          <w:sz w:val="24"/>
          <w:szCs w:val="24"/>
          <w:lang w:val="en-US"/>
        </w:rPr>
        <w:t>retriction</w:t>
      </w:r>
      <w:proofErr w:type="spellEnd"/>
      <w:r>
        <w:rPr>
          <w:i/>
          <w:iCs/>
          <w:sz w:val="24"/>
          <w:szCs w:val="24"/>
          <w:lang w:val="en-US"/>
        </w:rPr>
        <w:t xml:space="preserve"> on police and military on campus.</w:t>
      </w:r>
    </w:p>
    <w:p w14:paraId="1146B8FD" w14:textId="77777777" w:rsidR="00F068C4" w:rsidRPr="00A27328" w:rsidRDefault="00F068C4" w:rsidP="005A0E8A">
      <w:pPr>
        <w:pStyle w:val="ListParagraph"/>
        <w:spacing w:before="120" w:after="120"/>
        <w:ind w:left="930"/>
        <w:jc w:val="both"/>
        <w:rPr>
          <w:i/>
          <w:iCs/>
          <w:sz w:val="24"/>
          <w:szCs w:val="24"/>
          <w:lang w:val="en-US"/>
        </w:rPr>
      </w:pPr>
    </w:p>
    <w:p w14:paraId="072736CE" w14:textId="77777777" w:rsidR="00C47DE1" w:rsidRDefault="00C47DE1">
      <w:pPr>
        <w:rPr>
          <w:sz w:val="24"/>
          <w:szCs w:val="24"/>
          <w:lang w:val="en-US"/>
        </w:rPr>
      </w:pPr>
      <w:r>
        <w:rPr>
          <w:sz w:val="24"/>
          <w:szCs w:val="24"/>
          <w:lang w:val="en-US"/>
        </w:rPr>
        <w:br w:type="page"/>
      </w:r>
    </w:p>
    <w:p w14:paraId="5C833CFB" w14:textId="562FE9BF" w:rsidR="00987912" w:rsidRPr="00716886" w:rsidRDefault="00091AC2" w:rsidP="00716886">
      <w:pPr>
        <w:spacing w:before="120" w:after="120"/>
        <w:ind w:left="567" w:hanging="567"/>
        <w:jc w:val="both"/>
        <w:rPr>
          <w:b/>
          <w:bCs/>
          <w:sz w:val="24"/>
          <w:szCs w:val="24"/>
          <w:lang w:val="en-US"/>
        </w:rPr>
      </w:pPr>
      <w:r>
        <w:rPr>
          <w:sz w:val="24"/>
          <w:szCs w:val="24"/>
          <w:lang w:val="en-US"/>
        </w:rPr>
        <w:lastRenderedPageBreak/>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77CE3B86" w14:textId="77777777" w:rsidR="003F20A5" w:rsidRPr="00F068C4" w:rsidRDefault="003F20A5" w:rsidP="003F20A5">
      <w:pPr>
        <w:ind w:left="720" w:hanging="720"/>
        <w:rPr>
          <w:b/>
          <w:bCs/>
          <w:i/>
          <w:iCs/>
          <w:color w:val="000000" w:themeColor="text1"/>
          <w:sz w:val="24"/>
          <w:szCs w:val="24"/>
        </w:rPr>
      </w:pPr>
      <w:r w:rsidRPr="00F068C4">
        <w:rPr>
          <w:b/>
          <w:bCs/>
          <w:i/>
          <w:iCs/>
          <w:color w:val="000000" w:themeColor="text1"/>
          <w:sz w:val="24"/>
          <w:szCs w:val="24"/>
        </w:rPr>
        <w:t>Universities</w:t>
      </w:r>
    </w:p>
    <w:p w14:paraId="343682FD" w14:textId="77777777" w:rsidR="003F20A5" w:rsidRPr="00F068C4" w:rsidRDefault="003F20A5" w:rsidP="003F20A5">
      <w:pPr>
        <w:ind w:left="720" w:hanging="720"/>
        <w:rPr>
          <w:i/>
          <w:iCs/>
          <w:color w:val="000000" w:themeColor="text1"/>
          <w:sz w:val="24"/>
          <w:szCs w:val="24"/>
        </w:rPr>
      </w:pPr>
    </w:p>
    <w:p w14:paraId="67643EB9" w14:textId="3DCE739F" w:rsidR="003F20A5" w:rsidRPr="00F068C4" w:rsidRDefault="003F20A5" w:rsidP="00903893">
      <w:pPr>
        <w:rPr>
          <w:i/>
          <w:iCs/>
          <w:color w:val="000000" w:themeColor="text1"/>
          <w:sz w:val="24"/>
          <w:szCs w:val="24"/>
        </w:rPr>
      </w:pPr>
      <w:proofErr w:type="spellStart"/>
      <w:r w:rsidRPr="00F068C4">
        <w:rPr>
          <w:i/>
          <w:iCs/>
          <w:color w:val="000000" w:themeColor="text1"/>
          <w:sz w:val="24"/>
          <w:szCs w:val="24"/>
        </w:rPr>
        <w:t>Universiti</w:t>
      </w:r>
      <w:proofErr w:type="spellEnd"/>
      <w:r w:rsidRPr="00F068C4">
        <w:rPr>
          <w:i/>
          <w:iCs/>
          <w:color w:val="000000" w:themeColor="text1"/>
          <w:sz w:val="24"/>
          <w:szCs w:val="24"/>
        </w:rPr>
        <w:t xml:space="preserve"> </w:t>
      </w:r>
      <w:proofErr w:type="spellStart"/>
      <w:r w:rsidRPr="00F068C4">
        <w:rPr>
          <w:i/>
          <w:iCs/>
          <w:color w:val="000000" w:themeColor="text1"/>
          <w:sz w:val="24"/>
          <w:szCs w:val="24"/>
        </w:rPr>
        <w:t>Teknologi</w:t>
      </w:r>
      <w:proofErr w:type="spellEnd"/>
      <w:r w:rsidRPr="00F068C4">
        <w:rPr>
          <w:i/>
          <w:iCs/>
          <w:color w:val="000000" w:themeColor="text1"/>
          <w:sz w:val="24"/>
          <w:szCs w:val="24"/>
        </w:rPr>
        <w:t xml:space="preserve"> Malaysia (UTM) (2011). Polisi </w:t>
      </w:r>
      <w:proofErr w:type="spellStart"/>
      <w:r w:rsidRPr="00F068C4">
        <w:rPr>
          <w:i/>
          <w:iCs/>
          <w:color w:val="000000" w:themeColor="text1"/>
          <w:sz w:val="24"/>
          <w:szCs w:val="24"/>
        </w:rPr>
        <w:t>Kebebasan</w:t>
      </w:r>
      <w:proofErr w:type="spellEnd"/>
      <w:r w:rsidRPr="00F068C4">
        <w:rPr>
          <w:i/>
          <w:iCs/>
          <w:color w:val="000000" w:themeColor="text1"/>
          <w:sz w:val="24"/>
          <w:szCs w:val="24"/>
        </w:rPr>
        <w:t xml:space="preserve"> </w:t>
      </w:r>
      <w:proofErr w:type="spellStart"/>
      <w:r w:rsidRPr="00F068C4">
        <w:rPr>
          <w:i/>
          <w:iCs/>
          <w:color w:val="000000" w:themeColor="text1"/>
          <w:sz w:val="24"/>
          <w:szCs w:val="24"/>
        </w:rPr>
        <w:t>Akademik</w:t>
      </w:r>
      <w:proofErr w:type="spellEnd"/>
      <w:r w:rsidRPr="00F068C4">
        <w:rPr>
          <w:i/>
          <w:iCs/>
          <w:color w:val="000000" w:themeColor="text1"/>
          <w:sz w:val="24"/>
          <w:szCs w:val="24"/>
        </w:rPr>
        <w:t xml:space="preserve"> dan </w:t>
      </w:r>
      <w:proofErr w:type="spellStart"/>
      <w:r w:rsidRPr="00F068C4">
        <w:rPr>
          <w:i/>
          <w:iCs/>
          <w:color w:val="000000" w:themeColor="text1"/>
          <w:sz w:val="24"/>
          <w:szCs w:val="24"/>
        </w:rPr>
        <w:t>Kecemerlangan</w:t>
      </w:r>
      <w:proofErr w:type="spellEnd"/>
      <w:r w:rsidRPr="00F068C4">
        <w:rPr>
          <w:i/>
          <w:iCs/>
          <w:color w:val="000000" w:themeColor="text1"/>
          <w:sz w:val="24"/>
          <w:szCs w:val="24"/>
        </w:rPr>
        <w:t xml:space="preserve"> </w:t>
      </w:r>
      <w:proofErr w:type="spellStart"/>
      <w:r w:rsidRPr="00F068C4">
        <w:rPr>
          <w:i/>
          <w:iCs/>
          <w:color w:val="000000" w:themeColor="text1"/>
          <w:sz w:val="24"/>
          <w:szCs w:val="24"/>
        </w:rPr>
        <w:t>Profesional</w:t>
      </w:r>
      <w:proofErr w:type="spellEnd"/>
      <w:r w:rsidRPr="00F068C4">
        <w:rPr>
          <w:i/>
          <w:iCs/>
          <w:color w:val="000000" w:themeColor="text1"/>
          <w:sz w:val="24"/>
          <w:szCs w:val="24"/>
        </w:rPr>
        <w:t>. Retrieved 2022 from https://registrar.utm.my/governan/files/2020/12/Polisi-Kebebasan-Akademik-Kecemerlangan-Profesional.pdf?msclkid=e91d2642cfa711ec8eea566cbb30d1f9</w:t>
      </w:r>
    </w:p>
    <w:p w14:paraId="1DF05FC9" w14:textId="77777777" w:rsidR="00903893" w:rsidRDefault="00903893" w:rsidP="00903893">
      <w:pPr>
        <w:rPr>
          <w:i/>
          <w:iCs/>
          <w:color w:val="000000" w:themeColor="text1"/>
          <w:sz w:val="24"/>
          <w:szCs w:val="24"/>
        </w:rPr>
      </w:pPr>
    </w:p>
    <w:p w14:paraId="235EE8F9" w14:textId="47EE599B" w:rsidR="003F20A5" w:rsidRPr="00F068C4" w:rsidRDefault="003F20A5" w:rsidP="00903893">
      <w:pPr>
        <w:rPr>
          <w:i/>
          <w:iCs/>
          <w:color w:val="000000" w:themeColor="text1"/>
          <w:sz w:val="24"/>
          <w:szCs w:val="24"/>
        </w:rPr>
      </w:pPr>
      <w:proofErr w:type="spellStart"/>
      <w:r w:rsidRPr="00F068C4">
        <w:rPr>
          <w:i/>
          <w:iCs/>
          <w:color w:val="000000" w:themeColor="text1"/>
          <w:sz w:val="24"/>
          <w:szCs w:val="24"/>
        </w:rPr>
        <w:t>Universiti</w:t>
      </w:r>
      <w:proofErr w:type="spellEnd"/>
      <w:r w:rsidRPr="00F068C4">
        <w:rPr>
          <w:i/>
          <w:iCs/>
          <w:color w:val="000000" w:themeColor="text1"/>
          <w:sz w:val="24"/>
          <w:szCs w:val="24"/>
        </w:rPr>
        <w:t xml:space="preserve"> Malaysia Pahang (UMP) (2014). Dasar </w:t>
      </w:r>
      <w:proofErr w:type="spellStart"/>
      <w:r w:rsidRPr="00F068C4">
        <w:rPr>
          <w:i/>
          <w:iCs/>
          <w:color w:val="000000" w:themeColor="text1"/>
          <w:sz w:val="24"/>
          <w:szCs w:val="24"/>
        </w:rPr>
        <w:t>Kebebasan</w:t>
      </w:r>
      <w:proofErr w:type="spellEnd"/>
      <w:r w:rsidRPr="00F068C4">
        <w:rPr>
          <w:i/>
          <w:iCs/>
          <w:color w:val="000000" w:themeColor="text1"/>
          <w:sz w:val="24"/>
          <w:szCs w:val="24"/>
        </w:rPr>
        <w:t xml:space="preserve"> </w:t>
      </w:r>
      <w:proofErr w:type="spellStart"/>
      <w:r w:rsidRPr="00F068C4">
        <w:rPr>
          <w:i/>
          <w:iCs/>
          <w:color w:val="000000" w:themeColor="text1"/>
          <w:sz w:val="24"/>
          <w:szCs w:val="24"/>
        </w:rPr>
        <w:t>Akademik</w:t>
      </w:r>
      <w:proofErr w:type="spellEnd"/>
      <w:r w:rsidRPr="00F068C4">
        <w:rPr>
          <w:i/>
          <w:iCs/>
          <w:color w:val="000000" w:themeColor="text1"/>
          <w:sz w:val="24"/>
          <w:szCs w:val="24"/>
        </w:rPr>
        <w:t xml:space="preserve"> dan </w:t>
      </w:r>
      <w:proofErr w:type="spellStart"/>
      <w:r w:rsidRPr="00F068C4">
        <w:rPr>
          <w:i/>
          <w:iCs/>
          <w:color w:val="000000" w:themeColor="text1"/>
          <w:sz w:val="24"/>
          <w:szCs w:val="24"/>
        </w:rPr>
        <w:t>Kecemerlangann</w:t>
      </w:r>
      <w:proofErr w:type="spellEnd"/>
      <w:r w:rsidRPr="00F068C4">
        <w:rPr>
          <w:i/>
          <w:iCs/>
          <w:color w:val="000000" w:themeColor="text1"/>
          <w:sz w:val="24"/>
          <w:szCs w:val="24"/>
        </w:rPr>
        <w:t xml:space="preserve"> </w:t>
      </w:r>
      <w:proofErr w:type="spellStart"/>
      <w:r w:rsidRPr="00F068C4">
        <w:rPr>
          <w:i/>
          <w:iCs/>
          <w:color w:val="000000" w:themeColor="text1"/>
          <w:sz w:val="24"/>
          <w:szCs w:val="24"/>
        </w:rPr>
        <w:t>Profesional</w:t>
      </w:r>
      <w:proofErr w:type="spellEnd"/>
      <w:r w:rsidRPr="00F068C4">
        <w:rPr>
          <w:i/>
          <w:iCs/>
          <w:color w:val="000000" w:themeColor="text1"/>
          <w:sz w:val="24"/>
          <w:szCs w:val="24"/>
        </w:rPr>
        <w:t xml:space="preserve">. </w:t>
      </w:r>
      <w:proofErr w:type="spellStart"/>
      <w:r w:rsidRPr="00F068C4">
        <w:rPr>
          <w:i/>
          <w:iCs/>
          <w:color w:val="000000" w:themeColor="text1"/>
          <w:sz w:val="24"/>
          <w:szCs w:val="24"/>
        </w:rPr>
        <w:t>Retrived</w:t>
      </w:r>
      <w:proofErr w:type="spellEnd"/>
      <w:r w:rsidRPr="00F068C4">
        <w:rPr>
          <w:i/>
          <w:iCs/>
          <w:color w:val="000000" w:themeColor="text1"/>
          <w:sz w:val="24"/>
          <w:szCs w:val="24"/>
        </w:rPr>
        <w:t xml:space="preserve"> 2022 from https://edasar.ump.edu.my/jheaa/905-dasar-kebebasan-akademik-kecemerlangan-profesional-universiti-malaysia-pahang/file?msclkid=27601a25cfa611ec9b399104bd22e8ea</w:t>
      </w:r>
    </w:p>
    <w:p w14:paraId="2E307561" w14:textId="77777777" w:rsidR="00903893" w:rsidRDefault="00903893" w:rsidP="00903893">
      <w:pPr>
        <w:rPr>
          <w:i/>
          <w:iCs/>
          <w:color w:val="000000" w:themeColor="text1"/>
          <w:sz w:val="24"/>
          <w:szCs w:val="24"/>
        </w:rPr>
      </w:pPr>
    </w:p>
    <w:p w14:paraId="76EB991E" w14:textId="299758A5" w:rsidR="003F20A5" w:rsidRPr="00F068C4" w:rsidRDefault="003F20A5" w:rsidP="00903893">
      <w:pPr>
        <w:rPr>
          <w:i/>
          <w:iCs/>
          <w:color w:val="000000" w:themeColor="text1"/>
          <w:sz w:val="24"/>
          <w:szCs w:val="24"/>
        </w:rPr>
      </w:pPr>
      <w:proofErr w:type="spellStart"/>
      <w:r w:rsidRPr="00F068C4">
        <w:rPr>
          <w:i/>
          <w:iCs/>
          <w:color w:val="000000" w:themeColor="text1"/>
          <w:sz w:val="24"/>
          <w:szCs w:val="24"/>
        </w:rPr>
        <w:t>Universiti</w:t>
      </w:r>
      <w:proofErr w:type="spellEnd"/>
      <w:r w:rsidRPr="00F068C4">
        <w:rPr>
          <w:i/>
          <w:iCs/>
          <w:color w:val="000000" w:themeColor="text1"/>
          <w:sz w:val="24"/>
          <w:szCs w:val="24"/>
        </w:rPr>
        <w:t xml:space="preserve"> </w:t>
      </w:r>
      <w:proofErr w:type="spellStart"/>
      <w:r w:rsidRPr="00F068C4">
        <w:rPr>
          <w:i/>
          <w:iCs/>
          <w:color w:val="000000" w:themeColor="text1"/>
          <w:sz w:val="24"/>
          <w:szCs w:val="24"/>
        </w:rPr>
        <w:t>Kebangsaan</w:t>
      </w:r>
      <w:proofErr w:type="spellEnd"/>
      <w:r w:rsidRPr="00F068C4">
        <w:rPr>
          <w:i/>
          <w:iCs/>
          <w:color w:val="000000" w:themeColor="text1"/>
          <w:sz w:val="24"/>
          <w:szCs w:val="24"/>
        </w:rPr>
        <w:t xml:space="preserve"> Malaysia (UKM) (2018). Etika dan </w:t>
      </w:r>
      <w:proofErr w:type="spellStart"/>
      <w:r w:rsidRPr="00F068C4">
        <w:rPr>
          <w:i/>
          <w:iCs/>
          <w:color w:val="000000" w:themeColor="text1"/>
          <w:sz w:val="24"/>
          <w:szCs w:val="24"/>
        </w:rPr>
        <w:t>Amalan</w:t>
      </w:r>
      <w:proofErr w:type="spellEnd"/>
      <w:r w:rsidRPr="00F068C4">
        <w:rPr>
          <w:i/>
          <w:iCs/>
          <w:color w:val="000000" w:themeColor="text1"/>
          <w:sz w:val="24"/>
          <w:szCs w:val="24"/>
        </w:rPr>
        <w:t xml:space="preserve"> </w:t>
      </w:r>
      <w:proofErr w:type="spellStart"/>
      <w:r w:rsidRPr="00F068C4">
        <w:rPr>
          <w:i/>
          <w:iCs/>
          <w:color w:val="000000" w:themeColor="text1"/>
          <w:sz w:val="24"/>
          <w:szCs w:val="24"/>
        </w:rPr>
        <w:t>Cemerlang</w:t>
      </w:r>
      <w:proofErr w:type="spellEnd"/>
      <w:r w:rsidRPr="00F068C4">
        <w:rPr>
          <w:i/>
          <w:iCs/>
          <w:color w:val="000000" w:themeColor="text1"/>
          <w:sz w:val="24"/>
          <w:szCs w:val="24"/>
        </w:rPr>
        <w:t xml:space="preserve"> </w:t>
      </w:r>
      <w:proofErr w:type="spellStart"/>
      <w:r w:rsidRPr="00F068C4">
        <w:rPr>
          <w:i/>
          <w:iCs/>
          <w:color w:val="000000" w:themeColor="text1"/>
          <w:sz w:val="24"/>
          <w:szCs w:val="24"/>
        </w:rPr>
        <w:t>Akademik</w:t>
      </w:r>
      <w:proofErr w:type="spellEnd"/>
      <w:r w:rsidRPr="00F068C4">
        <w:rPr>
          <w:i/>
          <w:iCs/>
          <w:color w:val="000000" w:themeColor="text1"/>
          <w:sz w:val="24"/>
          <w:szCs w:val="24"/>
        </w:rPr>
        <w:t>. Retrieved 2022 from https://ukm.my/integriti/wp-content/uploads/2019/08/Buku-Etika-dan-Amalan-Cemerlang-Akademik-UKM-Edisi-Ke-2.pdf</w:t>
      </w:r>
    </w:p>
    <w:p w14:paraId="31C7595A" w14:textId="086F363E" w:rsidR="00987912" w:rsidRPr="00F068C4" w:rsidRDefault="003F20A5" w:rsidP="00903893">
      <w:pPr>
        <w:pStyle w:val="ListParagraph"/>
        <w:spacing w:before="120" w:after="120"/>
        <w:ind w:left="0"/>
        <w:contextualSpacing w:val="0"/>
        <w:rPr>
          <w:b/>
          <w:bCs/>
          <w:i/>
          <w:iCs/>
          <w:sz w:val="24"/>
          <w:szCs w:val="24"/>
          <w:lang w:val="en-US"/>
        </w:rPr>
      </w:pPr>
      <w:r w:rsidRPr="00F068C4">
        <w:rPr>
          <w:b/>
          <w:bCs/>
          <w:i/>
          <w:iCs/>
          <w:sz w:val="24"/>
          <w:szCs w:val="24"/>
          <w:lang w:val="en-US"/>
        </w:rPr>
        <w:t>External</w:t>
      </w:r>
    </w:p>
    <w:p w14:paraId="05A1F8C3" w14:textId="77777777" w:rsidR="003F20A5" w:rsidRPr="00F068C4" w:rsidRDefault="003F20A5" w:rsidP="00903893">
      <w:pPr>
        <w:contextualSpacing/>
        <w:rPr>
          <w:i/>
          <w:iCs/>
          <w:color w:val="000000" w:themeColor="text1"/>
          <w:sz w:val="24"/>
          <w:szCs w:val="24"/>
        </w:rPr>
      </w:pPr>
      <w:r w:rsidRPr="00F068C4">
        <w:rPr>
          <w:i/>
          <w:iCs/>
          <w:color w:val="000000" w:themeColor="text1"/>
          <w:sz w:val="24"/>
          <w:szCs w:val="24"/>
        </w:rPr>
        <w:t>Laws of Malaysia (LOM) (1971). Act 30, Universities and University Colleges Act. Retrieved from http://www.agc.gov.my/agcportal/uploads/files/Publications/LOM/EN/Act%2030. Pdf</w:t>
      </w:r>
    </w:p>
    <w:p w14:paraId="571F4799" w14:textId="77777777" w:rsidR="00903893" w:rsidRDefault="00903893" w:rsidP="00903893">
      <w:pPr>
        <w:contextualSpacing/>
        <w:rPr>
          <w:i/>
          <w:iCs/>
          <w:color w:val="000000" w:themeColor="text1"/>
          <w:sz w:val="24"/>
          <w:szCs w:val="24"/>
        </w:rPr>
      </w:pPr>
    </w:p>
    <w:p w14:paraId="4E929FF6" w14:textId="1413D000" w:rsidR="003F20A5" w:rsidRPr="00F068C4" w:rsidRDefault="003F20A5" w:rsidP="00903893">
      <w:pPr>
        <w:contextualSpacing/>
        <w:rPr>
          <w:i/>
          <w:iCs/>
          <w:color w:val="000000" w:themeColor="text1"/>
          <w:sz w:val="24"/>
          <w:szCs w:val="24"/>
        </w:rPr>
      </w:pPr>
      <w:r w:rsidRPr="00F068C4">
        <w:rPr>
          <w:i/>
          <w:iCs/>
          <w:color w:val="000000" w:themeColor="text1"/>
          <w:sz w:val="24"/>
          <w:szCs w:val="24"/>
        </w:rPr>
        <w:t>Laws of Malaysia (LOM) (2000). Act 605, Statutory Bodies (Discipline and Surcharge) Act. Retrieved from http://www.agc.gov.my/agcportal/uploads/files/Publications/LOM/EN/Act%20605.pdf</w:t>
      </w:r>
    </w:p>
    <w:p w14:paraId="501F93EC" w14:textId="77777777" w:rsidR="00903893" w:rsidRDefault="00903893" w:rsidP="00091AC2">
      <w:pPr>
        <w:spacing w:before="120" w:after="120"/>
        <w:jc w:val="both"/>
        <w:rPr>
          <w:b/>
          <w:bCs/>
          <w:sz w:val="24"/>
          <w:szCs w:val="24"/>
          <w:lang w:val="en-US"/>
        </w:rPr>
      </w:pPr>
    </w:p>
    <w:p w14:paraId="5C11DDBB" w14:textId="11499D2D"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620A09C7" w14:textId="79D8C022" w:rsidR="000D2482" w:rsidRPr="000D2482" w:rsidRDefault="000D2482" w:rsidP="00091AC2">
      <w:pPr>
        <w:spacing w:before="120" w:after="120"/>
        <w:ind w:left="567" w:hanging="567"/>
        <w:jc w:val="both"/>
        <w:rPr>
          <w:i/>
          <w:iCs/>
          <w:sz w:val="24"/>
          <w:szCs w:val="24"/>
          <w:lang w:val="en-US"/>
        </w:rPr>
      </w:pPr>
      <w:r>
        <w:rPr>
          <w:sz w:val="24"/>
          <w:szCs w:val="24"/>
          <w:lang w:val="en-US"/>
        </w:rPr>
        <w:tab/>
      </w:r>
      <w:r w:rsidRPr="000D2482">
        <w:rPr>
          <w:i/>
          <w:iCs/>
          <w:sz w:val="24"/>
          <w:szCs w:val="24"/>
          <w:lang w:val="en-US"/>
        </w:rPr>
        <w:t>Fundings are regulated by the government and the universities.</w:t>
      </w:r>
      <w:r>
        <w:rPr>
          <w:i/>
          <w:iCs/>
          <w:sz w:val="24"/>
          <w:szCs w:val="24"/>
          <w:lang w:val="en-US"/>
        </w:rPr>
        <w:t xml:space="preserve"> Not very transparent. Details on the applications, assessment and result are not </w:t>
      </w:r>
      <w:proofErr w:type="spellStart"/>
      <w:r>
        <w:rPr>
          <w:i/>
          <w:iCs/>
          <w:sz w:val="24"/>
          <w:szCs w:val="24"/>
          <w:lang w:val="en-US"/>
        </w:rPr>
        <w:t>publically</w:t>
      </w:r>
      <w:proofErr w:type="spellEnd"/>
      <w:r>
        <w:rPr>
          <w:i/>
          <w:iCs/>
          <w:sz w:val="24"/>
          <w:szCs w:val="24"/>
          <w:lang w:val="en-US"/>
        </w:rPr>
        <w:t xml:space="preserve"> available</w:t>
      </w:r>
      <w:r w:rsidR="00E00964">
        <w:rPr>
          <w:i/>
          <w:iCs/>
          <w:sz w:val="24"/>
          <w:szCs w:val="24"/>
          <w:lang w:val="en-US"/>
        </w:rPr>
        <w:t>.</w:t>
      </w:r>
    </w:p>
    <w:p w14:paraId="58359724" w14:textId="269A2ECA" w:rsidR="00987912" w:rsidRPr="00091AC2" w:rsidRDefault="00091AC2" w:rsidP="00091AC2">
      <w:pPr>
        <w:spacing w:before="120" w:after="120"/>
        <w:ind w:left="567" w:hanging="567"/>
        <w:jc w:val="both"/>
        <w:rPr>
          <w:b/>
          <w:bCs/>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1AF4248F" w14:textId="3DFEE003" w:rsidR="00987912" w:rsidRPr="000D2482" w:rsidRDefault="000D2482" w:rsidP="00987912">
      <w:pPr>
        <w:pStyle w:val="ListParagraph"/>
        <w:spacing w:before="120" w:after="120"/>
        <w:ind w:left="426"/>
        <w:contextualSpacing w:val="0"/>
        <w:jc w:val="both"/>
        <w:rPr>
          <w:i/>
          <w:iCs/>
          <w:sz w:val="24"/>
          <w:szCs w:val="24"/>
          <w:lang w:val="en-US"/>
        </w:rPr>
      </w:pPr>
      <w:r w:rsidRPr="000D2482">
        <w:rPr>
          <w:i/>
          <w:iCs/>
          <w:sz w:val="24"/>
          <w:szCs w:val="24"/>
          <w:lang w:val="en-US"/>
        </w:rPr>
        <w:t>No rules and regulations protect academic freedom from interferences by commercial actors and financial sponsors</w:t>
      </w:r>
    </w:p>
    <w:p w14:paraId="0CCB54EB" w14:textId="77777777" w:rsidR="00903893" w:rsidRDefault="00903893">
      <w:pPr>
        <w:rPr>
          <w:b/>
          <w:bCs/>
          <w:sz w:val="24"/>
          <w:szCs w:val="24"/>
          <w:lang w:val="en-US"/>
        </w:rPr>
      </w:pPr>
      <w:r>
        <w:rPr>
          <w:b/>
          <w:bCs/>
          <w:sz w:val="24"/>
          <w:szCs w:val="24"/>
          <w:lang w:val="en-US"/>
        </w:rPr>
        <w:br w:type="page"/>
      </w:r>
    </w:p>
    <w:p w14:paraId="1DC956ED" w14:textId="667AB6FF" w:rsidR="00091AC2" w:rsidRDefault="00987912" w:rsidP="00091AC2">
      <w:pPr>
        <w:spacing w:before="120" w:after="120"/>
        <w:jc w:val="both"/>
        <w:rPr>
          <w:b/>
          <w:bCs/>
          <w:sz w:val="24"/>
          <w:szCs w:val="24"/>
          <w:lang w:val="en-US"/>
        </w:rPr>
      </w:pPr>
      <w:r w:rsidRPr="00A77C58">
        <w:rPr>
          <w:b/>
          <w:bCs/>
          <w:sz w:val="24"/>
          <w:szCs w:val="24"/>
          <w:lang w:val="en-US"/>
        </w:rPr>
        <w:lastRenderedPageBreak/>
        <w:t>Surveillance</w:t>
      </w:r>
    </w:p>
    <w:p w14:paraId="4F0321DC" w14:textId="088C1F99" w:rsidR="00987912" w:rsidRPr="00091AC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622112D6" w14:textId="77777777" w:rsidR="00F068C4" w:rsidRDefault="00F068C4" w:rsidP="00987912">
      <w:pPr>
        <w:spacing w:before="120" w:after="120"/>
        <w:jc w:val="both"/>
        <w:rPr>
          <w:i/>
          <w:iCs/>
          <w:sz w:val="24"/>
          <w:szCs w:val="24"/>
          <w:lang w:val="en-US"/>
        </w:rPr>
      </w:pPr>
      <w:r>
        <w:rPr>
          <w:i/>
          <w:iCs/>
          <w:sz w:val="24"/>
          <w:szCs w:val="24"/>
          <w:lang w:val="en-US"/>
        </w:rPr>
        <w:t xml:space="preserve">Entry into public universities </w:t>
      </w:r>
      <w:proofErr w:type="gramStart"/>
      <w:r>
        <w:rPr>
          <w:i/>
          <w:iCs/>
          <w:sz w:val="24"/>
          <w:szCs w:val="24"/>
          <w:lang w:val="en-US"/>
        </w:rPr>
        <w:t>are</w:t>
      </w:r>
      <w:proofErr w:type="gramEnd"/>
      <w:r>
        <w:rPr>
          <w:i/>
          <w:iCs/>
          <w:sz w:val="24"/>
          <w:szCs w:val="24"/>
          <w:lang w:val="en-US"/>
        </w:rPr>
        <w:t xml:space="preserve"> controlled by auxiliary police</w:t>
      </w:r>
    </w:p>
    <w:p w14:paraId="75CD74AC" w14:textId="2B36B116" w:rsidR="00C47DE1" w:rsidRDefault="00C47DE1" w:rsidP="00987912">
      <w:pPr>
        <w:spacing w:before="120" w:after="120"/>
        <w:jc w:val="both"/>
        <w:rPr>
          <w:i/>
          <w:iCs/>
          <w:sz w:val="24"/>
          <w:szCs w:val="24"/>
          <w:lang w:val="en-US"/>
        </w:rPr>
      </w:pPr>
      <w:r>
        <w:rPr>
          <w:i/>
          <w:iCs/>
          <w:sz w:val="24"/>
          <w:szCs w:val="24"/>
          <w:lang w:val="en-US"/>
        </w:rPr>
        <w:t>There is no open surveillance on campus, but it is suspected there is undercover surveillance</w:t>
      </w:r>
    </w:p>
    <w:p w14:paraId="4636D1FC" w14:textId="76DDE261" w:rsidR="00987912" w:rsidRPr="00E00964" w:rsidRDefault="00C47DE1" w:rsidP="00987912">
      <w:pPr>
        <w:spacing w:before="120" w:after="120"/>
        <w:jc w:val="both"/>
        <w:rPr>
          <w:i/>
          <w:iCs/>
          <w:sz w:val="24"/>
          <w:szCs w:val="24"/>
          <w:lang w:val="en-US"/>
        </w:rPr>
      </w:pPr>
      <w:r>
        <w:rPr>
          <w:i/>
          <w:iCs/>
          <w:sz w:val="24"/>
          <w:szCs w:val="24"/>
          <w:lang w:val="en-US"/>
        </w:rPr>
        <w:t xml:space="preserve">Academics do exercise </w:t>
      </w:r>
      <w:proofErr w:type="spellStart"/>
      <w:r>
        <w:rPr>
          <w:i/>
          <w:iCs/>
          <w:sz w:val="24"/>
          <w:szCs w:val="24"/>
          <w:lang w:val="en-US"/>
        </w:rPr>
        <w:t>s</w:t>
      </w:r>
      <w:r w:rsidR="00E00964" w:rsidRPr="00E00964">
        <w:rPr>
          <w:i/>
          <w:iCs/>
          <w:sz w:val="24"/>
          <w:szCs w:val="24"/>
          <w:lang w:val="en-US"/>
        </w:rPr>
        <w:t>elf control</w:t>
      </w:r>
      <w:proofErr w:type="spellEnd"/>
      <w:r w:rsidR="00E00964" w:rsidRPr="00E00964">
        <w:rPr>
          <w:i/>
          <w:iCs/>
          <w:sz w:val="24"/>
          <w:szCs w:val="24"/>
          <w:lang w:val="en-US"/>
        </w:rPr>
        <w:t xml:space="preserve"> and self </w:t>
      </w:r>
      <w:proofErr w:type="spellStart"/>
      <w:r w:rsidR="00E00964" w:rsidRPr="00E00964">
        <w:rPr>
          <w:i/>
          <w:iCs/>
          <w:sz w:val="24"/>
          <w:szCs w:val="24"/>
          <w:lang w:val="en-US"/>
        </w:rPr>
        <w:t>censureship</w:t>
      </w:r>
      <w:proofErr w:type="spellEnd"/>
      <w:r>
        <w:rPr>
          <w:i/>
          <w:iCs/>
          <w:sz w:val="24"/>
          <w:szCs w:val="24"/>
          <w:lang w:val="en-US"/>
        </w:rPr>
        <w:t xml:space="preserve"> in their activities</w:t>
      </w: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r w:rsidR="00987912">
        <w:rPr>
          <w:sz w:val="24"/>
          <w:szCs w:val="24"/>
          <w:lang w:val="en-US"/>
        </w:rPr>
        <w:t xml:space="preserve">e.g. </w:t>
      </w:r>
      <w:r w:rsidR="00987912" w:rsidRPr="00A77C58">
        <w:rPr>
          <w:sz w:val="24"/>
          <w:szCs w:val="24"/>
          <w:lang w:val="en-US"/>
        </w:rPr>
        <w:t xml:space="preserve">on religious and political matters? </w:t>
      </w:r>
    </w:p>
    <w:p w14:paraId="1C6557F5" w14:textId="484AC2E5" w:rsidR="00E00964" w:rsidRPr="00E00964" w:rsidRDefault="00E00964" w:rsidP="00E00964">
      <w:pPr>
        <w:spacing w:before="120" w:after="120"/>
        <w:jc w:val="both"/>
        <w:rPr>
          <w:i/>
          <w:iCs/>
          <w:sz w:val="24"/>
          <w:szCs w:val="24"/>
          <w:lang w:val="en-US"/>
        </w:rPr>
      </w:pPr>
      <w:proofErr w:type="spellStart"/>
      <w:r w:rsidRPr="00E00964">
        <w:rPr>
          <w:i/>
          <w:iCs/>
          <w:sz w:val="24"/>
          <w:szCs w:val="24"/>
          <w:lang w:val="en-US"/>
        </w:rPr>
        <w:t>Self control</w:t>
      </w:r>
      <w:proofErr w:type="spellEnd"/>
      <w:r w:rsidRPr="00E00964">
        <w:rPr>
          <w:i/>
          <w:iCs/>
          <w:sz w:val="24"/>
          <w:szCs w:val="24"/>
          <w:lang w:val="en-US"/>
        </w:rPr>
        <w:t xml:space="preserve"> and self </w:t>
      </w:r>
      <w:proofErr w:type="spellStart"/>
      <w:r w:rsidRPr="00E00964">
        <w:rPr>
          <w:i/>
          <w:iCs/>
          <w:sz w:val="24"/>
          <w:szCs w:val="24"/>
          <w:lang w:val="en-US"/>
        </w:rPr>
        <w:t>censureship</w:t>
      </w:r>
      <w:proofErr w:type="spellEnd"/>
      <w:r w:rsidR="004341A6">
        <w:rPr>
          <w:i/>
          <w:iCs/>
          <w:sz w:val="24"/>
          <w:szCs w:val="24"/>
          <w:lang w:val="en-US"/>
        </w:rPr>
        <w:t xml:space="preserve"> due to the two acts in (5)</w:t>
      </w:r>
    </w:p>
    <w:p w14:paraId="59FB4492" w14:textId="77777777" w:rsidR="00E00964" w:rsidRDefault="00E00964" w:rsidP="00091AC2">
      <w:pPr>
        <w:spacing w:before="120" w:after="120"/>
        <w:ind w:left="567" w:hanging="567"/>
        <w:jc w:val="both"/>
        <w:rPr>
          <w:sz w:val="24"/>
          <w:szCs w:val="24"/>
          <w:lang w:val="en-US"/>
        </w:rPr>
      </w:pPr>
    </w:p>
    <w:p w14:paraId="23521621" w14:textId="041B4150" w:rsidR="00987912" w:rsidRPr="00091AC2" w:rsidRDefault="00091AC2" w:rsidP="00091AC2">
      <w:pPr>
        <w:spacing w:before="120" w:after="120"/>
        <w:ind w:left="567" w:hanging="567"/>
        <w:jc w:val="both"/>
        <w:rPr>
          <w:b/>
          <w:bCs/>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1F27BDC4" w14:textId="7B1BCD5B" w:rsidR="00987912" w:rsidRDefault="004341A6" w:rsidP="004341A6">
      <w:pPr>
        <w:spacing w:before="120" w:after="120"/>
        <w:rPr>
          <w:i/>
          <w:iCs/>
          <w:sz w:val="24"/>
          <w:szCs w:val="24"/>
          <w:lang w:val="en-US"/>
        </w:rPr>
      </w:pPr>
      <w:r w:rsidRPr="004341A6">
        <w:rPr>
          <w:i/>
          <w:iCs/>
          <w:sz w:val="24"/>
          <w:szCs w:val="24"/>
          <w:lang w:val="en-US"/>
        </w:rPr>
        <w:t>At the university level</w:t>
      </w:r>
      <w:r>
        <w:rPr>
          <w:i/>
          <w:iCs/>
          <w:sz w:val="24"/>
          <w:szCs w:val="24"/>
          <w:lang w:val="en-US"/>
        </w:rPr>
        <w:t>, there is no restriction on books for teaching and research. However, there are section for restricted or banned books at some university libraries.</w:t>
      </w:r>
    </w:p>
    <w:p w14:paraId="0668B307" w14:textId="77777777" w:rsidR="004341A6" w:rsidRPr="004341A6" w:rsidRDefault="004341A6" w:rsidP="004341A6">
      <w:pPr>
        <w:spacing w:before="120" w:after="120"/>
        <w:rPr>
          <w:i/>
          <w:iCs/>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E4679A">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0F46" w14:textId="77777777" w:rsidR="00E4679A" w:rsidRDefault="00E4679A">
      <w:r>
        <w:separator/>
      </w:r>
    </w:p>
  </w:endnote>
  <w:endnote w:type="continuationSeparator" w:id="0">
    <w:p w14:paraId="71DACBF9" w14:textId="77777777" w:rsidR="00E4679A" w:rsidRDefault="00E4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E7B8" w14:textId="77777777" w:rsidR="00E4679A" w:rsidRDefault="00E4679A">
      <w:r>
        <w:separator/>
      </w:r>
    </w:p>
  </w:footnote>
  <w:footnote w:type="continuationSeparator" w:id="0">
    <w:p w14:paraId="142B4D1A" w14:textId="77777777" w:rsidR="00E4679A" w:rsidRDefault="00E4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3767D6"/>
    <w:multiLevelType w:val="hybridMultilevel"/>
    <w:tmpl w:val="FEB4F81C"/>
    <w:lvl w:ilvl="0" w:tplc="ED30DEE2">
      <w:start w:val="1"/>
      <w:numFmt w:val="lowerLetter"/>
      <w:lvlText w:val="%1)"/>
      <w:lvlJc w:val="left"/>
      <w:pPr>
        <w:ind w:left="1290" w:hanging="360"/>
      </w:pPr>
      <w:rPr>
        <w:rFonts w:hint="default"/>
      </w:rPr>
    </w:lvl>
    <w:lvl w:ilvl="1" w:tplc="44090019" w:tentative="1">
      <w:start w:val="1"/>
      <w:numFmt w:val="lowerLetter"/>
      <w:lvlText w:val="%2."/>
      <w:lvlJc w:val="left"/>
      <w:pPr>
        <w:ind w:left="2010" w:hanging="360"/>
      </w:pPr>
    </w:lvl>
    <w:lvl w:ilvl="2" w:tplc="4409001B" w:tentative="1">
      <w:start w:val="1"/>
      <w:numFmt w:val="lowerRoman"/>
      <w:lvlText w:val="%3."/>
      <w:lvlJc w:val="right"/>
      <w:pPr>
        <w:ind w:left="2730" w:hanging="180"/>
      </w:pPr>
    </w:lvl>
    <w:lvl w:ilvl="3" w:tplc="4409000F" w:tentative="1">
      <w:start w:val="1"/>
      <w:numFmt w:val="decimal"/>
      <w:lvlText w:val="%4."/>
      <w:lvlJc w:val="left"/>
      <w:pPr>
        <w:ind w:left="3450" w:hanging="360"/>
      </w:pPr>
    </w:lvl>
    <w:lvl w:ilvl="4" w:tplc="44090019" w:tentative="1">
      <w:start w:val="1"/>
      <w:numFmt w:val="lowerLetter"/>
      <w:lvlText w:val="%5."/>
      <w:lvlJc w:val="left"/>
      <w:pPr>
        <w:ind w:left="4170" w:hanging="360"/>
      </w:pPr>
    </w:lvl>
    <w:lvl w:ilvl="5" w:tplc="4409001B" w:tentative="1">
      <w:start w:val="1"/>
      <w:numFmt w:val="lowerRoman"/>
      <w:lvlText w:val="%6."/>
      <w:lvlJc w:val="right"/>
      <w:pPr>
        <w:ind w:left="4890" w:hanging="180"/>
      </w:pPr>
    </w:lvl>
    <w:lvl w:ilvl="6" w:tplc="4409000F" w:tentative="1">
      <w:start w:val="1"/>
      <w:numFmt w:val="decimal"/>
      <w:lvlText w:val="%7."/>
      <w:lvlJc w:val="left"/>
      <w:pPr>
        <w:ind w:left="5610" w:hanging="360"/>
      </w:pPr>
    </w:lvl>
    <w:lvl w:ilvl="7" w:tplc="44090019" w:tentative="1">
      <w:start w:val="1"/>
      <w:numFmt w:val="lowerLetter"/>
      <w:lvlText w:val="%8."/>
      <w:lvlJc w:val="left"/>
      <w:pPr>
        <w:ind w:left="6330" w:hanging="360"/>
      </w:pPr>
    </w:lvl>
    <w:lvl w:ilvl="8" w:tplc="4409001B" w:tentative="1">
      <w:start w:val="1"/>
      <w:numFmt w:val="lowerRoman"/>
      <w:lvlText w:val="%9."/>
      <w:lvlJc w:val="right"/>
      <w:pPr>
        <w:ind w:left="7050" w:hanging="180"/>
      </w:p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251C7"/>
    <w:multiLevelType w:val="hybridMultilevel"/>
    <w:tmpl w:val="C7EC2C0A"/>
    <w:lvl w:ilvl="0" w:tplc="44001E40">
      <w:start w:val="1"/>
      <w:numFmt w:val="decimal"/>
      <w:lvlText w:val="%1."/>
      <w:lvlJc w:val="left"/>
      <w:pPr>
        <w:ind w:left="930" w:hanging="5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2"/>
  </w:num>
  <w:num w:numId="2" w16cid:durableId="41102181">
    <w:abstractNumId w:val="32"/>
  </w:num>
  <w:num w:numId="3" w16cid:durableId="1383209208">
    <w:abstractNumId w:val="24"/>
  </w:num>
  <w:num w:numId="4" w16cid:durableId="1223062930">
    <w:abstractNumId w:val="10"/>
  </w:num>
  <w:num w:numId="5" w16cid:durableId="2118941600">
    <w:abstractNumId w:val="25"/>
  </w:num>
  <w:num w:numId="6" w16cid:durableId="337465453">
    <w:abstractNumId w:val="14"/>
  </w:num>
  <w:num w:numId="7" w16cid:durableId="1254700196">
    <w:abstractNumId w:val="2"/>
  </w:num>
  <w:num w:numId="8" w16cid:durableId="1317997900">
    <w:abstractNumId w:val="17"/>
  </w:num>
  <w:num w:numId="9" w16cid:durableId="695038539">
    <w:abstractNumId w:val="3"/>
  </w:num>
  <w:num w:numId="10" w16cid:durableId="2044551335">
    <w:abstractNumId w:val="1"/>
  </w:num>
  <w:num w:numId="11" w16cid:durableId="1306617363">
    <w:abstractNumId w:val="12"/>
  </w:num>
  <w:num w:numId="12" w16cid:durableId="528297581">
    <w:abstractNumId w:val="28"/>
  </w:num>
  <w:num w:numId="13" w16cid:durableId="687371278">
    <w:abstractNumId w:val="30"/>
  </w:num>
  <w:num w:numId="14" w16cid:durableId="1543320972">
    <w:abstractNumId w:val="21"/>
  </w:num>
  <w:num w:numId="15" w16cid:durableId="1306398189">
    <w:abstractNumId w:val="7"/>
  </w:num>
  <w:num w:numId="16" w16cid:durableId="1956328715">
    <w:abstractNumId w:val="0"/>
  </w:num>
  <w:num w:numId="17" w16cid:durableId="1002508268">
    <w:abstractNumId w:val="27"/>
  </w:num>
  <w:num w:numId="18" w16cid:durableId="1429934609">
    <w:abstractNumId w:val="8"/>
  </w:num>
  <w:num w:numId="19" w16cid:durableId="2054229550">
    <w:abstractNumId w:val="20"/>
  </w:num>
  <w:num w:numId="20" w16cid:durableId="457915957">
    <w:abstractNumId w:val="4"/>
  </w:num>
  <w:num w:numId="21" w16cid:durableId="1844466440">
    <w:abstractNumId w:val="26"/>
  </w:num>
  <w:num w:numId="22" w16cid:durableId="636640606">
    <w:abstractNumId w:val="23"/>
  </w:num>
  <w:num w:numId="23" w16cid:durableId="555507400">
    <w:abstractNumId w:val="18"/>
  </w:num>
  <w:num w:numId="24" w16cid:durableId="1061829933">
    <w:abstractNumId w:val="6"/>
  </w:num>
  <w:num w:numId="25" w16cid:durableId="1383481887">
    <w:abstractNumId w:val="15"/>
  </w:num>
  <w:num w:numId="26" w16cid:durableId="2013487960">
    <w:abstractNumId w:val="11"/>
  </w:num>
  <w:num w:numId="27" w16cid:durableId="1653145641">
    <w:abstractNumId w:val="9"/>
  </w:num>
  <w:num w:numId="28" w16cid:durableId="1329018598">
    <w:abstractNumId w:val="19"/>
  </w:num>
  <w:num w:numId="29" w16cid:durableId="14049130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7986150">
    <w:abstractNumId w:val="33"/>
  </w:num>
  <w:num w:numId="35" w16cid:durableId="20258138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25DB"/>
    <w:rsid w:val="0003674D"/>
    <w:rsid w:val="0005390B"/>
    <w:rsid w:val="00063BFD"/>
    <w:rsid w:val="00077294"/>
    <w:rsid w:val="000875C6"/>
    <w:rsid w:val="00091AC2"/>
    <w:rsid w:val="00091BF0"/>
    <w:rsid w:val="000A2B89"/>
    <w:rsid w:val="000A6F03"/>
    <w:rsid w:val="000C7660"/>
    <w:rsid w:val="000D210E"/>
    <w:rsid w:val="000D2482"/>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80489"/>
    <w:rsid w:val="00384E88"/>
    <w:rsid w:val="00386C90"/>
    <w:rsid w:val="003956EF"/>
    <w:rsid w:val="00396E4C"/>
    <w:rsid w:val="003A3957"/>
    <w:rsid w:val="003B488C"/>
    <w:rsid w:val="003C37C3"/>
    <w:rsid w:val="003D0C10"/>
    <w:rsid w:val="003D3D66"/>
    <w:rsid w:val="003E552B"/>
    <w:rsid w:val="003F20A5"/>
    <w:rsid w:val="00401FD2"/>
    <w:rsid w:val="00410560"/>
    <w:rsid w:val="00411C0A"/>
    <w:rsid w:val="004153DE"/>
    <w:rsid w:val="00415EFC"/>
    <w:rsid w:val="0043060F"/>
    <w:rsid w:val="004341A6"/>
    <w:rsid w:val="00440385"/>
    <w:rsid w:val="00440E30"/>
    <w:rsid w:val="00440ED0"/>
    <w:rsid w:val="00443DF5"/>
    <w:rsid w:val="004454D0"/>
    <w:rsid w:val="00447412"/>
    <w:rsid w:val="00455C6D"/>
    <w:rsid w:val="00456419"/>
    <w:rsid w:val="00460258"/>
    <w:rsid w:val="004614D4"/>
    <w:rsid w:val="00483FC0"/>
    <w:rsid w:val="00485B7C"/>
    <w:rsid w:val="004901B5"/>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0E8A"/>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1DFE"/>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3893"/>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27328"/>
    <w:rsid w:val="00A34DA7"/>
    <w:rsid w:val="00A364CF"/>
    <w:rsid w:val="00A3761B"/>
    <w:rsid w:val="00A40490"/>
    <w:rsid w:val="00A439B9"/>
    <w:rsid w:val="00A54482"/>
    <w:rsid w:val="00A564C7"/>
    <w:rsid w:val="00A56D2E"/>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A4F85"/>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47DE1"/>
    <w:rsid w:val="00C50365"/>
    <w:rsid w:val="00C56B9F"/>
    <w:rsid w:val="00C6141D"/>
    <w:rsid w:val="00C64254"/>
    <w:rsid w:val="00C707EA"/>
    <w:rsid w:val="00C73CD7"/>
    <w:rsid w:val="00C74811"/>
    <w:rsid w:val="00C772EF"/>
    <w:rsid w:val="00C82CCE"/>
    <w:rsid w:val="00C91085"/>
    <w:rsid w:val="00CA65D2"/>
    <w:rsid w:val="00CB1C6E"/>
    <w:rsid w:val="00CB643F"/>
    <w:rsid w:val="00CB7FEA"/>
    <w:rsid w:val="00CC5BEF"/>
    <w:rsid w:val="00CD67FB"/>
    <w:rsid w:val="00CE3298"/>
    <w:rsid w:val="00CE6A0E"/>
    <w:rsid w:val="00D00DDC"/>
    <w:rsid w:val="00D018B1"/>
    <w:rsid w:val="00D02F61"/>
    <w:rsid w:val="00D075E5"/>
    <w:rsid w:val="00D1035A"/>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5C84"/>
    <w:rsid w:val="00E00964"/>
    <w:rsid w:val="00E14B3F"/>
    <w:rsid w:val="00E15347"/>
    <w:rsid w:val="00E22392"/>
    <w:rsid w:val="00E30296"/>
    <w:rsid w:val="00E4367D"/>
    <w:rsid w:val="00E4679A"/>
    <w:rsid w:val="00E47F1B"/>
    <w:rsid w:val="00E56372"/>
    <w:rsid w:val="00E60057"/>
    <w:rsid w:val="00E6747D"/>
    <w:rsid w:val="00E679E8"/>
    <w:rsid w:val="00E73F13"/>
    <w:rsid w:val="00E84288"/>
    <w:rsid w:val="00E95052"/>
    <w:rsid w:val="00E95A48"/>
    <w:rsid w:val="00E97A8F"/>
    <w:rsid w:val="00EA6B3E"/>
    <w:rsid w:val="00EB2578"/>
    <w:rsid w:val="00EB4CDE"/>
    <w:rsid w:val="00EB5A47"/>
    <w:rsid w:val="00EC123F"/>
    <w:rsid w:val="00EC3E83"/>
    <w:rsid w:val="00EC6F64"/>
    <w:rsid w:val="00EE0A7C"/>
    <w:rsid w:val="00EE5BA8"/>
    <w:rsid w:val="00EE6765"/>
    <w:rsid w:val="00EF0B0D"/>
    <w:rsid w:val="00EF2930"/>
    <w:rsid w:val="00F006B5"/>
    <w:rsid w:val="00F068C4"/>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E6F41"/>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GERAK_Malaysian Academic Movement</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3.xml><?xml version="1.0" encoding="utf-8"?>
<ds:datastoreItem xmlns:ds="http://schemas.openxmlformats.org/officeDocument/2006/customXml" ds:itemID="{0FB61197-64E8-4CDB-94D4-B18B6C19301B}">
  <ds:schemaRefs>
    <ds:schemaRef ds:uri="http://purl.org/dc/elements/1.1/"/>
    <ds:schemaRef ds:uri="http://www.w3.org/XML/1998/namespace"/>
    <ds:schemaRef ds:uri="http://purl.org/dc/terms/"/>
    <ds:schemaRef ds:uri="http://purl.org/dc/dcmitype/"/>
    <ds:schemaRef ds:uri="9c2e4527-2efa-4ade-b3d6-b2418af14986"/>
    <ds:schemaRef ds:uri="http://schemas.microsoft.com/office/2006/metadata/properties"/>
    <ds:schemaRef ds:uri="d42e65b2-cf21-49c1-b27d-d23f90380c0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85528E3-8688-48ED-9184-BA0ED7E4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2023-12-19T08:25:00Z</dcterms:created>
  <dcterms:modified xsi:type="dcterms:W3CDTF">2024-04-30T14:45:00Z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