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7CEF" w14:textId="0726312D" w:rsidR="009615E4" w:rsidRPr="00FF2DD6" w:rsidRDefault="009615E4" w:rsidP="00401FCC">
      <w:pPr>
        <w:pStyle w:val="NoSpacing"/>
        <w:spacing w:after="240" w:line="22" w:lineRule="atLeast"/>
        <w:jc w:val="center"/>
        <w:rPr>
          <w:rFonts w:ascii="MetaPro-Norm" w:eastAsia="MetaPro-Norm" w:hAnsi="MetaPro-Norm" w:cs="MetaPro-Norm"/>
          <w:b/>
          <w:bCs/>
          <w:color w:val="000000" w:themeColor="text1"/>
        </w:rPr>
      </w:pPr>
      <w:r>
        <w:rPr>
          <w:noProof/>
        </w:rPr>
        <w:drawing>
          <wp:inline distT="0" distB="0" distL="0" distR="0" wp14:anchorId="7F874714" wp14:editId="51816DE8">
            <wp:extent cx="1079500" cy="107950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466B00E4" w14:textId="3E6780FE" w:rsidR="006E3032" w:rsidRDefault="006E3032" w:rsidP="00401FCC">
      <w:pPr>
        <w:pStyle w:val="NoSpacing"/>
        <w:spacing w:line="22" w:lineRule="atLeast"/>
        <w:jc w:val="center"/>
        <w:rPr>
          <w:rFonts w:ascii="MetaPro-Norm" w:eastAsia="MetaPro-Norm" w:hAnsi="MetaPro-Norm" w:cs="MetaPro-Norm"/>
          <w:b/>
          <w:bCs/>
          <w:color w:val="000000" w:themeColor="text1"/>
          <w:sz w:val="22"/>
          <w:szCs w:val="22"/>
        </w:rPr>
      </w:pPr>
      <w:r w:rsidRPr="00FF2DD6">
        <w:rPr>
          <w:rFonts w:ascii="MetaPro-Norm" w:eastAsia="MetaPro-Norm" w:hAnsi="MetaPro-Norm" w:cs="MetaPro-Norm"/>
          <w:b/>
          <w:bCs/>
          <w:color w:val="000000" w:themeColor="text1"/>
          <w:sz w:val="22"/>
          <w:szCs w:val="22"/>
        </w:rPr>
        <w:t xml:space="preserve">Submission to the </w:t>
      </w:r>
      <w:r w:rsidR="00401FCC" w:rsidRPr="00FF2DD6">
        <w:rPr>
          <w:rFonts w:ascii="MetaPro-Norm" w:eastAsia="MetaPro-Norm" w:hAnsi="MetaPro-Norm" w:cs="MetaPro-Norm"/>
          <w:b/>
          <w:bCs/>
          <w:color w:val="000000" w:themeColor="text1"/>
          <w:sz w:val="22"/>
          <w:szCs w:val="22"/>
        </w:rPr>
        <w:t xml:space="preserve">Special Rapporteur </w:t>
      </w:r>
      <w:r w:rsidR="00DA51D0" w:rsidRPr="00FF2DD6">
        <w:rPr>
          <w:rFonts w:ascii="MetaPro-Norm" w:eastAsia="MetaPro-Norm" w:hAnsi="MetaPro-Norm" w:cs="MetaPro-Norm"/>
          <w:b/>
          <w:bCs/>
          <w:color w:val="000000" w:themeColor="text1"/>
          <w:sz w:val="22"/>
          <w:szCs w:val="22"/>
        </w:rPr>
        <w:t>on the Right to Education</w:t>
      </w:r>
    </w:p>
    <w:p w14:paraId="120E0977" w14:textId="15C25364" w:rsidR="006E3032" w:rsidRPr="00FF2DD6" w:rsidRDefault="00B11F1B" w:rsidP="006E3032">
      <w:pPr>
        <w:pStyle w:val="NoSpacing"/>
        <w:spacing w:line="22" w:lineRule="atLeast"/>
        <w:jc w:val="center"/>
        <w:rPr>
          <w:rFonts w:ascii="MetaPro-Norm" w:eastAsia="MetaPro-Norm" w:hAnsi="MetaPro-Norm" w:cs="MetaPro-Norm"/>
          <w:b/>
          <w:bCs/>
          <w:i/>
          <w:iCs/>
          <w:color w:val="000000" w:themeColor="text1"/>
          <w:sz w:val="22"/>
          <w:szCs w:val="22"/>
        </w:rPr>
      </w:pPr>
      <w:r w:rsidRPr="00FF2DD6">
        <w:rPr>
          <w:rFonts w:ascii="MetaPro-Norm" w:eastAsia="MetaPro-Norm" w:hAnsi="MetaPro-Norm" w:cs="MetaPro-Norm"/>
          <w:b/>
          <w:bCs/>
          <w:i/>
          <w:iCs/>
          <w:color w:val="000000" w:themeColor="text1"/>
          <w:sz w:val="22"/>
          <w:szCs w:val="22"/>
        </w:rPr>
        <w:t>February</w:t>
      </w:r>
      <w:r w:rsidR="006E3032" w:rsidRPr="00FF2DD6">
        <w:rPr>
          <w:rFonts w:ascii="MetaPro-Norm" w:eastAsia="MetaPro-Norm" w:hAnsi="MetaPro-Norm" w:cs="MetaPro-Norm"/>
          <w:b/>
          <w:bCs/>
          <w:i/>
          <w:iCs/>
          <w:color w:val="000000" w:themeColor="text1"/>
          <w:sz w:val="22"/>
          <w:szCs w:val="22"/>
        </w:rPr>
        <w:t xml:space="preserve"> 202</w:t>
      </w:r>
      <w:r w:rsidR="00401FCC" w:rsidRPr="00FF2DD6">
        <w:rPr>
          <w:rFonts w:ascii="MetaPro-Norm" w:eastAsia="MetaPro-Norm" w:hAnsi="MetaPro-Norm" w:cs="MetaPro-Norm"/>
          <w:b/>
          <w:bCs/>
          <w:i/>
          <w:iCs/>
          <w:color w:val="000000" w:themeColor="text1"/>
          <w:sz w:val="22"/>
          <w:szCs w:val="22"/>
        </w:rPr>
        <w:t>4</w:t>
      </w:r>
    </w:p>
    <w:p w14:paraId="3F8DDD84" w14:textId="77777777" w:rsidR="006E3032" w:rsidRPr="00FF2DD6" w:rsidRDefault="006E3032" w:rsidP="006E3032">
      <w:pPr>
        <w:spacing w:after="0"/>
        <w:rPr>
          <w:rFonts w:ascii="MetaPro-Norm" w:hAnsi="MetaPro-Norm"/>
          <w:color w:val="000000" w:themeColor="text1"/>
        </w:rPr>
      </w:pPr>
    </w:p>
    <w:p w14:paraId="4A02AA32" w14:textId="5169B457" w:rsidR="00CB15C2" w:rsidRPr="00FF2DD6" w:rsidRDefault="006E3032" w:rsidP="008746E3">
      <w:pPr>
        <w:spacing w:after="0"/>
        <w:rPr>
          <w:rFonts w:ascii="MetaPro-Norm" w:hAnsi="MetaPro-Norm"/>
        </w:rPr>
      </w:pPr>
      <w:r w:rsidRPr="495356BC">
        <w:rPr>
          <w:rFonts w:ascii="MetaPro-Norm" w:hAnsi="MetaPro-Norm"/>
          <w:color w:val="000000" w:themeColor="text1"/>
        </w:rPr>
        <w:t xml:space="preserve">Human Rights Watch welcomes the opportunity </w:t>
      </w:r>
      <w:r w:rsidR="008B413D" w:rsidRPr="495356BC">
        <w:rPr>
          <w:rFonts w:ascii="MetaPro-Norm" w:hAnsi="MetaPro-Norm"/>
        </w:rPr>
        <w:t xml:space="preserve">to provide input to the United Nations Special Rapporteur on the right to education ahead of her </w:t>
      </w:r>
      <w:r w:rsidR="001241F2" w:rsidRPr="495356BC">
        <w:rPr>
          <w:rFonts w:ascii="MetaPro-Norm" w:hAnsi="MetaPro-Norm"/>
        </w:rPr>
        <w:t>upcoming</w:t>
      </w:r>
      <w:r w:rsidR="008B413D" w:rsidRPr="495356BC">
        <w:rPr>
          <w:rFonts w:ascii="MetaPro-Norm" w:hAnsi="MetaPro-Norm"/>
        </w:rPr>
        <w:t xml:space="preserve"> report to the Human Rights Council</w:t>
      </w:r>
      <w:r w:rsidR="00B67069">
        <w:rPr>
          <w:rFonts w:ascii="MetaPro-Norm" w:hAnsi="MetaPro-Norm"/>
        </w:rPr>
        <w:t xml:space="preserve"> on academic freedom and freedom of expression in educational institutions</w:t>
      </w:r>
      <w:r w:rsidR="008B413D" w:rsidRPr="495356BC">
        <w:rPr>
          <w:rFonts w:ascii="MetaPro-Norm" w:hAnsi="MetaPro-Norm"/>
        </w:rPr>
        <w:t>. This submission</w:t>
      </w:r>
      <w:r w:rsidR="00177662" w:rsidRPr="495356BC">
        <w:rPr>
          <w:rFonts w:ascii="MetaPro-Norm" w:hAnsi="MetaPro-Norm"/>
        </w:rPr>
        <w:t xml:space="preserve"> </w:t>
      </w:r>
      <w:r w:rsidR="00381EA4">
        <w:rPr>
          <w:rFonts w:ascii="MetaPro-Norm" w:hAnsi="MetaPro-Norm"/>
        </w:rPr>
        <w:t>covers</w:t>
      </w:r>
      <w:r w:rsidR="004E31FD" w:rsidRPr="495356BC">
        <w:rPr>
          <w:rFonts w:ascii="MetaPro-Norm" w:hAnsi="MetaPro-Norm"/>
        </w:rPr>
        <w:t xml:space="preserve"> </w:t>
      </w:r>
      <w:r w:rsidR="00B63D11" w:rsidRPr="495356BC">
        <w:rPr>
          <w:rFonts w:ascii="MetaPro-Norm" w:hAnsi="MetaPro-Norm"/>
        </w:rPr>
        <w:t>autonomy of education</w:t>
      </w:r>
      <w:r w:rsidR="00760796" w:rsidRPr="495356BC">
        <w:rPr>
          <w:rFonts w:ascii="MetaPro-Norm" w:hAnsi="MetaPro-Norm"/>
        </w:rPr>
        <w:t xml:space="preserve">al </w:t>
      </w:r>
      <w:r w:rsidR="00B63D11" w:rsidRPr="495356BC">
        <w:rPr>
          <w:rFonts w:ascii="MetaPro-Norm" w:hAnsi="MetaPro-Norm"/>
        </w:rPr>
        <w:t xml:space="preserve">institutions, </w:t>
      </w:r>
      <w:r w:rsidR="00B47194" w:rsidRPr="495356BC">
        <w:rPr>
          <w:rFonts w:ascii="MetaPro-Norm" w:hAnsi="MetaPro-Norm"/>
        </w:rPr>
        <w:t xml:space="preserve">funding, surveillance, and </w:t>
      </w:r>
      <w:r w:rsidR="005E2858" w:rsidRPr="495356BC">
        <w:rPr>
          <w:rFonts w:ascii="MetaPro-Norm" w:hAnsi="MetaPro-Norm"/>
        </w:rPr>
        <w:t xml:space="preserve">freedom of expression </w:t>
      </w:r>
      <w:r w:rsidR="00636EFC" w:rsidRPr="495356BC">
        <w:rPr>
          <w:rFonts w:ascii="MetaPro-Norm" w:hAnsi="MetaPro-Norm"/>
        </w:rPr>
        <w:t xml:space="preserve">in teaching </w:t>
      </w:r>
      <w:r w:rsidR="005E2858" w:rsidRPr="495356BC">
        <w:rPr>
          <w:rFonts w:ascii="MetaPro-Norm" w:hAnsi="MetaPro-Norm"/>
        </w:rPr>
        <w:t xml:space="preserve">and access to </w:t>
      </w:r>
      <w:r w:rsidR="0055143C" w:rsidRPr="495356BC">
        <w:rPr>
          <w:rFonts w:ascii="MetaPro-Norm" w:hAnsi="MetaPro-Norm"/>
        </w:rPr>
        <w:t>books</w:t>
      </w:r>
      <w:r w:rsidR="005E2858" w:rsidRPr="495356BC">
        <w:rPr>
          <w:rFonts w:ascii="MetaPro-Norm" w:hAnsi="MetaPro-Norm"/>
        </w:rPr>
        <w:t>.</w:t>
      </w:r>
      <w:r w:rsidR="008B413D" w:rsidRPr="495356BC">
        <w:rPr>
          <w:rFonts w:ascii="MetaPro-Norm" w:hAnsi="MetaPro-Norm"/>
        </w:rPr>
        <w:t xml:space="preserve"> </w:t>
      </w:r>
      <w:r w:rsidR="00E74FD3">
        <w:rPr>
          <w:rFonts w:ascii="MetaPro-Norm" w:hAnsi="MetaPro-Norm"/>
        </w:rPr>
        <w:t xml:space="preserve">Our responses </w:t>
      </w:r>
      <w:r w:rsidR="004C1849">
        <w:rPr>
          <w:rFonts w:ascii="MetaPro-Norm" w:hAnsi="MetaPro-Norm"/>
        </w:rPr>
        <w:t xml:space="preserve">and examples in this submission </w:t>
      </w:r>
      <w:r w:rsidR="00E74FD3">
        <w:rPr>
          <w:rFonts w:ascii="MetaPro-Norm" w:hAnsi="MetaPro-Norm"/>
        </w:rPr>
        <w:t xml:space="preserve">are based on Human Rights Watch’s </w:t>
      </w:r>
      <w:r w:rsidR="00FB1313" w:rsidRPr="00B82133">
        <w:rPr>
          <w:rFonts w:ascii="MetaPro-Norm" w:hAnsi="MetaPro-Norm"/>
        </w:rPr>
        <w:t>research findings and analysis.</w:t>
      </w:r>
    </w:p>
    <w:p w14:paraId="4BA56E64" w14:textId="42F0166B" w:rsidR="00FF2DD6" w:rsidRDefault="00FF2DD6" w:rsidP="00FF2DD6">
      <w:pPr>
        <w:spacing w:after="0"/>
        <w:rPr>
          <w:rFonts w:ascii="MetaPro-Norm" w:hAnsi="MetaPro-Norm"/>
        </w:rPr>
      </w:pPr>
    </w:p>
    <w:p w14:paraId="7B1DBAC6" w14:textId="62242886" w:rsidR="00923D5D" w:rsidRDefault="00923D5D" w:rsidP="00923D5D">
      <w:pPr>
        <w:spacing w:after="0"/>
        <w:rPr>
          <w:rFonts w:ascii="MetaPro-Norm" w:hAnsi="MetaPro-Norm"/>
          <w:b/>
          <w:bCs/>
        </w:rPr>
      </w:pPr>
      <w:r>
        <w:rPr>
          <w:rFonts w:ascii="MetaPro-Norm" w:hAnsi="MetaPro-Norm"/>
          <w:b/>
          <w:bCs/>
        </w:rPr>
        <w:t>Autonomy of Educational Institutions</w:t>
      </w:r>
      <w:r w:rsidR="00177015">
        <w:rPr>
          <w:rFonts w:ascii="MetaPro-Norm" w:hAnsi="MetaPro-Norm"/>
          <w:b/>
          <w:bCs/>
        </w:rPr>
        <w:t xml:space="preserve"> (question 4)</w:t>
      </w:r>
    </w:p>
    <w:p w14:paraId="5CEE8BCE" w14:textId="5CC517EB" w:rsidR="495356BC" w:rsidRDefault="00DD27F0" w:rsidP="495356BC">
      <w:pPr>
        <w:spacing w:after="0"/>
        <w:rPr>
          <w:rFonts w:ascii="MetaPro-Norm" w:hAnsi="MetaPro-Norm"/>
          <w:i/>
          <w:iCs/>
        </w:rPr>
      </w:pPr>
      <w:r w:rsidRPr="495356BC">
        <w:rPr>
          <w:rFonts w:ascii="MetaPro-Norm" w:hAnsi="MetaPro-Norm"/>
          <w:i/>
          <w:iCs/>
        </w:rPr>
        <w:t xml:space="preserve">Autonomy and </w:t>
      </w:r>
      <w:r w:rsidR="0086335C" w:rsidRPr="495356BC">
        <w:rPr>
          <w:rFonts w:ascii="MetaPro-Norm" w:hAnsi="MetaPro-Norm"/>
          <w:i/>
          <w:iCs/>
        </w:rPr>
        <w:t>s</w:t>
      </w:r>
      <w:r w:rsidRPr="495356BC">
        <w:rPr>
          <w:rFonts w:ascii="MetaPro-Norm" w:hAnsi="MetaPro-Norm"/>
          <w:i/>
          <w:iCs/>
        </w:rPr>
        <w:t xml:space="preserve">elf-governance </w:t>
      </w:r>
      <w:r w:rsidR="00D52CC5" w:rsidRPr="495356BC">
        <w:rPr>
          <w:rFonts w:ascii="MetaPro-Norm" w:hAnsi="MetaPro-Norm"/>
          <w:i/>
          <w:iCs/>
        </w:rPr>
        <w:t>within</w:t>
      </w:r>
      <w:r w:rsidRPr="495356BC">
        <w:rPr>
          <w:rFonts w:ascii="MetaPro-Norm" w:hAnsi="MetaPro-Norm"/>
          <w:i/>
          <w:iCs/>
        </w:rPr>
        <w:t xml:space="preserve"> </w:t>
      </w:r>
      <w:r w:rsidR="0086335C" w:rsidRPr="495356BC">
        <w:rPr>
          <w:rFonts w:ascii="MetaPro-Norm" w:hAnsi="MetaPro-Norm"/>
          <w:i/>
          <w:iCs/>
        </w:rPr>
        <w:t>e</w:t>
      </w:r>
      <w:r w:rsidR="00764E1F" w:rsidRPr="495356BC">
        <w:rPr>
          <w:rFonts w:ascii="MetaPro-Norm" w:hAnsi="MetaPro-Norm"/>
          <w:i/>
          <w:iCs/>
        </w:rPr>
        <w:t>ducation</w:t>
      </w:r>
      <w:r w:rsidR="00AD178B">
        <w:rPr>
          <w:rFonts w:ascii="MetaPro-Norm" w:hAnsi="MetaPro-Norm"/>
          <w:i/>
          <w:iCs/>
        </w:rPr>
        <w:t>al</w:t>
      </w:r>
      <w:r w:rsidR="00764E1F" w:rsidRPr="495356BC">
        <w:rPr>
          <w:rFonts w:ascii="MetaPro-Norm" w:hAnsi="MetaPro-Norm"/>
          <w:i/>
          <w:iCs/>
        </w:rPr>
        <w:t xml:space="preserve"> </w:t>
      </w:r>
      <w:r w:rsidR="0086335C" w:rsidRPr="495356BC">
        <w:rPr>
          <w:rFonts w:ascii="MetaPro-Norm" w:hAnsi="MetaPro-Norm"/>
          <w:i/>
          <w:iCs/>
        </w:rPr>
        <w:t>i</w:t>
      </w:r>
      <w:r w:rsidR="00764E1F" w:rsidRPr="495356BC">
        <w:rPr>
          <w:rFonts w:ascii="MetaPro-Norm" w:hAnsi="MetaPro-Norm"/>
          <w:i/>
          <w:iCs/>
        </w:rPr>
        <w:t>nstitutions</w:t>
      </w:r>
    </w:p>
    <w:p w14:paraId="2C56651C" w14:textId="0D2F0211" w:rsidR="00AB073F" w:rsidRDefault="00212A88" w:rsidP="00FB2ECD">
      <w:pPr>
        <w:pStyle w:val="ListParagraph"/>
        <w:numPr>
          <w:ilvl w:val="0"/>
          <w:numId w:val="3"/>
        </w:numPr>
        <w:spacing w:after="0"/>
        <w:rPr>
          <w:rFonts w:ascii="MetaPro-Norm" w:hAnsi="MetaPro-Norm"/>
        </w:rPr>
      </w:pPr>
      <w:r>
        <w:rPr>
          <w:rFonts w:ascii="MetaPro-Norm" w:hAnsi="MetaPro-Norm"/>
        </w:rPr>
        <w:t xml:space="preserve">External </w:t>
      </w:r>
      <w:r w:rsidR="001974F0" w:rsidRPr="00FB2ECD">
        <w:rPr>
          <w:rFonts w:ascii="MetaPro-Norm" w:hAnsi="MetaPro-Norm"/>
        </w:rPr>
        <w:t>actors</w:t>
      </w:r>
      <w:r w:rsidR="00FB2ECD" w:rsidRPr="00FB2ECD">
        <w:rPr>
          <w:rFonts w:ascii="MetaPro-Norm" w:hAnsi="MetaPro-Norm"/>
        </w:rPr>
        <w:t xml:space="preserve"> can</w:t>
      </w:r>
      <w:r>
        <w:rPr>
          <w:rFonts w:ascii="MetaPro-Norm" w:hAnsi="MetaPro-Norm"/>
        </w:rPr>
        <w:t xml:space="preserve"> often</w:t>
      </w:r>
      <w:r w:rsidR="001974F0" w:rsidRPr="00FB2ECD">
        <w:rPr>
          <w:rFonts w:ascii="MetaPro-Norm" w:hAnsi="MetaPro-Norm"/>
        </w:rPr>
        <w:t xml:space="preserve"> impede </w:t>
      </w:r>
      <w:r w:rsidR="00FB2ECD" w:rsidRPr="00FB2ECD">
        <w:rPr>
          <w:rFonts w:ascii="MetaPro-Norm" w:hAnsi="MetaPro-Norm"/>
        </w:rPr>
        <w:t xml:space="preserve">independent </w:t>
      </w:r>
      <w:r w:rsidR="001974F0" w:rsidRPr="00FB2ECD">
        <w:rPr>
          <w:rFonts w:ascii="MetaPro-Norm" w:hAnsi="MetaPro-Norm"/>
        </w:rPr>
        <w:t xml:space="preserve">decision-making </w:t>
      </w:r>
      <w:r w:rsidR="002D3DF9" w:rsidRPr="00FB2ECD">
        <w:rPr>
          <w:rFonts w:ascii="MetaPro-Norm" w:hAnsi="MetaPro-Norm"/>
        </w:rPr>
        <w:t xml:space="preserve">within </w:t>
      </w:r>
      <w:r w:rsidR="00A35906" w:rsidRPr="00FB2ECD">
        <w:rPr>
          <w:rFonts w:ascii="MetaPro-Norm" w:hAnsi="MetaPro-Norm"/>
        </w:rPr>
        <w:t>educational</w:t>
      </w:r>
      <w:r w:rsidR="002D3DF9" w:rsidRPr="00FB2ECD">
        <w:rPr>
          <w:rFonts w:ascii="MetaPro-Norm" w:hAnsi="MetaPro-Norm"/>
        </w:rPr>
        <w:t xml:space="preserve"> inst</w:t>
      </w:r>
      <w:r w:rsidR="00FB2ECD" w:rsidRPr="00FB2ECD">
        <w:rPr>
          <w:rFonts w:ascii="MetaPro-Norm" w:hAnsi="MetaPro-Norm"/>
        </w:rPr>
        <w:t>it</w:t>
      </w:r>
      <w:r w:rsidR="002D3DF9" w:rsidRPr="00FB2ECD">
        <w:rPr>
          <w:rFonts w:ascii="MetaPro-Norm" w:hAnsi="MetaPro-Norm"/>
        </w:rPr>
        <w:t>utions,</w:t>
      </w:r>
      <w:r w:rsidR="001F5D9D">
        <w:rPr>
          <w:rFonts w:ascii="MetaPro-Norm" w:hAnsi="MetaPro-Norm"/>
        </w:rPr>
        <w:t xml:space="preserve"> including in </w:t>
      </w:r>
      <w:r w:rsidR="00F41D24">
        <w:rPr>
          <w:rFonts w:ascii="MetaPro-Norm" w:hAnsi="MetaPro-Norm"/>
        </w:rPr>
        <w:t>staff recruitment and appointment</w:t>
      </w:r>
      <w:r w:rsidR="003249EF">
        <w:rPr>
          <w:rFonts w:ascii="MetaPro-Norm" w:hAnsi="MetaPro-Norm"/>
        </w:rPr>
        <w:t xml:space="preserve"> procedures</w:t>
      </w:r>
      <w:r w:rsidR="00FB2ECD" w:rsidRPr="00FB2ECD">
        <w:rPr>
          <w:rFonts w:ascii="MetaPro-Norm" w:hAnsi="MetaPro-Norm"/>
        </w:rPr>
        <w:t xml:space="preserve">. </w:t>
      </w:r>
    </w:p>
    <w:p w14:paraId="77B8CA41" w14:textId="77777777" w:rsidR="00FB2ECD" w:rsidRPr="00FB2ECD" w:rsidRDefault="00FB2ECD" w:rsidP="00FB2ECD">
      <w:pPr>
        <w:pStyle w:val="ListParagraph"/>
        <w:spacing w:after="0"/>
        <w:ind w:left="360"/>
        <w:rPr>
          <w:rFonts w:ascii="MetaPro-Norm" w:hAnsi="MetaPro-Norm"/>
        </w:rPr>
      </w:pPr>
    </w:p>
    <w:p w14:paraId="3E934699" w14:textId="77C9F1A4" w:rsidR="00923D5D" w:rsidRDefault="00FD7D3A" w:rsidP="00FB2ECD">
      <w:pPr>
        <w:pStyle w:val="ListParagraph"/>
        <w:numPr>
          <w:ilvl w:val="0"/>
          <w:numId w:val="3"/>
        </w:numPr>
        <w:spacing w:after="0"/>
        <w:rPr>
          <w:rFonts w:ascii="MetaPro-Norm" w:hAnsi="MetaPro-Norm"/>
        </w:rPr>
      </w:pPr>
      <w:r>
        <w:rPr>
          <w:rFonts w:ascii="MetaPro-Norm" w:hAnsi="MetaPro-Norm"/>
        </w:rPr>
        <w:t>For example, i</w:t>
      </w:r>
      <w:r w:rsidR="00923D5D" w:rsidRPr="00552529">
        <w:rPr>
          <w:rFonts w:ascii="MetaPro-Norm" w:hAnsi="MetaPro-Norm"/>
        </w:rPr>
        <w:t xml:space="preserve">n 2020, a hiring committee unanimously selected Dr. Valentina </w:t>
      </w:r>
      <w:proofErr w:type="spellStart"/>
      <w:r w:rsidR="00923D5D" w:rsidRPr="00552529">
        <w:rPr>
          <w:rFonts w:ascii="MetaPro-Norm" w:hAnsi="MetaPro-Norm"/>
        </w:rPr>
        <w:t>Azarova</w:t>
      </w:r>
      <w:proofErr w:type="spellEnd"/>
      <w:r w:rsidR="00923D5D" w:rsidRPr="00552529">
        <w:rPr>
          <w:rFonts w:ascii="MetaPro-Norm" w:hAnsi="MetaPro-Norm"/>
        </w:rPr>
        <w:t xml:space="preserve"> to direct the International Human Rights Program at the University of Toronto’s law school</w:t>
      </w:r>
      <w:r w:rsidR="002F0334">
        <w:rPr>
          <w:rFonts w:ascii="MetaPro-Norm" w:hAnsi="MetaPro-Norm"/>
        </w:rPr>
        <w:t xml:space="preserve"> in </w:t>
      </w:r>
      <w:r w:rsidR="002F0334" w:rsidRPr="00C33580">
        <w:rPr>
          <w:rFonts w:ascii="MetaPro-Norm" w:hAnsi="MetaPro-Norm"/>
          <w:b/>
          <w:bCs/>
        </w:rPr>
        <w:t>Canada</w:t>
      </w:r>
      <w:r w:rsidR="00923D5D" w:rsidRPr="00552529">
        <w:rPr>
          <w:rFonts w:ascii="MetaPro-Norm" w:hAnsi="MetaPro-Norm"/>
        </w:rPr>
        <w:t>.</w:t>
      </w:r>
      <w:r w:rsidR="0047782A">
        <w:rPr>
          <w:rStyle w:val="FootnoteReference"/>
        </w:rPr>
        <w:footnoteReference w:id="2"/>
      </w:r>
      <w:r w:rsidR="00923D5D" w:rsidRPr="00552529">
        <w:rPr>
          <w:rFonts w:ascii="MetaPro-Norm" w:hAnsi="MetaPro-Norm"/>
        </w:rPr>
        <w:t xml:space="preserve"> When the school’s dean stopped </w:t>
      </w:r>
      <w:proofErr w:type="spellStart"/>
      <w:r w:rsidR="00923D5D" w:rsidRPr="00552529">
        <w:rPr>
          <w:rFonts w:ascii="MetaPro-Norm" w:hAnsi="MetaPro-Norm"/>
        </w:rPr>
        <w:t>Azarova’s</w:t>
      </w:r>
      <w:proofErr w:type="spellEnd"/>
      <w:r w:rsidR="00923D5D" w:rsidRPr="00552529">
        <w:rPr>
          <w:rFonts w:ascii="MetaPro-Norm" w:hAnsi="MetaPro-Norm"/>
        </w:rPr>
        <w:t xml:space="preserve"> hire under disputed circumstances, the university commissioned a retired Supreme Court of Canada judge to review that decision.</w:t>
      </w:r>
    </w:p>
    <w:p w14:paraId="33084169" w14:textId="77777777" w:rsidR="00923D5D" w:rsidRDefault="00923D5D" w:rsidP="00923D5D">
      <w:pPr>
        <w:pStyle w:val="ListParagraph"/>
        <w:spacing w:after="0"/>
        <w:ind w:left="360"/>
        <w:rPr>
          <w:rFonts w:ascii="MetaPro-Norm" w:hAnsi="MetaPro-Norm"/>
        </w:rPr>
      </w:pPr>
    </w:p>
    <w:p w14:paraId="5EC22D36" w14:textId="3004C687" w:rsidR="00923D5D" w:rsidRDefault="00923D5D" w:rsidP="00FB2ECD">
      <w:pPr>
        <w:pStyle w:val="ListParagraph"/>
        <w:numPr>
          <w:ilvl w:val="0"/>
          <w:numId w:val="3"/>
        </w:numPr>
        <w:spacing w:after="0"/>
        <w:rPr>
          <w:rFonts w:ascii="MetaPro-Norm" w:hAnsi="MetaPro-Norm"/>
        </w:rPr>
      </w:pPr>
      <w:r w:rsidRPr="00130042">
        <w:rPr>
          <w:rFonts w:ascii="MetaPro-Norm" w:hAnsi="MetaPro-Norm"/>
        </w:rPr>
        <w:t xml:space="preserve">At the heart of concerns </w:t>
      </w:r>
      <w:r w:rsidR="00BA6090">
        <w:rPr>
          <w:rFonts w:ascii="MetaPro-Norm" w:hAnsi="MetaPro-Norm"/>
        </w:rPr>
        <w:t>was</w:t>
      </w:r>
      <w:r w:rsidRPr="00130042">
        <w:rPr>
          <w:rFonts w:ascii="MetaPro-Norm" w:hAnsi="MetaPro-Norm"/>
        </w:rPr>
        <w:t xml:space="preserve"> that her appointment was blocked because some of her academic work was critical of Israel’s human rights record. The judge in his report acknowledged that after </w:t>
      </w:r>
      <w:proofErr w:type="spellStart"/>
      <w:r w:rsidRPr="00130042">
        <w:rPr>
          <w:rFonts w:ascii="MetaPro-Norm" w:hAnsi="MetaPro-Norm"/>
        </w:rPr>
        <w:t>Azarova’s</w:t>
      </w:r>
      <w:proofErr w:type="spellEnd"/>
      <w:r w:rsidRPr="00130042">
        <w:rPr>
          <w:rFonts w:ascii="MetaPro-Norm" w:hAnsi="MetaPro-Norm"/>
        </w:rPr>
        <w:t xml:space="preserve"> name was leaked to the Centre for Israel and Jewish Affairs (CIJA), a pro-Israel advocacy group, a quiet effort began to stop her appointment. He found that days before her appointment was terminated, a former board member of the lobby group, who is a major donor to the university, contacted the university after a CIJA official advised him to warn the university’s leadership that her hire would spark “a public protest campaign [that] will do major damage to the university, including in fundraising.”</w:t>
      </w:r>
    </w:p>
    <w:p w14:paraId="5A4D692D" w14:textId="77777777" w:rsidR="00923D5D" w:rsidRPr="0097339E" w:rsidRDefault="00923D5D" w:rsidP="00923D5D">
      <w:pPr>
        <w:pStyle w:val="ListParagraph"/>
        <w:rPr>
          <w:rFonts w:ascii="MetaPro-Norm" w:hAnsi="MetaPro-Norm"/>
        </w:rPr>
      </w:pPr>
    </w:p>
    <w:p w14:paraId="1E828B06" w14:textId="0606CDA2" w:rsidR="00923D5D" w:rsidRPr="00E97B22" w:rsidRDefault="325D10A0" w:rsidP="00FB2ECD">
      <w:pPr>
        <w:pStyle w:val="ListParagraph"/>
        <w:numPr>
          <w:ilvl w:val="0"/>
          <w:numId w:val="3"/>
        </w:numPr>
        <w:spacing w:after="0"/>
        <w:rPr>
          <w:rFonts w:ascii="MetaPro-Norm" w:hAnsi="MetaPro-Norm"/>
        </w:rPr>
      </w:pPr>
      <w:r w:rsidRPr="48B2D1D3">
        <w:rPr>
          <w:rFonts w:ascii="MetaPro-Norm" w:hAnsi="MetaPro-Norm"/>
        </w:rPr>
        <w:t>D</w:t>
      </w:r>
      <w:r w:rsidR="614DA99A" w:rsidRPr="48B2D1D3">
        <w:rPr>
          <w:rFonts w:ascii="MetaPro-Norm" w:hAnsi="MetaPro-Norm"/>
        </w:rPr>
        <w:t>espite these facts, the judge, who gave a keynote address at a conference hosted by the CIJA</w:t>
      </w:r>
      <w:r w:rsidR="0E7784C4" w:rsidRPr="48B2D1D3">
        <w:rPr>
          <w:rFonts w:ascii="MetaPro-Norm" w:hAnsi="MetaPro-Norm"/>
        </w:rPr>
        <w:t xml:space="preserve"> while conducting his review of the case</w:t>
      </w:r>
      <w:r w:rsidR="614DA99A" w:rsidRPr="48B2D1D3">
        <w:rPr>
          <w:rFonts w:ascii="MetaPro-Norm" w:hAnsi="MetaPro-Norm"/>
        </w:rPr>
        <w:t>, sided with the university’s claim that immigration issues were behind the decision</w:t>
      </w:r>
      <w:r w:rsidR="000D16FA">
        <w:rPr>
          <w:rFonts w:ascii="MetaPro-Norm" w:hAnsi="MetaPro-Norm"/>
        </w:rPr>
        <w:t xml:space="preserve"> and concluded</w:t>
      </w:r>
      <w:r w:rsidR="008B63CD">
        <w:rPr>
          <w:rFonts w:ascii="MetaPro-Norm" w:hAnsi="MetaPro-Norm"/>
        </w:rPr>
        <w:t xml:space="preserve"> that he </w:t>
      </w:r>
      <w:r w:rsidR="00AA5F80">
        <w:rPr>
          <w:rFonts w:ascii="MetaPro-Norm" w:hAnsi="MetaPro-Norm"/>
        </w:rPr>
        <w:t>“</w:t>
      </w:r>
      <w:r w:rsidR="008B63CD">
        <w:rPr>
          <w:rFonts w:ascii="MetaPro-Norm" w:hAnsi="MetaPro-Norm"/>
        </w:rPr>
        <w:t>would not draw the inference that external influence played any role</w:t>
      </w:r>
      <w:r w:rsidR="008C001B">
        <w:rPr>
          <w:rFonts w:ascii="MetaPro-Norm" w:hAnsi="MetaPro-Norm"/>
        </w:rPr>
        <w:t>.</w:t>
      </w:r>
      <w:r w:rsidR="00C925DA">
        <w:rPr>
          <w:rFonts w:ascii="MetaPro-Norm" w:hAnsi="MetaPro-Norm"/>
        </w:rPr>
        <w:t>”</w:t>
      </w:r>
      <w:r w:rsidR="73300D18" w:rsidRPr="48B2D1D3">
        <w:rPr>
          <w:rFonts w:ascii="MetaPro-Norm" w:hAnsi="MetaPro-Norm"/>
        </w:rPr>
        <w:t xml:space="preserve"> </w:t>
      </w:r>
      <w:r w:rsidR="614DA99A" w:rsidRPr="48B2D1D3">
        <w:rPr>
          <w:rFonts w:ascii="MetaPro-Norm" w:hAnsi="MetaPro-Norm"/>
        </w:rPr>
        <w:t>Several professors at the law school rejected the report, and the Canadian Association of University Teachers found the explanation for the termination so “implausible” that</w:t>
      </w:r>
      <w:r w:rsidR="6FDF4282" w:rsidRPr="48B2D1D3">
        <w:rPr>
          <w:rFonts w:ascii="MetaPro-Norm" w:hAnsi="MetaPro-Norm"/>
        </w:rPr>
        <w:t xml:space="preserve"> </w:t>
      </w:r>
      <w:r w:rsidR="614DA99A" w:rsidRPr="48B2D1D3">
        <w:rPr>
          <w:rFonts w:ascii="MetaPro-Norm" w:hAnsi="MetaPro-Norm"/>
        </w:rPr>
        <w:t>it censure</w:t>
      </w:r>
      <w:r w:rsidR="75D5089D" w:rsidRPr="48B2D1D3">
        <w:rPr>
          <w:rFonts w:ascii="MetaPro-Norm" w:hAnsi="MetaPro-Norm"/>
        </w:rPr>
        <w:t>d</w:t>
      </w:r>
      <w:r w:rsidR="614DA99A" w:rsidRPr="48B2D1D3">
        <w:rPr>
          <w:rFonts w:ascii="MetaPro-Norm" w:hAnsi="MetaPro-Norm"/>
        </w:rPr>
        <w:t xml:space="preserve"> </w:t>
      </w:r>
      <w:r w:rsidR="6E78F6A0" w:rsidRPr="48B2D1D3">
        <w:rPr>
          <w:rFonts w:ascii="MetaPro-Norm" w:hAnsi="MetaPro-Norm"/>
        </w:rPr>
        <w:t xml:space="preserve">the university </w:t>
      </w:r>
      <w:r w:rsidR="614DA99A" w:rsidRPr="48B2D1D3">
        <w:rPr>
          <w:rFonts w:ascii="MetaPro-Norm" w:hAnsi="MetaPro-Norm"/>
        </w:rPr>
        <w:t xml:space="preserve">for “a serious breach of widely recognized principles of academic freedom.” </w:t>
      </w:r>
      <w:r w:rsidR="527CFCDB" w:rsidRPr="48B2D1D3">
        <w:rPr>
          <w:rFonts w:ascii="MetaPro-Norm" w:hAnsi="MetaPro-Norm"/>
        </w:rPr>
        <w:t xml:space="preserve">The university </w:t>
      </w:r>
      <w:r w:rsidR="21CA0F89" w:rsidRPr="48B2D1D3">
        <w:rPr>
          <w:rFonts w:ascii="MetaPro-Norm" w:hAnsi="MetaPro-Norm"/>
        </w:rPr>
        <w:t xml:space="preserve">later offered </w:t>
      </w:r>
      <w:proofErr w:type="spellStart"/>
      <w:r w:rsidR="21CA0F89" w:rsidRPr="48B2D1D3">
        <w:rPr>
          <w:rFonts w:ascii="MetaPro-Norm" w:hAnsi="MetaPro-Norm"/>
        </w:rPr>
        <w:t>Azarova</w:t>
      </w:r>
      <w:proofErr w:type="spellEnd"/>
      <w:r w:rsidR="21CA0F89" w:rsidRPr="48B2D1D3">
        <w:rPr>
          <w:rFonts w:ascii="MetaPro-Norm" w:hAnsi="MetaPro-Norm"/>
        </w:rPr>
        <w:t xml:space="preserve"> the position, which she declined, and </w:t>
      </w:r>
      <w:r w:rsidR="527CFCDB" w:rsidRPr="48B2D1D3">
        <w:rPr>
          <w:rFonts w:ascii="MetaPro-Norm" w:hAnsi="MetaPro-Norm"/>
        </w:rPr>
        <w:t>ple</w:t>
      </w:r>
      <w:r w:rsidR="24D5CB25" w:rsidRPr="48B2D1D3">
        <w:rPr>
          <w:rFonts w:ascii="MetaPro-Norm" w:hAnsi="MetaPro-Norm"/>
        </w:rPr>
        <w:t xml:space="preserve">dged to </w:t>
      </w:r>
      <w:r w:rsidR="527CFCDB" w:rsidRPr="48B2D1D3">
        <w:rPr>
          <w:rFonts w:ascii="MetaPro-Norm" w:hAnsi="MetaPro-Norm"/>
        </w:rPr>
        <w:t>extend academic freedom protections to the director</w:t>
      </w:r>
      <w:r w:rsidR="5D434FCA" w:rsidRPr="48B2D1D3">
        <w:rPr>
          <w:rFonts w:ascii="MetaPro-Norm" w:hAnsi="MetaPro-Norm"/>
        </w:rPr>
        <w:t>s</w:t>
      </w:r>
      <w:r w:rsidR="527CFCDB" w:rsidRPr="48B2D1D3">
        <w:rPr>
          <w:rFonts w:ascii="MetaPro-Norm" w:hAnsi="MetaPro-Norm"/>
        </w:rPr>
        <w:t xml:space="preserve"> of the human rights </w:t>
      </w:r>
      <w:r w:rsidR="2E52AFA3" w:rsidRPr="48B2D1D3">
        <w:rPr>
          <w:rFonts w:ascii="MetaPro-Norm" w:hAnsi="MetaPro-Norm"/>
        </w:rPr>
        <w:t xml:space="preserve">program </w:t>
      </w:r>
      <w:r w:rsidR="527CFCDB" w:rsidRPr="48B2D1D3">
        <w:rPr>
          <w:rFonts w:ascii="MetaPro-Norm" w:hAnsi="MetaPro-Norm"/>
        </w:rPr>
        <w:t>and other clinic</w:t>
      </w:r>
      <w:r w:rsidR="212B99E4" w:rsidRPr="48B2D1D3">
        <w:rPr>
          <w:rFonts w:ascii="MetaPro-Norm" w:hAnsi="MetaPro-Norm"/>
        </w:rPr>
        <w:t>al program</w:t>
      </w:r>
      <w:r w:rsidR="0FDBD333" w:rsidRPr="48B2D1D3">
        <w:rPr>
          <w:rFonts w:ascii="MetaPro-Norm" w:hAnsi="MetaPro-Norm"/>
        </w:rPr>
        <w:t>s</w:t>
      </w:r>
      <w:r w:rsidR="527CFCDB" w:rsidRPr="48B2D1D3">
        <w:rPr>
          <w:rFonts w:ascii="MetaPro-Norm" w:hAnsi="MetaPro-Norm"/>
        </w:rPr>
        <w:t>.</w:t>
      </w:r>
      <w:r w:rsidR="007C0677">
        <w:rPr>
          <w:rFonts w:ascii="MetaPro-Norm" w:hAnsi="MetaPro-Norm"/>
        </w:rPr>
        <w:t xml:space="preserve"> For full disclosure, Dr. </w:t>
      </w:r>
      <w:proofErr w:type="spellStart"/>
      <w:r w:rsidR="007C0677">
        <w:rPr>
          <w:rFonts w:ascii="MetaPro-Norm" w:hAnsi="MetaPro-Norm"/>
        </w:rPr>
        <w:t>Azarova’s</w:t>
      </w:r>
      <w:proofErr w:type="spellEnd"/>
      <w:r w:rsidR="007C0677">
        <w:rPr>
          <w:rFonts w:ascii="MetaPro-Norm" w:hAnsi="MetaPro-Norm"/>
        </w:rPr>
        <w:t xml:space="preserve"> spouse works at Human Rights Watch. </w:t>
      </w:r>
    </w:p>
    <w:p w14:paraId="03A564EE" w14:textId="6621098C" w:rsidR="00923D5D" w:rsidRPr="00C4591C" w:rsidRDefault="00923D5D" w:rsidP="00C043C3">
      <w:pPr>
        <w:spacing w:after="0"/>
        <w:rPr>
          <w:rFonts w:ascii="MetaPro-Norm" w:hAnsi="MetaPro-Norm"/>
        </w:rPr>
      </w:pPr>
    </w:p>
    <w:p w14:paraId="52B060B7" w14:textId="2536D3EE" w:rsidR="002C1F6E" w:rsidRPr="00EE263D" w:rsidRDefault="00833486" w:rsidP="00FB2ECD">
      <w:pPr>
        <w:pStyle w:val="ListParagraph"/>
        <w:numPr>
          <w:ilvl w:val="0"/>
          <w:numId w:val="3"/>
        </w:numPr>
        <w:spacing w:after="0"/>
        <w:rPr>
          <w:rFonts w:ascii="MetaPro-Norm" w:hAnsi="MetaPro-Norm"/>
          <w:b/>
          <w:bCs/>
        </w:rPr>
      </w:pPr>
      <w:r w:rsidRPr="002C1F6E">
        <w:rPr>
          <w:rFonts w:ascii="MetaPro-Norm" w:hAnsi="MetaPro-Norm"/>
        </w:rPr>
        <w:t>I</w:t>
      </w:r>
      <w:r w:rsidR="00C043C3">
        <w:rPr>
          <w:rFonts w:ascii="MetaPro-Norm" w:hAnsi="MetaPro-Norm"/>
        </w:rPr>
        <w:t xml:space="preserve">n </w:t>
      </w:r>
      <w:r w:rsidR="00C043C3" w:rsidRPr="00C043C3">
        <w:rPr>
          <w:rFonts w:ascii="MetaPro-Norm" w:hAnsi="MetaPro-Norm"/>
          <w:b/>
          <w:bCs/>
        </w:rPr>
        <w:t>Hungary</w:t>
      </w:r>
      <w:r w:rsidR="00C043C3">
        <w:rPr>
          <w:rFonts w:ascii="MetaPro-Norm" w:hAnsi="MetaPro-Norm"/>
        </w:rPr>
        <w:t>, i</w:t>
      </w:r>
      <w:r w:rsidRPr="002C1F6E">
        <w:rPr>
          <w:rFonts w:ascii="MetaPro-Norm" w:hAnsi="MetaPro-Norm"/>
        </w:rPr>
        <w:t xml:space="preserve">n September 2020, </w:t>
      </w:r>
      <w:r w:rsidR="0097791B" w:rsidRPr="002C1F6E">
        <w:rPr>
          <w:rFonts w:ascii="MetaPro-Norm" w:hAnsi="MetaPro-Norm"/>
        </w:rPr>
        <w:t>a new law transferred ownership of the state-run theater university to a private foundation whose members have close links to the Orban government.</w:t>
      </w:r>
      <w:r w:rsidR="00BE44AE">
        <w:rPr>
          <w:rStyle w:val="FootnoteReference"/>
        </w:rPr>
        <w:footnoteReference w:id="3"/>
      </w:r>
      <w:r w:rsidR="0097791B" w:rsidRPr="002C1F6E">
        <w:rPr>
          <w:rFonts w:ascii="MetaPro-Norm" w:hAnsi="MetaPro-Norm"/>
        </w:rPr>
        <w:t xml:space="preserve"> The Ministry of Technology and Innovation appointed five members to the new board of trustees, rejecting members proposed by the university’s senate</w:t>
      </w:r>
      <w:r w:rsidR="002C1F6E" w:rsidRPr="002C1F6E">
        <w:rPr>
          <w:rFonts w:ascii="MetaPro-Norm" w:hAnsi="MetaPro-Norm"/>
        </w:rPr>
        <w:t>—</w:t>
      </w:r>
      <w:r w:rsidR="0097791B" w:rsidRPr="002C1F6E">
        <w:rPr>
          <w:rFonts w:ascii="MetaPro-Norm" w:hAnsi="MetaPro-Norm"/>
        </w:rPr>
        <w:t>the university’s main decision-making body. The government effectively controlled all appointments to the supervisory board and the board of trustees</w:t>
      </w:r>
      <w:r w:rsidR="002C1F6E">
        <w:rPr>
          <w:rFonts w:ascii="MetaPro-Norm" w:hAnsi="MetaPro-Norm"/>
        </w:rPr>
        <w:t>.</w:t>
      </w:r>
    </w:p>
    <w:p w14:paraId="5AEC5A79" w14:textId="08B13D4F" w:rsidR="00EE263D" w:rsidRPr="00904411" w:rsidRDefault="00EE263D" w:rsidP="00904411">
      <w:pPr>
        <w:spacing w:after="0"/>
        <w:rPr>
          <w:rFonts w:ascii="MetaPro-Norm" w:hAnsi="MetaPro-Norm"/>
        </w:rPr>
      </w:pPr>
    </w:p>
    <w:p w14:paraId="05325FC7" w14:textId="355B5349" w:rsidR="006C7E03" w:rsidRDefault="2FC57014" w:rsidP="00601193">
      <w:pPr>
        <w:pStyle w:val="ListParagraph"/>
        <w:numPr>
          <w:ilvl w:val="0"/>
          <w:numId w:val="3"/>
        </w:numPr>
        <w:spacing w:after="0"/>
        <w:rPr>
          <w:rFonts w:ascii="MetaPro-Norm" w:hAnsi="MetaPro-Norm"/>
        </w:rPr>
      </w:pPr>
      <w:r>
        <w:rPr>
          <w:rFonts w:ascii="MetaPro-Norm" w:hAnsi="MetaPro-Norm"/>
        </w:rPr>
        <w:t>T</w:t>
      </w:r>
      <w:r w:rsidR="11CEA01C" w:rsidRPr="00EE263D">
        <w:rPr>
          <w:rFonts w:ascii="MetaPro-Norm" w:hAnsi="MetaPro-Norm"/>
        </w:rPr>
        <w:t xml:space="preserve">he Orban </w:t>
      </w:r>
      <w:r w:rsidR="00E94E1F" w:rsidRPr="00EE263D">
        <w:rPr>
          <w:rFonts w:ascii="MetaPro-Norm" w:hAnsi="MetaPro-Norm"/>
        </w:rPr>
        <w:t xml:space="preserve">government </w:t>
      </w:r>
      <w:r w:rsidR="00E94E1F">
        <w:rPr>
          <w:rFonts w:ascii="MetaPro-Norm" w:hAnsi="MetaPro-Norm"/>
        </w:rPr>
        <w:t>has</w:t>
      </w:r>
      <w:r w:rsidR="11CEA01C" w:rsidRPr="00EE263D">
        <w:rPr>
          <w:rFonts w:ascii="MetaPro-Norm" w:hAnsi="MetaPro-Norm"/>
        </w:rPr>
        <w:t xml:space="preserve"> spent the last decade exerting control over academia and sciences </w:t>
      </w:r>
      <w:proofErr w:type="gramStart"/>
      <w:r w:rsidR="11CEA01C" w:rsidRPr="00EE263D">
        <w:rPr>
          <w:rFonts w:ascii="MetaPro-Norm" w:hAnsi="MetaPro-Norm"/>
        </w:rPr>
        <w:t>in an effort to</w:t>
      </w:r>
      <w:proofErr w:type="gramEnd"/>
      <w:r w:rsidR="11CEA01C" w:rsidRPr="00EE263D">
        <w:rPr>
          <w:rFonts w:ascii="MetaPro-Norm" w:hAnsi="MetaPro-Norm"/>
        </w:rPr>
        <w:t xml:space="preserve"> root out teaching or scientific research that </w:t>
      </w:r>
      <w:r w:rsidR="02B084D8" w:rsidRPr="00EE263D">
        <w:rPr>
          <w:rFonts w:ascii="MetaPro-Norm" w:hAnsi="MetaPro-Norm"/>
        </w:rPr>
        <w:t>counters</w:t>
      </w:r>
      <w:r w:rsidR="11CEA01C" w:rsidRPr="00EE263D">
        <w:rPr>
          <w:rFonts w:ascii="MetaPro-Norm" w:hAnsi="MetaPro-Norm"/>
        </w:rPr>
        <w:t xml:space="preserve"> the government’s agenda. Examples include shutting down the Central European University, banning gender studies, and stripping the Academy of Sciences of its autonomy.</w:t>
      </w:r>
      <w:r w:rsidR="00A6775A">
        <w:rPr>
          <w:rStyle w:val="FootnoteReference"/>
        </w:rPr>
        <w:footnoteReference w:id="4"/>
      </w:r>
    </w:p>
    <w:p w14:paraId="78911547" w14:textId="77777777" w:rsidR="006C7E03" w:rsidRPr="006C7E03" w:rsidRDefault="006C7E03" w:rsidP="006C7E03">
      <w:pPr>
        <w:pStyle w:val="ListParagraph"/>
        <w:rPr>
          <w:rFonts w:ascii="MetaPro-Norm" w:hAnsi="MetaPro-Norm"/>
        </w:rPr>
      </w:pPr>
    </w:p>
    <w:p w14:paraId="0C4A38B3" w14:textId="209C22B4" w:rsidR="00601193" w:rsidRDefault="00CB495E" w:rsidP="003520E7">
      <w:pPr>
        <w:pStyle w:val="ListParagraph"/>
        <w:numPr>
          <w:ilvl w:val="0"/>
          <w:numId w:val="3"/>
        </w:numPr>
        <w:spacing w:after="0"/>
        <w:rPr>
          <w:rFonts w:ascii="MetaPro-Norm" w:hAnsi="MetaPro-Norm"/>
        </w:rPr>
      </w:pPr>
      <w:r>
        <w:rPr>
          <w:rFonts w:ascii="MetaPro-Norm" w:hAnsi="MetaPro-Norm"/>
        </w:rPr>
        <w:t>T</w:t>
      </w:r>
      <w:r w:rsidR="006C7E03" w:rsidRPr="006C7E03">
        <w:rPr>
          <w:rFonts w:ascii="MetaPro-Norm" w:hAnsi="MetaPro-Norm"/>
        </w:rPr>
        <w:t xml:space="preserve">eachers </w:t>
      </w:r>
      <w:r>
        <w:rPr>
          <w:rFonts w:ascii="MetaPro-Norm" w:hAnsi="MetaPro-Norm"/>
        </w:rPr>
        <w:t>have been</w:t>
      </w:r>
      <w:r w:rsidR="006C7E03" w:rsidRPr="006C7E03">
        <w:rPr>
          <w:rFonts w:ascii="MetaPro-Norm" w:hAnsi="MetaPro-Norm"/>
        </w:rPr>
        <w:t xml:space="preserve"> summarily dismissed under </w:t>
      </w:r>
      <w:r>
        <w:rPr>
          <w:rFonts w:ascii="MetaPro-Norm" w:hAnsi="MetaPro-Norm"/>
        </w:rPr>
        <w:t>Hungary’s</w:t>
      </w:r>
      <w:r w:rsidR="006C7E03" w:rsidRPr="006C7E03">
        <w:rPr>
          <w:rFonts w:ascii="MetaPro-Norm" w:hAnsi="MetaPro-Norm"/>
        </w:rPr>
        <w:t xml:space="preserve"> state of </w:t>
      </w:r>
      <w:r w:rsidR="007C0677">
        <w:rPr>
          <w:rFonts w:ascii="MetaPro-Norm" w:hAnsi="MetaPro-Norm"/>
        </w:rPr>
        <w:t>emergency</w:t>
      </w:r>
      <w:r w:rsidR="007C0677" w:rsidRPr="006C7E03">
        <w:rPr>
          <w:rFonts w:ascii="MetaPro-Norm" w:hAnsi="MetaPro-Norm"/>
        </w:rPr>
        <w:t xml:space="preserve"> </w:t>
      </w:r>
      <w:r w:rsidR="006C7E03" w:rsidRPr="006C7E03">
        <w:rPr>
          <w:rFonts w:ascii="MetaPro-Norm" w:hAnsi="MetaPro-Norm"/>
        </w:rPr>
        <w:t>law.</w:t>
      </w:r>
      <w:r w:rsidR="009F331B">
        <w:rPr>
          <w:rStyle w:val="FootnoteReference"/>
        </w:rPr>
        <w:footnoteReference w:id="5"/>
      </w:r>
      <w:r w:rsidR="006C7E03" w:rsidRPr="006C7E03">
        <w:rPr>
          <w:rFonts w:ascii="MetaPro-Norm" w:hAnsi="MetaPro-Norm"/>
        </w:rPr>
        <w:t xml:space="preserve"> The events leading to the dismissals were prompted by an ongoing teachers</w:t>
      </w:r>
      <w:r>
        <w:rPr>
          <w:rFonts w:ascii="MetaPro-Norm" w:hAnsi="MetaPro-Norm"/>
        </w:rPr>
        <w:t>’</w:t>
      </w:r>
      <w:r w:rsidR="006C7E03" w:rsidRPr="006C7E03">
        <w:rPr>
          <w:rFonts w:ascii="MetaPro-Norm" w:hAnsi="MetaPro-Norm"/>
        </w:rPr>
        <w:t xml:space="preserve"> </w:t>
      </w:r>
      <w:proofErr w:type="gramStart"/>
      <w:r w:rsidR="006C7E03" w:rsidRPr="006C7E03">
        <w:rPr>
          <w:rFonts w:ascii="MetaPro-Norm" w:hAnsi="MetaPro-Norm"/>
        </w:rPr>
        <w:t>protest against</w:t>
      </w:r>
      <w:proofErr w:type="gramEnd"/>
      <w:r w:rsidR="006C7E03" w:rsidRPr="006C7E03">
        <w:rPr>
          <w:rFonts w:ascii="MetaPro-Norm" w:hAnsi="MetaPro-Norm"/>
        </w:rPr>
        <w:t xml:space="preserve"> low salaries, poor working conditions</w:t>
      </w:r>
      <w:r w:rsidR="00E534F7">
        <w:rPr>
          <w:rFonts w:ascii="MetaPro-Norm" w:hAnsi="MetaPro-Norm"/>
        </w:rPr>
        <w:t>,</w:t>
      </w:r>
      <w:r w:rsidR="006C7E03" w:rsidRPr="006C7E03">
        <w:rPr>
          <w:rFonts w:ascii="MetaPro-Norm" w:hAnsi="MetaPro-Norm"/>
        </w:rPr>
        <w:t xml:space="preserve"> and the adoption of a law worsening the situation of teachers including by enabling monitoring phones, arbitrar</w:t>
      </w:r>
      <w:r w:rsidR="00C03D24">
        <w:rPr>
          <w:rFonts w:ascii="MetaPro-Norm" w:hAnsi="MetaPro-Norm"/>
        </w:rPr>
        <w:t>ily</w:t>
      </w:r>
      <w:r w:rsidR="006C7E03" w:rsidRPr="006C7E03">
        <w:rPr>
          <w:rFonts w:ascii="MetaPro-Norm" w:hAnsi="MetaPro-Norm"/>
        </w:rPr>
        <w:t xml:space="preserve"> transfer</w:t>
      </w:r>
      <w:r w:rsidR="00C03D24">
        <w:rPr>
          <w:rFonts w:ascii="MetaPro-Norm" w:hAnsi="MetaPro-Norm"/>
        </w:rPr>
        <w:t>ring</w:t>
      </w:r>
      <w:r w:rsidR="006C7E03" w:rsidRPr="006C7E03">
        <w:rPr>
          <w:rFonts w:ascii="MetaPro-Norm" w:hAnsi="MetaPro-Norm"/>
        </w:rPr>
        <w:t xml:space="preserve"> teachers from one school to another, extending weekly working hours</w:t>
      </w:r>
      <w:r w:rsidR="00C4277D">
        <w:rPr>
          <w:rFonts w:ascii="MetaPro-Norm" w:hAnsi="MetaPro-Norm"/>
        </w:rPr>
        <w:t>,</w:t>
      </w:r>
      <w:r w:rsidR="006C7E03" w:rsidRPr="006C7E03">
        <w:rPr>
          <w:rFonts w:ascii="MetaPro-Norm" w:hAnsi="MetaPro-Norm"/>
        </w:rPr>
        <w:t xml:space="preserve"> and forc</w:t>
      </w:r>
      <w:r w:rsidR="00C4277D">
        <w:rPr>
          <w:rFonts w:ascii="MetaPro-Norm" w:hAnsi="MetaPro-Norm"/>
        </w:rPr>
        <w:t>ing</w:t>
      </w:r>
      <w:r w:rsidR="006C7E03" w:rsidRPr="006C7E03">
        <w:rPr>
          <w:rFonts w:ascii="MetaPro-Norm" w:hAnsi="MetaPro-Norm"/>
        </w:rPr>
        <w:t xml:space="preserve"> teaching on Sundays</w:t>
      </w:r>
      <w:r w:rsidR="0021333A">
        <w:rPr>
          <w:rFonts w:ascii="MetaPro-Norm" w:hAnsi="MetaPro-Norm"/>
        </w:rPr>
        <w:t>.</w:t>
      </w:r>
    </w:p>
    <w:p w14:paraId="2BBC787D" w14:textId="77777777" w:rsidR="00206D9E" w:rsidRPr="00206D9E" w:rsidRDefault="00206D9E" w:rsidP="00206D9E">
      <w:pPr>
        <w:spacing w:after="0"/>
        <w:rPr>
          <w:rFonts w:ascii="MetaPro-Norm" w:hAnsi="MetaPro-Norm"/>
        </w:rPr>
      </w:pPr>
    </w:p>
    <w:p w14:paraId="62C72102" w14:textId="76BEAF90" w:rsidR="00601193" w:rsidRPr="00AF5C6A" w:rsidRDefault="00AF5C6A" w:rsidP="007124F9">
      <w:pPr>
        <w:spacing w:after="0"/>
        <w:rPr>
          <w:color w:val="000000"/>
        </w:rPr>
      </w:pPr>
      <w:r>
        <w:rPr>
          <w:rStyle w:val="contentpasted1"/>
          <w:rFonts w:ascii="MetaPro-Norm" w:hAnsi="MetaPro-Norm"/>
          <w:i/>
          <w:iCs/>
          <w:color w:val="000000"/>
        </w:rPr>
        <w:t>Restrictions on police or military personnel e</w:t>
      </w:r>
      <w:r w:rsidRPr="002168A5">
        <w:rPr>
          <w:rStyle w:val="contentpasted1"/>
          <w:rFonts w:ascii="MetaPro-Norm" w:hAnsi="MetaPro-Norm"/>
          <w:i/>
          <w:iCs/>
          <w:color w:val="000000"/>
        </w:rPr>
        <w:t xml:space="preserve">ntering </w:t>
      </w:r>
      <w:r>
        <w:rPr>
          <w:rStyle w:val="contentpasted1"/>
          <w:rFonts w:ascii="MetaPro-Norm" w:hAnsi="MetaPro-Norm"/>
          <w:i/>
          <w:iCs/>
          <w:color w:val="000000"/>
        </w:rPr>
        <w:t>e</w:t>
      </w:r>
      <w:r w:rsidRPr="002168A5">
        <w:rPr>
          <w:rStyle w:val="contentpasted1"/>
          <w:rFonts w:ascii="MetaPro-Norm" w:hAnsi="MetaPro-Norm"/>
          <w:i/>
          <w:iCs/>
          <w:color w:val="000000"/>
        </w:rPr>
        <w:t xml:space="preserve">ducational </w:t>
      </w:r>
      <w:proofErr w:type="gramStart"/>
      <w:r>
        <w:rPr>
          <w:rStyle w:val="contentpasted1"/>
          <w:rFonts w:ascii="MetaPro-Norm" w:hAnsi="MetaPro-Norm"/>
          <w:i/>
          <w:iCs/>
          <w:color w:val="000000"/>
        </w:rPr>
        <w:t>i</w:t>
      </w:r>
      <w:r w:rsidRPr="002168A5">
        <w:rPr>
          <w:rStyle w:val="contentpasted1"/>
          <w:rFonts w:ascii="MetaPro-Norm" w:hAnsi="MetaPro-Norm"/>
          <w:i/>
          <w:iCs/>
          <w:color w:val="000000"/>
        </w:rPr>
        <w:t>nstitutions</w:t>
      </w:r>
      <w:proofErr w:type="gramEnd"/>
    </w:p>
    <w:p w14:paraId="29F71347" w14:textId="0D1D507E" w:rsidR="007124F9" w:rsidRDefault="00601193">
      <w:pPr>
        <w:pStyle w:val="ListParagraph"/>
        <w:numPr>
          <w:ilvl w:val="0"/>
          <w:numId w:val="3"/>
        </w:numPr>
        <w:spacing w:after="0"/>
        <w:rPr>
          <w:rFonts w:ascii="MetaPro-Norm" w:hAnsi="MetaPro-Norm"/>
        </w:rPr>
      </w:pPr>
      <w:r w:rsidRPr="007124F9">
        <w:rPr>
          <w:rFonts w:ascii="MetaPro-Norm" w:hAnsi="MetaPro-Norm"/>
        </w:rPr>
        <w:t>Human Rights Watch and the Global Coalition to Protect Education from Attack have identified dozens of countries that have laws or policies restricting police or military personnel’s interactions with schools or universities.</w:t>
      </w:r>
      <w:r w:rsidRPr="0009142C">
        <w:rPr>
          <w:rFonts w:ascii="MetaPro-Medi" w:hAnsi="MetaPro-Medi"/>
          <w:vertAlign w:val="superscript"/>
        </w:rPr>
        <w:footnoteReference w:id="6"/>
      </w:r>
      <w:r w:rsidRPr="0009142C">
        <w:rPr>
          <w:rFonts w:ascii="MetaPro-Medi" w:hAnsi="MetaPro-Medi"/>
        </w:rPr>
        <w:t xml:space="preserve"> </w:t>
      </w:r>
    </w:p>
    <w:p w14:paraId="7161AC56" w14:textId="77777777" w:rsidR="007124F9" w:rsidRPr="007124F9" w:rsidRDefault="007124F9" w:rsidP="007124F9">
      <w:pPr>
        <w:pStyle w:val="ListParagraph"/>
        <w:spacing w:after="0"/>
        <w:ind w:left="360"/>
        <w:rPr>
          <w:rFonts w:ascii="MetaPro-Norm" w:hAnsi="MetaPro-Norm"/>
        </w:rPr>
      </w:pPr>
    </w:p>
    <w:p w14:paraId="7A3C5186" w14:textId="77777777" w:rsidR="007124F9" w:rsidRDefault="007124F9" w:rsidP="007124F9">
      <w:pPr>
        <w:pStyle w:val="ListParagraph"/>
        <w:numPr>
          <w:ilvl w:val="0"/>
          <w:numId w:val="3"/>
        </w:numPr>
        <w:spacing w:after="0"/>
        <w:rPr>
          <w:rFonts w:ascii="MetaPro-Norm" w:hAnsi="MetaPro-Norm"/>
        </w:rPr>
      </w:pPr>
      <w:r>
        <w:rPr>
          <w:rFonts w:ascii="MetaPro-Norm" w:hAnsi="MetaPro-Norm"/>
        </w:rPr>
        <w:t>For example, t</w:t>
      </w:r>
      <w:r w:rsidR="00601193" w:rsidRPr="007124F9">
        <w:rPr>
          <w:rFonts w:ascii="MetaPro-Norm" w:hAnsi="MetaPro-Norm"/>
        </w:rPr>
        <w:t xml:space="preserve">he </w:t>
      </w:r>
      <w:r w:rsidR="00601193" w:rsidRPr="007124F9">
        <w:rPr>
          <w:rFonts w:ascii="MetaPro-Norm" w:hAnsi="MetaPro-Norm"/>
          <w:b/>
          <w:bCs/>
        </w:rPr>
        <w:t>Central African Republic</w:t>
      </w:r>
      <w:r w:rsidR="00601193" w:rsidRPr="007124F9">
        <w:rPr>
          <w:rFonts w:ascii="MetaPro-Norm" w:hAnsi="MetaPro-Norm"/>
        </w:rPr>
        <w:t>,</w:t>
      </w:r>
      <w:r w:rsidR="00601193" w:rsidRPr="007124F9">
        <w:rPr>
          <w:rFonts w:ascii="MetaPro-Norm" w:hAnsi="MetaPro-Norm"/>
          <w:b/>
          <w:bCs/>
        </w:rPr>
        <w:t xml:space="preserve"> Ethiopia</w:t>
      </w:r>
      <w:r w:rsidR="00601193" w:rsidRPr="007124F9">
        <w:rPr>
          <w:rFonts w:ascii="MetaPro-Norm" w:hAnsi="MetaPro-Norm"/>
        </w:rPr>
        <w:t xml:space="preserve">, and the </w:t>
      </w:r>
      <w:r w:rsidR="00601193" w:rsidRPr="007124F9">
        <w:rPr>
          <w:rFonts w:ascii="MetaPro-Norm" w:hAnsi="MetaPro-Norm"/>
          <w:b/>
          <w:bCs/>
        </w:rPr>
        <w:t>Philippines</w:t>
      </w:r>
      <w:r w:rsidR="00601193" w:rsidRPr="007124F9">
        <w:rPr>
          <w:rFonts w:ascii="MetaPro-Norm" w:hAnsi="MetaPro-Norm"/>
        </w:rPr>
        <w:t xml:space="preserve"> make the occupation, confiscation, or appropriation of schools by armed groups or forces a criminal offense. </w:t>
      </w:r>
    </w:p>
    <w:p w14:paraId="771074B1" w14:textId="77777777" w:rsidR="007124F9" w:rsidRPr="007124F9" w:rsidRDefault="007124F9" w:rsidP="007124F9">
      <w:pPr>
        <w:pStyle w:val="ListParagraph"/>
        <w:rPr>
          <w:rFonts w:ascii="MetaPro-Norm" w:hAnsi="MetaPro-Norm"/>
          <w:b/>
          <w:bCs/>
        </w:rPr>
      </w:pPr>
    </w:p>
    <w:p w14:paraId="4ADE8B73" w14:textId="4FFF4BD9" w:rsidR="007124F9" w:rsidRDefault="00601193" w:rsidP="007124F9">
      <w:pPr>
        <w:pStyle w:val="ListParagraph"/>
        <w:numPr>
          <w:ilvl w:val="0"/>
          <w:numId w:val="3"/>
        </w:numPr>
        <w:spacing w:after="0"/>
        <w:rPr>
          <w:rFonts w:ascii="MetaPro-Norm" w:hAnsi="MetaPro-Norm"/>
        </w:rPr>
      </w:pPr>
      <w:r w:rsidRPr="007124F9">
        <w:rPr>
          <w:rFonts w:ascii="MetaPro-Norm" w:hAnsi="MetaPro-Norm"/>
          <w:b/>
          <w:bCs/>
        </w:rPr>
        <w:t>Bangladesh</w:t>
      </w:r>
      <w:r w:rsidRPr="007124F9">
        <w:rPr>
          <w:rFonts w:ascii="MetaPro-Norm" w:hAnsi="MetaPro-Norm"/>
        </w:rPr>
        <w:t xml:space="preserve">, </w:t>
      </w:r>
      <w:r w:rsidRPr="007124F9">
        <w:rPr>
          <w:rFonts w:ascii="MetaPro-Norm" w:hAnsi="MetaPro-Norm"/>
          <w:b/>
          <w:bCs/>
        </w:rPr>
        <w:t>India</w:t>
      </w:r>
      <w:r w:rsidRPr="007124F9">
        <w:rPr>
          <w:rFonts w:ascii="MetaPro-Norm" w:hAnsi="MetaPro-Norm"/>
        </w:rPr>
        <w:t>,</w:t>
      </w:r>
      <w:r w:rsidRPr="007124F9">
        <w:rPr>
          <w:rFonts w:ascii="MetaPro-Norm" w:hAnsi="MetaPro-Norm"/>
          <w:b/>
          <w:bCs/>
        </w:rPr>
        <w:t xml:space="preserve"> Ireland</w:t>
      </w:r>
      <w:r w:rsidRPr="007124F9">
        <w:rPr>
          <w:rFonts w:ascii="MetaPro-Norm" w:hAnsi="MetaPro-Norm"/>
        </w:rPr>
        <w:t xml:space="preserve">, </w:t>
      </w:r>
      <w:r w:rsidRPr="007124F9">
        <w:rPr>
          <w:rFonts w:ascii="MetaPro-Norm" w:hAnsi="MetaPro-Norm"/>
          <w:b/>
          <w:bCs/>
        </w:rPr>
        <w:t>Malaysia</w:t>
      </w:r>
      <w:r w:rsidRPr="007124F9">
        <w:rPr>
          <w:rFonts w:ascii="MetaPro-Norm" w:hAnsi="MetaPro-Norm"/>
        </w:rPr>
        <w:t xml:space="preserve">, </w:t>
      </w:r>
      <w:r w:rsidRPr="007124F9">
        <w:rPr>
          <w:rFonts w:ascii="MetaPro-Norm" w:hAnsi="MetaPro-Norm"/>
          <w:b/>
          <w:bCs/>
        </w:rPr>
        <w:t>Pakistan</w:t>
      </w:r>
      <w:r w:rsidRPr="007124F9">
        <w:rPr>
          <w:rFonts w:ascii="MetaPro-Norm" w:hAnsi="MetaPro-Norm"/>
        </w:rPr>
        <w:t xml:space="preserve">, </w:t>
      </w:r>
      <w:r w:rsidRPr="007124F9">
        <w:rPr>
          <w:rFonts w:ascii="MetaPro-Norm" w:hAnsi="MetaPro-Norm"/>
          <w:b/>
          <w:bCs/>
        </w:rPr>
        <w:t>Singapore</w:t>
      </w:r>
      <w:r w:rsidRPr="007124F9">
        <w:rPr>
          <w:rFonts w:ascii="MetaPro-Norm" w:hAnsi="MetaPro-Norm"/>
        </w:rPr>
        <w:t xml:space="preserve">, </w:t>
      </w:r>
      <w:r w:rsidRPr="007124F9">
        <w:rPr>
          <w:rFonts w:ascii="MetaPro-Norm" w:hAnsi="MetaPro-Norm"/>
          <w:b/>
          <w:bCs/>
        </w:rPr>
        <w:t>Sri Lanka</w:t>
      </w:r>
      <w:r w:rsidRPr="007124F9">
        <w:rPr>
          <w:rFonts w:ascii="MetaPro-Norm" w:hAnsi="MetaPro-Norm"/>
        </w:rPr>
        <w:t xml:space="preserve">, </w:t>
      </w:r>
      <w:r w:rsidR="00D85CAB">
        <w:rPr>
          <w:rFonts w:ascii="MetaPro-Norm" w:hAnsi="MetaPro-Norm"/>
        </w:rPr>
        <w:t xml:space="preserve">and </w:t>
      </w:r>
      <w:r w:rsidRPr="007124F9">
        <w:rPr>
          <w:rFonts w:ascii="MetaPro-Norm" w:hAnsi="MetaPro-Norm"/>
        </w:rPr>
        <w:t>the</w:t>
      </w:r>
      <w:r w:rsidRPr="007124F9">
        <w:rPr>
          <w:rFonts w:ascii="MetaPro-Norm" w:hAnsi="MetaPro-Norm"/>
          <w:b/>
          <w:bCs/>
        </w:rPr>
        <w:t xml:space="preserve"> United Kingdom</w:t>
      </w:r>
      <w:r w:rsidRPr="007124F9">
        <w:rPr>
          <w:rFonts w:ascii="MetaPro-Norm" w:hAnsi="MetaPro-Norm"/>
        </w:rPr>
        <w:t xml:space="preserve"> have legislation preventing military forces engaged in maneuvers to pass over, encamp, enter, or interfere with education institutions. </w:t>
      </w:r>
      <w:r w:rsidRPr="007124F9">
        <w:rPr>
          <w:rFonts w:ascii="MetaPro-Norm" w:hAnsi="MetaPro-Norm"/>
          <w:b/>
          <w:bCs/>
        </w:rPr>
        <w:t xml:space="preserve">Poland </w:t>
      </w:r>
      <w:r w:rsidRPr="007124F9">
        <w:rPr>
          <w:rFonts w:ascii="MetaPro-Norm" w:hAnsi="MetaPro-Norm"/>
        </w:rPr>
        <w:t>has legislation prohibiting the temporary quartering of armed forces personnel in higher education institutions.</w:t>
      </w:r>
    </w:p>
    <w:p w14:paraId="56989F08" w14:textId="77777777" w:rsidR="007124F9" w:rsidRPr="007124F9" w:rsidRDefault="007124F9" w:rsidP="007124F9">
      <w:pPr>
        <w:pStyle w:val="ListParagraph"/>
        <w:rPr>
          <w:rFonts w:ascii="MetaPro-Norm" w:hAnsi="MetaPro-Norm"/>
          <w:b/>
          <w:bCs/>
        </w:rPr>
      </w:pPr>
    </w:p>
    <w:p w14:paraId="36562CEA" w14:textId="4E0B6923" w:rsidR="007124F9" w:rsidRDefault="00601193" w:rsidP="007124F9">
      <w:pPr>
        <w:pStyle w:val="ListParagraph"/>
        <w:numPr>
          <w:ilvl w:val="0"/>
          <w:numId w:val="3"/>
        </w:numPr>
        <w:spacing w:after="0"/>
        <w:rPr>
          <w:rFonts w:ascii="MetaPro-Norm" w:hAnsi="MetaPro-Norm"/>
        </w:rPr>
      </w:pPr>
      <w:r w:rsidRPr="007124F9">
        <w:rPr>
          <w:rFonts w:ascii="MetaPro-Norm" w:hAnsi="MetaPro-Norm"/>
          <w:b/>
          <w:bCs/>
        </w:rPr>
        <w:t>Albania</w:t>
      </w:r>
      <w:r w:rsidRPr="007124F9">
        <w:rPr>
          <w:rFonts w:ascii="MetaPro-Norm" w:hAnsi="MetaPro-Norm"/>
        </w:rPr>
        <w:t xml:space="preserve">, </w:t>
      </w:r>
      <w:r w:rsidRPr="007124F9">
        <w:rPr>
          <w:rFonts w:ascii="MetaPro-Norm" w:hAnsi="MetaPro-Norm"/>
          <w:b/>
          <w:bCs/>
        </w:rPr>
        <w:t>Argentina</w:t>
      </w:r>
      <w:r w:rsidRPr="007124F9">
        <w:rPr>
          <w:rFonts w:ascii="MetaPro-Norm" w:hAnsi="MetaPro-Norm"/>
        </w:rPr>
        <w:t xml:space="preserve">, </w:t>
      </w:r>
      <w:r w:rsidRPr="007124F9">
        <w:rPr>
          <w:rFonts w:ascii="MetaPro-Norm" w:hAnsi="MetaPro-Norm"/>
          <w:b/>
          <w:bCs/>
        </w:rPr>
        <w:t>Croatia</w:t>
      </w:r>
      <w:r w:rsidRPr="007124F9">
        <w:rPr>
          <w:rFonts w:ascii="MetaPro-Norm" w:hAnsi="MetaPro-Norm"/>
        </w:rPr>
        <w:t xml:space="preserve">, </w:t>
      </w:r>
      <w:r w:rsidRPr="007124F9">
        <w:rPr>
          <w:rFonts w:ascii="MetaPro-Norm" w:hAnsi="MetaPro-Norm"/>
          <w:b/>
          <w:bCs/>
        </w:rPr>
        <w:t>Montenegro</w:t>
      </w:r>
      <w:r w:rsidRPr="007124F9">
        <w:rPr>
          <w:rFonts w:ascii="MetaPro-Norm" w:hAnsi="MetaPro-Norm"/>
        </w:rPr>
        <w:t>,</w:t>
      </w:r>
      <w:r w:rsidRPr="007124F9">
        <w:rPr>
          <w:rFonts w:ascii="MetaPro-Norm" w:hAnsi="MetaPro-Norm"/>
          <w:b/>
          <w:bCs/>
        </w:rPr>
        <w:t xml:space="preserve"> Nicaragua</w:t>
      </w:r>
      <w:r w:rsidRPr="007124F9">
        <w:rPr>
          <w:rFonts w:ascii="MetaPro-Norm" w:hAnsi="MetaPro-Norm"/>
        </w:rPr>
        <w:t xml:space="preserve">, </w:t>
      </w:r>
      <w:r w:rsidRPr="007124F9">
        <w:rPr>
          <w:rFonts w:ascii="MetaPro-Norm" w:hAnsi="MetaPro-Norm"/>
          <w:b/>
          <w:bCs/>
        </w:rPr>
        <w:t>North Macedonia</w:t>
      </w:r>
      <w:r w:rsidRPr="007124F9">
        <w:rPr>
          <w:rFonts w:ascii="MetaPro-Norm" w:hAnsi="MetaPro-Norm"/>
        </w:rPr>
        <w:t xml:space="preserve">, </w:t>
      </w:r>
      <w:r w:rsidRPr="007124F9">
        <w:rPr>
          <w:rFonts w:ascii="MetaPro-Norm" w:hAnsi="MetaPro-Norm"/>
          <w:b/>
          <w:bCs/>
        </w:rPr>
        <w:t>Peru</w:t>
      </w:r>
      <w:r w:rsidRPr="007124F9">
        <w:rPr>
          <w:rFonts w:ascii="MetaPro-Norm" w:hAnsi="MetaPro-Norm"/>
        </w:rPr>
        <w:t>,</w:t>
      </w:r>
      <w:r w:rsidRPr="007124F9">
        <w:rPr>
          <w:rFonts w:ascii="MetaPro-Norm" w:hAnsi="MetaPro-Norm"/>
          <w:b/>
          <w:bCs/>
        </w:rPr>
        <w:t xml:space="preserve"> </w:t>
      </w:r>
      <w:r w:rsidR="00D85CAB">
        <w:rPr>
          <w:rFonts w:ascii="MetaPro-Norm" w:hAnsi="MetaPro-Norm"/>
        </w:rPr>
        <w:t xml:space="preserve">and </w:t>
      </w:r>
      <w:r w:rsidRPr="007124F9">
        <w:rPr>
          <w:rFonts w:ascii="MetaPro-Norm" w:hAnsi="MetaPro-Norm"/>
          <w:b/>
          <w:bCs/>
        </w:rPr>
        <w:t>Venezuela</w:t>
      </w:r>
      <w:r w:rsidRPr="007124F9">
        <w:rPr>
          <w:rFonts w:ascii="MetaPro-Norm" w:hAnsi="MetaPro-Norm"/>
        </w:rPr>
        <w:t xml:space="preserve"> have legislation guaranteeing some measure of inviolability of their higher education institutions and their campuses from public order forces. </w:t>
      </w:r>
    </w:p>
    <w:p w14:paraId="2305ED25" w14:textId="77777777" w:rsidR="007124F9" w:rsidRPr="007124F9" w:rsidRDefault="007124F9" w:rsidP="007124F9">
      <w:pPr>
        <w:pStyle w:val="ListParagraph"/>
        <w:rPr>
          <w:rFonts w:ascii="MetaPro-Norm" w:hAnsi="MetaPro-Norm"/>
          <w:b/>
          <w:bCs/>
        </w:rPr>
      </w:pPr>
    </w:p>
    <w:p w14:paraId="7FE9831A" w14:textId="77674BEB" w:rsidR="007124F9" w:rsidRDefault="00601193" w:rsidP="007124F9">
      <w:pPr>
        <w:pStyle w:val="ListParagraph"/>
        <w:numPr>
          <w:ilvl w:val="0"/>
          <w:numId w:val="3"/>
        </w:numPr>
        <w:spacing w:after="0"/>
        <w:rPr>
          <w:rFonts w:ascii="MetaPro-Norm" w:hAnsi="MetaPro-Norm"/>
        </w:rPr>
      </w:pPr>
      <w:r w:rsidRPr="007124F9">
        <w:rPr>
          <w:rFonts w:ascii="MetaPro-Norm" w:hAnsi="MetaPro-Norm"/>
          <w:b/>
          <w:bCs/>
        </w:rPr>
        <w:t xml:space="preserve">Colombia, </w:t>
      </w:r>
      <w:r w:rsidR="00750AE2">
        <w:rPr>
          <w:rFonts w:ascii="MetaPro-Norm" w:hAnsi="MetaPro-Norm"/>
        </w:rPr>
        <w:t xml:space="preserve">the </w:t>
      </w:r>
      <w:r w:rsidRPr="007124F9">
        <w:rPr>
          <w:rFonts w:ascii="MetaPro-Norm" w:hAnsi="MetaPro-Norm"/>
          <w:b/>
          <w:bCs/>
        </w:rPr>
        <w:t xml:space="preserve">Democratic Republic of </w:t>
      </w:r>
      <w:r w:rsidR="00E15742">
        <w:rPr>
          <w:rFonts w:ascii="MetaPro-Norm" w:hAnsi="MetaPro-Norm"/>
          <w:b/>
          <w:bCs/>
        </w:rPr>
        <w:t xml:space="preserve">the </w:t>
      </w:r>
      <w:r w:rsidRPr="007124F9">
        <w:rPr>
          <w:rFonts w:ascii="MetaPro-Norm" w:hAnsi="MetaPro-Norm"/>
          <w:b/>
          <w:bCs/>
        </w:rPr>
        <w:t>Congo, Denmark</w:t>
      </w:r>
      <w:r w:rsidRPr="007124F9">
        <w:rPr>
          <w:rFonts w:ascii="MetaPro-Norm" w:hAnsi="MetaPro-Norm"/>
        </w:rPr>
        <w:t xml:space="preserve">, </w:t>
      </w:r>
      <w:r w:rsidRPr="007124F9">
        <w:rPr>
          <w:rFonts w:ascii="MetaPro-Norm" w:hAnsi="MetaPro-Norm"/>
          <w:b/>
          <w:bCs/>
        </w:rPr>
        <w:t>Ecuador</w:t>
      </w:r>
      <w:r w:rsidRPr="007124F9">
        <w:rPr>
          <w:rFonts w:ascii="MetaPro-Norm" w:hAnsi="MetaPro-Norm"/>
        </w:rPr>
        <w:t xml:space="preserve">, </w:t>
      </w:r>
      <w:r w:rsidRPr="007124F9">
        <w:rPr>
          <w:rFonts w:ascii="MetaPro-Norm" w:hAnsi="MetaPro-Norm"/>
          <w:b/>
          <w:bCs/>
        </w:rPr>
        <w:t>Nepal</w:t>
      </w:r>
      <w:r w:rsidRPr="007124F9">
        <w:rPr>
          <w:rFonts w:ascii="MetaPro-Norm" w:hAnsi="MetaPro-Norm"/>
        </w:rPr>
        <w:t>,</w:t>
      </w:r>
      <w:r w:rsidRPr="007124F9">
        <w:rPr>
          <w:rFonts w:ascii="MetaPro-Norm" w:hAnsi="MetaPro-Norm"/>
          <w:b/>
          <w:bCs/>
        </w:rPr>
        <w:t xml:space="preserve"> New Zealand</w:t>
      </w:r>
      <w:r w:rsidRPr="007124F9">
        <w:rPr>
          <w:rFonts w:ascii="MetaPro-Norm" w:hAnsi="MetaPro-Norm"/>
        </w:rPr>
        <w:t>,</w:t>
      </w:r>
      <w:r w:rsidRPr="007124F9">
        <w:rPr>
          <w:rFonts w:ascii="MetaPro-Norm" w:hAnsi="MetaPro-Norm"/>
          <w:b/>
          <w:bCs/>
        </w:rPr>
        <w:t xml:space="preserve"> Nigeria</w:t>
      </w:r>
      <w:r w:rsidRPr="007124F9">
        <w:rPr>
          <w:rFonts w:ascii="MetaPro-Norm" w:hAnsi="MetaPro-Norm"/>
        </w:rPr>
        <w:t>,</w:t>
      </w:r>
      <w:r w:rsidRPr="007124F9">
        <w:rPr>
          <w:rFonts w:ascii="MetaPro-Norm" w:hAnsi="MetaPro-Norm"/>
          <w:b/>
          <w:bCs/>
        </w:rPr>
        <w:t xml:space="preserve"> Norway</w:t>
      </w:r>
      <w:r w:rsidRPr="007124F9">
        <w:rPr>
          <w:rFonts w:ascii="MetaPro-Norm" w:hAnsi="MetaPro-Norm"/>
        </w:rPr>
        <w:t xml:space="preserve">, the </w:t>
      </w:r>
      <w:r w:rsidRPr="007124F9">
        <w:rPr>
          <w:rFonts w:ascii="MetaPro-Norm" w:hAnsi="MetaPro-Norm"/>
          <w:b/>
          <w:bCs/>
        </w:rPr>
        <w:t>Philippines</w:t>
      </w:r>
      <w:r w:rsidRPr="007124F9">
        <w:rPr>
          <w:rFonts w:ascii="MetaPro-Norm" w:hAnsi="MetaPro-Norm"/>
        </w:rPr>
        <w:t xml:space="preserve">, </w:t>
      </w:r>
      <w:r w:rsidRPr="007124F9">
        <w:rPr>
          <w:rFonts w:ascii="MetaPro-Norm" w:hAnsi="MetaPro-Norm"/>
          <w:b/>
          <w:bCs/>
        </w:rPr>
        <w:t>South Sudan</w:t>
      </w:r>
      <w:r w:rsidRPr="007124F9">
        <w:rPr>
          <w:rFonts w:ascii="MetaPro-Norm" w:hAnsi="MetaPro-Norm"/>
        </w:rPr>
        <w:t xml:space="preserve">, </w:t>
      </w:r>
      <w:r w:rsidRPr="007124F9">
        <w:rPr>
          <w:rFonts w:ascii="MetaPro-Norm" w:hAnsi="MetaPro-Norm"/>
          <w:b/>
          <w:bCs/>
        </w:rPr>
        <w:t>Spain</w:t>
      </w:r>
      <w:r w:rsidRPr="007124F9">
        <w:rPr>
          <w:rFonts w:ascii="MetaPro-Norm" w:hAnsi="MetaPro-Norm"/>
        </w:rPr>
        <w:t>,</w:t>
      </w:r>
      <w:r w:rsidRPr="007124F9">
        <w:rPr>
          <w:rFonts w:ascii="MetaPro-Norm" w:hAnsi="MetaPro-Norm"/>
          <w:b/>
          <w:bCs/>
        </w:rPr>
        <w:t xml:space="preserve"> Sudan</w:t>
      </w:r>
      <w:r w:rsidRPr="007124F9">
        <w:rPr>
          <w:rFonts w:ascii="MetaPro-Norm" w:hAnsi="MetaPro-Norm"/>
        </w:rPr>
        <w:t>,</w:t>
      </w:r>
      <w:r w:rsidRPr="007124F9">
        <w:rPr>
          <w:rFonts w:ascii="MetaPro-Norm" w:hAnsi="MetaPro-Norm"/>
          <w:b/>
          <w:bCs/>
        </w:rPr>
        <w:t xml:space="preserve"> Switzerland</w:t>
      </w:r>
      <w:r w:rsidRPr="007124F9">
        <w:rPr>
          <w:rFonts w:ascii="MetaPro-Norm" w:hAnsi="MetaPro-Norm"/>
        </w:rPr>
        <w:t>,</w:t>
      </w:r>
      <w:r w:rsidRPr="007124F9">
        <w:rPr>
          <w:rFonts w:ascii="MetaPro-Norm" w:hAnsi="MetaPro-Norm"/>
          <w:b/>
          <w:bCs/>
        </w:rPr>
        <w:t xml:space="preserve"> Ukraine</w:t>
      </w:r>
      <w:r w:rsidRPr="007124F9">
        <w:rPr>
          <w:rFonts w:ascii="MetaPro-Norm" w:hAnsi="MetaPro-Norm"/>
        </w:rPr>
        <w:t>,</w:t>
      </w:r>
      <w:r w:rsidRPr="00E15742">
        <w:rPr>
          <w:rFonts w:ascii="MetaPro-Medi" w:hAnsi="MetaPro-Medi"/>
          <w:vertAlign w:val="superscript"/>
        </w:rPr>
        <w:footnoteReference w:id="7"/>
      </w:r>
      <w:r w:rsidRPr="00E15742">
        <w:rPr>
          <w:rFonts w:ascii="MetaPro-Medi" w:hAnsi="MetaPro-Medi"/>
        </w:rPr>
        <w:t xml:space="preserve"> </w:t>
      </w:r>
      <w:r w:rsidRPr="007124F9">
        <w:rPr>
          <w:rFonts w:ascii="MetaPro-Norm" w:hAnsi="MetaPro-Norm"/>
        </w:rPr>
        <w:t xml:space="preserve">and the </w:t>
      </w:r>
      <w:r w:rsidRPr="007124F9">
        <w:rPr>
          <w:rFonts w:ascii="MetaPro-Norm" w:hAnsi="MetaPro-Norm"/>
          <w:b/>
          <w:bCs/>
        </w:rPr>
        <w:t>United Kingdom</w:t>
      </w:r>
      <w:r w:rsidRPr="007124F9">
        <w:rPr>
          <w:rFonts w:ascii="MetaPro-Norm" w:hAnsi="MetaPro-Norm"/>
        </w:rPr>
        <w:t xml:space="preserve"> have either prohibitions or restriction on the use of their forces entering, occupying, or using schools or other education institutions, in military manuals, military orders, defense ministry directives, or other government guidance. Armed groups in </w:t>
      </w:r>
      <w:r w:rsidRPr="007124F9">
        <w:rPr>
          <w:rFonts w:ascii="MetaPro-Norm" w:hAnsi="MetaPro-Norm"/>
          <w:b/>
          <w:bCs/>
        </w:rPr>
        <w:t>Iraq</w:t>
      </w:r>
      <w:r w:rsidRPr="007124F9">
        <w:rPr>
          <w:rFonts w:ascii="MetaPro-Norm" w:hAnsi="MetaPro-Norm"/>
        </w:rPr>
        <w:t xml:space="preserve">, </w:t>
      </w:r>
      <w:r w:rsidRPr="007124F9">
        <w:rPr>
          <w:rFonts w:ascii="MetaPro-Norm" w:hAnsi="MetaPro-Norm"/>
          <w:b/>
          <w:bCs/>
        </w:rPr>
        <w:t>Lebanon</w:t>
      </w:r>
      <w:r w:rsidRPr="007124F9">
        <w:rPr>
          <w:rFonts w:ascii="MetaPro-Norm" w:hAnsi="MetaPro-Norm"/>
        </w:rPr>
        <w:t xml:space="preserve">, </w:t>
      </w:r>
      <w:r w:rsidRPr="007124F9">
        <w:rPr>
          <w:rFonts w:ascii="MetaPro-Norm" w:hAnsi="MetaPro-Norm"/>
          <w:b/>
          <w:bCs/>
        </w:rPr>
        <w:t>Libya</w:t>
      </w:r>
      <w:r w:rsidRPr="007124F9">
        <w:rPr>
          <w:rFonts w:ascii="MetaPro-Norm" w:hAnsi="MetaPro-Norm"/>
        </w:rPr>
        <w:t xml:space="preserve">, </w:t>
      </w:r>
      <w:r w:rsidRPr="007124F9">
        <w:rPr>
          <w:rFonts w:ascii="MetaPro-Norm" w:hAnsi="MetaPro-Norm"/>
          <w:b/>
          <w:bCs/>
        </w:rPr>
        <w:t>Mali</w:t>
      </w:r>
      <w:r w:rsidRPr="007124F9">
        <w:rPr>
          <w:rFonts w:ascii="MetaPro-Norm" w:hAnsi="MetaPro-Norm"/>
        </w:rPr>
        <w:t xml:space="preserve">, </w:t>
      </w:r>
      <w:r w:rsidRPr="007124F9">
        <w:rPr>
          <w:rFonts w:ascii="MetaPro-Norm" w:hAnsi="MetaPro-Norm"/>
          <w:b/>
          <w:bCs/>
        </w:rPr>
        <w:t>Myanmar</w:t>
      </w:r>
      <w:r w:rsidRPr="007124F9">
        <w:rPr>
          <w:rFonts w:ascii="MetaPro-Norm" w:hAnsi="MetaPro-Norm"/>
        </w:rPr>
        <w:t xml:space="preserve">, </w:t>
      </w:r>
      <w:r w:rsidRPr="007124F9">
        <w:rPr>
          <w:rFonts w:ascii="MetaPro-Norm" w:hAnsi="MetaPro-Norm"/>
          <w:b/>
          <w:bCs/>
        </w:rPr>
        <w:t>Syria</w:t>
      </w:r>
      <w:r w:rsidRPr="007124F9">
        <w:rPr>
          <w:rFonts w:ascii="MetaPro-Norm" w:hAnsi="MetaPro-Norm"/>
        </w:rPr>
        <w:t>, and</w:t>
      </w:r>
      <w:r w:rsidRPr="007124F9">
        <w:rPr>
          <w:rFonts w:ascii="MetaPro-Norm" w:hAnsi="MetaPro-Norm"/>
          <w:b/>
          <w:bCs/>
        </w:rPr>
        <w:t xml:space="preserve"> Yemen </w:t>
      </w:r>
      <w:r w:rsidRPr="007124F9">
        <w:rPr>
          <w:rFonts w:ascii="MetaPro-Norm" w:hAnsi="MetaPro-Norm"/>
        </w:rPr>
        <w:t>have internal orders banning or restricting using schools for military purposes.</w:t>
      </w:r>
    </w:p>
    <w:p w14:paraId="3C577F7F" w14:textId="77777777" w:rsidR="007124F9" w:rsidRPr="007124F9" w:rsidRDefault="007124F9" w:rsidP="007124F9">
      <w:pPr>
        <w:pStyle w:val="ListParagraph"/>
        <w:rPr>
          <w:rFonts w:ascii="MetaPro-Norm" w:hAnsi="MetaPro-Norm"/>
        </w:rPr>
      </w:pPr>
    </w:p>
    <w:p w14:paraId="6193FB29" w14:textId="55CABC56" w:rsidR="007124F9" w:rsidRDefault="00601193" w:rsidP="007124F9">
      <w:pPr>
        <w:pStyle w:val="ListParagraph"/>
        <w:numPr>
          <w:ilvl w:val="0"/>
          <w:numId w:val="3"/>
        </w:numPr>
        <w:spacing w:after="0"/>
        <w:rPr>
          <w:rFonts w:ascii="MetaPro-Norm" w:hAnsi="MetaPro-Norm"/>
        </w:rPr>
      </w:pPr>
      <w:r w:rsidRPr="007124F9">
        <w:rPr>
          <w:rFonts w:ascii="MetaPro-Norm" w:hAnsi="MetaPro-Norm"/>
        </w:rPr>
        <w:t xml:space="preserve">In </w:t>
      </w:r>
      <w:r w:rsidRPr="007124F9">
        <w:rPr>
          <w:rFonts w:ascii="MetaPro-Norm" w:hAnsi="MetaPro-Norm"/>
          <w:b/>
          <w:bCs/>
        </w:rPr>
        <w:t xml:space="preserve">Colombia </w:t>
      </w:r>
      <w:r w:rsidRPr="007124F9">
        <w:rPr>
          <w:rFonts w:ascii="MetaPro-Norm" w:hAnsi="MetaPro-Norm"/>
        </w:rPr>
        <w:t xml:space="preserve">and </w:t>
      </w:r>
      <w:r w:rsidRPr="007124F9">
        <w:rPr>
          <w:rFonts w:ascii="MetaPro-Norm" w:hAnsi="MetaPro-Norm"/>
          <w:b/>
          <w:bCs/>
        </w:rPr>
        <w:t>India</w:t>
      </w:r>
      <w:r w:rsidR="00E275E7">
        <w:rPr>
          <w:rFonts w:ascii="MetaPro-Norm" w:hAnsi="MetaPro-Norm"/>
        </w:rPr>
        <w:t>,</w:t>
      </w:r>
      <w:r w:rsidRPr="007124F9">
        <w:rPr>
          <w:rFonts w:ascii="MetaPro-Norm" w:hAnsi="MetaPro-Norm"/>
          <w:b/>
          <w:bCs/>
        </w:rPr>
        <w:t xml:space="preserve"> </w:t>
      </w:r>
      <w:r w:rsidRPr="007124F9">
        <w:rPr>
          <w:rFonts w:ascii="MetaPro-Norm" w:hAnsi="MetaPro-Norm"/>
        </w:rPr>
        <w:t>courts have ordered security forces to stop occupying and using schools.</w:t>
      </w:r>
    </w:p>
    <w:p w14:paraId="06CA7EDB" w14:textId="77777777" w:rsidR="00B3383C" w:rsidRDefault="00B3383C" w:rsidP="002C1F6E">
      <w:pPr>
        <w:spacing w:after="0"/>
        <w:rPr>
          <w:rFonts w:ascii="MetaPro-Norm" w:hAnsi="MetaPro-Norm"/>
          <w:b/>
          <w:bCs/>
        </w:rPr>
      </w:pPr>
    </w:p>
    <w:p w14:paraId="035A23ED" w14:textId="77777777" w:rsidR="00BB1D0E" w:rsidRDefault="00BB1D0E" w:rsidP="002C1F6E">
      <w:pPr>
        <w:spacing w:after="0"/>
        <w:rPr>
          <w:rFonts w:ascii="MetaPro-Norm" w:hAnsi="MetaPro-Norm"/>
          <w:b/>
          <w:bCs/>
        </w:rPr>
      </w:pPr>
    </w:p>
    <w:p w14:paraId="6CD52170" w14:textId="77777777" w:rsidR="00BB1D0E" w:rsidRDefault="00BB1D0E" w:rsidP="002C1F6E">
      <w:pPr>
        <w:spacing w:after="0"/>
        <w:rPr>
          <w:rFonts w:ascii="MetaPro-Norm" w:hAnsi="MetaPro-Norm"/>
          <w:b/>
          <w:bCs/>
        </w:rPr>
      </w:pPr>
    </w:p>
    <w:p w14:paraId="781BF39D" w14:textId="7FB49452" w:rsidR="00C5649B" w:rsidRPr="00F46AF4" w:rsidRDefault="00C5649B" w:rsidP="00F46AF4">
      <w:pPr>
        <w:spacing w:after="0"/>
        <w:rPr>
          <w:rFonts w:ascii="MetaPro-Norm" w:hAnsi="MetaPro-Norm"/>
          <w:b/>
          <w:bCs/>
        </w:rPr>
      </w:pPr>
      <w:r w:rsidRPr="002C1F6E">
        <w:rPr>
          <w:rFonts w:ascii="MetaPro-Norm" w:hAnsi="MetaPro-Norm"/>
          <w:b/>
          <w:bCs/>
        </w:rPr>
        <w:lastRenderedPageBreak/>
        <w:t>Funding</w:t>
      </w:r>
      <w:r w:rsidR="00052D5F">
        <w:rPr>
          <w:rFonts w:ascii="MetaPro-Norm" w:hAnsi="MetaPro-Norm"/>
          <w:b/>
          <w:bCs/>
        </w:rPr>
        <w:t xml:space="preserve"> (questions 6, 7)</w:t>
      </w:r>
    </w:p>
    <w:p w14:paraId="0B6D658C" w14:textId="77777777" w:rsidR="007A7CFA" w:rsidRDefault="632B7017" w:rsidP="00FB2ECD">
      <w:pPr>
        <w:pStyle w:val="ListParagraph"/>
        <w:numPr>
          <w:ilvl w:val="0"/>
          <w:numId w:val="3"/>
        </w:numPr>
        <w:spacing w:after="0"/>
        <w:rPr>
          <w:rFonts w:ascii="MetaPro-Norm" w:hAnsi="MetaPro-Norm"/>
        </w:rPr>
      </w:pPr>
      <w:r w:rsidRPr="10B506A7">
        <w:rPr>
          <w:rFonts w:ascii="MetaPro-Norm" w:hAnsi="MetaPro-Norm"/>
        </w:rPr>
        <w:t xml:space="preserve">Universities in China are tightly controlled by a government notoriously hostile to academic freedom at home and abroad. </w:t>
      </w:r>
    </w:p>
    <w:p w14:paraId="5B3DB262" w14:textId="77777777" w:rsidR="008C177C" w:rsidRDefault="008C177C" w:rsidP="009C633B">
      <w:pPr>
        <w:pStyle w:val="ListParagraph"/>
        <w:spacing w:after="0"/>
        <w:ind w:left="360"/>
        <w:rPr>
          <w:rFonts w:ascii="MetaPro-Norm" w:hAnsi="MetaPro-Norm"/>
        </w:rPr>
      </w:pPr>
    </w:p>
    <w:p w14:paraId="1DDF1AE5" w14:textId="433CAA46" w:rsidR="009A2333" w:rsidRDefault="28228562" w:rsidP="00FB2ECD">
      <w:pPr>
        <w:pStyle w:val="ListParagraph"/>
        <w:numPr>
          <w:ilvl w:val="0"/>
          <w:numId w:val="3"/>
        </w:numPr>
        <w:spacing w:after="0"/>
        <w:rPr>
          <w:rFonts w:ascii="MetaPro-Norm" w:hAnsi="MetaPro-Norm"/>
        </w:rPr>
      </w:pPr>
      <w:r w:rsidRPr="10B506A7">
        <w:rPr>
          <w:rFonts w:ascii="MetaPro-Norm" w:hAnsi="MetaPro-Norm"/>
        </w:rPr>
        <w:t xml:space="preserve">Over the past decade, </w:t>
      </w:r>
      <w:r w:rsidR="655EEBDC" w:rsidRPr="10B506A7">
        <w:rPr>
          <w:rFonts w:ascii="MetaPro-Norm" w:hAnsi="MetaPro-Norm"/>
        </w:rPr>
        <w:t>due to</w:t>
      </w:r>
      <w:r w:rsidRPr="10B506A7">
        <w:rPr>
          <w:rFonts w:ascii="MetaPro-Norm" w:hAnsi="MetaPro-Norm"/>
        </w:rPr>
        <w:t xml:space="preserve"> decreas</w:t>
      </w:r>
      <w:r w:rsidR="007C0677">
        <w:rPr>
          <w:rFonts w:ascii="MetaPro-Norm" w:hAnsi="MetaPro-Norm"/>
        </w:rPr>
        <w:t>ed</w:t>
      </w:r>
      <w:r w:rsidRPr="10B506A7">
        <w:rPr>
          <w:rFonts w:ascii="MetaPro-Norm" w:hAnsi="MetaPro-Norm"/>
        </w:rPr>
        <w:t xml:space="preserve"> state funding to higher education in Australia, Canada, the </w:t>
      </w:r>
      <w:r w:rsidR="00205B8D">
        <w:rPr>
          <w:rFonts w:ascii="MetaPro-Norm" w:hAnsi="MetaPro-Norm"/>
        </w:rPr>
        <w:t>UK</w:t>
      </w:r>
      <w:r w:rsidRPr="10B506A7">
        <w:rPr>
          <w:rFonts w:ascii="MetaPro-Norm" w:hAnsi="MetaPro-Norm"/>
        </w:rPr>
        <w:t xml:space="preserve">, and the United States, universities </w:t>
      </w:r>
      <w:r w:rsidR="3BF475E8" w:rsidRPr="10B506A7">
        <w:rPr>
          <w:rFonts w:ascii="MetaPro-Norm" w:hAnsi="MetaPro-Norm"/>
        </w:rPr>
        <w:t>have been</w:t>
      </w:r>
      <w:r w:rsidRPr="10B506A7">
        <w:rPr>
          <w:rFonts w:ascii="MetaPro-Norm" w:hAnsi="MetaPro-Norm"/>
        </w:rPr>
        <w:t xml:space="preserve"> increasingly financially dependent on fee-paying students from China, and on Chinese government and corporate entities. This has made universities </w:t>
      </w:r>
      <w:r w:rsidR="000A0729">
        <w:rPr>
          <w:rFonts w:ascii="MetaPro-Norm" w:hAnsi="MetaPro-Norm"/>
        </w:rPr>
        <w:t xml:space="preserve">more </w:t>
      </w:r>
      <w:r w:rsidRPr="10B506A7">
        <w:rPr>
          <w:rFonts w:ascii="MetaPro-Norm" w:hAnsi="MetaPro-Norm"/>
        </w:rPr>
        <w:t>susceptible to Chinese government influence</w:t>
      </w:r>
      <w:r w:rsidR="7828C122" w:rsidRPr="10B506A7">
        <w:rPr>
          <w:rFonts w:ascii="MetaPro-Norm" w:hAnsi="MetaPro-Norm"/>
        </w:rPr>
        <w:t>.</w:t>
      </w:r>
      <w:r w:rsidR="00A831B9">
        <w:rPr>
          <w:rStyle w:val="FootnoteReference"/>
        </w:rPr>
        <w:footnoteReference w:id="8"/>
      </w:r>
      <w:r w:rsidR="7828C122" w:rsidRPr="10B506A7">
        <w:rPr>
          <w:rFonts w:ascii="MetaPro-Norm" w:hAnsi="MetaPro-Norm"/>
        </w:rPr>
        <w:t xml:space="preserve"> </w:t>
      </w:r>
    </w:p>
    <w:p w14:paraId="0AAB3C32" w14:textId="77777777" w:rsidR="009A2333" w:rsidRDefault="009A2333" w:rsidP="009A2333">
      <w:pPr>
        <w:pStyle w:val="ListParagraph"/>
        <w:spacing w:after="0"/>
        <w:ind w:left="360"/>
        <w:rPr>
          <w:rFonts w:ascii="MetaPro-Norm" w:hAnsi="MetaPro-Norm"/>
        </w:rPr>
      </w:pPr>
    </w:p>
    <w:p w14:paraId="39836EA2" w14:textId="5E4F28EB" w:rsidR="00645F3C" w:rsidRDefault="000121E3" w:rsidP="00FB2ECD">
      <w:pPr>
        <w:pStyle w:val="ListParagraph"/>
        <w:numPr>
          <w:ilvl w:val="0"/>
          <w:numId w:val="3"/>
        </w:numPr>
        <w:spacing w:after="0"/>
        <w:rPr>
          <w:rFonts w:ascii="MetaPro-Norm" w:hAnsi="MetaPro-Norm"/>
        </w:rPr>
      </w:pPr>
      <w:r>
        <w:rPr>
          <w:rFonts w:ascii="MetaPro-Norm" w:hAnsi="MetaPro-Norm"/>
        </w:rPr>
        <w:t>M</w:t>
      </w:r>
      <w:r w:rsidR="704940A4" w:rsidRPr="00A232E7">
        <w:rPr>
          <w:rFonts w:ascii="MetaPro-Norm" w:hAnsi="MetaPro-Norm"/>
        </w:rPr>
        <w:t xml:space="preserve">edia reported </w:t>
      </w:r>
      <w:r w:rsidR="704940A4">
        <w:rPr>
          <w:rFonts w:ascii="MetaPro-Norm" w:hAnsi="MetaPro-Norm"/>
        </w:rPr>
        <w:t xml:space="preserve">in </w:t>
      </w:r>
      <w:r w:rsidR="06FF0A7A">
        <w:rPr>
          <w:rFonts w:ascii="MetaPro-Norm" w:hAnsi="MetaPro-Norm"/>
        </w:rPr>
        <w:t xml:space="preserve">January </w:t>
      </w:r>
      <w:r w:rsidR="704940A4">
        <w:rPr>
          <w:rFonts w:ascii="MetaPro-Norm" w:hAnsi="MetaPro-Norm"/>
        </w:rPr>
        <w:t>2022</w:t>
      </w:r>
      <w:r w:rsidR="704940A4" w:rsidRPr="00A232E7">
        <w:rPr>
          <w:rFonts w:ascii="MetaPro-Norm" w:hAnsi="MetaPro-Norm"/>
        </w:rPr>
        <w:t xml:space="preserve"> that the</w:t>
      </w:r>
      <w:r w:rsidR="704940A4">
        <w:rPr>
          <w:rFonts w:ascii="MetaPro-Norm" w:hAnsi="MetaPro-Norm"/>
        </w:rPr>
        <w:t xml:space="preserve"> </w:t>
      </w:r>
      <w:r w:rsidR="704940A4" w:rsidRPr="004F0F7D">
        <w:rPr>
          <w:rFonts w:ascii="MetaPro-Norm" w:hAnsi="MetaPro-Norm"/>
        </w:rPr>
        <w:t>Vrije Universiteit (Free University) of Amsterdam</w:t>
      </w:r>
      <w:r w:rsidR="704940A4" w:rsidRPr="00A232E7">
        <w:rPr>
          <w:rFonts w:ascii="MetaPro-Norm" w:hAnsi="MetaPro-Norm"/>
        </w:rPr>
        <w:t xml:space="preserve"> </w:t>
      </w:r>
      <w:r w:rsidR="56732F8B">
        <w:rPr>
          <w:rFonts w:ascii="MetaPro-Norm" w:hAnsi="MetaPro-Norm"/>
        </w:rPr>
        <w:t xml:space="preserve">in </w:t>
      </w:r>
      <w:r w:rsidR="56732F8B" w:rsidRPr="00B35AA5">
        <w:rPr>
          <w:rFonts w:ascii="MetaPro-Norm" w:hAnsi="MetaPro-Norm"/>
        </w:rPr>
        <w:t xml:space="preserve">the </w:t>
      </w:r>
      <w:r w:rsidR="56732F8B" w:rsidRPr="00B35AA5">
        <w:rPr>
          <w:rFonts w:ascii="MetaPro-Norm" w:hAnsi="MetaPro-Norm"/>
          <w:b/>
          <w:bCs/>
        </w:rPr>
        <w:t>Netherlands</w:t>
      </w:r>
      <w:r w:rsidR="56732F8B">
        <w:rPr>
          <w:rFonts w:ascii="MetaPro-Norm" w:hAnsi="MetaPro-Norm"/>
        </w:rPr>
        <w:t xml:space="preserve"> </w:t>
      </w:r>
      <w:r w:rsidR="704940A4" w:rsidRPr="00A232E7">
        <w:rPr>
          <w:rFonts w:ascii="MetaPro-Norm" w:hAnsi="MetaPro-Norm"/>
        </w:rPr>
        <w:t xml:space="preserve">had accepted funding between 2018 and 2020 from the Southwest University of Politics and Law in Chongqing, </w:t>
      </w:r>
      <w:r w:rsidR="704940A4" w:rsidRPr="00237725">
        <w:rPr>
          <w:rFonts w:ascii="MetaPro-Norm" w:hAnsi="MetaPro-Norm"/>
          <w:b/>
          <w:bCs/>
        </w:rPr>
        <w:t>China</w:t>
      </w:r>
      <w:r w:rsidR="704940A4" w:rsidRPr="00A232E7">
        <w:rPr>
          <w:rFonts w:ascii="MetaPro-Norm" w:hAnsi="MetaPro-Norm"/>
        </w:rPr>
        <w:t xml:space="preserve">. </w:t>
      </w:r>
      <w:r w:rsidR="06FF0A7A" w:rsidRPr="00522AF4">
        <w:rPr>
          <w:rFonts w:ascii="MetaPro-Norm" w:hAnsi="MetaPro-Norm"/>
        </w:rPr>
        <w:t xml:space="preserve">The funding to the Free University supported its “Cross Cultural Human Rights Centre,” which has articulated views strikingly </w:t>
      </w:r>
      <w:proofErr w:type="gramStart"/>
      <w:r w:rsidR="06FF0A7A" w:rsidRPr="00522AF4">
        <w:rPr>
          <w:rFonts w:ascii="MetaPro-Norm" w:hAnsi="MetaPro-Norm"/>
        </w:rPr>
        <w:t>similar to</w:t>
      </w:r>
      <w:proofErr w:type="gramEnd"/>
      <w:r w:rsidR="06FF0A7A" w:rsidRPr="00522AF4">
        <w:rPr>
          <w:rFonts w:ascii="MetaPro-Norm" w:hAnsi="MetaPro-Norm"/>
        </w:rPr>
        <w:t xml:space="preserve"> those of the Chinese government. For instance, several center employees denied that the Chinese government was oppressing Uyghurs, despite overwhelming evidence that </w:t>
      </w:r>
      <w:r w:rsidR="00886E94">
        <w:rPr>
          <w:rFonts w:ascii="MetaPro-Norm" w:hAnsi="MetaPro-Norm"/>
        </w:rPr>
        <w:t xml:space="preserve">the government is committing </w:t>
      </w:r>
      <w:r w:rsidR="06FF0A7A" w:rsidRPr="00522AF4">
        <w:rPr>
          <w:rFonts w:ascii="MetaPro-Norm" w:hAnsi="MetaPro-Norm"/>
        </w:rPr>
        <w:t>crimes against humanity</w:t>
      </w:r>
      <w:r w:rsidR="00886E94">
        <w:rPr>
          <w:rFonts w:ascii="MetaPro-Norm" w:hAnsi="MetaPro-Norm"/>
        </w:rPr>
        <w:t xml:space="preserve"> against </w:t>
      </w:r>
      <w:r w:rsidR="00886E94" w:rsidRPr="00522AF4">
        <w:rPr>
          <w:rFonts w:ascii="MetaPro-Norm" w:hAnsi="MetaPro-Norm"/>
        </w:rPr>
        <w:t>Uyghurs</w:t>
      </w:r>
      <w:r w:rsidR="06FF0A7A" w:rsidRPr="00522AF4">
        <w:rPr>
          <w:rFonts w:ascii="MetaPro-Norm" w:hAnsi="MetaPro-Norm"/>
        </w:rPr>
        <w:t xml:space="preserve">. </w:t>
      </w:r>
      <w:r w:rsidR="21682763">
        <w:rPr>
          <w:rFonts w:ascii="MetaPro-Norm" w:hAnsi="MetaPro-Norm"/>
        </w:rPr>
        <w:t xml:space="preserve">The Free University later pledged to </w:t>
      </w:r>
      <w:r w:rsidR="7828C122" w:rsidRPr="00366017">
        <w:rPr>
          <w:rFonts w:ascii="MetaPro-Norm" w:hAnsi="MetaPro-Norm"/>
        </w:rPr>
        <w:t xml:space="preserve">return </w:t>
      </w:r>
      <w:r w:rsidR="21682763">
        <w:rPr>
          <w:rFonts w:ascii="MetaPro-Norm" w:hAnsi="MetaPro-Norm"/>
        </w:rPr>
        <w:t>the</w:t>
      </w:r>
      <w:r w:rsidR="7828C122" w:rsidRPr="00366017">
        <w:rPr>
          <w:rFonts w:ascii="MetaPro-Norm" w:hAnsi="MetaPro-Norm"/>
        </w:rPr>
        <w:t xml:space="preserve"> funding.</w:t>
      </w:r>
      <w:r w:rsidR="00645F3C">
        <w:rPr>
          <w:rStyle w:val="FootnoteReference"/>
        </w:rPr>
        <w:footnoteReference w:id="9"/>
      </w:r>
      <w:r w:rsidR="7828C122" w:rsidRPr="00366017">
        <w:rPr>
          <w:rFonts w:ascii="MetaPro-Norm" w:hAnsi="MetaPro-Norm"/>
        </w:rPr>
        <w:t xml:space="preserve"> </w:t>
      </w:r>
    </w:p>
    <w:p w14:paraId="21B7F9C3" w14:textId="77777777" w:rsidR="005F6924" w:rsidRDefault="005F6924" w:rsidP="005F6924">
      <w:pPr>
        <w:pStyle w:val="ListParagraph"/>
        <w:spacing w:after="0"/>
        <w:ind w:left="360"/>
        <w:rPr>
          <w:rFonts w:ascii="MetaPro-Norm" w:hAnsi="MetaPro-Norm"/>
        </w:rPr>
      </w:pPr>
    </w:p>
    <w:p w14:paraId="7EA7E786" w14:textId="0B7E6B19" w:rsidR="005F6924" w:rsidRPr="00366017" w:rsidRDefault="4CD4DB33" w:rsidP="00FB2ECD">
      <w:pPr>
        <w:pStyle w:val="ListParagraph"/>
        <w:numPr>
          <w:ilvl w:val="0"/>
          <w:numId w:val="3"/>
        </w:numPr>
        <w:spacing w:after="0"/>
        <w:rPr>
          <w:rFonts w:ascii="MetaPro-Norm" w:hAnsi="MetaPro-Norm"/>
        </w:rPr>
      </w:pPr>
      <w:r>
        <w:rPr>
          <w:rFonts w:ascii="MetaPro-Norm" w:hAnsi="MetaPro-Norm"/>
        </w:rPr>
        <w:t>To help mitigate such risks</w:t>
      </w:r>
      <w:r w:rsidR="37C7336A">
        <w:rPr>
          <w:rFonts w:ascii="MetaPro-Norm" w:hAnsi="MetaPro-Norm"/>
        </w:rPr>
        <w:t xml:space="preserve"> to academic freedom</w:t>
      </w:r>
      <w:r>
        <w:rPr>
          <w:rFonts w:ascii="MetaPro-Norm" w:hAnsi="MetaPro-Norm"/>
        </w:rPr>
        <w:t xml:space="preserve">, </w:t>
      </w:r>
      <w:r w:rsidR="15DA271B">
        <w:rPr>
          <w:rFonts w:ascii="MetaPro-Norm" w:hAnsi="MetaPro-Norm"/>
        </w:rPr>
        <w:t>Human Rights Watch has</w:t>
      </w:r>
      <w:r w:rsidR="105F90F5">
        <w:rPr>
          <w:rFonts w:ascii="MetaPro-Norm" w:hAnsi="MetaPro-Norm"/>
        </w:rPr>
        <w:t xml:space="preserve"> </w:t>
      </w:r>
      <w:r w:rsidR="2CD22775" w:rsidRPr="00A75108">
        <w:rPr>
          <w:rFonts w:ascii="MetaPro-Norm" w:hAnsi="MetaPro-Norm"/>
        </w:rPr>
        <w:t>proposed a code of conduct</w:t>
      </w:r>
      <w:r w:rsidR="37C7336A">
        <w:rPr>
          <w:rFonts w:ascii="MetaPro-Norm" w:hAnsi="MetaPro-Norm"/>
        </w:rPr>
        <w:t xml:space="preserve"> for colleges, universities</w:t>
      </w:r>
      <w:r w:rsidR="788C6644">
        <w:rPr>
          <w:rFonts w:ascii="MetaPro-Norm" w:hAnsi="MetaPro-Norm"/>
        </w:rPr>
        <w:t>,</w:t>
      </w:r>
      <w:r w:rsidR="37C7336A">
        <w:rPr>
          <w:rFonts w:ascii="MetaPro-Norm" w:hAnsi="MetaPro-Norm"/>
        </w:rPr>
        <w:t xml:space="preserve"> and academic institutions</w:t>
      </w:r>
      <w:r w:rsidR="2CD22775" w:rsidRPr="00A75108">
        <w:rPr>
          <w:rFonts w:ascii="MetaPro-Norm" w:hAnsi="MetaPro-Norm"/>
        </w:rPr>
        <w:t>.</w:t>
      </w:r>
      <w:r w:rsidR="00054DB5">
        <w:rPr>
          <w:rStyle w:val="FootnoteReference"/>
        </w:rPr>
        <w:footnoteReference w:id="10"/>
      </w:r>
      <w:r w:rsidR="2CD22775" w:rsidRPr="00A75108">
        <w:rPr>
          <w:rFonts w:ascii="MetaPro-Norm" w:hAnsi="MetaPro-Norm"/>
        </w:rPr>
        <w:t xml:space="preserve"> One key step</w:t>
      </w:r>
      <w:r w:rsidR="4F305DA5">
        <w:rPr>
          <w:rFonts w:ascii="MetaPro-Norm" w:hAnsi="MetaPro-Norm"/>
        </w:rPr>
        <w:t xml:space="preserve"> is for</w:t>
      </w:r>
      <w:r w:rsidR="2CD22775" w:rsidRPr="00A75108">
        <w:rPr>
          <w:rFonts w:ascii="MetaPro-Norm" w:hAnsi="MetaPro-Norm"/>
        </w:rPr>
        <w:t xml:space="preserve"> universities </w:t>
      </w:r>
      <w:r w:rsidR="4F305DA5">
        <w:rPr>
          <w:rFonts w:ascii="MetaPro-Norm" w:hAnsi="MetaPro-Norm"/>
        </w:rPr>
        <w:t>to</w:t>
      </w:r>
      <w:r w:rsidR="2CD22775" w:rsidRPr="00A75108">
        <w:rPr>
          <w:rFonts w:ascii="MetaPro-Norm" w:hAnsi="MetaPro-Norm"/>
        </w:rPr>
        <w:t xml:space="preserve"> publicly disclose all direct and indirect Chinese government funding and list </w:t>
      </w:r>
      <w:r w:rsidR="4F305DA5">
        <w:rPr>
          <w:rFonts w:ascii="MetaPro-Norm" w:hAnsi="MetaPro-Norm"/>
        </w:rPr>
        <w:t>all</w:t>
      </w:r>
      <w:r w:rsidR="2CD22775" w:rsidRPr="00A75108">
        <w:rPr>
          <w:rFonts w:ascii="MetaPro-Norm" w:hAnsi="MetaPro-Norm"/>
        </w:rPr>
        <w:t xml:space="preserve"> projects and exchanges with Chinese government counterparts on an annual basis.</w:t>
      </w:r>
    </w:p>
    <w:p w14:paraId="1F7C25EE" w14:textId="77777777" w:rsidR="00F15420" w:rsidRDefault="00F15420" w:rsidP="00FF2DD6">
      <w:pPr>
        <w:spacing w:after="0"/>
        <w:rPr>
          <w:rFonts w:ascii="MetaPro-Norm" w:hAnsi="MetaPro-Norm"/>
          <w:b/>
          <w:bCs/>
        </w:rPr>
      </w:pPr>
    </w:p>
    <w:p w14:paraId="5EF06E97" w14:textId="0E1D9224" w:rsidR="00A5383A" w:rsidRDefault="00A5383A" w:rsidP="00FF2DD6">
      <w:pPr>
        <w:spacing w:after="0"/>
        <w:rPr>
          <w:rFonts w:ascii="MetaPro-Norm" w:hAnsi="MetaPro-Norm"/>
          <w:b/>
          <w:bCs/>
        </w:rPr>
      </w:pPr>
      <w:r>
        <w:rPr>
          <w:rFonts w:ascii="MetaPro-Norm" w:hAnsi="MetaPro-Norm"/>
          <w:b/>
          <w:bCs/>
        </w:rPr>
        <w:t>Surveillance</w:t>
      </w:r>
      <w:r w:rsidR="00456DD9">
        <w:rPr>
          <w:rFonts w:ascii="MetaPro-Norm" w:hAnsi="MetaPro-Norm"/>
          <w:b/>
          <w:bCs/>
        </w:rPr>
        <w:t xml:space="preserve"> (question 8)</w:t>
      </w:r>
    </w:p>
    <w:p w14:paraId="01DC6390" w14:textId="6A76CEBE" w:rsidR="00305776" w:rsidRDefault="00DE5CB2" w:rsidP="00FB2ECD">
      <w:pPr>
        <w:pStyle w:val="ListParagraph"/>
        <w:numPr>
          <w:ilvl w:val="0"/>
          <w:numId w:val="3"/>
        </w:numPr>
        <w:spacing w:after="0"/>
        <w:rPr>
          <w:rFonts w:ascii="MetaPro-Norm" w:hAnsi="MetaPro-Norm"/>
        </w:rPr>
      </w:pPr>
      <w:r>
        <w:rPr>
          <w:rFonts w:ascii="MetaPro-Norm" w:hAnsi="MetaPro-Norm"/>
        </w:rPr>
        <w:t>S</w:t>
      </w:r>
      <w:r w:rsidR="34CBE4C9" w:rsidRPr="10B506A7">
        <w:rPr>
          <w:rFonts w:ascii="MetaPro-Norm" w:hAnsi="MetaPro-Norm"/>
        </w:rPr>
        <w:t>urveillance</w:t>
      </w:r>
      <w:r w:rsidR="63030749" w:rsidRPr="10B506A7">
        <w:rPr>
          <w:rFonts w:ascii="MetaPro-Norm" w:hAnsi="MetaPro-Norm"/>
        </w:rPr>
        <w:t xml:space="preserve"> </w:t>
      </w:r>
      <w:r w:rsidR="34CBE4C9" w:rsidRPr="10B506A7">
        <w:rPr>
          <w:rFonts w:ascii="MetaPro-Norm" w:hAnsi="MetaPro-Norm"/>
        </w:rPr>
        <w:t>practices</w:t>
      </w:r>
      <w:r w:rsidR="2DBA39EF" w:rsidRPr="10B506A7">
        <w:rPr>
          <w:rFonts w:ascii="MetaPro-Norm" w:hAnsi="MetaPro-Norm"/>
        </w:rPr>
        <w:t xml:space="preserve"> </w:t>
      </w:r>
      <w:r w:rsidR="2D1E6DD2" w:rsidRPr="10B506A7">
        <w:rPr>
          <w:rFonts w:ascii="MetaPro-Norm" w:hAnsi="MetaPro-Norm"/>
        </w:rPr>
        <w:t xml:space="preserve">by </w:t>
      </w:r>
      <w:r w:rsidR="0FF87491" w:rsidRPr="10B506A7">
        <w:rPr>
          <w:rFonts w:ascii="MetaPro-Norm" w:hAnsi="MetaPro-Norm"/>
        </w:rPr>
        <w:t xml:space="preserve">Russian and Chinese </w:t>
      </w:r>
      <w:r w:rsidR="2D1E6DD2" w:rsidRPr="10B506A7">
        <w:rPr>
          <w:rFonts w:ascii="MetaPro-Norm" w:hAnsi="MetaPro-Norm"/>
        </w:rPr>
        <w:t>public authoritie</w:t>
      </w:r>
      <w:r w:rsidR="0FF87491" w:rsidRPr="10B506A7">
        <w:rPr>
          <w:rFonts w:ascii="MetaPro-Norm" w:hAnsi="MetaPro-Norm"/>
        </w:rPr>
        <w:t>s</w:t>
      </w:r>
      <w:r w:rsidR="4605935D" w:rsidRPr="10B506A7">
        <w:rPr>
          <w:rFonts w:ascii="MetaPro-Norm" w:hAnsi="MetaPro-Norm"/>
        </w:rPr>
        <w:t xml:space="preserve"> undermine academic freedom</w:t>
      </w:r>
      <w:r w:rsidR="3EFC770E" w:rsidRPr="10B506A7">
        <w:rPr>
          <w:rFonts w:ascii="MetaPro-Norm" w:hAnsi="MetaPro-Norm"/>
        </w:rPr>
        <w:t xml:space="preserve"> and teacher</w:t>
      </w:r>
      <w:r w:rsidR="43343E3B" w:rsidRPr="10B506A7">
        <w:rPr>
          <w:rFonts w:ascii="MetaPro-Norm" w:hAnsi="MetaPro-Norm"/>
        </w:rPr>
        <w:t>s’</w:t>
      </w:r>
      <w:r w:rsidR="3EFC770E" w:rsidRPr="10B506A7">
        <w:rPr>
          <w:rFonts w:ascii="MetaPro-Norm" w:hAnsi="MetaPro-Norm"/>
        </w:rPr>
        <w:t xml:space="preserve"> and children’s freedom of expression</w:t>
      </w:r>
      <w:r w:rsidR="61108169" w:rsidRPr="10B506A7">
        <w:rPr>
          <w:rFonts w:ascii="MetaPro-Norm" w:hAnsi="MetaPro-Norm"/>
        </w:rPr>
        <w:t>. We have also</w:t>
      </w:r>
      <w:r w:rsidR="34211BDE" w:rsidRPr="10B506A7">
        <w:rPr>
          <w:rFonts w:ascii="MetaPro-Norm" w:hAnsi="MetaPro-Norm"/>
        </w:rPr>
        <w:t xml:space="preserve"> </w:t>
      </w:r>
      <w:r w:rsidR="43B28F91" w:rsidRPr="10B506A7">
        <w:rPr>
          <w:rFonts w:ascii="MetaPro-Norm" w:hAnsi="MetaPro-Norm"/>
        </w:rPr>
        <w:t xml:space="preserve">found </w:t>
      </w:r>
      <w:r w:rsidR="480B3997" w:rsidRPr="10B506A7">
        <w:rPr>
          <w:rFonts w:ascii="MetaPro-Norm" w:hAnsi="MetaPro-Norm"/>
        </w:rPr>
        <w:t xml:space="preserve">that </w:t>
      </w:r>
      <w:r w:rsidR="34CBE4C9" w:rsidRPr="10B506A7">
        <w:rPr>
          <w:rFonts w:ascii="MetaPro-Norm" w:hAnsi="MetaPro-Norm"/>
        </w:rPr>
        <w:t>digital surveillance</w:t>
      </w:r>
      <w:r w:rsidR="3EFC770E" w:rsidRPr="10B506A7">
        <w:rPr>
          <w:rFonts w:ascii="MetaPro-Norm" w:hAnsi="MetaPro-Norm"/>
        </w:rPr>
        <w:t xml:space="preserve">, including </w:t>
      </w:r>
      <w:proofErr w:type="gramStart"/>
      <w:r w:rsidR="3EFC770E" w:rsidRPr="10B506A7">
        <w:rPr>
          <w:rFonts w:ascii="MetaPro-Norm" w:hAnsi="MetaPro-Norm"/>
        </w:rPr>
        <w:t>through the use of</w:t>
      </w:r>
      <w:proofErr w:type="gramEnd"/>
      <w:r w:rsidR="3EFC770E" w:rsidRPr="10B506A7">
        <w:rPr>
          <w:rFonts w:ascii="MetaPro-Norm" w:hAnsi="MetaPro-Norm"/>
        </w:rPr>
        <w:t xml:space="preserve"> government-</w:t>
      </w:r>
      <w:r w:rsidR="5C50302C" w:rsidRPr="10B506A7">
        <w:rPr>
          <w:rFonts w:ascii="MetaPro-Norm" w:hAnsi="MetaPro-Norm"/>
        </w:rPr>
        <w:t xml:space="preserve">approved and often compulsory </w:t>
      </w:r>
      <w:r w:rsidR="0EC88217" w:rsidRPr="10B506A7">
        <w:rPr>
          <w:rFonts w:ascii="MetaPro-Norm" w:hAnsi="MetaPro-Norm"/>
        </w:rPr>
        <w:lastRenderedPageBreak/>
        <w:t>education technology (</w:t>
      </w:r>
      <w:r w:rsidR="5C50302C" w:rsidRPr="10B506A7">
        <w:rPr>
          <w:rFonts w:ascii="MetaPro-Norm" w:hAnsi="MetaPro-Norm"/>
        </w:rPr>
        <w:t>EdTech</w:t>
      </w:r>
      <w:r w:rsidR="0EC88217" w:rsidRPr="10B506A7">
        <w:rPr>
          <w:rFonts w:ascii="MetaPro-Norm" w:hAnsi="MetaPro-Norm"/>
        </w:rPr>
        <w:t>)</w:t>
      </w:r>
      <w:r w:rsidR="677550D4" w:rsidRPr="10B506A7">
        <w:rPr>
          <w:rFonts w:ascii="MetaPro-Norm" w:hAnsi="MetaPro-Norm"/>
        </w:rPr>
        <w:t xml:space="preserve"> </w:t>
      </w:r>
      <w:r w:rsidR="2AED6113" w:rsidRPr="10B506A7">
        <w:rPr>
          <w:rFonts w:ascii="MetaPro-Norm" w:hAnsi="MetaPro-Norm"/>
        </w:rPr>
        <w:t>during the Covid-19 pandemic</w:t>
      </w:r>
      <w:r w:rsidR="5C50302C" w:rsidRPr="10B506A7">
        <w:rPr>
          <w:rFonts w:ascii="MetaPro-Norm" w:hAnsi="MetaPro-Norm"/>
        </w:rPr>
        <w:t>,</w:t>
      </w:r>
      <w:r w:rsidR="388B6618" w:rsidRPr="10B506A7">
        <w:rPr>
          <w:rFonts w:ascii="MetaPro-Norm" w:hAnsi="MetaPro-Norm"/>
        </w:rPr>
        <w:t xml:space="preserve"> </w:t>
      </w:r>
      <w:r w:rsidR="43B28F91" w:rsidRPr="10B506A7">
        <w:rPr>
          <w:rFonts w:ascii="MetaPro-Norm" w:hAnsi="MetaPro-Norm"/>
        </w:rPr>
        <w:t>harm</w:t>
      </w:r>
      <w:r w:rsidR="480B3997" w:rsidRPr="10B506A7">
        <w:rPr>
          <w:rFonts w:ascii="MetaPro-Norm" w:hAnsi="MetaPro-Norm"/>
        </w:rPr>
        <w:t>ed</w:t>
      </w:r>
      <w:r w:rsidR="43B28F91" w:rsidRPr="10B506A7">
        <w:rPr>
          <w:rFonts w:ascii="MetaPro-Norm" w:hAnsi="MetaPro-Norm"/>
        </w:rPr>
        <w:t xml:space="preserve"> children’s rights to education and privacy across the world</w:t>
      </w:r>
      <w:r w:rsidR="2DBA39EF" w:rsidRPr="10B506A7">
        <w:rPr>
          <w:rFonts w:ascii="MetaPro-Norm" w:hAnsi="MetaPro-Norm"/>
        </w:rPr>
        <w:t>.</w:t>
      </w:r>
    </w:p>
    <w:p w14:paraId="798B5A1B" w14:textId="1875FFA0" w:rsidR="007174DD" w:rsidRDefault="007174DD" w:rsidP="00305776">
      <w:pPr>
        <w:pStyle w:val="ListParagraph"/>
        <w:spacing w:after="0"/>
        <w:ind w:left="360"/>
        <w:rPr>
          <w:rFonts w:ascii="MetaPro-Norm" w:hAnsi="MetaPro-Norm"/>
        </w:rPr>
      </w:pPr>
      <w:r>
        <w:rPr>
          <w:rFonts w:ascii="MetaPro-Norm" w:hAnsi="MetaPro-Norm"/>
        </w:rPr>
        <w:t xml:space="preserve"> </w:t>
      </w:r>
    </w:p>
    <w:p w14:paraId="153961A3" w14:textId="14F6B178" w:rsidR="001B2153" w:rsidRPr="00A63599" w:rsidRDefault="13E89332" w:rsidP="00A63599">
      <w:pPr>
        <w:pStyle w:val="ListParagraph"/>
        <w:numPr>
          <w:ilvl w:val="0"/>
          <w:numId w:val="3"/>
        </w:numPr>
        <w:spacing w:after="0"/>
        <w:rPr>
          <w:rFonts w:ascii="MetaPro-Norm" w:hAnsi="MetaPro-Norm"/>
        </w:rPr>
      </w:pPr>
      <w:r w:rsidRPr="005428D6">
        <w:rPr>
          <w:rFonts w:ascii="MetaPro-Norm" w:hAnsi="MetaPro-Norm"/>
        </w:rPr>
        <w:t>I</w:t>
      </w:r>
      <w:r w:rsidR="1F5EC477" w:rsidRPr="005428D6">
        <w:rPr>
          <w:rFonts w:ascii="MetaPro-Norm" w:hAnsi="MetaPro-Norm"/>
        </w:rPr>
        <w:t xml:space="preserve">n </w:t>
      </w:r>
      <w:r w:rsidR="1F5EC477" w:rsidRPr="005428D6">
        <w:rPr>
          <w:rFonts w:ascii="MetaPro-Norm" w:hAnsi="MetaPro-Norm"/>
          <w:b/>
          <w:bCs/>
        </w:rPr>
        <w:t>Russia</w:t>
      </w:r>
      <w:r w:rsidR="1F5EC477" w:rsidRPr="0080789F">
        <w:rPr>
          <w:rFonts w:ascii="MetaPro-Norm" w:hAnsi="MetaPro-Norm"/>
        </w:rPr>
        <w:t xml:space="preserve">, </w:t>
      </w:r>
      <w:r w:rsidR="296513A1" w:rsidRPr="0080789F">
        <w:rPr>
          <w:rFonts w:ascii="MetaPro-Norm" w:hAnsi="MetaPro-Norm"/>
        </w:rPr>
        <w:t>a</w:t>
      </w:r>
      <w:r w:rsidR="5AB14C5F" w:rsidRPr="0080789F">
        <w:rPr>
          <w:rFonts w:ascii="MetaPro-Norm" w:hAnsi="MetaPro-Norm"/>
        </w:rPr>
        <w:t>uthorities have</w:t>
      </w:r>
      <w:r w:rsidR="75042549">
        <w:rPr>
          <w:rFonts w:ascii="MetaPro-Norm" w:hAnsi="MetaPro-Norm"/>
        </w:rPr>
        <w:t xml:space="preserve"> surveilled and</w:t>
      </w:r>
      <w:r w:rsidR="5AB14C5F" w:rsidRPr="0080789F">
        <w:rPr>
          <w:rFonts w:ascii="MetaPro-Norm" w:hAnsi="MetaPro-Norm"/>
        </w:rPr>
        <w:t xml:space="preserve"> retaliated against Russian children </w:t>
      </w:r>
      <w:r w:rsidR="00886E94">
        <w:rPr>
          <w:rFonts w:ascii="MetaPro-Norm" w:hAnsi="MetaPro-Norm"/>
        </w:rPr>
        <w:t>who have expressed</w:t>
      </w:r>
      <w:r w:rsidR="5AB14C5F" w:rsidRPr="0080789F">
        <w:rPr>
          <w:rFonts w:ascii="MetaPro-Norm" w:hAnsi="MetaPro-Norm"/>
        </w:rPr>
        <w:t xml:space="preserve"> critici</w:t>
      </w:r>
      <w:r w:rsidR="00886E94">
        <w:rPr>
          <w:rFonts w:ascii="MetaPro-Norm" w:hAnsi="MetaPro-Norm"/>
        </w:rPr>
        <w:t>sm of</w:t>
      </w:r>
      <w:r w:rsidR="5AB14C5F" w:rsidRPr="0080789F">
        <w:rPr>
          <w:rFonts w:ascii="MetaPro-Norm" w:hAnsi="MetaPro-Norm"/>
        </w:rPr>
        <w:t xml:space="preserve"> Russia’s full-scale invasion of Ukraine.</w:t>
      </w:r>
      <w:r w:rsidR="00BA51B2" w:rsidRPr="0080789F">
        <w:rPr>
          <w:rStyle w:val="FootnoteReference"/>
        </w:rPr>
        <w:footnoteReference w:id="11"/>
      </w:r>
      <w:r w:rsidR="2D1E6DD2">
        <w:rPr>
          <w:rFonts w:ascii="MetaPro-Norm" w:hAnsi="MetaPro-Norm"/>
        </w:rPr>
        <w:t xml:space="preserve"> </w:t>
      </w:r>
      <w:r>
        <w:rPr>
          <w:rFonts w:ascii="MetaPro-Norm" w:hAnsi="MetaPro-Norm"/>
        </w:rPr>
        <w:t>For example, i</w:t>
      </w:r>
      <w:r w:rsidR="5AB14C5F" w:rsidRPr="00A63599">
        <w:rPr>
          <w:rFonts w:ascii="MetaPro-Norm" w:hAnsi="MetaPro-Norm"/>
        </w:rPr>
        <w:t xml:space="preserve">n October 2022, a police officer came to a school in Moscow and interrogated a 10-year-old girl about her pro-Ukraine social media avatar and a poll she ran in a school chat asking students what they thought about Russia’s war in Ukraine. </w:t>
      </w:r>
      <w:r w:rsidR="6A2C2569">
        <w:rPr>
          <w:rFonts w:ascii="MetaPro-Norm" w:hAnsi="MetaPro-Norm"/>
        </w:rPr>
        <w:t>Police interrogated the girl and her mother</w:t>
      </w:r>
      <w:r w:rsidR="1604F0E1">
        <w:rPr>
          <w:rFonts w:ascii="MetaPro-Norm" w:hAnsi="MetaPro-Norm"/>
        </w:rPr>
        <w:t xml:space="preserve"> and conducted a</w:t>
      </w:r>
      <w:r w:rsidR="5AB14C5F" w:rsidRPr="00A63599">
        <w:rPr>
          <w:rFonts w:ascii="MetaPro-Norm" w:hAnsi="MetaPro-Norm"/>
        </w:rPr>
        <w:t xml:space="preserve"> “house inspection” where the police accessed their mobile phone and laptop looking for messages and social media publications “discrediting” the military. A juvenile affairs commission found the mother guilty of failing to fulfill parental duties</w:t>
      </w:r>
      <w:r w:rsidR="00CB495E">
        <w:rPr>
          <w:rFonts w:ascii="MetaPro-Norm" w:hAnsi="MetaPro-Norm"/>
        </w:rPr>
        <w:t xml:space="preserve"> </w:t>
      </w:r>
      <w:r w:rsidR="5AB14C5F" w:rsidRPr="00A63599">
        <w:rPr>
          <w:rFonts w:ascii="MetaPro-Norm" w:hAnsi="MetaPro-Norm"/>
        </w:rPr>
        <w:t>and of “projecting her political opinions onto her daughter and failing to censor her social media activities.” They handed down a warning to the mother and put the family on record for further control. The family left Russia for fear of further retaliation.</w:t>
      </w:r>
    </w:p>
    <w:p w14:paraId="1D77C125" w14:textId="77777777" w:rsidR="001B2153" w:rsidRPr="001B2153" w:rsidRDefault="001B2153" w:rsidP="001B2153">
      <w:pPr>
        <w:pStyle w:val="ListParagraph"/>
        <w:rPr>
          <w:rFonts w:ascii="MetaPro-Norm" w:hAnsi="MetaPro-Norm"/>
        </w:rPr>
      </w:pPr>
    </w:p>
    <w:p w14:paraId="628F855D" w14:textId="7A9CC2DA" w:rsidR="00F33054" w:rsidRPr="001B2153" w:rsidRDefault="001755E5" w:rsidP="001B2153">
      <w:pPr>
        <w:pStyle w:val="ListParagraph"/>
        <w:numPr>
          <w:ilvl w:val="0"/>
          <w:numId w:val="3"/>
        </w:numPr>
        <w:spacing w:after="0"/>
        <w:rPr>
          <w:rFonts w:ascii="MetaPro-Norm" w:hAnsi="MetaPro-Norm"/>
        </w:rPr>
      </w:pPr>
      <w:r>
        <w:rPr>
          <w:rFonts w:ascii="MetaPro-Norm" w:hAnsi="MetaPro-Norm"/>
        </w:rPr>
        <w:t>Students from</w:t>
      </w:r>
      <w:r w:rsidR="48ED1D7D" w:rsidRPr="001B2153">
        <w:rPr>
          <w:rFonts w:ascii="MetaPro-Norm" w:hAnsi="MetaPro-Norm"/>
        </w:rPr>
        <w:t xml:space="preserve"> </w:t>
      </w:r>
      <w:r w:rsidR="48ED1D7D" w:rsidRPr="001B2153">
        <w:rPr>
          <w:rFonts w:ascii="MetaPro-Norm" w:hAnsi="MetaPro-Norm"/>
          <w:b/>
          <w:bCs/>
        </w:rPr>
        <w:t>China</w:t>
      </w:r>
      <w:r w:rsidR="5AD04125" w:rsidRPr="00E94E1F">
        <w:rPr>
          <w:rFonts w:ascii="MetaPro-Norm" w:hAnsi="MetaPro-Norm"/>
        </w:rPr>
        <w:t>,</w:t>
      </w:r>
      <w:r w:rsidR="5AD04125" w:rsidRPr="001B2153">
        <w:rPr>
          <w:rFonts w:ascii="MetaPro-Norm" w:hAnsi="MetaPro-Norm"/>
          <w:b/>
          <w:bCs/>
        </w:rPr>
        <w:t xml:space="preserve"> Hong Kong</w:t>
      </w:r>
      <w:r w:rsidR="5AD04125" w:rsidRPr="00E94E1F">
        <w:rPr>
          <w:rFonts w:ascii="MetaPro-Norm" w:hAnsi="MetaPro-Norm"/>
        </w:rPr>
        <w:t>,</w:t>
      </w:r>
      <w:r w:rsidR="5AD04125" w:rsidRPr="001B2153">
        <w:rPr>
          <w:rFonts w:ascii="MetaPro-Norm" w:hAnsi="MetaPro-Norm"/>
          <w:b/>
          <w:bCs/>
        </w:rPr>
        <w:t xml:space="preserve"> Xinjiang</w:t>
      </w:r>
      <w:r w:rsidR="00E94E1F" w:rsidRPr="00E94E1F">
        <w:rPr>
          <w:rFonts w:ascii="MetaPro-Norm" w:hAnsi="MetaPro-Norm"/>
        </w:rPr>
        <w:t>,</w:t>
      </w:r>
      <w:r w:rsidR="5AD04125" w:rsidRPr="001B2153">
        <w:rPr>
          <w:rFonts w:ascii="MetaPro-Norm" w:hAnsi="MetaPro-Norm"/>
          <w:b/>
          <w:bCs/>
        </w:rPr>
        <w:t xml:space="preserve"> </w:t>
      </w:r>
      <w:r w:rsidR="5AD04125" w:rsidRPr="00E94E1F">
        <w:rPr>
          <w:rFonts w:ascii="MetaPro-Norm" w:hAnsi="MetaPro-Norm"/>
        </w:rPr>
        <w:t>and</w:t>
      </w:r>
      <w:r w:rsidR="5AD04125" w:rsidRPr="001B2153">
        <w:rPr>
          <w:rFonts w:ascii="MetaPro-Norm" w:hAnsi="MetaPro-Norm"/>
          <w:b/>
          <w:bCs/>
        </w:rPr>
        <w:t xml:space="preserve"> Tibet</w:t>
      </w:r>
      <w:r w:rsidR="48ED1D7D" w:rsidRPr="001B2153">
        <w:rPr>
          <w:rFonts w:ascii="MetaPro-Norm" w:hAnsi="MetaPro-Norm"/>
        </w:rPr>
        <w:t xml:space="preserve"> </w:t>
      </w:r>
      <w:r w:rsidR="00EB6CAE">
        <w:rPr>
          <w:rFonts w:ascii="MetaPro-Norm" w:hAnsi="MetaPro-Norm"/>
        </w:rPr>
        <w:t xml:space="preserve">who participate in protests or engage in criticism of the Chinese Communist Party on foreign campuses have sometimes faced surveillance. </w:t>
      </w:r>
      <w:r w:rsidR="263AFE52">
        <w:rPr>
          <w:rFonts w:ascii="MetaPro-Norm" w:hAnsi="MetaPro-Norm"/>
        </w:rPr>
        <w:t>A</w:t>
      </w:r>
      <w:r w:rsidR="21D1DCBC" w:rsidRPr="001B2153">
        <w:rPr>
          <w:rFonts w:ascii="MetaPro-Norm" w:hAnsi="MetaPro-Norm"/>
        </w:rPr>
        <w:t xml:space="preserve">t </w:t>
      </w:r>
      <w:r w:rsidR="25CCDC3D" w:rsidRPr="001B2153">
        <w:rPr>
          <w:rFonts w:ascii="MetaPro-Norm" w:hAnsi="MetaPro-Norm"/>
          <w:b/>
          <w:bCs/>
        </w:rPr>
        <w:t>A</w:t>
      </w:r>
      <w:r w:rsidR="21D1DCBC" w:rsidRPr="001B2153">
        <w:rPr>
          <w:rFonts w:ascii="MetaPro-Norm" w:hAnsi="MetaPro-Norm"/>
          <w:b/>
          <w:bCs/>
        </w:rPr>
        <w:t>ustralia</w:t>
      </w:r>
      <w:r w:rsidR="00F8421E" w:rsidRPr="00F8421E">
        <w:rPr>
          <w:rFonts w:ascii="MetaPro-Norm" w:hAnsi="MetaPro-Norm"/>
        </w:rPr>
        <w:t>’s</w:t>
      </w:r>
      <w:r w:rsidR="21D1DCBC" w:rsidRPr="001B2153">
        <w:rPr>
          <w:rFonts w:ascii="MetaPro-Norm" w:hAnsi="MetaPro-Norm"/>
        </w:rPr>
        <w:t xml:space="preserve"> </w:t>
      </w:r>
      <w:r w:rsidR="25CCDC3D" w:rsidRPr="001B2153">
        <w:rPr>
          <w:rFonts w:ascii="MetaPro-Norm" w:hAnsi="MetaPro-Norm"/>
        </w:rPr>
        <w:t>u</w:t>
      </w:r>
      <w:r w:rsidR="21D1DCBC" w:rsidRPr="001B2153">
        <w:rPr>
          <w:rFonts w:ascii="MetaPro-Norm" w:hAnsi="MetaPro-Norm"/>
        </w:rPr>
        <w:t>niversities</w:t>
      </w:r>
      <w:r w:rsidR="263AFE52">
        <w:rPr>
          <w:rFonts w:ascii="MetaPro-Norm" w:hAnsi="MetaPro-Norm"/>
        </w:rPr>
        <w:t xml:space="preserve">, </w:t>
      </w:r>
      <w:r w:rsidR="00A22ED8">
        <w:rPr>
          <w:rFonts w:ascii="MetaPro-Norm" w:hAnsi="MetaPro-Norm"/>
        </w:rPr>
        <w:t>th</w:t>
      </w:r>
      <w:r w:rsidR="009512C9">
        <w:rPr>
          <w:rFonts w:ascii="MetaPro-Norm" w:hAnsi="MetaPro-Norm"/>
        </w:rPr>
        <w:t xml:space="preserve">e </w:t>
      </w:r>
      <w:r w:rsidR="00A22ED8">
        <w:rPr>
          <w:rFonts w:ascii="MetaPro-Norm" w:hAnsi="MetaPro-Norm"/>
        </w:rPr>
        <w:t>surveillance</w:t>
      </w:r>
      <w:r w:rsidR="009512C9">
        <w:rPr>
          <w:rFonts w:ascii="MetaPro-Norm" w:hAnsi="MetaPro-Norm"/>
        </w:rPr>
        <w:t>, intimidation</w:t>
      </w:r>
      <w:r w:rsidR="000032A1">
        <w:rPr>
          <w:rFonts w:ascii="MetaPro-Norm" w:hAnsi="MetaPro-Norm"/>
        </w:rPr>
        <w:t>,</w:t>
      </w:r>
      <w:r w:rsidR="00A22ED8">
        <w:rPr>
          <w:rFonts w:ascii="MetaPro-Norm" w:hAnsi="MetaPro-Norm"/>
        </w:rPr>
        <w:t xml:space="preserve"> and harassment </w:t>
      </w:r>
      <w:r w:rsidR="00794942">
        <w:rPr>
          <w:rFonts w:ascii="MetaPro-Norm" w:hAnsi="MetaPro-Norm"/>
        </w:rPr>
        <w:t xml:space="preserve">of </w:t>
      </w:r>
      <w:r w:rsidR="00A22ED8">
        <w:rPr>
          <w:rFonts w:ascii="MetaPro-Norm" w:hAnsi="MetaPro-Norm"/>
        </w:rPr>
        <w:t xml:space="preserve">pro-democracy </w:t>
      </w:r>
      <w:r w:rsidR="00794942">
        <w:rPr>
          <w:rFonts w:ascii="MetaPro-Norm" w:hAnsi="MetaPro-Norm"/>
        </w:rPr>
        <w:t xml:space="preserve">students from the mainland and </w:t>
      </w:r>
      <w:r w:rsidR="009D565B">
        <w:rPr>
          <w:rFonts w:ascii="MetaPro-Norm" w:hAnsi="MetaPro-Norm"/>
        </w:rPr>
        <w:t xml:space="preserve">Hong Kong has </w:t>
      </w:r>
      <w:r w:rsidR="00A22ED8">
        <w:rPr>
          <w:rFonts w:ascii="MetaPro-Norm" w:hAnsi="MetaPro-Norm"/>
        </w:rPr>
        <w:t xml:space="preserve">meant some students self-censor or </w:t>
      </w:r>
      <w:r w:rsidR="009512C9">
        <w:rPr>
          <w:rFonts w:ascii="MetaPro-Norm" w:hAnsi="MetaPro-Norm"/>
        </w:rPr>
        <w:t xml:space="preserve">change </w:t>
      </w:r>
      <w:r w:rsidR="00A22ED8">
        <w:rPr>
          <w:rFonts w:ascii="MetaPro-Norm" w:hAnsi="MetaPro-Norm"/>
        </w:rPr>
        <w:t xml:space="preserve">their </w:t>
      </w:r>
      <w:r w:rsidR="009512C9">
        <w:rPr>
          <w:rFonts w:ascii="MetaPro-Norm" w:hAnsi="MetaPro-Norm"/>
        </w:rPr>
        <w:t>behavior</w:t>
      </w:r>
      <w:r w:rsidR="00F23FB8">
        <w:rPr>
          <w:rFonts w:ascii="MetaPro-Norm" w:hAnsi="MetaPro-Norm"/>
        </w:rPr>
        <w:t>, fearful of the consequences</w:t>
      </w:r>
      <w:r w:rsidR="00A22ED8">
        <w:rPr>
          <w:rFonts w:ascii="MetaPro-Norm" w:hAnsi="MetaPro-Norm"/>
        </w:rPr>
        <w:t>.</w:t>
      </w:r>
      <w:r w:rsidR="000D3BD3">
        <w:rPr>
          <w:rStyle w:val="FootnoteReference"/>
        </w:rPr>
        <w:footnoteReference w:id="12"/>
      </w:r>
      <w:r w:rsidR="593962A6" w:rsidRPr="001B2153">
        <w:rPr>
          <w:rFonts w:ascii="MetaPro-Norm" w:hAnsi="MetaPro-Norm"/>
        </w:rPr>
        <w:t xml:space="preserve"> </w:t>
      </w:r>
    </w:p>
    <w:p w14:paraId="058CC4A4" w14:textId="77777777" w:rsidR="00F33054" w:rsidRDefault="00F33054" w:rsidP="00F33054">
      <w:pPr>
        <w:pStyle w:val="ListParagraph"/>
        <w:spacing w:after="0"/>
        <w:ind w:left="360"/>
        <w:rPr>
          <w:rFonts w:ascii="MetaPro-Norm" w:hAnsi="MetaPro-Norm"/>
        </w:rPr>
      </w:pPr>
    </w:p>
    <w:p w14:paraId="35C69AA0" w14:textId="0FA43716" w:rsidR="00CB40B1" w:rsidRPr="00F33054" w:rsidRDefault="001B2BBF" w:rsidP="00FB2ECD">
      <w:pPr>
        <w:pStyle w:val="ListParagraph"/>
        <w:numPr>
          <w:ilvl w:val="0"/>
          <w:numId w:val="3"/>
        </w:numPr>
        <w:spacing w:after="0"/>
        <w:rPr>
          <w:rFonts w:ascii="MetaPro-Norm" w:hAnsi="MetaPro-Norm"/>
        </w:rPr>
      </w:pPr>
      <w:r>
        <w:rPr>
          <w:rFonts w:ascii="MetaPro-Norm" w:hAnsi="MetaPro-Norm"/>
        </w:rPr>
        <w:t>Human Rights Watch</w:t>
      </w:r>
      <w:r w:rsidR="35713628" w:rsidRPr="00F33054">
        <w:rPr>
          <w:rFonts w:ascii="MetaPro-Norm" w:hAnsi="MetaPro-Norm"/>
        </w:rPr>
        <w:t xml:space="preserve"> verified three </w:t>
      </w:r>
      <w:r w:rsidR="182A10D1">
        <w:rPr>
          <w:rFonts w:ascii="MetaPro-Norm" w:hAnsi="MetaPro-Norm"/>
        </w:rPr>
        <w:t>incidents involving</w:t>
      </w:r>
      <w:r w:rsidR="182A10D1" w:rsidRPr="00F33054">
        <w:rPr>
          <w:rFonts w:ascii="MetaPro-Norm" w:hAnsi="MetaPro-Norm"/>
        </w:rPr>
        <w:t xml:space="preserve"> </w:t>
      </w:r>
      <w:r w:rsidR="1F59587F">
        <w:rPr>
          <w:rFonts w:ascii="MetaPro-Norm" w:hAnsi="MetaPro-Norm"/>
        </w:rPr>
        <w:t>Chinese</w:t>
      </w:r>
      <w:r w:rsidR="7CF7FED9">
        <w:rPr>
          <w:rFonts w:ascii="MetaPro-Norm" w:hAnsi="MetaPro-Norm"/>
        </w:rPr>
        <w:t xml:space="preserve"> </w:t>
      </w:r>
      <w:r w:rsidR="34F482E7">
        <w:rPr>
          <w:rFonts w:ascii="MetaPro-Norm" w:hAnsi="MetaPro-Norm"/>
        </w:rPr>
        <w:t>university</w:t>
      </w:r>
      <w:r w:rsidR="35713628" w:rsidRPr="00F33054">
        <w:rPr>
          <w:rFonts w:ascii="MetaPro-Norm" w:hAnsi="MetaPro-Norm"/>
        </w:rPr>
        <w:t xml:space="preserve"> students in</w:t>
      </w:r>
      <w:r w:rsidR="00F23FB8">
        <w:rPr>
          <w:rFonts w:ascii="MetaPro-Norm" w:hAnsi="MetaPro-Norm"/>
        </w:rPr>
        <w:t xml:space="preserve"> </w:t>
      </w:r>
      <w:r w:rsidR="35713628" w:rsidRPr="00F33054">
        <w:rPr>
          <w:rFonts w:ascii="MetaPro-Norm" w:hAnsi="MetaPro-Norm"/>
        </w:rPr>
        <w:t>which police in China visited or asked to meet with their families regarding the student’s activities in Australia. The Chinese authorities threatened one student with jail after the student opened a Twitter account while studying in Australia and posted pro-democracy messages. Another student, who expressed support for democracy in front of classmates in Australia, had their passport confiscated by Chinese authorities upon returning home.</w:t>
      </w:r>
      <w:r w:rsidR="00747765">
        <w:rPr>
          <w:rStyle w:val="FootnoteReference"/>
        </w:rPr>
        <w:footnoteReference w:id="13"/>
      </w:r>
    </w:p>
    <w:p w14:paraId="3F9DFC76" w14:textId="77777777" w:rsidR="0037563D" w:rsidRPr="0037563D" w:rsidRDefault="0037563D" w:rsidP="0037563D">
      <w:pPr>
        <w:pStyle w:val="ListParagraph"/>
        <w:rPr>
          <w:rFonts w:ascii="MetaPro-Norm" w:hAnsi="MetaPro-Norm"/>
        </w:rPr>
      </w:pPr>
    </w:p>
    <w:p w14:paraId="24147374" w14:textId="1BC4ACD1" w:rsidR="0037563D" w:rsidRDefault="3C2824C6" w:rsidP="00FB2ECD">
      <w:pPr>
        <w:pStyle w:val="ListParagraph"/>
        <w:numPr>
          <w:ilvl w:val="0"/>
          <w:numId w:val="3"/>
        </w:numPr>
        <w:spacing w:after="0"/>
        <w:rPr>
          <w:rFonts w:ascii="MetaPro-Norm" w:hAnsi="MetaPro-Norm"/>
        </w:rPr>
      </w:pPr>
      <w:r w:rsidRPr="10B506A7">
        <w:rPr>
          <w:rFonts w:ascii="MetaPro-Norm" w:hAnsi="MetaPro-Norm"/>
        </w:rPr>
        <w:t xml:space="preserve">Every pro-democracy student interviewed expressed fears that their activities in Australia could result in Chinese authorities punishing or interrogating their family back home. </w:t>
      </w:r>
    </w:p>
    <w:p w14:paraId="3FED806E" w14:textId="77777777" w:rsidR="001C085D" w:rsidRPr="001C085D" w:rsidRDefault="001C085D" w:rsidP="001C085D">
      <w:pPr>
        <w:pStyle w:val="ListParagraph"/>
        <w:rPr>
          <w:rFonts w:ascii="MetaPro-Norm" w:hAnsi="MetaPro-Norm"/>
        </w:rPr>
      </w:pPr>
    </w:p>
    <w:p w14:paraId="2351D868" w14:textId="217BAA72" w:rsidR="00360A0E" w:rsidRPr="00373544" w:rsidRDefault="0092675F" w:rsidP="00373544">
      <w:pPr>
        <w:pStyle w:val="ListParagraph"/>
        <w:numPr>
          <w:ilvl w:val="0"/>
          <w:numId w:val="3"/>
        </w:numPr>
        <w:spacing w:after="0"/>
        <w:rPr>
          <w:rFonts w:ascii="MetaPro-Norm" w:hAnsi="MetaPro-Norm"/>
        </w:rPr>
      </w:pPr>
      <w:r w:rsidRPr="3DECD52A">
        <w:rPr>
          <w:rFonts w:ascii="MetaPro-Norm" w:hAnsi="MetaPro-Norm"/>
        </w:rPr>
        <w:lastRenderedPageBreak/>
        <w:t>Some f</w:t>
      </w:r>
      <w:r w:rsidR="4517F736" w:rsidRPr="3DECD52A">
        <w:rPr>
          <w:rFonts w:ascii="MetaPro-Norm" w:hAnsi="MetaPro-Norm"/>
        </w:rPr>
        <w:t xml:space="preserve">aculty </w:t>
      </w:r>
      <w:r w:rsidR="1D1C6966" w:rsidRPr="3DECD52A">
        <w:rPr>
          <w:rFonts w:ascii="MetaPro-Norm" w:hAnsi="MetaPro-Norm"/>
        </w:rPr>
        <w:t>who</w:t>
      </w:r>
      <w:r w:rsidR="4517F736" w:rsidRPr="3DECD52A">
        <w:rPr>
          <w:rFonts w:ascii="MetaPro-Norm" w:hAnsi="MetaPro-Norm"/>
        </w:rPr>
        <w:t xml:space="preserve"> </w:t>
      </w:r>
      <w:proofErr w:type="gramStart"/>
      <w:r w:rsidR="4517F736" w:rsidRPr="3DECD52A">
        <w:rPr>
          <w:rFonts w:ascii="MetaPro-Norm" w:hAnsi="MetaPro-Norm"/>
        </w:rPr>
        <w:t>specialize</w:t>
      </w:r>
      <w:proofErr w:type="gramEnd"/>
      <w:r w:rsidR="4517F736" w:rsidRPr="3DECD52A">
        <w:rPr>
          <w:rFonts w:ascii="MetaPro-Norm" w:hAnsi="MetaPro-Norm"/>
        </w:rPr>
        <w:t xml:space="preserve"> in China studie</w:t>
      </w:r>
      <w:r w:rsidR="1D1C6966" w:rsidRPr="3DECD52A">
        <w:rPr>
          <w:rFonts w:ascii="MetaPro-Norm" w:hAnsi="MetaPro-Norm"/>
        </w:rPr>
        <w:t>s</w:t>
      </w:r>
      <w:r w:rsidR="4517F736" w:rsidRPr="3DECD52A">
        <w:rPr>
          <w:rFonts w:ascii="MetaPro-Norm" w:hAnsi="MetaPro-Norm"/>
        </w:rPr>
        <w:t xml:space="preserve"> said they practiced regular self-censorship while talking about China</w:t>
      </w:r>
      <w:r w:rsidR="000C44CF" w:rsidRPr="3DECD52A">
        <w:rPr>
          <w:rFonts w:ascii="MetaPro-Norm" w:hAnsi="MetaPro-Norm"/>
        </w:rPr>
        <w:t>’s human rights situation</w:t>
      </w:r>
      <w:r w:rsidR="4517F736" w:rsidRPr="3DECD52A">
        <w:rPr>
          <w:rFonts w:ascii="MetaPro-Norm" w:hAnsi="MetaPro-Norm"/>
        </w:rPr>
        <w:t xml:space="preserve">. </w:t>
      </w:r>
      <w:r w:rsidR="00441748">
        <w:rPr>
          <w:rFonts w:ascii="MetaPro-Norm" w:hAnsi="MetaPro-Norm"/>
        </w:rPr>
        <w:t>We</w:t>
      </w:r>
      <w:r w:rsidR="1A09D0FF" w:rsidRPr="3DECD52A">
        <w:rPr>
          <w:rFonts w:ascii="MetaPro-Norm" w:hAnsi="MetaPro-Norm"/>
        </w:rPr>
        <w:t xml:space="preserve"> found tha</w:t>
      </w:r>
      <w:r w:rsidR="7A7C6513" w:rsidRPr="3DECD52A">
        <w:rPr>
          <w:rFonts w:ascii="MetaPro-Norm" w:hAnsi="MetaPro-Norm"/>
        </w:rPr>
        <w:t xml:space="preserve">t instances of censorship imposed by </w:t>
      </w:r>
      <w:r w:rsidR="1A09D0FF" w:rsidRPr="3DECD52A">
        <w:rPr>
          <w:rFonts w:ascii="MetaPro-Norm" w:hAnsi="MetaPro-Norm"/>
        </w:rPr>
        <w:t>u</w:t>
      </w:r>
      <w:r w:rsidR="4517F736" w:rsidRPr="3DECD52A">
        <w:rPr>
          <w:rFonts w:ascii="MetaPro-Norm" w:hAnsi="MetaPro-Norm"/>
        </w:rPr>
        <w:t>niversity administrators</w:t>
      </w:r>
      <w:r w:rsidR="7A7C6513" w:rsidRPr="3DECD52A">
        <w:rPr>
          <w:rFonts w:ascii="MetaPro-Norm" w:hAnsi="MetaPro-Norm"/>
        </w:rPr>
        <w:t xml:space="preserve"> </w:t>
      </w:r>
      <w:r w:rsidR="2296CAD5" w:rsidRPr="3DECD52A">
        <w:rPr>
          <w:rFonts w:ascii="MetaPro-Norm" w:hAnsi="MetaPro-Norm"/>
        </w:rPr>
        <w:t>occurred but</w:t>
      </w:r>
      <w:r w:rsidR="7A7C6513" w:rsidRPr="3DECD52A">
        <w:rPr>
          <w:rFonts w:ascii="MetaPro-Norm" w:hAnsi="MetaPro-Norm"/>
        </w:rPr>
        <w:t xml:space="preserve"> were less</w:t>
      </w:r>
      <w:r w:rsidR="4517F736" w:rsidRPr="3DECD52A">
        <w:rPr>
          <w:rFonts w:ascii="MetaPro-Norm" w:hAnsi="MetaPro-Norm"/>
        </w:rPr>
        <w:t xml:space="preserve"> </w:t>
      </w:r>
      <w:r w:rsidR="7A7C6513" w:rsidRPr="3DECD52A">
        <w:rPr>
          <w:rFonts w:ascii="MetaPro-Norm" w:hAnsi="MetaPro-Norm"/>
        </w:rPr>
        <w:t>frequent.</w:t>
      </w:r>
      <w:r w:rsidR="2296CAD5" w:rsidRPr="3DECD52A">
        <w:rPr>
          <w:rFonts w:ascii="MetaPro-Norm" w:hAnsi="MetaPro-Norm"/>
        </w:rPr>
        <w:t xml:space="preserve"> Administrators asked staff not</w:t>
      </w:r>
      <w:r w:rsidR="4517F736" w:rsidRPr="3DECD52A">
        <w:rPr>
          <w:rFonts w:ascii="MetaPro-Norm" w:hAnsi="MetaPro-Norm"/>
        </w:rPr>
        <w:t xml:space="preserve"> to discuss </w:t>
      </w:r>
      <w:r w:rsidR="002E629B" w:rsidRPr="3DECD52A">
        <w:rPr>
          <w:rFonts w:ascii="MetaPro-Norm" w:hAnsi="MetaPro-Norm"/>
        </w:rPr>
        <w:t xml:space="preserve">matters </w:t>
      </w:r>
      <w:r w:rsidR="36C16AD9" w:rsidRPr="3DECD52A">
        <w:rPr>
          <w:rFonts w:ascii="MetaPro-Norm" w:hAnsi="MetaPro-Norm"/>
        </w:rPr>
        <w:t xml:space="preserve">the Chinese government considers “sensitive” </w:t>
      </w:r>
      <w:r w:rsidR="002E629B" w:rsidRPr="3DECD52A">
        <w:rPr>
          <w:rFonts w:ascii="MetaPro-Norm" w:hAnsi="MetaPro-Norm"/>
        </w:rPr>
        <w:t>like Xinjiang, Hong Kong</w:t>
      </w:r>
      <w:r w:rsidR="00BD5A0E" w:rsidRPr="3DECD52A">
        <w:rPr>
          <w:rFonts w:ascii="MetaPro-Norm" w:hAnsi="MetaPro-Norm"/>
        </w:rPr>
        <w:t>,</w:t>
      </w:r>
      <w:r w:rsidR="002E629B" w:rsidRPr="3DECD52A">
        <w:rPr>
          <w:rFonts w:ascii="MetaPro-Norm" w:hAnsi="MetaPro-Norm"/>
        </w:rPr>
        <w:t xml:space="preserve"> </w:t>
      </w:r>
      <w:r w:rsidR="00A36EFA" w:rsidRPr="3DECD52A">
        <w:rPr>
          <w:rFonts w:ascii="MetaPro-Norm" w:hAnsi="MetaPro-Norm"/>
        </w:rPr>
        <w:t>Taiwan</w:t>
      </w:r>
      <w:r w:rsidR="002721A3" w:rsidRPr="3DECD52A">
        <w:rPr>
          <w:rFonts w:ascii="MetaPro-Norm" w:hAnsi="MetaPro-Norm"/>
        </w:rPr>
        <w:t>,</w:t>
      </w:r>
      <w:r w:rsidR="00A36EFA" w:rsidRPr="3DECD52A">
        <w:rPr>
          <w:rFonts w:ascii="MetaPro-Norm" w:hAnsi="MetaPro-Norm"/>
        </w:rPr>
        <w:t xml:space="preserve"> </w:t>
      </w:r>
      <w:r w:rsidR="002E629B" w:rsidRPr="3DECD52A">
        <w:rPr>
          <w:rFonts w:ascii="MetaPro-Norm" w:hAnsi="MetaPro-Norm"/>
        </w:rPr>
        <w:t xml:space="preserve">or Tibet </w:t>
      </w:r>
      <w:r w:rsidR="4517F736" w:rsidRPr="3DECD52A">
        <w:rPr>
          <w:rFonts w:ascii="MetaPro-Norm" w:hAnsi="MetaPro-Norm"/>
        </w:rPr>
        <w:t xml:space="preserve">publicly or discouraged them from holding public </w:t>
      </w:r>
      <w:r w:rsidR="7548645B" w:rsidRPr="3DECD52A">
        <w:rPr>
          <w:rFonts w:ascii="MetaPro-Norm" w:hAnsi="MetaPro-Norm"/>
        </w:rPr>
        <w:t>events or</w:t>
      </w:r>
      <w:r w:rsidR="4517F736" w:rsidRPr="3DECD52A">
        <w:rPr>
          <w:rFonts w:ascii="MetaPro-Norm" w:hAnsi="MetaPro-Norm"/>
        </w:rPr>
        <w:t xml:space="preserve"> speaking to the media about certain </w:t>
      </w:r>
      <w:r w:rsidR="00250C93" w:rsidRPr="3DECD52A">
        <w:rPr>
          <w:rFonts w:ascii="MetaPro-Norm" w:hAnsi="MetaPro-Norm"/>
        </w:rPr>
        <w:t xml:space="preserve">human rights </w:t>
      </w:r>
      <w:r w:rsidR="4517F736" w:rsidRPr="3DECD52A">
        <w:rPr>
          <w:rFonts w:ascii="MetaPro-Norm" w:hAnsi="MetaPro-Norm"/>
        </w:rPr>
        <w:t>issues</w:t>
      </w:r>
      <w:r w:rsidR="00250C93" w:rsidRPr="3DECD52A">
        <w:rPr>
          <w:rFonts w:ascii="MetaPro-Norm" w:hAnsi="MetaPro-Norm"/>
        </w:rPr>
        <w:t xml:space="preserve"> in China</w:t>
      </w:r>
      <w:r w:rsidR="4517F736" w:rsidRPr="3DECD52A">
        <w:rPr>
          <w:rFonts w:ascii="MetaPro-Norm" w:hAnsi="MetaPro-Norm"/>
        </w:rPr>
        <w:t>.</w:t>
      </w:r>
      <w:r w:rsidR="434C7AE8" w:rsidRPr="3DECD52A">
        <w:rPr>
          <w:rFonts w:ascii="MetaPro-Norm" w:hAnsi="MetaPro-Norm"/>
        </w:rPr>
        <w:t xml:space="preserve"> </w:t>
      </w:r>
      <w:r w:rsidR="2C6DE3FD" w:rsidRPr="3DECD52A">
        <w:rPr>
          <w:rFonts w:ascii="MetaPro-Norm" w:hAnsi="MetaPro-Norm"/>
        </w:rPr>
        <w:t>Pro-Beijing students and social media users have also subjected some academics at Australian universities to harassment, intimidation, and doxing</w:t>
      </w:r>
      <w:r w:rsidR="42B85DCA" w:rsidRPr="3DECD52A">
        <w:rPr>
          <w:rFonts w:ascii="MetaPro-Norm" w:hAnsi="MetaPro-Norm"/>
        </w:rPr>
        <w:t>—</w:t>
      </w:r>
      <w:r w:rsidR="2C6DE3FD" w:rsidRPr="3DECD52A">
        <w:rPr>
          <w:rFonts w:ascii="MetaPro-Norm" w:hAnsi="MetaPro-Norm"/>
        </w:rPr>
        <w:t xml:space="preserve">posting </w:t>
      </w:r>
      <w:r w:rsidR="00441748">
        <w:rPr>
          <w:rFonts w:ascii="MetaPro-Norm" w:hAnsi="MetaPro-Norm"/>
        </w:rPr>
        <w:t xml:space="preserve">of </w:t>
      </w:r>
      <w:r w:rsidR="2C6DE3FD" w:rsidRPr="3DECD52A">
        <w:rPr>
          <w:rFonts w:ascii="MetaPro-Norm" w:hAnsi="MetaPro-Norm"/>
        </w:rPr>
        <w:t>their personal information</w:t>
      </w:r>
      <w:r w:rsidR="42B85DCA" w:rsidRPr="3DECD52A">
        <w:rPr>
          <w:rFonts w:ascii="MetaPro-Norm" w:hAnsi="MetaPro-Norm"/>
        </w:rPr>
        <w:t>—</w:t>
      </w:r>
      <w:r w:rsidR="2C6DE3FD" w:rsidRPr="3DECD52A">
        <w:rPr>
          <w:rFonts w:ascii="MetaPro-Norm" w:hAnsi="MetaPro-Norm"/>
        </w:rPr>
        <w:t xml:space="preserve">if the academics are perceived to be critical of the Chinese Communist Party. </w:t>
      </w:r>
    </w:p>
    <w:p w14:paraId="42CAE424" w14:textId="77777777" w:rsidR="007756BA" w:rsidRPr="007756BA" w:rsidRDefault="007756BA" w:rsidP="007756BA">
      <w:pPr>
        <w:pStyle w:val="ListParagraph"/>
        <w:rPr>
          <w:rFonts w:ascii="MetaPro-Norm" w:hAnsi="MetaPro-Norm"/>
        </w:rPr>
      </w:pPr>
    </w:p>
    <w:p w14:paraId="6BC76E8D" w14:textId="53A55C6C" w:rsidR="003B6598" w:rsidRPr="003B6598" w:rsidRDefault="3FC7BF7F" w:rsidP="701D9939">
      <w:pPr>
        <w:pStyle w:val="ListParagraph"/>
        <w:numPr>
          <w:ilvl w:val="0"/>
          <w:numId w:val="3"/>
        </w:numPr>
        <w:spacing w:after="0"/>
        <w:rPr>
          <w:rFonts w:ascii="MetaPro-Norm" w:hAnsi="MetaPro-Norm"/>
        </w:rPr>
      </w:pPr>
      <w:r w:rsidRPr="3DECD52A">
        <w:rPr>
          <w:rFonts w:ascii="MetaPro-Norm" w:hAnsi="MetaPro-Norm"/>
        </w:rPr>
        <w:t>In</w:t>
      </w:r>
      <w:r w:rsidR="132B4AE3" w:rsidRPr="3DECD52A">
        <w:rPr>
          <w:rFonts w:ascii="MetaPro-Norm" w:hAnsi="MetaPro-Norm"/>
        </w:rPr>
        <w:t xml:space="preserve"> 2022, the </w:t>
      </w:r>
      <w:r w:rsidR="78D6E1DF" w:rsidRPr="3DECD52A">
        <w:rPr>
          <w:rFonts w:ascii="MetaPro-Norm" w:hAnsi="MetaPro-Norm"/>
        </w:rPr>
        <w:t xml:space="preserve">Australian </w:t>
      </w:r>
      <w:r w:rsidR="132B4AE3" w:rsidRPr="3DECD52A">
        <w:rPr>
          <w:rFonts w:ascii="MetaPro-Norm" w:hAnsi="MetaPro-Norm"/>
        </w:rPr>
        <w:t xml:space="preserve">Parliamentary Joint Committee on Intelligence and Security released </w:t>
      </w:r>
      <w:r w:rsidR="17B5490E" w:rsidRPr="3DECD52A">
        <w:rPr>
          <w:rFonts w:ascii="MetaPro-Norm" w:hAnsi="MetaPro-Norm"/>
        </w:rPr>
        <w:t>a report</w:t>
      </w:r>
      <w:r w:rsidR="132B4AE3" w:rsidRPr="3DECD52A">
        <w:rPr>
          <w:rFonts w:ascii="MetaPro-Norm" w:hAnsi="MetaPro-Norm"/>
        </w:rPr>
        <w:t xml:space="preserve"> examining foreign interference at Australian universities</w:t>
      </w:r>
      <w:r w:rsidR="17B5490E" w:rsidRPr="3DECD52A">
        <w:rPr>
          <w:rFonts w:ascii="MetaPro-Norm" w:hAnsi="MetaPro-Norm"/>
        </w:rPr>
        <w:t xml:space="preserve">, making recommendations </w:t>
      </w:r>
      <w:r w:rsidR="470B5713" w:rsidRPr="3DECD52A">
        <w:rPr>
          <w:rFonts w:ascii="MetaPro-Norm" w:hAnsi="MetaPro-Norm"/>
        </w:rPr>
        <w:t>to universities and the government</w:t>
      </w:r>
      <w:r w:rsidR="19EBD4C1" w:rsidRPr="3DECD52A">
        <w:rPr>
          <w:rFonts w:ascii="MetaPro-Norm" w:hAnsi="MetaPro-Norm"/>
        </w:rPr>
        <w:t>,</w:t>
      </w:r>
      <w:r w:rsidR="470B5713" w:rsidRPr="3DECD52A">
        <w:rPr>
          <w:rFonts w:ascii="MetaPro-Norm" w:hAnsi="MetaPro-Norm"/>
        </w:rPr>
        <w:t xml:space="preserve"> includ</w:t>
      </w:r>
      <w:r w:rsidR="18C178BC" w:rsidRPr="3DECD52A">
        <w:rPr>
          <w:rFonts w:ascii="MetaPro-Norm" w:hAnsi="MetaPro-Norm"/>
        </w:rPr>
        <w:t>ing</w:t>
      </w:r>
      <w:r w:rsidR="470B5713" w:rsidRPr="3DECD52A">
        <w:rPr>
          <w:rFonts w:ascii="MetaPro-Norm" w:hAnsi="MetaPro-Norm"/>
        </w:rPr>
        <w:t xml:space="preserve"> mechanisms to report incidents of foreign interference; deterrence for students who report on activities of fellow students to foreign governments; </w:t>
      </w:r>
      <w:r w:rsidR="2162617F" w:rsidRPr="3DECD52A">
        <w:rPr>
          <w:rFonts w:ascii="MetaPro-Norm" w:hAnsi="MetaPro-Norm"/>
        </w:rPr>
        <w:t xml:space="preserve">and </w:t>
      </w:r>
      <w:r w:rsidR="470B5713" w:rsidRPr="3DECD52A">
        <w:rPr>
          <w:rFonts w:ascii="MetaPro-Norm" w:hAnsi="MetaPro-Norm"/>
        </w:rPr>
        <w:t>closer scrutiny of student associations linked to authoritarian governments</w:t>
      </w:r>
      <w:r w:rsidR="3B43A52C" w:rsidRPr="3DECD52A">
        <w:rPr>
          <w:rFonts w:ascii="MetaPro-Norm" w:hAnsi="MetaPro-Norm"/>
        </w:rPr>
        <w:t>.</w:t>
      </w:r>
    </w:p>
    <w:p w14:paraId="08E8F338" w14:textId="77777777" w:rsidR="003B6598" w:rsidRPr="003B6598" w:rsidRDefault="003B6598" w:rsidP="003B6598">
      <w:pPr>
        <w:pStyle w:val="ListParagraph"/>
        <w:spacing w:after="0"/>
        <w:ind w:left="360"/>
        <w:rPr>
          <w:rFonts w:ascii="MetaPro-Norm" w:hAnsi="MetaPro-Norm"/>
        </w:rPr>
      </w:pPr>
    </w:p>
    <w:p w14:paraId="136EAF99" w14:textId="4227562E" w:rsidR="008361FA" w:rsidRDefault="7FDC7F45" w:rsidP="00FB2ECD">
      <w:pPr>
        <w:pStyle w:val="ListParagraph"/>
        <w:numPr>
          <w:ilvl w:val="0"/>
          <w:numId w:val="3"/>
        </w:numPr>
        <w:spacing w:after="0"/>
        <w:rPr>
          <w:rFonts w:ascii="MetaPro-Norm" w:hAnsi="MetaPro-Norm"/>
        </w:rPr>
      </w:pPr>
      <w:r w:rsidRPr="008E3269">
        <w:rPr>
          <w:rFonts w:ascii="MetaPro-Norm" w:hAnsi="MetaPro-Norm"/>
        </w:rPr>
        <w:t xml:space="preserve">Some universities </w:t>
      </w:r>
      <w:r w:rsidR="6C32EDAC" w:rsidRPr="008E3269">
        <w:rPr>
          <w:rFonts w:ascii="MetaPro-Norm" w:hAnsi="MetaPro-Norm"/>
        </w:rPr>
        <w:t xml:space="preserve">such as the University of New South Wales and the University of Technology Sydney have </w:t>
      </w:r>
      <w:r w:rsidR="2162617F">
        <w:rPr>
          <w:rFonts w:ascii="MetaPro-Norm" w:hAnsi="MetaPro-Norm"/>
        </w:rPr>
        <w:t xml:space="preserve">launched </w:t>
      </w:r>
      <w:r w:rsidR="6C32EDAC" w:rsidRPr="008E3269">
        <w:rPr>
          <w:rFonts w:ascii="MetaPro-Norm" w:hAnsi="MetaPro-Norm"/>
        </w:rPr>
        <w:t>awareness campaigns for students and staff</w:t>
      </w:r>
      <w:r w:rsidR="006F1BC8">
        <w:rPr>
          <w:rFonts w:ascii="MetaPro-Norm" w:hAnsi="MetaPro-Norm"/>
        </w:rPr>
        <w:t xml:space="preserve"> about the risks of </w:t>
      </w:r>
      <w:r w:rsidR="006935D2">
        <w:rPr>
          <w:rFonts w:ascii="MetaPro-Norm" w:hAnsi="MetaPro-Norm"/>
        </w:rPr>
        <w:t>f</w:t>
      </w:r>
      <w:r w:rsidR="00A466EC">
        <w:rPr>
          <w:rFonts w:ascii="MetaPro-Norm" w:hAnsi="MetaPro-Norm"/>
        </w:rPr>
        <w:t>oreign interference</w:t>
      </w:r>
      <w:r w:rsidR="6C32EDAC" w:rsidRPr="008E3269">
        <w:rPr>
          <w:rFonts w:ascii="MetaPro-Norm" w:hAnsi="MetaPro-Norm"/>
        </w:rPr>
        <w:t>.</w:t>
      </w:r>
      <w:r w:rsidR="00C0545A">
        <w:rPr>
          <w:rStyle w:val="FootnoteReference"/>
        </w:rPr>
        <w:footnoteReference w:id="14"/>
      </w:r>
      <w:r w:rsidR="2789713D">
        <w:rPr>
          <w:rFonts w:ascii="MetaPro-Norm" w:hAnsi="MetaPro-Norm"/>
        </w:rPr>
        <w:t xml:space="preserve"> </w:t>
      </w:r>
      <w:r w:rsidR="159D2267" w:rsidRPr="008E3269">
        <w:rPr>
          <w:rFonts w:ascii="MetaPro-Norm" w:hAnsi="MetaPro-Norm"/>
        </w:rPr>
        <w:t xml:space="preserve">The Committee's report, coupled with updated guidelines from the University Foreign Interference Taskforce, </w:t>
      </w:r>
      <w:r w:rsidR="1E9BB23E" w:rsidRPr="008E3269">
        <w:rPr>
          <w:rFonts w:ascii="MetaPro-Norm" w:hAnsi="MetaPro-Norm"/>
        </w:rPr>
        <w:t xml:space="preserve">are important steps to guarantee </w:t>
      </w:r>
      <w:r w:rsidR="0E3BEE2E" w:rsidRPr="008E3269">
        <w:rPr>
          <w:rFonts w:ascii="MetaPro-Norm" w:hAnsi="MetaPro-Norm"/>
        </w:rPr>
        <w:t xml:space="preserve">academic freedom </w:t>
      </w:r>
      <w:r w:rsidR="7F8B1B74">
        <w:rPr>
          <w:rFonts w:ascii="MetaPro-Norm" w:hAnsi="MetaPro-Norm"/>
        </w:rPr>
        <w:t>in Australia</w:t>
      </w:r>
      <w:r w:rsidR="0E3BEE2E" w:rsidRPr="008E3269">
        <w:rPr>
          <w:rFonts w:ascii="MetaPro-Norm" w:hAnsi="MetaPro-Norm"/>
        </w:rPr>
        <w:t>.</w:t>
      </w:r>
    </w:p>
    <w:p w14:paraId="080B6615" w14:textId="77777777" w:rsidR="00417810" w:rsidRPr="00417810" w:rsidRDefault="00417810" w:rsidP="007E2C6E">
      <w:pPr>
        <w:pStyle w:val="ListParagraph"/>
        <w:spacing w:after="0"/>
        <w:rPr>
          <w:rFonts w:ascii="MetaPro-Norm" w:hAnsi="MetaPro-Norm"/>
        </w:rPr>
      </w:pPr>
    </w:p>
    <w:p w14:paraId="49889831" w14:textId="07792B92" w:rsidR="007E2C6E" w:rsidRDefault="1A9A4EF4" w:rsidP="00FB2ECD">
      <w:pPr>
        <w:pStyle w:val="ListParagraph"/>
        <w:numPr>
          <w:ilvl w:val="0"/>
          <w:numId w:val="3"/>
        </w:numPr>
        <w:spacing w:after="0"/>
        <w:rPr>
          <w:rFonts w:ascii="MetaPro-Norm" w:hAnsi="MetaPro-Norm"/>
        </w:rPr>
      </w:pPr>
      <w:r w:rsidRPr="3DECD52A">
        <w:rPr>
          <w:rFonts w:ascii="MetaPro-Norm" w:hAnsi="MetaPro-Norm"/>
        </w:rPr>
        <w:t xml:space="preserve">In </w:t>
      </w:r>
      <w:r w:rsidRPr="3DECD52A">
        <w:rPr>
          <w:rFonts w:ascii="MetaPro-Norm" w:hAnsi="MetaPro-Norm"/>
          <w:b/>
          <w:bCs/>
        </w:rPr>
        <w:t>Thailand</w:t>
      </w:r>
      <w:r w:rsidRPr="3DECD52A">
        <w:rPr>
          <w:rFonts w:ascii="MetaPro-Norm" w:hAnsi="MetaPro-Norm"/>
        </w:rPr>
        <w:t xml:space="preserve">, </w:t>
      </w:r>
      <w:r w:rsidR="1D57B4EF" w:rsidRPr="3DECD52A">
        <w:rPr>
          <w:rFonts w:ascii="MetaPro-Norm" w:hAnsi="MetaPro-Norm"/>
        </w:rPr>
        <w:t>during the rule of the military National Council on Peace and Order</w:t>
      </w:r>
      <w:r w:rsidR="684594C6" w:rsidRPr="3DECD52A">
        <w:rPr>
          <w:rFonts w:ascii="MetaPro-Norm" w:hAnsi="MetaPro-Norm"/>
        </w:rPr>
        <w:t xml:space="preserve"> (2014-2019) and subsequent military controlled government (2019-2023), the</w:t>
      </w:r>
      <w:r w:rsidR="1D57B4EF" w:rsidRPr="3DECD52A">
        <w:rPr>
          <w:rFonts w:ascii="MetaPro-Norm" w:hAnsi="MetaPro-Norm"/>
        </w:rPr>
        <w:t xml:space="preserve"> </w:t>
      </w:r>
      <w:r w:rsidR="3F4BBE7E" w:rsidRPr="3DECD52A">
        <w:rPr>
          <w:rFonts w:ascii="MetaPro-Norm" w:hAnsi="MetaPro-Norm"/>
        </w:rPr>
        <w:t xml:space="preserve">authorities forced the cancellation of community meetings, academic panels, issue seminars, and public forums on political matters, and especially issues related to dissent towards </w:t>
      </w:r>
      <w:r w:rsidR="0C0032AC" w:rsidRPr="3DECD52A">
        <w:rPr>
          <w:rFonts w:ascii="MetaPro-Norm" w:hAnsi="MetaPro-Norm"/>
        </w:rPr>
        <w:t xml:space="preserve">policies of the </w:t>
      </w:r>
      <w:r w:rsidR="1C090DF4" w:rsidRPr="3DECD52A">
        <w:rPr>
          <w:rFonts w:ascii="MetaPro-Norm" w:hAnsi="MetaPro-Norm"/>
        </w:rPr>
        <w:t xml:space="preserve">military junta </w:t>
      </w:r>
      <w:r w:rsidR="3F4BBE7E" w:rsidRPr="3DECD52A">
        <w:rPr>
          <w:rFonts w:ascii="MetaPro-Norm" w:hAnsi="MetaPro-Norm"/>
        </w:rPr>
        <w:t>or the state of human rights in Thailand.</w:t>
      </w:r>
    </w:p>
    <w:p w14:paraId="1B935735" w14:textId="77777777" w:rsidR="008B50D0" w:rsidRDefault="008B50D0" w:rsidP="008B50D0">
      <w:pPr>
        <w:pStyle w:val="ListParagraph"/>
        <w:spacing w:after="0"/>
        <w:ind w:left="360"/>
        <w:rPr>
          <w:rFonts w:ascii="MetaPro-Norm" w:hAnsi="MetaPro-Norm"/>
        </w:rPr>
      </w:pPr>
    </w:p>
    <w:p w14:paraId="4100381D" w14:textId="33D624BE" w:rsidR="00E54007" w:rsidRPr="004D576C" w:rsidRDefault="00056BF8" w:rsidP="004D576C">
      <w:pPr>
        <w:pStyle w:val="ListParagraph"/>
        <w:numPr>
          <w:ilvl w:val="0"/>
          <w:numId w:val="3"/>
        </w:numPr>
        <w:spacing w:after="0"/>
        <w:rPr>
          <w:rFonts w:ascii="MetaPro-Norm" w:hAnsi="MetaPro-Norm"/>
        </w:rPr>
      </w:pPr>
      <w:r>
        <w:rPr>
          <w:rFonts w:ascii="MetaPro-Norm" w:hAnsi="MetaPro-Norm"/>
        </w:rPr>
        <w:t>T</w:t>
      </w:r>
      <w:r w:rsidR="2C6D14C7" w:rsidRPr="008E51E3">
        <w:rPr>
          <w:rFonts w:ascii="MetaPro-Norm" w:hAnsi="MetaPro-Norm"/>
        </w:rPr>
        <w:t xml:space="preserve">he International Conference on Thai Studies was held at Chiang Mai University in Thailand </w:t>
      </w:r>
      <w:r w:rsidR="25BCC978" w:rsidRPr="008E51E3">
        <w:rPr>
          <w:rFonts w:ascii="MetaPro-Norm" w:hAnsi="MetaPro-Norm"/>
        </w:rPr>
        <w:t>i</w:t>
      </w:r>
      <w:r w:rsidR="2C6D14C7" w:rsidRPr="008E51E3">
        <w:rPr>
          <w:rFonts w:ascii="MetaPro-Norm" w:hAnsi="MetaPro-Norm"/>
        </w:rPr>
        <w:t>n July 2017.</w:t>
      </w:r>
      <w:r w:rsidR="00CC3173">
        <w:rPr>
          <w:rStyle w:val="FootnoteReference"/>
        </w:rPr>
        <w:footnoteReference w:id="15"/>
      </w:r>
      <w:r w:rsidR="2C6D14C7" w:rsidRPr="008E51E3">
        <w:rPr>
          <w:rFonts w:ascii="MetaPro-Norm" w:hAnsi="MetaPro-Norm"/>
        </w:rPr>
        <w:t xml:space="preserve"> </w:t>
      </w:r>
      <w:r w:rsidR="25BCC978" w:rsidRPr="00052230">
        <w:rPr>
          <w:rFonts w:ascii="MetaPro-Norm" w:hAnsi="MetaPro-Norm"/>
        </w:rPr>
        <w:t xml:space="preserve">Uniformed and </w:t>
      </w:r>
      <w:r w:rsidR="199CCA55" w:rsidRPr="00052230">
        <w:rPr>
          <w:rFonts w:ascii="MetaPro-Norm" w:hAnsi="MetaPro-Norm"/>
        </w:rPr>
        <w:t>plainclothes</w:t>
      </w:r>
      <w:r w:rsidR="25BCC978" w:rsidRPr="00052230">
        <w:rPr>
          <w:rFonts w:ascii="MetaPro-Norm" w:hAnsi="MetaPro-Norm"/>
        </w:rPr>
        <w:t xml:space="preserve"> police officers, none of whom were registered for the conference, attended many of the sessions and photographed participants. In protest, some of </w:t>
      </w:r>
      <w:r w:rsidR="25BCC978" w:rsidRPr="00052230">
        <w:rPr>
          <w:rFonts w:ascii="MetaPro-Norm" w:hAnsi="MetaPro-Norm"/>
        </w:rPr>
        <w:lastRenderedPageBreak/>
        <w:t>the participants held a sign up in front of the seminar room that read “an academic forum is not a military camp,” and took a photo.</w:t>
      </w:r>
      <w:r w:rsidR="26DFAA81" w:rsidRPr="00052230">
        <w:rPr>
          <w:rFonts w:ascii="MetaPro-Norm" w:hAnsi="MetaPro-Norm"/>
        </w:rPr>
        <w:t xml:space="preserve"> </w:t>
      </w:r>
      <w:r w:rsidR="079CFAED" w:rsidRPr="004D576C">
        <w:rPr>
          <w:rFonts w:ascii="MetaPro-Norm" w:hAnsi="MetaPro-Norm"/>
        </w:rPr>
        <w:t xml:space="preserve">In July 2018, the conference organizer, a translator, and three students who had held up the sign </w:t>
      </w:r>
      <w:r w:rsidR="03D52647" w:rsidRPr="004D576C">
        <w:rPr>
          <w:rFonts w:ascii="MetaPro-Norm" w:hAnsi="MetaPro-Norm"/>
        </w:rPr>
        <w:t xml:space="preserve">were indicted </w:t>
      </w:r>
      <w:r w:rsidR="079CFAED" w:rsidRPr="004D576C">
        <w:rPr>
          <w:rFonts w:ascii="MetaPro-Norm" w:hAnsi="MetaPro-Norm"/>
        </w:rPr>
        <w:t xml:space="preserve">on charges of violating </w:t>
      </w:r>
      <w:r w:rsidR="7B87BEAE" w:rsidRPr="004D576C">
        <w:rPr>
          <w:rFonts w:ascii="MetaPro-Norm" w:hAnsi="MetaPro-Norm"/>
        </w:rPr>
        <w:t>an</w:t>
      </w:r>
      <w:r w:rsidR="25BCC978" w:rsidRPr="004D576C">
        <w:rPr>
          <w:rFonts w:ascii="MetaPro-Norm" w:hAnsi="MetaPro-Norm"/>
        </w:rPr>
        <w:t xml:space="preserve"> order </w:t>
      </w:r>
      <w:r w:rsidR="091E94EC" w:rsidRPr="004D576C">
        <w:rPr>
          <w:rFonts w:ascii="MetaPro-Norm" w:hAnsi="MetaPro-Norm"/>
        </w:rPr>
        <w:t>which authorize</w:t>
      </w:r>
      <w:r w:rsidR="07C80BBD" w:rsidRPr="004D576C">
        <w:rPr>
          <w:rFonts w:ascii="MetaPro-Norm" w:hAnsi="MetaPro-Norm"/>
        </w:rPr>
        <w:t>d</w:t>
      </w:r>
      <w:r w:rsidR="091E94EC" w:rsidRPr="004D576C">
        <w:rPr>
          <w:rFonts w:ascii="MetaPro-Norm" w:hAnsi="MetaPro-Norm"/>
        </w:rPr>
        <w:t xml:space="preserve"> certain military officers to “prevent and suppress” offenses including sedition and violations of announcements or orders of the </w:t>
      </w:r>
      <w:r w:rsidR="2B507729" w:rsidRPr="004D576C">
        <w:rPr>
          <w:rFonts w:ascii="MetaPro-Norm" w:hAnsi="MetaPro-Norm"/>
        </w:rPr>
        <w:t>military junta</w:t>
      </w:r>
      <w:r w:rsidR="11ADD1C3" w:rsidRPr="004D576C">
        <w:rPr>
          <w:rFonts w:ascii="MetaPro-Norm" w:hAnsi="MetaPro-Norm"/>
        </w:rPr>
        <w:t>.</w:t>
      </w:r>
      <w:r w:rsidR="25BCC978" w:rsidRPr="004D576C">
        <w:rPr>
          <w:rFonts w:ascii="MetaPro-Norm" w:hAnsi="MetaPro-Norm"/>
        </w:rPr>
        <w:t xml:space="preserve"> </w:t>
      </w:r>
      <w:r w:rsidR="62373D88">
        <w:rPr>
          <w:rFonts w:ascii="MetaPro-Norm" w:hAnsi="MetaPro-Norm"/>
        </w:rPr>
        <w:t>A</w:t>
      </w:r>
      <w:r w:rsidR="7413E45C" w:rsidRPr="004D576C">
        <w:rPr>
          <w:rFonts w:ascii="MetaPro-Norm" w:hAnsi="MetaPro-Norm"/>
        </w:rPr>
        <w:t xml:space="preserve">lthough the case was </w:t>
      </w:r>
      <w:r w:rsidR="62373D88">
        <w:rPr>
          <w:rFonts w:ascii="MetaPro-Norm" w:hAnsi="MetaPro-Norm"/>
        </w:rPr>
        <w:t xml:space="preserve">later </w:t>
      </w:r>
      <w:r w:rsidR="03FAAFFB" w:rsidRPr="004D576C">
        <w:rPr>
          <w:rFonts w:ascii="MetaPro-Norm" w:hAnsi="MetaPro-Norm"/>
        </w:rPr>
        <w:t>dismissed, t</w:t>
      </w:r>
      <w:r w:rsidR="30651059" w:rsidRPr="004D576C">
        <w:rPr>
          <w:rFonts w:ascii="MetaPro-Norm" w:hAnsi="MetaPro-Norm"/>
        </w:rPr>
        <w:t>he repercussions continued</w:t>
      </w:r>
      <w:r w:rsidR="03FAAFFB" w:rsidRPr="004D576C">
        <w:rPr>
          <w:rFonts w:ascii="MetaPro-Norm" w:hAnsi="MetaPro-Norm"/>
        </w:rPr>
        <w:t>:</w:t>
      </w:r>
      <w:r w:rsidR="30651059" w:rsidRPr="004D576C">
        <w:rPr>
          <w:rFonts w:ascii="MetaPro-Norm" w:hAnsi="MetaPro-Norm"/>
        </w:rPr>
        <w:t xml:space="preserve"> </w:t>
      </w:r>
      <w:proofErr w:type="gramStart"/>
      <w:r w:rsidR="460E17C3" w:rsidRPr="004D576C">
        <w:rPr>
          <w:rFonts w:ascii="MetaPro-Norm" w:hAnsi="MetaPro-Norm"/>
        </w:rPr>
        <w:t>a</w:t>
      </w:r>
      <w:r w:rsidR="30651059" w:rsidRPr="004D576C">
        <w:rPr>
          <w:rFonts w:ascii="MetaPro-Norm" w:hAnsi="MetaPro-Norm"/>
        </w:rPr>
        <w:t xml:space="preserve"> number of</w:t>
      </w:r>
      <w:proofErr w:type="gramEnd"/>
      <w:r w:rsidR="30651059" w:rsidRPr="004D576C">
        <w:rPr>
          <w:rFonts w:ascii="MetaPro-Norm" w:hAnsi="MetaPro-Norm"/>
        </w:rPr>
        <w:t xml:space="preserve"> international academics who signed one of the many petitions in support of the defendants </w:t>
      </w:r>
      <w:r w:rsidR="328B63BE" w:rsidRPr="004D576C">
        <w:rPr>
          <w:rFonts w:ascii="MetaPro-Norm" w:hAnsi="MetaPro-Norm"/>
        </w:rPr>
        <w:t>were</w:t>
      </w:r>
      <w:r w:rsidR="30651059" w:rsidRPr="004D576C">
        <w:rPr>
          <w:rFonts w:ascii="MetaPro-Norm" w:hAnsi="MetaPro-Norm"/>
        </w:rPr>
        <w:t xml:space="preserve"> detained by the Immigration Authorities or questioned by Special Branch when entering or leaving Thailand.</w:t>
      </w:r>
    </w:p>
    <w:p w14:paraId="7E0DE4FA" w14:textId="77777777" w:rsidR="00FC0287" w:rsidRPr="00FC0287" w:rsidRDefault="00FC0287" w:rsidP="00FC0287">
      <w:pPr>
        <w:spacing w:after="0"/>
        <w:rPr>
          <w:rFonts w:ascii="MetaPro-Norm" w:hAnsi="MetaPro-Norm"/>
        </w:rPr>
      </w:pPr>
    </w:p>
    <w:p w14:paraId="20ADA784" w14:textId="3629A427" w:rsidR="00E54007" w:rsidRPr="00E54007" w:rsidRDefault="00E54007" w:rsidP="00E54007">
      <w:pPr>
        <w:spacing w:after="0"/>
        <w:rPr>
          <w:rFonts w:ascii="MetaPro-Norm" w:hAnsi="MetaPro-Norm"/>
          <w:i/>
          <w:iCs/>
        </w:rPr>
      </w:pPr>
      <w:r w:rsidRPr="00E54007">
        <w:rPr>
          <w:rFonts w:ascii="MetaPro-Norm" w:hAnsi="MetaPro-Norm"/>
          <w:i/>
          <w:iCs/>
        </w:rPr>
        <w:t xml:space="preserve">Surveillance </w:t>
      </w:r>
      <w:r w:rsidR="00947A22">
        <w:rPr>
          <w:rFonts w:ascii="MetaPro-Norm" w:hAnsi="MetaPro-Norm"/>
          <w:i/>
          <w:iCs/>
        </w:rPr>
        <w:t>in online learning</w:t>
      </w:r>
    </w:p>
    <w:p w14:paraId="3A166F44" w14:textId="5C0A8698" w:rsidR="00FD527F" w:rsidRDefault="1DBBED1A" w:rsidP="00FD527F">
      <w:pPr>
        <w:pStyle w:val="ListParagraph"/>
        <w:numPr>
          <w:ilvl w:val="0"/>
          <w:numId w:val="3"/>
        </w:numPr>
        <w:spacing w:after="0"/>
        <w:rPr>
          <w:rFonts w:ascii="MetaPro-Norm" w:hAnsi="MetaPro-Norm"/>
        </w:rPr>
      </w:pPr>
      <w:r>
        <w:rPr>
          <w:rFonts w:ascii="MetaPro-Norm" w:hAnsi="MetaPro-Norm"/>
        </w:rPr>
        <w:t>During</w:t>
      </w:r>
      <w:r w:rsidR="511EB9BD">
        <w:rPr>
          <w:rFonts w:ascii="MetaPro-Norm" w:hAnsi="MetaPro-Norm"/>
        </w:rPr>
        <w:t xml:space="preserve"> Covid-19</w:t>
      </w:r>
      <w:r w:rsidR="056D83BE">
        <w:rPr>
          <w:rFonts w:ascii="MetaPro-Norm" w:hAnsi="MetaPro-Norm"/>
        </w:rPr>
        <w:t>-related</w:t>
      </w:r>
      <w:r w:rsidR="511EB9BD">
        <w:rPr>
          <w:rFonts w:ascii="MetaPro-Norm" w:hAnsi="MetaPro-Norm"/>
        </w:rPr>
        <w:t xml:space="preserve"> school closures, governments across the world </w:t>
      </w:r>
      <w:r w:rsidR="6436861D" w:rsidRPr="00E74E8B">
        <w:rPr>
          <w:rFonts w:ascii="MetaPro-Norm" w:hAnsi="MetaPro-Norm"/>
        </w:rPr>
        <w:t>endors</w:t>
      </w:r>
      <w:r w:rsidR="511EB9BD">
        <w:rPr>
          <w:rFonts w:ascii="MetaPro-Norm" w:hAnsi="MetaPro-Norm"/>
        </w:rPr>
        <w:t>ed o</w:t>
      </w:r>
      <w:r w:rsidR="6436861D" w:rsidRPr="00E74E8B">
        <w:rPr>
          <w:rFonts w:ascii="MetaPro-Norm" w:hAnsi="MetaPro-Norm"/>
        </w:rPr>
        <w:t>nline learning products without adequately protecting children’s privacy</w:t>
      </w:r>
      <w:r w:rsidR="13922168">
        <w:rPr>
          <w:rFonts w:ascii="MetaPro-Norm" w:hAnsi="MetaPro-Norm"/>
        </w:rPr>
        <w:t>.</w:t>
      </w:r>
      <w:r w:rsidR="002B0CF7">
        <w:rPr>
          <w:rStyle w:val="FootnoteReference"/>
        </w:rPr>
        <w:footnoteReference w:id="16"/>
      </w:r>
      <w:r w:rsidR="3C4BA580">
        <w:rPr>
          <w:rFonts w:ascii="MetaPro-Norm" w:hAnsi="MetaPro-Norm"/>
        </w:rPr>
        <w:t xml:space="preserve"> </w:t>
      </w:r>
      <w:r w:rsidR="57198D3B">
        <w:rPr>
          <w:rFonts w:ascii="MetaPro-Norm" w:hAnsi="MetaPro-Norm"/>
        </w:rPr>
        <w:t>Most of t</w:t>
      </w:r>
      <w:r w:rsidR="66DE84B6">
        <w:rPr>
          <w:rFonts w:ascii="MetaPro-Norm" w:hAnsi="MetaPro-Norm"/>
        </w:rPr>
        <w:t xml:space="preserve">he </w:t>
      </w:r>
      <w:r w:rsidR="57198D3B">
        <w:rPr>
          <w:rFonts w:ascii="MetaPro-Norm" w:hAnsi="MetaPro-Norm"/>
        </w:rPr>
        <w:t xml:space="preserve">163 </w:t>
      </w:r>
      <w:r w:rsidR="66DE84B6">
        <w:rPr>
          <w:rFonts w:ascii="MetaPro-Norm" w:hAnsi="MetaPro-Norm"/>
        </w:rPr>
        <w:t xml:space="preserve">EdTech products reviewed by Human Rights Watch in </w:t>
      </w:r>
      <w:r w:rsidR="2F7AD4CF">
        <w:rPr>
          <w:rFonts w:ascii="MetaPro-Norm" w:hAnsi="MetaPro-Norm"/>
        </w:rPr>
        <w:t xml:space="preserve">2021 </w:t>
      </w:r>
      <w:r w:rsidR="2F7AD4CF" w:rsidRPr="00DB6B9F">
        <w:rPr>
          <w:rFonts w:ascii="MetaPro-Norm" w:hAnsi="MetaPro-Norm"/>
        </w:rPr>
        <w:t>monitored or had the capacity to monitor children, in most cases secretly and without the consent of children or their parents, in many cases harvesting data on who they are, where they are, what they do in the classroom, who their family and friends are, and what kind of device their families could afford for them to use.</w:t>
      </w:r>
    </w:p>
    <w:p w14:paraId="5A8C6F2B" w14:textId="77777777" w:rsidR="00FD527F" w:rsidRDefault="00FD527F" w:rsidP="00FD527F">
      <w:pPr>
        <w:pStyle w:val="ListParagraph"/>
        <w:spacing w:after="0"/>
        <w:ind w:left="360"/>
        <w:rPr>
          <w:rFonts w:ascii="MetaPro-Norm" w:hAnsi="MetaPro-Norm"/>
        </w:rPr>
      </w:pPr>
    </w:p>
    <w:p w14:paraId="0070E27F" w14:textId="36A6E756" w:rsidR="005E53A4" w:rsidRDefault="11F64DAF" w:rsidP="00F8454A">
      <w:pPr>
        <w:pStyle w:val="ListParagraph"/>
        <w:numPr>
          <w:ilvl w:val="0"/>
          <w:numId w:val="3"/>
        </w:numPr>
        <w:spacing w:after="0"/>
        <w:rPr>
          <w:rFonts w:ascii="MetaPro-Norm" w:hAnsi="MetaPro-Norm"/>
        </w:rPr>
      </w:pPr>
      <w:r w:rsidRPr="3DECD52A">
        <w:rPr>
          <w:rFonts w:ascii="MetaPro-Norm" w:hAnsi="MetaPro-Norm"/>
        </w:rPr>
        <w:t>Most online learning platforms installed tracking technologies that trailed children outside of their virtual classrooms and across the internet, over time. Some invisibly tagged and fingerprinted children in ways that were impossible to avoid or get rid of</w:t>
      </w:r>
      <w:r w:rsidR="0EE07B38" w:rsidRPr="3DECD52A">
        <w:rPr>
          <w:rFonts w:ascii="MetaPro-Norm" w:hAnsi="MetaPro-Norm"/>
        </w:rPr>
        <w:t xml:space="preserve">. </w:t>
      </w:r>
      <w:r w:rsidRPr="3DECD52A">
        <w:rPr>
          <w:rFonts w:ascii="MetaPro-Norm" w:hAnsi="MetaPro-Norm"/>
        </w:rPr>
        <w:t>Most platforms sent or granted access to children’s data to third-party companies, usually advertising technology (AdTech) companies.</w:t>
      </w:r>
      <w:r w:rsidR="1A7EB58A" w:rsidRPr="3DECD52A">
        <w:rPr>
          <w:rFonts w:ascii="MetaPro-Norm" w:hAnsi="MetaPro-Norm"/>
        </w:rPr>
        <w:t xml:space="preserve"> </w:t>
      </w:r>
      <w:r w:rsidR="77623523" w:rsidRPr="3DECD52A">
        <w:rPr>
          <w:rFonts w:ascii="MetaPro-Norm" w:hAnsi="MetaPro-Norm"/>
        </w:rPr>
        <w:t>In doing so, some EdTech products targeted children with behavioral advertising</w:t>
      </w:r>
      <w:r w:rsidR="26D84874" w:rsidRPr="3DECD52A">
        <w:rPr>
          <w:rFonts w:ascii="MetaPro-Norm" w:hAnsi="MetaPro-Norm"/>
        </w:rPr>
        <w:t xml:space="preserve">, </w:t>
      </w:r>
      <w:r w:rsidR="77623523" w:rsidRPr="3DECD52A">
        <w:rPr>
          <w:rFonts w:ascii="MetaPro-Norm" w:hAnsi="MetaPro-Norm"/>
        </w:rPr>
        <w:t>not only distort</w:t>
      </w:r>
      <w:r w:rsidR="26D84874" w:rsidRPr="3DECD52A">
        <w:rPr>
          <w:rFonts w:ascii="MetaPro-Norm" w:hAnsi="MetaPro-Norm"/>
        </w:rPr>
        <w:t>ing</w:t>
      </w:r>
      <w:r w:rsidR="77623523" w:rsidRPr="3DECD52A">
        <w:rPr>
          <w:rFonts w:ascii="MetaPro-Norm" w:hAnsi="MetaPro-Norm"/>
        </w:rPr>
        <w:t xml:space="preserve"> children’s online experiences, but also risk</w:t>
      </w:r>
      <w:r w:rsidR="26D84874" w:rsidRPr="3DECD52A">
        <w:rPr>
          <w:rFonts w:ascii="MetaPro-Norm" w:hAnsi="MetaPro-Norm"/>
        </w:rPr>
        <w:t>ing</w:t>
      </w:r>
      <w:r w:rsidR="77623523" w:rsidRPr="3DECD52A">
        <w:rPr>
          <w:rFonts w:ascii="MetaPro-Norm" w:hAnsi="MetaPro-Norm"/>
        </w:rPr>
        <w:t xml:space="preserve"> influencing their opinions and beliefs at a time in their lives when they are at high risk of manipulative interference. Many more EdTech products sent children’s data to AdTech companies that specialize in behavioral advertising or whose algorithms determine what children see online.</w:t>
      </w:r>
    </w:p>
    <w:p w14:paraId="490F66E3" w14:textId="77777777" w:rsidR="00BC7E1A" w:rsidRPr="00C1188C" w:rsidRDefault="00BC7E1A" w:rsidP="00C1188C">
      <w:pPr>
        <w:spacing w:after="0"/>
        <w:rPr>
          <w:rFonts w:ascii="MetaPro-Norm" w:hAnsi="MetaPro-Norm"/>
        </w:rPr>
      </w:pPr>
    </w:p>
    <w:p w14:paraId="1C0ECDEF" w14:textId="0B1FFC14" w:rsidR="00043AE3" w:rsidRPr="00206D9E" w:rsidRDefault="7542F863" w:rsidP="00666ACA">
      <w:pPr>
        <w:pStyle w:val="ListParagraph"/>
        <w:numPr>
          <w:ilvl w:val="0"/>
          <w:numId w:val="3"/>
        </w:numPr>
        <w:spacing w:after="0"/>
        <w:rPr>
          <w:rFonts w:ascii="MetaPro-Norm" w:hAnsi="MetaPro-Norm"/>
        </w:rPr>
      </w:pPr>
      <w:r>
        <w:rPr>
          <w:rFonts w:ascii="MetaPro-Norm" w:hAnsi="MetaPro-Norm"/>
        </w:rPr>
        <w:t>M</w:t>
      </w:r>
      <w:r w:rsidRPr="00941688">
        <w:rPr>
          <w:rFonts w:ascii="MetaPro-Norm" w:hAnsi="MetaPro-Norm"/>
        </w:rPr>
        <w:t>ost countries in the world do not have modern child data protection laws that would provide protections to children in complex online environments</w:t>
      </w:r>
      <w:r w:rsidR="0000CF36">
        <w:rPr>
          <w:rFonts w:ascii="MetaPro-Norm" w:hAnsi="MetaPro-Norm"/>
        </w:rPr>
        <w:t>, including safeguards around the collection, processing, and use of children’s data</w:t>
      </w:r>
      <w:r>
        <w:rPr>
          <w:rFonts w:ascii="MetaPro-Norm" w:hAnsi="MetaPro-Norm"/>
        </w:rPr>
        <w:t>.</w:t>
      </w:r>
      <w:r w:rsidR="00941688">
        <w:rPr>
          <w:rStyle w:val="FootnoteReference"/>
        </w:rPr>
        <w:footnoteReference w:id="17"/>
      </w:r>
    </w:p>
    <w:p w14:paraId="1878F6F0" w14:textId="77777777" w:rsidR="00043AE3" w:rsidRDefault="00043AE3" w:rsidP="00666ACA">
      <w:pPr>
        <w:spacing w:after="0"/>
        <w:rPr>
          <w:rFonts w:ascii="MetaPro-Norm" w:hAnsi="MetaPro-Norm"/>
          <w:b/>
          <w:bCs/>
        </w:rPr>
      </w:pPr>
    </w:p>
    <w:p w14:paraId="48093FC1" w14:textId="77777777" w:rsidR="00BB1D0E" w:rsidRDefault="00BB1D0E" w:rsidP="00666ACA">
      <w:pPr>
        <w:spacing w:after="0"/>
        <w:rPr>
          <w:rFonts w:ascii="MetaPro-Norm" w:hAnsi="MetaPro-Norm"/>
          <w:b/>
          <w:bCs/>
        </w:rPr>
      </w:pPr>
    </w:p>
    <w:p w14:paraId="45603B95" w14:textId="7EFF053D" w:rsidR="00666ACA" w:rsidRDefault="00666ACA" w:rsidP="00666ACA">
      <w:pPr>
        <w:spacing w:after="0"/>
        <w:rPr>
          <w:rFonts w:ascii="MetaPro-Norm" w:hAnsi="MetaPro-Norm"/>
          <w:b/>
          <w:bCs/>
        </w:rPr>
      </w:pPr>
      <w:r w:rsidRPr="00424590">
        <w:rPr>
          <w:rFonts w:ascii="MetaPro-Norm" w:hAnsi="MetaPro-Norm"/>
          <w:b/>
          <w:bCs/>
        </w:rPr>
        <w:lastRenderedPageBreak/>
        <w:t>Freedom of Expression in Teaching and Access to Books</w:t>
      </w:r>
    </w:p>
    <w:p w14:paraId="1D4F5641" w14:textId="799CD02E" w:rsidR="00521924" w:rsidRPr="004D066E" w:rsidRDefault="1CFB9452">
      <w:pPr>
        <w:pStyle w:val="ListParagraph"/>
        <w:numPr>
          <w:ilvl w:val="0"/>
          <w:numId w:val="3"/>
        </w:numPr>
        <w:spacing w:after="0"/>
        <w:rPr>
          <w:rFonts w:ascii="MetaPro-Norm" w:hAnsi="MetaPro-Norm"/>
          <w:b/>
          <w:bCs/>
        </w:rPr>
      </w:pPr>
      <w:r w:rsidRPr="004D066E">
        <w:rPr>
          <w:rFonts w:ascii="MetaPro-Norm" w:hAnsi="MetaPro-Norm"/>
        </w:rPr>
        <w:t xml:space="preserve">Human Rights Watch has </w:t>
      </w:r>
      <w:r w:rsidR="262AF52A" w:rsidRPr="004D066E">
        <w:rPr>
          <w:rFonts w:ascii="MetaPro-Norm" w:hAnsi="MetaPro-Norm"/>
        </w:rPr>
        <w:t>long documented violations of the right</w:t>
      </w:r>
      <w:r w:rsidR="35604CBA">
        <w:rPr>
          <w:rFonts w:ascii="MetaPro-Norm" w:hAnsi="MetaPro-Norm"/>
        </w:rPr>
        <w:t>s</w:t>
      </w:r>
      <w:r w:rsidR="262AF52A" w:rsidRPr="004D066E">
        <w:rPr>
          <w:rFonts w:ascii="MetaPro-Norm" w:hAnsi="MetaPro-Norm"/>
        </w:rPr>
        <w:t xml:space="preserve"> to freedom of expression and information in educational institutions. This includes </w:t>
      </w:r>
      <w:r w:rsidR="35604CBA" w:rsidRPr="004D066E">
        <w:rPr>
          <w:rFonts w:ascii="MetaPro-Norm" w:hAnsi="MetaPro-Norm"/>
        </w:rPr>
        <w:t>access to comprehensive sexuality education.</w:t>
      </w:r>
      <w:r w:rsidR="00390FAD">
        <w:rPr>
          <w:rStyle w:val="FootnoteReference"/>
        </w:rPr>
        <w:footnoteReference w:id="18"/>
      </w:r>
      <w:r w:rsidR="35604CBA" w:rsidRPr="004D066E">
        <w:rPr>
          <w:rFonts w:ascii="MetaPro-Norm" w:hAnsi="MetaPro-Norm"/>
        </w:rPr>
        <w:t xml:space="preserve"> </w:t>
      </w:r>
    </w:p>
    <w:p w14:paraId="47988C8A" w14:textId="77777777" w:rsidR="004D066E" w:rsidRPr="004D066E" w:rsidRDefault="004D066E" w:rsidP="004D066E">
      <w:pPr>
        <w:pStyle w:val="ListParagraph"/>
        <w:spacing w:after="0"/>
        <w:ind w:left="360"/>
        <w:rPr>
          <w:rFonts w:ascii="MetaPro-Norm" w:hAnsi="MetaPro-Norm"/>
          <w:b/>
          <w:bCs/>
        </w:rPr>
      </w:pPr>
    </w:p>
    <w:p w14:paraId="77EA2822" w14:textId="01E3EB7C" w:rsidR="000022B8" w:rsidRDefault="002308AD">
      <w:pPr>
        <w:pStyle w:val="ListParagraph"/>
        <w:numPr>
          <w:ilvl w:val="0"/>
          <w:numId w:val="3"/>
        </w:numPr>
        <w:spacing w:after="0"/>
        <w:rPr>
          <w:rFonts w:ascii="MetaPro-Norm" w:hAnsi="MetaPro-Norm"/>
        </w:rPr>
      </w:pPr>
      <w:r>
        <w:rPr>
          <w:rFonts w:ascii="MetaPro-Norm" w:hAnsi="MetaPro-Norm"/>
        </w:rPr>
        <w:t>I</w:t>
      </w:r>
      <w:r w:rsidR="6714D973">
        <w:rPr>
          <w:rFonts w:ascii="MetaPro-Norm" w:hAnsi="MetaPro-Norm"/>
        </w:rPr>
        <w:t xml:space="preserve">n the </w:t>
      </w:r>
      <w:r w:rsidR="6714D973" w:rsidRPr="006E4CDD">
        <w:rPr>
          <w:rFonts w:ascii="MetaPro-Norm" w:hAnsi="MetaPro-Norm"/>
          <w:b/>
          <w:bCs/>
        </w:rPr>
        <w:t>United States</w:t>
      </w:r>
      <w:r w:rsidR="6714D973">
        <w:rPr>
          <w:rFonts w:ascii="MetaPro-Norm" w:hAnsi="MetaPro-Norm"/>
        </w:rPr>
        <w:t xml:space="preserve">, </w:t>
      </w:r>
      <w:r w:rsidR="1FEA5CAB">
        <w:rPr>
          <w:rFonts w:ascii="MetaPro-Norm" w:hAnsi="MetaPro-Norm"/>
        </w:rPr>
        <w:t xml:space="preserve">laws have been proposed or passed that restrict education about </w:t>
      </w:r>
      <w:r w:rsidR="6A74A1B4" w:rsidRPr="530C0577">
        <w:rPr>
          <w:rFonts w:ascii="MetaPro-Norm" w:hAnsi="MetaPro-Norm"/>
        </w:rPr>
        <w:t xml:space="preserve">systemic </w:t>
      </w:r>
      <w:r w:rsidR="1FEA5CAB">
        <w:rPr>
          <w:rFonts w:ascii="MetaPro-Norm" w:hAnsi="MetaPro-Norm"/>
        </w:rPr>
        <w:t xml:space="preserve">racism and </w:t>
      </w:r>
      <w:r w:rsidR="00006B2B">
        <w:rPr>
          <w:rFonts w:ascii="MetaPro-Norm" w:hAnsi="MetaPro-Norm"/>
        </w:rPr>
        <w:t>often also about gender, sexuality, or “divisive topics</w:t>
      </w:r>
      <w:r w:rsidR="00977228">
        <w:rPr>
          <w:rFonts w:ascii="MetaPro-Norm" w:hAnsi="MetaPro-Norm"/>
        </w:rPr>
        <w:t>.”</w:t>
      </w:r>
      <w:r w:rsidR="5861D6CA" w:rsidRPr="530C0577">
        <w:rPr>
          <w:rFonts w:ascii="MetaPro-Norm" w:hAnsi="MetaPro-Norm"/>
        </w:rPr>
        <w:t xml:space="preserve"> A</w:t>
      </w:r>
      <w:r w:rsidR="008B2746">
        <w:rPr>
          <w:rFonts w:ascii="MetaPro-Norm" w:hAnsi="MetaPro-Norm"/>
        </w:rPr>
        <w:t>t least 7</w:t>
      </w:r>
      <w:r w:rsidR="00E14AA2">
        <w:rPr>
          <w:rFonts w:ascii="MetaPro-Norm" w:hAnsi="MetaPro-Norm"/>
        </w:rPr>
        <w:t xml:space="preserve"> </w:t>
      </w:r>
      <w:r w:rsidR="5861D6CA" w:rsidRPr="530C0577">
        <w:rPr>
          <w:rFonts w:ascii="MetaPro-Norm" w:hAnsi="MetaPro-Norm"/>
        </w:rPr>
        <w:t xml:space="preserve">states </w:t>
      </w:r>
      <w:r w:rsidR="71D3C8AF" w:rsidRPr="530C0577">
        <w:rPr>
          <w:rFonts w:ascii="MetaPro-Norm" w:hAnsi="MetaPro-Norm"/>
        </w:rPr>
        <w:t xml:space="preserve">have enacted </w:t>
      </w:r>
      <w:r w:rsidR="5861D6CA" w:rsidRPr="530C0577">
        <w:rPr>
          <w:rFonts w:ascii="MetaPro-Norm" w:hAnsi="MetaPro-Norm"/>
        </w:rPr>
        <w:t xml:space="preserve">laws prohibiting classroom </w:t>
      </w:r>
      <w:r w:rsidR="168EB984" w:rsidRPr="530C0577">
        <w:rPr>
          <w:rFonts w:ascii="MetaPro-Norm" w:hAnsi="MetaPro-Norm"/>
        </w:rPr>
        <w:t xml:space="preserve">instruction </w:t>
      </w:r>
      <w:r w:rsidR="46891B11" w:rsidRPr="530C0577">
        <w:rPr>
          <w:rFonts w:ascii="MetaPro-Norm" w:hAnsi="MetaPro-Norm"/>
        </w:rPr>
        <w:t>on sexual orientation or gender identity,</w:t>
      </w:r>
      <w:r w:rsidR="4520FFD8" w:rsidRPr="530C0577">
        <w:rPr>
          <w:rFonts w:ascii="MetaPro-Norm" w:hAnsi="MetaPro-Norm"/>
        </w:rPr>
        <w:t xml:space="preserve"> including inclusive discussions of</w:t>
      </w:r>
      <w:r w:rsidR="46891B11" w:rsidRPr="530C0577">
        <w:rPr>
          <w:rFonts w:ascii="MetaPro-Norm" w:hAnsi="MetaPro-Norm"/>
        </w:rPr>
        <w:t xml:space="preserve"> </w:t>
      </w:r>
      <w:r w:rsidR="00E43F74">
        <w:rPr>
          <w:rFonts w:ascii="MetaPro-Norm" w:hAnsi="MetaPro-Norm"/>
        </w:rPr>
        <w:t>lesbian</w:t>
      </w:r>
      <w:r w:rsidR="008E02A6">
        <w:rPr>
          <w:rFonts w:ascii="MetaPro-Norm" w:hAnsi="MetaPro-Norm"/>
        </w:rPr>
        <w:t>, gay, bisexual, and transgender (</w:t>
      </w:r>
      <w:r w:rsidR="46891B11" w:rsidRPr="530C0577">
        <w:rPr>
          <w:rFonts w:ascii="MetaPro-Norm" w:hAnsi="MetaPro-Norm"/>
        </w:rPr>
        <w:t>LGBT</w:t>
      </w:r>
      <w:r w:rsidR="008E02A6">
        <w:rPr>
          <w:rFonts w:ascii="MetaPro-Norm" w:hAnsi="MetaPro-Norm"/>
        </w:rPr>
        <w:t>)</w:t>
      </w:r>
      <w:r w:rsidR="46891B11" w:rsidRPr="530C0577">
        <w:rPr>
          <w:rFonts w:ascii="MetaPro-Norm" w:hAnsi="MetaPro-Norm"/>
        </w:rPr>
        <w:t xml:space="preserve"> people and their famil</w:t>
      </w:r>
      <w:r w:rsidR="2D820558" w:rsidRPr="530C0577">
        <w:rPr>
          <w:rFonts w:ascii="MetaPro-Norm" w:hAnsi="MetaPro-Norm"/>
        </w:rPr>
        <w:t>ies</w:t>
      </w:r>
      <w:r w:rsidR="4EB3C4E1" w:rsidRPr="530C0577">
        <w:rPr>
          <w:rFonts w:ascii="MetaPro-Norm" w:hAnsi="MetaPro-Norm"/>
        </w:rPr>
        <w:t>, a</w:t>
      </w:r>
      <w:r w:rsidR="4596F8E0" w:rsidRPr="530C0577">
        <w:rPr>
          <w:rFonts w:ascii="MetaPro-Norm" w:hAnsi="MetaPro-Norm"/>
        </w:rPr>
        <w:t xml:space="preserve">nd in </w:t>
      </w:r>
      <w:r w:rsidR="00D83CD2">
        <w:rPr>
          <w:rFonts w:ascii="MetaPro-Norm" w:hAnsi="MetaPro-Norm"/>
        </w:rPr>
        <w:t>several</w:t>
      </w:r>
      <w:r w:rsidR="00D83CD2" w:rsidRPr="530C0577">
        <w:rPr>
          <w:rFonts w:ascii="MetaPro-Norm" w:hAnsi="MetaPro-Norm"/>
        </w:rPr>
        <w:t xml:space="preserve"> </w:t>
      </w:r>
      <w:proofErr w:type="gramStart"/>
      <w:r w:rsidR="4596F8E0" w:rsidRPr="530C0577">
        <w:rPr>
          <w:rFonts w:ascii="MetaPro-Norm" w:hAnsi="MetaPro-Norm"/>
        </w:rPr>
        <w:t>instances</w:t>
      </w:r>
      <w:proofErr w:type="gramEnd"/>
      <w:r w:rsidR="4596F8E0" w:rsidRPr="530C0577">
        <w:rPr>
          <w:rFonts w:ascii="MetaPro-Norm" w:hAnsi="MetaPro-Norm"/>
        </w:rPr>
        <w:t xml:space="preserve"> officials have removed</w:t>
      </w:r>
      <w:r w:rsidR="4EB3C4E1" w:rsidRPr="530C0577">
        <w:rPr>
          <w:rFonts w:ascii="MetaPro-Norm" w:hAnsi="MetaPro-Norm"/>
        </w:rPr>
        <w:t xml:space="preserve"> books </w:t>
      </w:r>
      <w:r w:rsidR="5AC97F64" w:rsidRPr="530C0577">
        <w:rPr>
          <w:rFonts w:ascii="MetaPro-Norm" w:hAnsi="MetaPro-Norm"/>
        </w:rPr>
        <w:t xml:space="preserve">that address </w:t>
      </w:r>
      <w:r w:rsidR="4EB3C4E1" w:rsidRPr="530C0577">
        <w:rPr>
          <w:rFonts w:ascii="MetaPro-Norm" w:hAnsi="MetaPro-Norm"/>
        </w:rPr>
        <w:t>gender and sexuality from schools and public libraries</w:t>
      </w:r>
      <w:r w:rsidR="46891B11" w:rsidRPr="530C0577">
        <w:rPr>
          <w:rFonts w:ascii="MetaPro-Norm" w:hAnsi="MetaPro-Norm"/>
        </w:rPr>
        <w:t>.</w:t>
      </w:r>
      <w:r w:rsidR="00C52DC3">
        <w:rPr>
          <w:rStyle w:val="FootnoteReference"/>
        </w:rPr>
        <w:footnoteReference w:id="19"/>
      </w:r>
      <w:r w:rsidR="46891B11" w:rsidRPr="530C0577">
        <w:rPr>
          <w:rFonts w:ascii="MetaPro-Norm" w:hAnsi="MetaPro-Norm"/>
        </w:rPr>
        <w:t xml:space="preserve"> Other laws</w:t>
      </w:r>
      <w:r w:rsidR="4323BCD3" w:rsidRPr="530C0577">
        <w:rPr>
          <w:rFonts w:ascii="MetaPro-Norm" w:hAnsi="MetaPro-Norm"/>
        </w:rPr>
        <w:t xml:space="preserve"> change curricula to</w:t>
      </w:r>
      <w:r w:rsidR="46891B11" w:rsidRPr="530C0577">
        <w:rPr>
          <w:rFonts w:ascii="MetaPro-Norm" w:hAnsi="MetaPro-Norm"/>
        </w:rPr>
        <w:t xml:space="preserve"> </w:t>
      </w:r>
      <w:r w:rsidR="1FEA5CAB">
        <w:rPr>
          <w:rFonts w:ascii="MetaPro-Norm" w:hAnsi="MetaPro-Norm"/>
        </w:rPr>
        <w:t>distort or omit histor</w:t>
      </w:r>
      <w:r w:rsidR="00CD76D7">
        <w:rPr>
          <w:rFonts w:ascii="MetaPro-Norm" w:hAnsi="MetaPro-Norm"/>
        </w:rPr>
        <w:t>ical accounts</w:t>
      </w:r>
      <w:r w:rsidR="1FEA5CAB">
        <w:rPr>
          <w:rFonts w:ascii="MetaPro-Norm" w:hAnsi="MetaPro-Norm"/>
        </w:rPr>
        <w:t xml:space="preserve"> and contributions of specific racial or ethnic groups. </w:t>
      </w:r>
      <w:r w:rsidR="021725F5">
        <w:rPr>
          <w:rFonts w:ascii="MetaPro-Norm" w:hAnsi="MetaPro-Norm"/>
        </w:rPr>
        <w:t>In February 2023, t</w:t>
      </w:r>
      <w:r w:rsidR="5E77DB4B">
        <w:rPr>
          <w:rFonts w:ascii="MetaPro-Norm" w:hAnsi="MetaPro-Norm"/>
        </w:rPr>
        <w:t>he College Board</w:t>
      </w:r>
      <w:r w:rsidR="10FC7DCB" w:rsidRPr="008251F6">
        <w:rPr>
          <w:rFonts w:ascii="MetaPro-Norm" w:hAnsi="MetaPro-Norm"/>
        </w:rPr>
        <w:t>—</w:t>
      </w:r>
      <w:r w:rsidR="51F1C96E">
        <w:rPr>
          <w:rFonts w:ascii="MetaPro-Norm" w:hAnsi="MetaPro-Norm"/>
        </w:rPr>
        <w:t>a nonprofit organization that administers tests and Advanced Placement courses</w:t>
      </w:r>
      <w:r w:rsidR="51F1C96E" w:rsidRPr="008251F6">
        <w:rPr>
          <w:rFonts w:ascii="MetaPro-Norm" w:hAnsi="MetaPro-Norm"/>
        </w:rPr>
        <w:t>—</w:t>
      </w:r>
      <w:r w:rsidR="5E77DB4B">
        <w:rPr>
          <w:rFonts w:ascii="MetaPro-Norm" w:hAnsi="MetaPro-Norm"/>
        </w:rPr>
        <w:t xml:space="preserve">decided to water down </w:t>
      </w:r>
      <w:r w:rsidR="08483EA0" w:rsidRPr="001241B8">
        <w:rPr>
          <w:rFonts w:ascii="MetaPro-Norm" w:hAnsi="MetaPro-Norm"/>
        </w:rPr>
        <w:t>its new Advanced Placement African American Studies course curriculum</w:t>
      </w:r>
      <w:r w:rsidR="51F1C96E">
        <w:rPr>
          <w:rFonts w:ascii="MetaPro-Norm" w:hAnsi="MetaPro-Norm"/>
        </w:rPr>
        <w:t>, under pressure from Florida Governor Ron DeSantis</w:t>
      </w:r>
      <w:r w:rsidR="08483EA0" w:rsidRPr="001241B8">
        <w:rPr>
          <w:rFonts w:ascii="MetaPro-Norm" w:hAnsi="MetaPro-Norm"/>
        </w:rPr>
        <w:t>.</w:t>
      </w:r>
      <w:r w:rsidR="001241B8">
        <w:rPr>
          <w:rStyle w:val="FootnoteReference"/>
        </w:rPr>
        <w:footnoteReference w:id="20"/>
      </w:r>
      <w:r w:rsidR="3AB6D219">
        <w:rPr>
          <w:rFonts w:ascii="MetaPro-Norm" w:hAnsi="MetaPro-Norm"/>
        </w:rPr>
        <w:t xml:space="preserve"> This decision is part</w:t>
      </w:r>
      <w:r w:rsidR="3FF636E2">
        <w:rPr>
          <w:rFonts w:ascii="MetaPro-Norm" w:hAnsi="MetaPro-Norm"/>
        </w:rPr>
        <w:t xml:space="preserve"> of</w:t>
      </w:r>
      <w:r w:rsidR="3AB6D219">
        <w:rPr>
          <w:rFonts w:ascii="MetaPro-Norm" w:hAnsi="MetaPro-Norm"/>
        </w:rPr>
        <w:t xml:space="preserve"> </w:t>
      </w:r>
      <w:r w:rsidR="1422D618" w:rsidRPr="0071230A">
        <w:rPr>
          <w:rFonts w:ascii="MetaPro-Norm" w:hAnsi="MetaPro-Norm"/>
        </w:rPr>
        <w:t>a long history of Black erasure and an alarming</w:t>
      </w:r>
      <w:r w:rsidR="52498959">
        <w:rPr>
          <w:rFonts w:ascii="MetaPro-Norm" w:hAnsi="MetaPro-Norm"/>
        </w:rPr>
        <w:t xml:space="preserve"> </w:t>
      </w:r>
      <w:r w:rsidR="1422D618" w:rsidRPr="0071230A">
        <w:rPr>
          <w:rFonts w:ascii="MetaPro-Norm" w:hAnsi="MetaPro-Norm"/>
        </w:rPr>
        <w:t xml:space="preserve">political </w:t>
      </w:r>
      <w:r w:rsidR="00CD76D7">
        <w:rPr>
          <w:rFonts w:ascii="MetaPro-Norm" w:hAnsi="MetaPro-Norm"/>
        </w:rPr>
        <w:t>example of</w:t>
      </w:r>
      <w:r w:rsidR="1422D618" w:rsidRPr="0071230A">
        <w:rPr>
          <w:rFonts w:ascii="MetaPro-Norm" w:hAnsi="MetaPro-Norm"/>
        </w:rPr>
        <w:t xml:space="preserve"> right-wing politicians undermin</w:t>
      </w:r>
      <w:r w:rsidR="00CD76D7">
        <w:rPr>
          <w:rFonts w:ascii="MetaPro-Norm" w:hAnsi="MetaPro-Norm"/>
        </w:rPr>
        <w:t>ing</w:t>
      </w:r>
      <w:r w:rsidR="1422D618" w:rsidRPr="0071230A">
        <w:rPr>
          <w:rFonts w:ascii="MetaPro-Norm" w:hAnsi="MetaPro-Norm"/>
        </w:rPr>
        <w:t xml:space="preserve"> democracy by limiting public access to history and ideas.</w:t>
      </w:r>
      <w:r w:rsidR="40C96E12">
        <w:rPr>
          <w:rFonts w:ascii="MetaPro-Norm" w:hAnsi="MetaPro-Norm"/>
        </w:rPr>
        <w:t xml:space="preserve"> </w:t>
      </w:r>
    </w:p>
    <w:p w14:paraId="7F35F2DD" w14:textId="77777777" w:rsidR="000022B8" w:rsidRDefault="000022B8" w:rsidP="000022B8">
      <w:pPr>
        <w:pStyle w:val="ListParagraph"/>
        <w:spacing w:after="0"/>
        <w:ind w:left="360"/>
        <w:rPr>
          <w:rFonts w:ascii="MetaPro-Norm" w:hAnsi="MetaPro-Norm"/>
        </w:rPr>
      </w:pPr>
    </w:p>
    <w:p w14:paraId="46211492" w14:textId="32667BA9" w:rsidR="008251F6" w:rsidRDefault="4BC8522D">
      <w:pPr>
        <w:pStyle w:val="ListParagraph"/>
        <w:numPr>
          <w:ilvl w:val="0"/>
          <w:numId w:val="3"/>
        </w:numPr>
        <w:spacing w:after="0"/>
        <w:rPr>
          <w:rFonts w:ascii="MetaPro-Norm" w:hAnsi="MetaPro-Norm"/>
        </w:rPr>
      </w:pPr>
      <w:r w:rsidRPr="000D054E">
        <w:rPr>
          <w:rFonts w:ascii="MetaPro-Norm" w:hAnsi="MetaPro-Norm"/>
        </w:rPr>
        <w:t xml:space="preserve">Along with the banning of thousands of books, </w:t>
      </w:r>
      <w:r w:rsidR="265784DA" w:rsidRPr="000D054E">
        <w:rPr>
          <w:rFonts w:ascii="MetaPro-Norm" w:hAnsi="MetaPro-Norm"/>
        </w:rPr>
        <w:t xml:space="preserve">over 20 </w:t>
      </w:r>
      <w:r w:rsidR="6A75EC3E">
        <w:rPr>
          <w:rFonts w:ascii="MetaPro-Norm" w:hAnsi="MetaPro-Norm"/>
        </w:rPr>
        <w:t xml:space="preserve">US </w:t>
      </w:r>
      <w:r w:rsidRPr="000D054E">
        <w:rPr>
          <w:rFonts w:ascii="MetaPro-Norm" w:hAnsi="MetaPro-Norm"/>
        </w:rPr>
        <w:t xml:space="preserve">states have enacted restrictions against Critical Race Theory, the teaching of structural racism and gender inequity. These attacks have </w:t>
      </w:r>
      <w:r w:rsidR="416D456A" w:rsidRPr="000D054E">
        <w:rPr>
          <w:rFonts w:ascii="MetaPro-Norm" w:hAnsi="MetaPro-Norm"/>
        </w:rPr>
        <w:t xml:space="preserve">grown </w:t>
      </w:r>
      <w:r w:rsidRPr="000D054E">
        <w:rPr>
          <w:rFonts w:ascii="MetaPro-Norm" w:hAnsi="MetaPro-Norm"/>
        </w:rPr>
        <w:t>to additionally target Black feminism, queer theory, intersectionality</w:t>
      </w:r>
      <w:r w:rsidR="416D456A" w:rsidRPr="000D054E">
        <w:rPr>
          <w:rFonts w:ascii="MetaPro-Norm" w:hAnsi="MetaPro-Norm"/>
        </w:rPr>
        <w:t>,</w:t>
      </w:r>
      <w:r w:rsidRPr="000D054E">
        <w:rPr>
          <w:rFonts w:ascii="MetaPro-Norm" w:hAnsi="MetaPro-Norm"/>
        </w:rPr>
        <w:t xml:space="preserve"> and other frameworks that address structural inequality.</w:t>
      </w:r>
      <w:r w:rsidR="00624145">
        <w:rPr>
          <w:rStyle w:val="FootnoteReference"/>
        </w:rPr>
        <w:footnoteReference w:id="21"/>
      </w:r>
      <w:r w:rsidRPr="000D054E">
        <w:rPr>
          <w:rFonts w:ascii="MetaPro-Norm" w:hAnsi="MetaPro-Norm"/>
        </w:rPr>
        <w:t xml:space="preserve"> </w:t>
      </w:r>
      <w:r w:rsidR="1163A79F">
        <w:rPr>
          <w:rFonts w:ascii="MetaPro-Norm" w:hAnsi="MetaPro-Norm"/>
        </w:rPr>
        <w:t xml:space="preserve">This censorship affects millions of </w:t>
      </w:r>
      <w:r w:rsidR="5F2A62F5">
        <w:rPr>
          <w:rFonts w:ascii="MetaPro-Norm" w:hAnsi="MetaPro-Norm"/>
        </w:rPr>
        <w:t xml:space="preserve">students from preschool to college and university in areas impacted by the bans and significantly limits their understanding </w:t>
      </w:r>
      <w:r w:rsidR="74660B5F">
        <w:rPr>
          <w:rFonts w:ascii="MetaPro-Norm" w:hAnsi="MetaPro-Norm"/>
        </w:rPr>
        <w:t>and awareness of racial justice.</w:t>
      </w:r>
    </w:p>
    <w:p w14:paraId="1BB45081" w14:textId="15D4F5F2" w:rsidR="008251F6" w:rsidRPr="008251F6" w:rsidRDefault="008251F6" w:rsidP="008251F6">
      <w:pPr>
        <w:spacing w:after="0"/>
        <w:rPr>
          <w:rFonts w:ascii="MetaPro-Norm" w:hAnsi="MetaPro-Norm"/>
        </w:rPr>
      </w:pPr>
    </w:p>
    <w:p w14:paraId="33F3E5E2" w14:textId="4B4DE3B7" w:rsidR="00666ACA" w:rsidRDefault="69748596" w:rsidP="00FB2ECD">
      <w:pPr>
        <w:pStyle w:val="ListParagraph"/>
        <w:numPr>
          <w:ilvl w:val="0"/>
          <w:numId w:val="3"/>
        </w:numPr>
        <w:rPr>
          <w:rFonts w:ascii="MetaPro-Norm" w:hAnsi="MetaPro-Norm"/>
        </w:rPr>
      </w:pPr>
      <w:r w:rsidRPr="005428D6">
        <w:rPr>
          <w:rFonts w:ascii="MetaPro-Norm" w:hAnsi="MetaPro-Norm"/>
        </w:rPr>
        <w:t xml:space="preserve">Following </w:t>
      </w:r>
      <w:r w:rsidRPr="005428D6">
        <w:rPr>
          <w:rFonts w:ascii="MetaPro-Norm" w:hAnsi="MetaPro-Norm"/>
          <w:b/>
          <w:bCs/>
        </w:rPr>
        <w:t>Russia</w:t>
      </w:r>
      <w:r w:rsidRPr="005428D6">
        <w:rPr>
          <w:rFonts w:ascii="MetaPro-Norm" w:hAnsi="MetaPro-Norm"/>
        </w:rPr>
        <w:t>’s</w:t>
      </w:r>
      <w:r w:rsidRPr="00FF2DD6">
        <w:rPr>
          <w:rFonts w:ascii="MetaPro-Norm" w:hAnsi="MetaPro-Norm"/>
        </w:rPr>
        <w:t xml:space="preserve"> full-scale invasion of </w:t>
      </w:r>
      <w:r w:rsidRPr="00C86959">
        <w:rPr>
          <w:rFonts w:ascii="MetaPro-Norm" w:hAnsi="MetaPro-Norm"/>
          <w:b/>
          <w:bCs/>
        </w:rPr>
        <w:t>Ukraine</w:t>
      </w:r>
      <w:r w:rsidRPr="00FF2DD6">
        <w:rPr>
          <w:rFonts w:ascii="MetaPro-Norm" w:hAnsi="MetaPro-Norm"/>
        </w:rPr>
        <w:t>,</w:t>
      </w:r>
      <w:r w:rsidRPr="004E371D">
        <w:rPr>
          <w:rFonts w:ascii="MetaPro-Norm" w:hAnsi="MetaPro-Norm"/>
          <w:b/>
          <w:bCs/>
        </w:rPr>
        <w:t xml:space="preserve"> </w:t>
      </w:r>
      <w:r w:rsidR="0A40A4BE">
        <w:rPr>
          <w:rFonts w:ascii="MetaPro-Norm" w:hAnsi="MetaPro-Norm"/>
        </w:rPr>
        <w:t>Russian</w:t>
      </w:r>
      <w:r w:rsidRPr="00FF2DD6">
        <w:rPr>
          <w:rFonts w:ascii="MetaPro-Norm" w:hAnsi="MetaPro-Norm"/>
        </w:rPr>
        <w:t xml:space="preserve"> authorities and their proxies</w:t>
      </w:r>
      <w:r>
        <w:rPr>
          <w:rFonts w:ascii="MetaPro-Norm" w:hAnsi="MetaPro-Norm"/>
        </w:rPr>
        <w:t xml:space="preserve"> </w:t>
      </w:r>
      <w:r w:rsidRPr="00FF2DD6">
        <w:rPr>
          <w:rFonts w:ascii="MetaPro-Norm" w:hAnsi="MetaPro-Norm"/>
        </w:rPr>
        <w:t xml:space="preserve">worked to replace the Ukrainian education system in occupied Ukrainian territories with the Russian </w:t>
      </w:r>
      <w:r w:rsidRPr="00FF2DD6">
        <w:rPr>
          <w:rFonts w:ascii="MetaPro-Norm" w:hAnsi="MetaPro-Norm"/>
        </w:rPr>
        <w:lastRenderedPageBreak/>
        <w:t>education system, teaching the Russian curriculum, in the Russian language.</w:t>
      </w:r>
      <w:r w:rsidR="009F3259">
        <w:rPr>
          <w:rStyle w:val="FootnoteReference"/>
        </w:rPr>
        <w:footnoteReference w:id="22"/>
      </w:r>
      <w:r w:rsidRPr="00FF2DD6">
        <w:rPr>
          <w:rFonts w:ascii="MetaPro-Norm" w:hAnsi="MetaPro-Norm"/>
        </w:rPr>
        <w:t xml:space="preserve"> Occupying authorities in these areas retaliated against Ukrainian teachers who refused to work under the Russian system. They pressured parents who did not want their children to study in the Russian language and under the Russian curriculum and threatened parents whose children study online in the Ukrainian school system with fines, detention, and deprivation of child custody. </w:t>
      </w:r>
    </w:p>
    <w:p w14:paraId="595B275A" w14:textId="77777777" w:rsidR="00121C35" w:rsidRPr="00121C35" w:rsidRDefault="00121C35" w:rsidP="00121C35">
      <w:pPr>
        <w:pStyle w:val="ListParagraph"/>
        <w:ind w:left="360"/>
        <w:rPr>
          <w:rFonts w:ascii="MetaPro-Norm" w:hAnsi="MetaPro-Norm"/>
        </w:rPr>
      </w:pPr>
    </w:p>
    <w:p w14:paraId="774BBD70" w14:textId="7201EBAB" w:rsidR="00666ACA" w:rsidRPr="00980CA9" w:rsidRDefault="69748596" w:rsidP="00FB2ECD">
      <w:pPr>
        <w:pStyle w:val="ListParagraph"/>
        <w:numPr>
          <w:ilvl w:val="0"/>
          <w:numId w:val="3"/>
        </w:numPr>
        <w:spacing w:after="0"/>
        <w:rPr>
          <w:rFonts w:ascii="MetaPro-Norm" w:hAnsi="MetaPro-Norm"/>
        </w:rPr>
      </w:pPr>
      <w:r w:rsidRPr="530C0577">
        <w:rPr>
          <w:rFonts w:ascii="MetaPro-Norm" w:hAnsi="MetaPro-Norm"/>
        </w:rPr>
        <w:t>The Russian curriculum justifies the invasion, falsely portrays Ukraine as a “neo-Nazi state,” and strictly limits instruction in the Ukrainian language</w:t>
      </w:r>
      <w:r w:rsidR="24648F9B" w:rsidRPr="530C0577">
        <w:rPr>
          <w:rFonts w:ascii="MetaPro-Norm" w:hAnsi="MetaPro-Norm"/>
        </w:rPr>
        <w:t xml:space="preserve">. </w:t>
      </w:r>
      <w:r w:rsidRPr="530C0577">
        <w:rPr>
          <w:rFonts w:ascii="MetaPro-Norm" w:hAnsi="MetaPro-Norm"/>
        </w:rPr>
        <w:t>In 2023, the Russian education ministry launched a new history textbook for grade 11 students. Human Rights Watch examined the textbook closely and found that it contains blatant falsehoods, distortions, and anti-Ukrainian propaganda.</w:t>
      </w:r>
      <w:r w:rsidRPr="530C0577">
        <w:rPr>
          <w:rStyle w:val="FootnoteReference"/>
        </w:rPr>
        <w:t xml:space="preserve"> </w:t>
      </w:r>
    </w:p>
    <w:p w14:paraId="2FAF757D" w14:textId="77777777" w:rsidR="00666ACA" w:rsidRPr="00FF2DD6" w:rsidRDefault="00666ACA" w:rsidP="00666ACA">
      <w:pPr>
        <w:spacing w:after="0"/>
        <w:rPr>
          <w:rFonts w:ascii="MetaPro-Norm" w:hAnsi="MetaPro-Norm"/>
        </w:rPr>
      </w:pPr>
    </w:p>
    <w:p w14:paraId="1DBE0BE5" w14:textId="21963353" w:rsidR="00666ACA" w:rsidRPr="006D5C36" w:rsidRDefault="69748596" w:rsidP="006D5C36">
      <w:pPr>
        <w:pStyle w:val="ListParagraph"/>
        <w:numPr>
          <w:ilvl w:val="0"/>
          <w:numId w:val="3"/>
        </w:numPr>
        <w:spacing w:after="0"/>
        <w:rPr>
          <w:rFonts w:ascii="MetaPro-Norm" w:hAnsi="MetaPro-Norm"/>
        </w:rPr>
      </w:pPr>
      <w:r w:rsidRPr="530C0577">
        <w:rPr>
          <w:rFonts w:ascii="MetaPro-Norm" w:hAnsi="MetaPro-Norm"/>
        </w:rPr>
        <w:t>Occupation authorities use this textbook in classes in Russian-occupied areas of Ukraine, which in 2022 also received other textbooks taught in Russia. They also confiscated and destroyed Ukrainian school materials</w:t>
      </w:r>
      <w:r w:rsidR="15C9B5CB" w:rsidRPr="530C0577">
        <w:rPr>
          <w:rFonts w:ascii="MetaPro-Norm" w:hAnsi="MetaPro-Norm"/>
        </w:rPr>
        <w:t xml:space="preserve">. </w:t>
      </w:r>
      <w:r w:rsidRPr="530C0577">
        <w:rPr>
          <w:rFonts w:ascii="MetaPro-Norm" w:hAnsi="MetaPro-Norm"/>
        </w:rPr>
        <w:t xml:space="preserve">Ukrainian children under occupation and Ukrainian children who were deported and now study in Russia also receive military training in schools. They receive indoctrination with extensive propaganda, as do Russian children, including during military training classes and the so-called “lessons about things that matter,” which were introduced by the Russian education ministry following the full-scale invasion of Ukraine, with the aim of boosting students’ “patriotism.” </w:t>
      </w:r>
    </w:p>
    <w:p w14:paraId="09E41826" w14:textId="77777777" w:rsidR="00666ACA" w:rsidRPr="00FF2DD6" w:rsidRDefault="00666ACA" w:rsidP="00666ACA">
      <w:pPr>
        <w:spacing w:after="0"/>
        <w:rPr>
          <w:rFonts w:ascii="MetaPro-Norm" w:hAnsi="MetaPro-Norm"/>
        </w:rPr>
      </w:pPr>
    </w:p>
    <w:p w14:paraId="0E7F0CE0" w14:textId="1FDF619C" w:rsidR="00666ACA" w:rsidRPr="00666ACA" w:rsidRDefault="69748596" w:rsidP="00FB2ECD">
      <w:pPr>
        <w:pStyle w:val="ListParagraph"/>
        <w:numPr>
          <w:ilvl w:val="0"/>
          <w:numId w:val="3"/>
        </w:numPr>
        <w:spacing w:after="0"/>
        <w:rPr>
          <w:rFonts w:ascii="MetaPro-Norm" w:hAnsi="MetaPro-Norm"/>
        </w:rPr>
      </w:pPr>
      <w:r w:rsidRPr="530C0577">
        <w:rPr>
          <w:rFonts w:ascii="MetaPro-Norm" w:hAnsi="MetaPro-Norm"/>
        </w:rPr>
        <w:t xml:space="preserve">De facto authorities in Ukraine’s occupied territories have subjected some children who spoke Ukrainian in schools to ill-treatment. For example, a teacher from </w:t>
      </w:r>
      <w:proofErr w:type="spellStart"/>
      <w:r w:rsidRPr="530C0577">
        <w:rPr>
          <w:rFonts w:ascii="MetaPro-Norm" w:hAnsi="MetaPro-Norm"/>
        </w:rPr>
        <w:t>Melitopol</w:t>
      </w:r>
      <w:proofErr w:type="spellEnd"/>
      <w:r w:rsidRPr="530C0577">
        <w:rPr>
          <w:rFonts w:ascii="MetaPro-Norm" w:hAnsi="MetaPro-Norm"/>
        </w:rPr>
        <w:t xml:space="preserve"> who remains in contact with the family of a former student, under 18, told Human Rights Watch, “They put a bag on [his] head for speaking Ukrainian and dumped him thirty kilometers outside the city.”</w:t>
      </w:r>
      <w:r w:rsidRPr="530C0577">
        <w:rPr>
          <w:rStyle w:val="FootnoteReference"/>
        </w:rPr>
        <w:t xml:space="preserve"> </w:t>
      </w:r>
    </w:p>
    <w:p w14:paraId="230CCBED" w14:textId="77777777" w:rsidR="00666ACA" w:rsidRDefault="00666ACA" w:rsidP="00666ACA">
      <w:pPr>
        <w:spacing w:after="0"/>
        <w:rPr>
          <w:rFonts w:ascii="MetaPro-Norm" w:hAnsi="MetaPro-Norm"/>
        </w:rPr>
      </w:pPr>
    </w:p>
    <w:p w14:paraId="192E7390" w14:textId="70261C14" w:rsidR="00484D26" w:rsidRPr="00D16FCA" w:rsidRDefault="4BFC411D" w:rsidP="006A3AA0">
      <w:pPr>
        <w:pStyle w:val="ListParagraph"/>
        <w:numPr>
          <w:ilvl w:val="0"/>
          <w:numId w:val="3"/>
        </w:numPr>
        <w:spacing w:after="0"/>
        <w:rPr>
          <w:rFonts w:ascii="MetaPro-Norm" w:hAnsi="MetaPro-Norm"/>
        </w:rPr>
      </w:pPr>
      <w:r>
        <w:rPr>
          <w:rFonts w:ascii="MetaPro-Norm" w:hAnsi="MetaPro-Norm"/>
        </w:rPr>
        <w:t>I</w:t>
      </w:r>
      <w:r w:rsidRPr="00925A6C">
        <w:rPr>
          <w:rFonts w:ascii="MetaPro-Norm" w:hAnsi="MetaPro-Norm"/>
        </w:rPr>
        <w:t xml:space="preserve">n </w:t>
      </w:r>
      <w:r w:rsidRPr="00192C33">
        <w:rPr>
          <w:rFonts w:ascii="MetaPro-Norm" w:hAnsi="MetaPro-Norm"/>
          <w:b/>
          <w:bCs/>
        </w:rPr>
        <w:t>Afghanistan</w:t>
      </w:r>
      <w:r>
        <w:rPr>
          <w:rFonts w:ascii="MetaPro-Norm" w:hAnsi="MetaPro-Norm"/>
        </w:rPr>
        <w:t>, Taliban</w:t>
      </w:r>
      <w:r w:rsidRPr="00925A6C">
        <w:rPr>
          <w:rFonts w:ascii="MetaPro-Norm" w:hAnsi="MetaPro-Norm"/>
        </w:rPr>
        <w:t xml:space="preserve"> </w:t>
      </w:r>
      <w:r w:rsidR="6E36EAB8">
        <w:rPr>
          <w:rFonts w:ascii="MetaPro-Norm" w:hAnsi="MetaPro-Norm"/>
        </w:rPr>
        <w:t xml:space="preserve">policies and practices are </w:t>
      </w:r>
      <w:r w:rsidR="59F6FE93">
        <w:rPr>
          <w:rFonts w:ascii="MetaPro-Norm" w:hAnsi="MetaPro-Norm"/>
        </w:rPr>
        <w:t xml:space="preserve">disproportionately </w:t>
      </w:r>
      <w:r w:rsidR="6E36EAB8">
        <w:rPr>
          <w:rFonts w:ascii="MetaPro-Norm" w:hAnsi="MetaPro-Norm"/>
        </w:rPr>
        <w:t xml:space="preserve">harming girls and women by banning them from </w:t>
      </w:r>
      <w:r w:rsidR="36585F31">
        <w:rPr>
          <w:rFonts w:ascii="MetaPro-Norm" w:hAnsi="MetaPro-Norm"/>
        </w:rPr>
        <w:t>secondary and higher education</w:t>
      </w:r>
      <w:r w:rsidR="59F6FE93">
        <w:rPr>
          <w:rFonts w:ascii="MetaPro-Norm" w:hAnsi="MetaPro-Norm"/>
        </w:rPr>
        <w:t xml:space="preserve">. The Taliban are also </w:t>
      </w:r>
      <w:r w:rsidRPr="00174AC1">
        <w:rPr>
          <w:rFonts w:ascii="MetaPro-Norm" w:hAnsi="MetaPro-Norm"/>
        </w:rPr>
        <w:t>jeopardizing education for Afghan boys</w:t>
      </w:r>
      <w:r w:rsidR="00757F4B">
        <w:rPr>
          <w:rFonts w:ascii="MetaPro-Norm" w:hAnsi="MetaPro-Norm"/>
        </w:rPr>
        <w:t>:</w:t>
      </w:r>
      <w:r>
        <w:rPr>
          <w:rFonts w:ascii="MetaPro-Norm" w:hAnsi="MetaPro-Norm"/>
        </w:rPr>
        <w:t xml:space="preserve"> </w:t>
      </w:r>
      <w:r w:rsidR="24543DE5">
        <w:rPr>
          <w:rFonts w:ascii="MetaPro-Norm" w:hAnsi="MetaPro-Norm"/>
        </w:rPr>
        <w:t xml:space="preserve">they have </w:t>
      </w:r>
      <w:r w:rsidR="6C9B8A1F">
        <w:rPr>
          <w:rFonts w:ascii="MetaPro-Norm" w:hAnsi="MetaPro-Norm"/>
        </w:rPr>
        <w:t>dismiss</w:t>
      </w:r>
      <w:r w:rsidR="401D7530">
        <w:rPr>
          <w:rFonts w:ascii="MetaPro-Norm" w:hAnsi="MetaPro-Norm"/>
        </w:rPr>
        <w:t>ed</w:t>
      </w:r>
      <w:r w:rsidRPr="00174AC1">
        <w:rPr>
          <w:rFonts w:ascii="MetaPro-Norm" w:hAnsi="MetaPro-Norm"/>
        </w:rPr>
        <w:t xml:space="preserve"> </w:t>
      </w:r>
      <w:r w:rsidR="673A037C" w:rsidRPr="00174AC1">
        <w:rPr>
          <w:rFonts w:ascii="MetaPro-Norm" w:hAnsi="MetaPro-Norm"/>
        </w:rPr>
        <w:t xml:space="preserve">all </w:t>
      </w:r>
      <w:r w:rsidRPr="00174AC1">
        <w:rPr>
          <w:rFonts w:ascii="MetaPro-Norm" w:hAnsi="MetaPro-Norm"/>
        </w:rPr>
        <w:t>female teachers</w:t>
      </w:r>
      <w:r>
        <w:rPr>
          <w:rFonts w:ascii="MetaPro-Norm" w:hAnsi="MetaPro-Norm"/>
        </w:rPr>
        <w:t xml:space="preserve"> </w:t>
      </w:r>
      <w:r w:rsidR="29651E13" w:rsidRPr="00174AC1">
        <w:rPr>
          <w:rFonts w:ascii="MetaPro-Norm" w:hAnsi="MetaPro-Norm"/>
        </w:rPr>
        <w:t>from boys’ school</w:t>
      </w:r>
      <w:r w:rsidR="023C4286" w:rsidRPr="00174AC1">
        <w:rPr>
          <w:rFonts w:ascii="MetaPro-Norm" w:hAnsi="MetaPro-Norm"/>
        </w:rPr>
        <w:t>s</w:t>
      </w:r>
      <w:r>
        <w:rPr>
          <w:rFonts w:ascii="MetaPro-Norm" w:hAnsi="MetaPro-Norm"/>
        </w:rPr>
        <w:t xml:space="preserve"> </w:t>
      </w:r>
      <w:r w:rsidRPr="00174AC1">
        <w:rPr>
          <w:rFonts w:ascii="MetaPro-Norm" w:hAnsi="MetaPro-Norm"/>
        </w:rPr>
        <w:t xml:space="preserve">and </w:t>
      </w:r>
      <w:r w:rsidR="6C9B8A1F">
        <w:rPr>
          <w:rFonts w:ascii="MetaPro-Norm" w:hAnsi="MetaPro-Norm"/>
        </w:rPr>
        <w:t>ma</w:t>
      </w:r>
      <w:r w:rsidR="13C1392F">
        <w:rPr>
          <w:rFonts w:ascii="MetaPro-Norm" w:hAnsi="MetaPro-Norm"/>
        </w:rPr>
        <w:t>de</w:t>
      </w:r>
      <w:r w:rsidR="6C9B8A1F">
        <w:rPr>
          <w:rFonts w:ascii="MetaPro-Norm" w:hAnsi="MetaPro-Norm"/>
        </w:rPr>
        <w:t xml:space="preserve"> </w:t>
      </w:r>
      <w:r w:rsidR="2F8154FF">
        <w:rPr>
          <w:rFonts w:ascii="MetaPro-Norm" w:hAnsi="MetaPro-Norm"/>
        </w:rPr>
        <w:t>harmful</w:t>
      </w:r>
      <w:r w:rsidR="6C9B8A1F">
        <w:rPr>
          <w:rFonts w:ascii="MetaPro-Norm" w:hAnsi="MetaPro-Norm"/>
        </w:rPr>
        <w:t xml:space="preserve"> </w:t>
      </w:r>
      <w:r w:rsidRPr="00174AC1">
        <w:rPr>
          <w:rFonts w:ascii="MetaPro-Norm" w:hAnsi="MetaPro-Norm"/>
        </w:rPr>
        <w:t>changes to the curriculum.</w:t>
      </w:r>
      <w:r w:rsidR="00484D26">
        <w:rPr>
          <w:rStyle w:val="FootnoteReference"/>
        </w:rPr>
        <w:footnoteReference w:id="23"/>
      </w:r>
      <w:r w:rsidR="36585F31">
        <w:rPr>
          <w:rFonts w:ascii="MetaPro-Norm" w:hAnsi="MetaPro-Norm"/>
        </w:rPr>
        <w:t xml:space="preserve"> </w:t>
      </w:r>
      <w:r w:rsidRPr="006A3AA0">
        <w:rPr>
          <w:rFonts w:ascii="MetaPro-Norm" w:hAnsi="MetaPro-Norm"/>
        </w:rPr>
        <w:t xml:space="preserve">Many boys are left to be taught by unqualified </w:t>
      </w:r>
      <w:r w:rsidRPr="006A3AA0">
        <w:rPr>
          <w:rFonts w:ascii="MetaPro-Norm" w:hAnsi="MetaPro-Norm"/>
        </w:rPr>
        <w:lastRenderedPageBreak/>
        <w:t xml:space="preserve">teachers or </w:t>
      </w:r>
      <w:r w:rsidR="6C9B8A1F">
        <w:rPr>
          <w:rFonts w:ascii="MetaPro-Norm" w:hAnsi="MetaPro-Norm"/>
        </w:rPr>
        <w:t>made</w:t>
      </w:r>
      <w:r w:rsidR="6C9B8A1F" w:rsidRPr="006A3AA0">
        <w:rPr>
          <w:rFonts w:ascii="MetaPro-Norm" w:hAnsi="MetaPro-Norm"/>
        </w:rPr>
        <w:t xml:space="preserve"> </w:t>
      </w:r>
      <w:r w:rsidRPr="006A3AA0">
        <w:rPr>
          <w:rFonts w:ascii="MetaPro-Norm" w:hAnsi="MetaPro-Norm"/>
        </w:rPr>
        <w:t xml:space="preserve">to sit in classrooms with no teachers at all. </w:t>
      </w:r>
      <w:r w:rsidR="005E25BD">
        <w:rPr>
          <w:rFonts w:ascii="MetaPro-Norm" w:hAnsi="MetaPro-Norm"/>
        </w:rPr>
        <w:t>S</w:t>
      </w:r>
      <w:r w:rsidRPr="006A3AA0">
        <w:rPr>
          <w:rFonts w:ascii="MetaPro-Norm" w:hAnsi="MetaPro-Norm"/>
        </w:rPr>
        <w:t>ubjects including arts, sports, English, and civic education, have been eliminated.</w:t>
      </w:r>
    </w:p>
    <w:p w14:paraId="5B155910" w14:textId="77777777" w:rsidR="006A3AA0" w:rsidRPr="00D16FCA" w:rsidRDefault="006A3AA0" w:rsidP="006A3AA0">
      <w:pPr>
        <w:spacing w:after="0"/>
        <w:rPr>
          <w:rFonts w:ascii="MetaPro-Norm" w:hAnsi="MetaPro-Norm"/>
        </w:rPr>
      </w:pPr>
    </w:p>
    <w:p w14:paraId="7114E4F9" w14:textId="4806C7F6" w:rsidR="005E1F36" w:rsidRPr="00EC5694" w:rsidRDefault="005E1F36" w:rsidP="00666ACA">
      <w:pPr>
        <w:spacing w:after="0"/>
        <w:rPr>
          <w:rFonts w:ascii="MetaPro-Norm" w:hAnsi="MetaPro-Norm"/>
          <w:i/>
          <w:iCs/>
        </w:rPr>
      </w:pPr>
      <w:r w:rsidRPr="00EC5694">
        <w:rPr>
          <w:rFonts w:ascii="MetaPro-Norm" w:hAnsi="MetaPro-Norm"/>
          <w:i/>
          <w:iCs/>
        </w:rPr>
        <w:t>Free</w:t>
      </w:r>
      <w:r w:rsidR="00EC5694" w:rsidRPr="00EC5694">
        <w:rPr>
          <w:rFonts w:ascii="MetaPro-Norm" w:hAnsi="MetaPro-Norm"/>
          <w:i/>
          <w:iCs/>
        </w:rPr>
        <w:t xml:space="preserve"> </w:t>
      </w:r>
      <w:r w:rsidRPr="00EC5694">
        <w:rPr>
          <w:rFonts w:ascii="MetaPro-Norm" w:hAnsi="MetaPro-Norm"/>
          <w:i/>
          <w:iCs/>
        </w:rPr>
        <w:t xml:space="preserve">expression </w:t>
      </w:r>
      <w:r w:rsidR="00514C04">
        <w:rPr>
          <w:rFonts w:ascii="MetaPro-Norm" w:hAnsi="MetaPro-Norm"/>
          <w:i/>
          <w:iCs/>
        </w:rPr>
        <w:t>regarding the</w:t>
      </w:r>
      <w:r w:rsidR="00EC5694" w:rsidRPr="00EC5694">
        <w:rPr>
          <w:rFonts w:ascii="MetaPro-Norm" w:hAnsi="MetaPro-Norm"/>
          <w:i/>
          <w:iCs/>
        </w:rPr>
        <w:t xml:space="preserve"> Israel and Palestine</w:t>
      </w:r>
      <w:r w:rsidR="00514C04">
        <w:rPr>
          <w:rFonts w:ascii="MetaPro-Norm" w:hAnsi="MetaPro-Norm"/>
          <w:i/>
          <w:iCs/>
        </w:rPr>
        <w:t xml:space="preserve"> hostilities</w:t>
      </w:r>
    </w:p>
    <w:p w14:paraId="2446A299" w14:textId="17C19771" w:rsidR="000B23B6" w:rsidRDefault="00656CE8" w:rsidP="000B23B6">
      <w:pPr>
        <w:pStyle w:val="ListParagraph"/>
        <w:numPr>
          <w:ilvl w:val="0"/>
          <w:numId w:val="3"/>
        </w:numPr>
        <w:spacing w:after="0"/>
        <w:rPr>
          <w:rFonts w:ascii="MetaPro-Norm" w:hAnsi="MetaPro-Norm"/>
        </w:rPr>
      </w:pPr>
      <w:r>
        <w:rPr>
          <w:rFonts w:ascii="MetaPro-Norm" w:hAnsi="MetaPro-Norm"/>
        </w:rPr>
        <w:t>Amid</w:t>
      </w:r>
      <w:r w:rsidR="40185B43" w:rsidRPr="00823A25">
        <w:rPr>
          <w:rFonts w:ascii="MetaPro-Norm" w:hAnsi="MetaPro-Norm"/>
        </w:rPr>
        <w:t xml:space="preserve"> the</w:t>
      </w:r>
      <w:r>
        <w:rPr>
          <w:rFonts w:ascii="MetaPro-Norm" w:hAnsi="MetaPro-Norm"/>
        </w:rPr>
        <w:t xml:space="preserve"> escalation of</w:t>
      </w:r>
      <w:r w:rsidR="40185B43" w:rsidRPr="00823A25">
        <w:rPr>
          <w:rFonts w:ascii="MetaPro-Norm" w:hAnsi="MetaPro-Norm"/>
        </w:rPr>
        <w:t xml:space="preserve"> hostilities between Israeli forces and Palestinian armed groups</w:t>
      </w:r>
      <w:r w:rsidR="5CB7501A" w:rsidRPr="00823A25">
        <w:rPr>
          <w:rFonts w:ascii="MetaPro-Norm" w:hAnsi="MetaPro-Norm"/>
        </w:rPr>
        <w:t xml:space="preserve"> </w:t>
      </w:r>
      <w:r>
        <w:rPr>
          <w:rFonts w:ascii="MetaPro-Norm" w:hAnsi="MetaPro-Norm"/>
        </w:rPr>
        <w:t>since</w:t>
      </w:r>
      <w:r w:rsidR="5CB7501A" w:rsidRPr="00823A25">
        <w:rPr>
          <w:rFonts w:ascii="MetaPro-Norm" w:hAnsi="MetaPro-Norm"/>
        </w:rPr>
        <w:t xml:space="preserve"> October 7, 2023, Human Rights Watch </w:t>
      </w:r>
      <w:r w:rsidR="4B02DCE6" w:rsidRPr="00823A25">
        <w:rPr>
          <w:rFonts w:ascii="MetaPro-Norm" w:hAnsi="MetaPro-Norm"/>
        </w:rPr>
        <w:t>documented a pattern of undue removal and suppression of protected speech including peaceful expression in support of Palestine and public debate about Palestinian human rights.</w:t>
      </w:r>
      <w:r w:rsidR="00B81E51">
        <w:rPr>
          <w:rStyle w:val="FootnoteReference"/>
        </w:rPr>
        <w:footnoteReference w:id="24"/>
      </w:r>
      <w:r w:rsidR="5A6AA638" w:rsidRPr="00823A25">
        <w:rPr>
          <w:rFonts w:ascii="MetaPro-Norm" w:hAnsi="MetaPro-Norm"/>
        </w:rPr>
        <w:t xml:space="preserve"> </w:t>
      </w:r>
      <w:r w:rsidR="48F2BD0F">
        <w:rPr>
          <w:rFonts w:ascii="MetaPro-Norm" w:hAnsi="MetaPro-Norm"/>
        </w:rPr>
        <w:t>For example, o</w:t>
      </w:r>
      <w:r w:rsidR="48F2BD0F" w:rsidRPr="005E3BE1">
        <w:rPr>
          <w:rFonts w:ascii="MetaPro-Norm" w:hAnsi="MetaPro-Norm"/>
        </w:rPr>
        <w:t xml:space="preserve">n October 13, education authorities in </w:t>
      </w:r>
      <w:r w:rsidR="752084F7">
        <w:rPr>
          <w:rFonts w:ascii="MetaPro-Norm" w:hAnsi="MetaPro-Norm"/>
        </w:rPr>
        <w:t xml:space="preserve">Berlin, </w:t>
      </w:r>
      <w:r w:rsidR="48F2BD0F" w:rsidRPr="00336B71">
        <w:rPr>
          <w:rFonts w:ascii="MetaPro-Norm" w:hAnsi="MetaPro-Norm"/>
          <w:b/>
          <w:bCs/>
        </w:rPr>
        <w:t>Germany</w:t>
      </w:r>
      <w:r w:rsidR="48F2BD0F" w:rsidRPr="005E3BE1">
        <w:rPr>
          <w:rFonts w:ascii="MetaPro-Norm" w:hAnsi="MetaPro-Norm"/>
        </w:rPr>
        <w:t xml:space="preserve"> gave schools permission</w:t>
      </w:r>
      <w:r w:rsidR="004302EA">
        <w:rPr>
          <w:rStyle w:val="FootnoteReference"/>
        </w:rPr>
        <w:footnoteReference w:id="25"/>
      </w:r>
      <w:r w:rsidR="48F2BD0F" w:rsidRPr="005E3BE1">
        <w:rPr>
          <w:rFonts w:ascii="MetaPro-Norm" w:hAnsi="MetaPro-Norm"/>
        </w:rPr>
        <w:t xml:space="preserve"> to ban students from wearing the Palestinian keffiyeh (checkered black and white scarf)</w:t>
      </w:r>
      <w:r w:rsidR="2EA61273">
        <w:rPr>
          <w:rFonts w:ascii="MetaPro-Norm" w:hAnsi="MetaPro-Norm"/>
        </w:rPr>
        <w:t xml:space="preserve">, </w:t>
      </w:r>
      <w:r w:rsidR="48F2BD0F" w:rsidRPr="005E3BE1">
        <w:rPr>
          <w:rFonts w:ascii="MetaPro-Norm" w:hAnsi="MetaPro-Norm"/>
        </w:rPr>
        <w:t xml:space="preserve">displaying </w:t>
      </w:r>
      <w:r w:rsidR="4B84FB67">
        <w:rPr>
          <w:rFonts w:ascii="MetaPro-Norm" w:hAnsi="MetaPro-Norm"/>
        </w:rPr>
        <w:t xml:space="preserve">stickers </w:t>
      </w:r>
      <w:r w:rsidR="58B820ED">
        <w:rPr>
          <w:rFonts w:ascii="MetaPro-Norm" w:hAnsi="MetaPro-Norm"/>
        </w:rPr>
        <w:t xml:space="preserve">with inscriptions such as </w:t>
      </w:r>
      <w:r w:rsidR="48F2BD0F" w:rsidRPr="005E3BE1">
        <w:rPr>
          <w:rFonts w:ascii="MetaPro-Norm" w:hAnsi="MetaPro-Norm"/>
        </w:rPr>
        <w:t xml:space="preserve">“free Palestine” </w:t>
      </w:r>
      <w:r w:rsidR="2EA61273">
        <w:rPr>
          <w:rFonts w:ascii="MetaPro-Norm" w:hAnsi="MetaPro-Norm"/>
        </w:rPr>
        <w:t>(or saying it)</w:t>
      </w:r>
      <w:r w:rsidR="3BE782B2">
        <w:rPr>
          <w:rFonts w:ascii="MetaPro-Norm" w:hAnsi="MetaPro-Norm"/>
        </w:rPr>
        <w:t>,</w:t>
      </w:r>
      <w:r w:rsidR="2EA61273">
        <w:rPr>
          <w:rFonts w:ascii="MetaPro-Norm" w:hAnsi="MetaPro-Norm"/>
        </w:rPr>
        <w:t xml:space="preserve"> and displaying</w:t>
      </w:r>
      <w:r w:rsidR="58B820ED">
        <w:rPr>
          <w:rFonts w:ascii="MetaPro-Norm" w:hAnsi="MetaPro-Norm"/>
        </w:rPr>
        <w:t xml:space="preserve"> </w:t>
      </w:r>
      <w:r w:rsidR="5CD4A550">
        <w:rPr>
          <w:rFonts w:ascii="MetaPro-Norm" w:hAnsi="MetaPro-Norm"/>
        </w:rPr>
        <w:t>a map of Israel</w:t>
      </w:r>
      <w:r w:rsidR="1B4C8746">
        <w:rPr>
          <w:rFonts w:ascii="MetaPro-Norm" w:hAnsi="MetaPro-Norm"/>
        </w:rPr>
        <w:t xml:space="preserve"> </w:t>
      </w:r>
      <w:r w:rsidR="7992D7D0">
        <w:rPr>
          <w:rFonts w:ascii="MetaPro-Norm" w:hAnsi="MetaPro-Norm"/>
        </w:rPr>
        <w:t>in</w:t>
      </w:r>
      <w:r w:rsidR="7FFEB575">
        <w:rPr>
          <w:rFonts w:ascii="MetaPro-Norm" w:hAnsi="MetaPro-Norm"/>
        </w:rPr>
        <w:t xml:space="preserve"> </w:t>
      </w:r>
      <w:r w:rsidR="7D21EAF0">
        <w:rPr>
          <w:rFonts w:ascii="MetaPro-Norm" w:hAnsi="MetaPro-Norm"/>
        </w:rPr>
        <w:t xml:space="preserve">Palestinian colors </w:t>
      </w:r>
      <w:r w:rsidR="7992D7D0">
        <w:rPr>
          <w:rFonts w:ascii="MetaPro-Norm" w:hAnsi="MetaPro-Norm"/>
        </w:rPr>
        <w:t>of</w:t>
      </w:r>
      <w:r w:rsidR="7D21EAF0">
        <w:rPr>
          <w:rFonts w:ascii="MetaPro-Norm" w:hAnsi="MetaPro-Norm"/>
        </w:rPr>
        <w:t xml:space="preserve"> white, red, black</w:t>
      </w:r>
      <w:r w:rsidR="1A498E86">
        <w:rPr>
          <w:rFonts w:ascii="MetaPro-Norm" w:hAnsi="MetaPro-Norm"/>
        </w:rPr>
        <w:t>,</w:t>
      </w:r>
      <w:r w:rsidR="7D21EAF0">
        <w:rPr>
          <w:rFonts w:ascii="MetaPro-Norm" w:hAnsi="MetaPro-Norm"/>
        </w:rPr>
        <w:t xml:space="preserve"> and green</w:t>
      </w:r>
      <w:r w:rsidR="48F2BD0F" w:rsidRPr="005E3BE1">
        <w:rPr>
          <w:rFonts w:ascii="MetaPro-Norm" w:hAnsi="MetaPro-Norm"/>
        </w:rPr>
        <w:t>, raising concerns about the right to free expression and possible discrimination.</w:t>
      </w:r>
    </w:p>
    <w:p w14:paraId="43A495B4" w14:textId="77777777" w:rsidR="000B23B6" w:rsidRDefault="000B23B6" w:rsidP="000B23B6">
      <w:pPr>
        <w:pStyle w:val="ListParagraph"/>
        <w:spacing w:after="0"/>
        <w:ind w:left="360"/>
        <w:rPr>
          <w:rFonts w:ascii="MetaPro-Norm" w:hAnsi="MetaPro-Norm"/>
        </w:rPr>
      </w:pPr>
    </w:p>
    <w:p w14:paraId="23373DAF" w14:textId="2062008E" w:rsidR="00921171" w:rsidRDefault="60702110" w:rsidP="000B23B6">
      <w:pPr>
        <w:pStyle w:val="ListParagraph"/>
        <w:numPr>
          <w:ilvl w:val="0"/>
          <w:numId w:val="3"/>
        </w:numPr>
        <w:spacing w:after="0"/>
        <w:rPr>
          <w:rFonts w:ascii="MetaPro-Norm" w:hAnsi="MetaPro-Norm"/>
        </w:rPr>
      </w:pPr>
      <w:r w:rsidRPr="530C0577">
        <w:rPr>
          <w:rFonts w:ascii="MetaPro-Norm" w:hAnsi="MetaPro-Norm"/>
        </w:rPr>
        <w:t xml:space="preserve">Academics in various countries have faced significant consequences in the form of silencing, censorship, and intimidation by some governments and private institutions </w:t>
      </w:r>
      <w:proofErr w:type="gramStart"/>
      <w:r w:rsidRPr="530C0577">
        <w:rPr>
          <w:rFonts w:ascii="MetaPro-Norm" w:hAnsi="MetaPro-Norm"/>
        </w:rPr>
        <w:t>as a result of</w:t>
      </w:r>
      <w:proofErr w:type="gramEnd"/>
      <w:r w:rsidRPr="530C0577">
        <w:rPr>
          <w:rFonts w:ascii="MetaPro-Norm" w:hAnsi="MetaPro-Norm"/>
        </w:rPr>
        <w:t xml:space="preserve"> non-violent</w:t>
      </w:r>
      <w:r w:rsidR="003050C2">
        <w:rPr>
          <w:rFonts w:ascii="MetaPro-Norm" w:hAnsi="MetaPro-Norm"/>
        </w:rPr>
        <w:t xml:space="preserve"> advocacy for Palestinian rights or criticism of Israeli government policies</w:t>
      </w:r>
      <w:r w:rsidR="3764568E" w:rsidRPr="530C0577">
        <w:rPr>
          <w:rFonts w:ascii="MetaPro-Norm" w:hAnsi="MetaPro-Norm"/>
        </w:rPr>
        <w:t>. This</w:t>
      </w:r>
      <w:r w:rsidR="52230FB1" w:rsidRPr="530C0577">
        <w:rPr>
          <w:rFonts w:ascii="MetaPro-Norm" w:hAnsi="MetaPro-Norm"/>
        </w:rPr>
        <w:t xml:space="preserve"> includ</w:t>
      </w:r>
      <w:r w:rsidR="3764568E" w:rsidRPr="530C0577">
        <w:rPr>
          <w:rFonts w:ascii="MetaPro-Norm" w:hAnsi="MetaPro-Norm"/>
        </w:rPr>
        <w:t>es</w:t>
      </w:r>
      <w:r w:rsidR="52230FB1" w:rsidRPr="530C0577">
        <w:rPr>
          <w:rFonts w:ascii="MetaPro-Norm" w:hAnsi="MetaPro-Norm"/>
        </w:rPr>
        <w:t xml:space="preserve"> </w:t>
      </w:r>
      <w:r w:rsidRPr="530C0577">
        <w:rPr>
          <w:rFonts w:ascii="MetaPro-Norm" w:hAnsi="MetaPro-Norm"/>
        </w:rPr>
        <w:t>undue pressure or restrictions on academic freedom</w:t>
      </w:r>
      <w:r w:rsidR="3764568E" w:rsidRPr="530C0577">
        <w:rPr>
          <w:rFonts w:ascii="MetaPro-Norm" w:hAnsi="MetaPro-Norm"/>
        </w:rPr>
        <w:t>.</w:t>
      </w:r>
      <w:r w:rsidR="0014679F">
        <w:rPr>
          <w:rStyle w:val="FootnoteReference"/>
        </w:rPr>
        <w:footnoteReference w:id="26"/>
      </w:r>
    </w:p>
    <w:p w14:paraId="30774DCF" w14:textId="77777777" w:rsidR="00206D9E" w:rsidRPr="00206D9E" w:rsidRDefault="00206D9E" w:rsidP="00206D9E">
      <w:pPr>
        <w:spacing w:after="0"/>
        <w:rPr>
          <w:rFonts w:ascii="MetaPro-Norm" w:hAnsi="MetaPro-Norm"/>
        </w:rPr>
      </w:pPr>
    </w:p>
    <w:p w14:paraId="43EC9C8C" w14:textId="1C64D443" w:rsidR="00947A5B" w:rsidRPr="007702F8" w:rsidRDefault="00642B8E" w:rsidP="007702F8">
      <w:pPr>
        <w:pStyle w:val="ListParagraph"/>
        <w:numPr>
          <w:ilvl w:val="0"/>
          <w:numId w:val="3"/>
        </w:numPr>
        <w:spacing w:after="0"/>
        <w:rPr>
          <w:rFonts w:ascii="MetaPro-Norm" w:hAnsi="MetaPro-Norm"/>
        </w:rPr>
      </w:pPr>
      <w:r w:rsidRPr="00E82928">
        <w:rPr>
          <w:rFonts w:ascii="MetaPro-Norm" w:hAnsi="MetaPro-Norm"/>
        </w:rPr>
        <w:t xml:space="preserve">Since October, increased numbers of cases of antisemitism </w:t>
      </w:r>
      <w:r w:rsidR="00F120FC">
        <w:rPr>
          <w:rFonts w:ascii="MetaPro-Norm" w:hAnsi="MetaPro-Norm"/>
        </w:rPr>
        <w:t>have been</w:t>
      </w:r>
      <w:r w:rsidRPr="00E82928">
        <w:rPr>
          <w:rFonts w:ascii="MetaPro-Norm" w:hAnsi="MetaPro-Norm"/>
        </w:rPr>
        <w:t xml:space="preserve"> reported at schools and universities across Europe.</w:t>
      </w:r>
      <w:r>
        <w:rPr>
          <w:rStyle w:val="FootnoteReference"/>
        </w:rPr>
        <w:footnoteReference w:id="27"/>
      </w:r>
      <w:r w:rsidRPr="00E82928">
        <w:rPr>
          <w:rFonts w:ascii="MetaPro-Norm" w:hAnsi="MetaPro-Norm"/>
        </w:rPr>
        <w:t xml:space="preserve"> </w:t>
      </w:r>
      <w:r w:rsidR="005D704C" w:rsidRPr="00E82928">
        <w:rPr>
          <w:rFonts w:ascii="MetaPro-Norm" w:hAnsi="MetaPro-Norm"/>
        </w:rPr>
        <w:t>In Germany, teachers reached out to antisemitism advice centers and civil society groups</w:t>
      </w:r>
      <w:r w:rsidR="000C4C96" w:rsidRPr="00E82928">
        <w:rPr>
          <w:rFonts w:ascii="MetaPro-Norm" w:hAnsi="MetaPro-Norm"/>
        </w:rPr>
        <w:t xml:space="preserve"> </w:t>
      </w:r>
      <w:r w:rsidR="00A105F3" w:rsidRPr="00A105F3">
        <w:rPr>
          <w:rFonts w:ascii="MetaPro-Norm" w:hAnsi="MetaPro-Norm"/>
        </w:rPr>
        <w:t xml:space="preserve">like </w:t>
      </w:r>
      <w:proofErr w:type="spellStart"/>
      <w:r w:rsidR="00A105F3" w:rsidRPr="00A105F3">
        <w:rPr>
          <w:rFonts w:ascii="MetaPro-Norm" w:hAnsi="MetaPro-Norm"/>
        </w:rPr>
        <w:t>Kreuzberger</w:t>
      </w:r>
      <w:proofErr w:type="spellEnd"/>
      <w:r w:rsidR="00A105F3" w:rsidRPr="00A105F3">
        <w:rPr>
          <w:rFonts w:ascii="MetaPro-Norm" w:hAnsi="MetaPro-Norm"/>
        </w:rPr>
        <w:t xml:space="preserve"> Initiative </w:t>
      </w:r>
      <w:proofErr w:type="spellStart"/>
      <w:r w:rsidR="00A105F3" w:rsidRPr="00A105F3">
        <w:rPr>
          <w:rFonts w:ascii="MetaPro-Norm" w:hAnsi="MetaPro-Norm"/>
        </w:rPr>
        <w:t>gegen</w:t>
      </w:r>
      <w:proofErr w:type="spellEnd"/>
      <w:r w:rsidR="00A105F3" w:rsidRPr="00A105F3">
        <w:rPr>
          <w:rFonts w:ascii="MetaPro-Norm" w:hAnsi="MetaPro-Norm"/>
        </w:rPr>
        <w:t xml:space="preserve"> </w:t>
      </w:r>
      <w:proofErr w:type="spellStart"/>
      <w:r w:rsidR="00A105F3" w:rsidRPr="00A105F3">
        <w:rPr>
          <w:rFonts w:ascii="MetaPro-Norm" w:hAnsi="MetaPro-Norm"/>
        </w:rPr>
        <w:t>Antisemitismus</w:t>
      </w:r>
      <w:proofErr w:type="spellEnd"/>
      <w:r w:rsidR="00A105F3" w:rsidRPr="00A105F3">
        <w:rPr>
          <w:rFonts w:ascii="MetaPro-Norm" w:hAnsi="MetaPro-Norm"/>
        </w:rPr>
        <w:t xml:space="preserve"> </w:t>
      </w:r>
      <w:r w:rsidR="000C4C96" w:rsidRPr="00E82928">
        <w:rPr>
          <w:rFonts w:ascii="MetaPro-Norm" w:hAnsi="MetaPro-Norm"/>
        </w:rPr>
        <w:t>asking for assistance on how to deal with cases and how to speak to students about the hostilitie</w:t>
      </w:r>
      <w:r w:rsidR="009758C9" w:rsidRPr="00E82928">
        <w:rPr>
          <w:rFonts w:ascii="MetaPro-Norm" w:hAnsi="MetaPro-Norm"/>
        </w:rPr>
        <w:t>s.</w:t>
      </w:r>
      <w:r w:rsidR="009758C9">
        <w:rPr>
          <w:rStyle w:val="FootnoteReference"/>
        </w:rPr>
        <w:footnoteReference w:id="28"/>
      </w:r>
    </w:p>
    <w:p w14:paraId="71FDDB8C" w14:textId="77777777" w:rsidR="00DB7966" w:rsidRDefault="00DB7966" w:rsidP="00921171">
      <w:pPr>
        <w:spacing w:after="0"/>
        <w:rPr>
          <w:rFonts w:ascii="MetaPro-Norm" w:hAnsi="MetaPro-Norm"/>
          <w:i/>
          <w:iCs/>
        </w:rPr>
      </w:pPr>
    </w:p>
    <w:p w14:paraId="5429B6AC" w14:textId="0F7E0E78" w:rsidR="00921171" w:rsidRDefault="00304D5D" w:rsidP="00921171">
      <w:pPr>
        <w:spacing w:after="0"/>
        <w:rPr>
          <w:rFonts w:ascii="MetaPro-Norm" w:hAnsi="MetaPro-Norm"/>
          <w:i/>
          <w:iCs/>
        </w:rPr>
      </w:pPr>
      <w:r w:rsidRPr="00304D5D">
        <w:rPr>
          <w:rFonts w:ascii="MetaPro-Norm" w:hAnsi="MetaPro-Norm"/>
          <w:i/>
          <w:iCs/>
        </w:rPr>
        <w:t>Comprehensive sexuality education</w:t>
      </w:r>
    </w:p>
    <w:p w14:paraId="1FA8C02F" w14:textId="024C6722" w:rsidR="00D449D8" w:rsidRPr="00D662A5" w:rsidRDefault="00F2129E" w:rsidP="00D662A5">
      <w:pPr>
        <w:pStyle w:val="ListParagraph"/>
        <w:numPr>
          <w:ilvl w:val="0"/>
          <w:numId w:val="3"/>
        </w:numPr>
        <w:spacing w:after="0"/>
        <w:rPr>
          <w:rFonts w:ascii="MetaPro-Norm" w:hAnsi="MetaPro-Norm"/>
          <w:i/>
          <w:iCs/>
        </w:rPr>
      </w:pPr>
      <w:r>
        <w:rPr>
          <w:rFonts w:ascii="MetaPro-Norm" w:hAnsi="MetaPro-Norm"/>
        </w:rPr>
        <w:t>A</w:t>
      </w:r>
      <w:r w:rsidR="5F4ABF3C" w:rsidRPr="00D662A5">
        <w:rPr>
          <w:rFonts w:ascii="MetaPro-Norm" w:hAnsi="MetaPro-Norm"/>
        </w:rPr>
        <w:t xml:space="preserve">nti-gender movements </w:t>
      </w:r>
      <w:r>
        <w:rPr>
          <w:rFonts w:ascii="MetaPro-Norm" w:hAnsi="MetaPro-Norm"/>
        </w:rPr>
        <w:t xml:space="preserve">have </w:t>
      </w:r>
      <w:r w:rsidR="5F4ABF3C" w:rsidRPr="00D662A5">
        <w:rPr>
          <w:rFonts w:ascii="MetaPro-Norm" w:hAnsi="MetaPro-Norm"/>
        </w:rPr>
        <w:t>attempt</w:t>
      </w:r>
      <w:r>
        <w:rPr>
          <w:rFonts w:ascii="MetaPro-Norm" w:hAnsi="MetaPro-Norm"/>
        </w:rPr>
        <w:t>ed</w:t>
      </w:r>
      <w:r w:rsidR="5F4ABF3C" w:rsidRPr="00D662A5">
        <w:rPr>
          <w:rFonts w:ascii="MetaPro-Norm" w:hAnsi="MetaPro-Norm"/>
        </w:rPr>
        <w:t xml:space="preserve"> to block or oppose comprehensive sexuality education in many parts of the world</w:t>
      </w:r>
      <w:r w:rsidR="38E31815" w:rsidRPr="00D662A5">
        <w:rPr>
          <w:rFonts w:ascii="MetaPro-Norm" w:hAnsi="MetaPro-Norm"/>
        </w:rPr>
        <w:t>.</w:t>
      </w:r>
      <w:r w:rsidR="00FF7119">
        <w:rPr>
          <w:rStyle w:val="FootnoteReference"/>
        </w:rPr>
        <w:footnoteReference w:id="29"/>
      </w:r>
      <w:r w:rsidR="5F4ABF3C" w:rsidRPr="00D662A5">
        <w:rPr>
          <w:rFonts w:ascii="MetaPro-Norm" w:hAnsi="MetaPro-Norm"/>
        </w:rPr>
        <w:t xml:space="preserve"> Opposition to sexuality education </w:t>
      </w:r>
      <w:r w:rsidR="3A134BB0">
        <w:rPr>
          <w:rFonts w:ascii="MetaPro-Norm" w:hAnsi="MetaPro-Norm"/>
        </w:rPr>
        <w:t xml:space="preserve">is </w:t>
      </w:r>
      <w:r w:rsidR="3A134BB0" w:rsidRPr="00D662A5">
        <w:rPr>
          <w:rFonts w:ascii="MetaPro-Norm" w:hAnsi="MetaPro-Norm"/>
        </w:rPr>
        <w:t xml:space="preserve">sometimes </w:t>
      </w:r>
      <w:r w:rsidR="3A134BB0">
        <w:rPr>
          <w:rFonts w:ascii="MetaPro-Norm" w:hAnsi="MetaPro-Norm"/>
        </w:rPr>
        <w:t>justified</w:t>
      </w:r>
      <w:r w:rsidR="3A134BB0" w:rsidRPr="00D662A5">
        <w:rPr>
          <w:rFonts w:ascii="MetaPro-Norm" w:hAnsi="MetaPro-Norm"/>
        </w:rPr>
        <w:t xml:space="preserve"> </w:t>
      </w:r>
      <w:r w:rsidR="7B32C7FF">
        <w:rPr>
          <w:rFonts w:ascii="MetaPro-Norm" w:hAnsi="MetaPro-Norm"/>
        </w:rPr>
        <w:t xml:space="preserve">by appealing to </w:t>
      </w:r>
      <w:r w:rsidR="3A134BB0" w:rsidRPr="00D662A5">
        <w:rPr>
          <w:rFonts w:ascii="MetaPro-Norm" w:hAnsi="MetaPro-Norm"/>
        </w:rPr>
        <w:t xml:space="preserve">so-called </w:t>
      </w:r>
      <w:r w:rsidR="7B32C7FF">
        <w:rPr>
          <w:rFonts w:ascii="MetaPro-Norm" w:hAnsi="MetaPro-Norm"/>
        </w:rPr>
        <w:t>“</w:t>
      </w:r>
      <w:r w:rsidR="3A134BB0" w:rsidRPr="00D662A5">
        <w:rPr>
          <w:rFonts w:ascii="MetaPro-Norm" w:hAnsi="MetaPro-Norm"/>
        </w:rPr>
        <w:t>family</w:t>
      </w:r>
      <w:r w:rsidR="7B32C7FF">
        <w:rPr>
          <w:rFonts w:ascii="MetaPro-Norm" w:hAnsi="MetaPro-Norm"/>
        </w:rPr>
        <w:t>” or “traditional”</w:t>
      </w:r>
      <w:r w:rsidR="3A134BB0" w:rsidRPr="00D662A5">
        <w:rPr>
          <w:rFonts w:ascii="MetaPro-Norm" w:hAnsi="MetaPro-Norm"/>
        </w:rPr>
        <w:t xml:space="preserve"> values,</w:t>
      </w:r>
      <w:r w:rsidR="7B32C7FF">
        <w:rPr>
          <w:rFonts w:ascii="MetaPro-Norm" w:hAnsi="MetaPro-Norm"/>
        </w:rPr>
        <w:t xml:space="preserve"> but</w:t>
      </w:r>
      <w:r w:rsidR="3A134BB0" w:rsidRPr="00D662A5">
        <w:rPr>
          <w:rFonts w:ascii="MetaPro-Norm" w:hAnsi="MetaPro-Norm"/>
        </w:rPr>
        <w:t xml:space="preserve"> </w:t>
      </w:r>
      <w:r w:rsidR="5F4ABF3C" w:rsidRPr="00D662A5">
        <w:rPr>
          <w:rFonts w:ascii="MetaPro-Norm" w:hAnsi="MetaPro-Norm"/>
        </w:rPr>
        <w:t xml:space="preserve">is often rooted in harmful, stigmatizing, </w:t>
      </w:r>
      <w:r w:rsidR="00C7441E">
        <w:rPr>
          <w:rFonts w:ascii="MetaPro-Norm" w:hAnsi="MetaPro-Norm"/>
        </w:rPr>
        <w:t xml:space="preserve">or </w:t>
      </w:r>
      <w:r w:rsidR="5F4ABF3C" w:rsidRPr="00D662A5">
        <w:rPr>
          <w:rFonts w:ascii="MetaPro-Norm" w:hAnsi="MetaPro-Norm"/>
        </w:rPr>
        <w:t>patriarchal</w:t>
      </w:r>
      <w:r w:rsidR="00C7441E">
        <w:rPr>
          <w:rFonts w:ascii="MetaPro-Norm" w:hAnsi="MetaPro-Norm"/>
        </w:rPr>
        <w:t xml:space="preserve"> </w:t>
      </w:r>
      <w:r w:rsidR="5F4ABF3C" w:rsidRPr="00D662A5">
        <w:rPr>
          <w:rFonts w:ascii="MetaPro-Norm" w:hAnsi="MetaPro-Norm"/>
        </w:rPr>
        <w:t xml:space="preserve">beliefs. </w:t>
      </w:r>
      <w:r w:rsidR="001663A8">
        <w:rPr>
          <w:rFonts w:ascii="MetaPro-Norm" w:hAnsi="MetaPro-Norm"/>
        </w:rPr>
        <w:t>It</w:t>
      </w:r>
      <w:r w:rsidR="05F58851">
        <w:rPr>
          <w:rFonts w:ascii="MetaPro-Norm" w:hAnsi="MetaPro-Norm"/>
        </w:rPr>
        <w:t xml:space="preserve"> </w:t>
      </w:r>
      <w:r w:rsidR="5F4ABF3C" w:rsidRPr="00D662A5">
        <w:rPr>
          <w:rFonts w:ascii="MetaPro-Norm" w:hAnsi="MetaPro-Norm"/>
        </w:rPr>
        <w:t xml:space="preserve">is also often linked to broader </w:t>
      </w:r>
      <w:r w:rsidR="1A1153E7">
        <w:rPr>
          <w:rFonts w:ascii="MetaPro-Norm" w:hAnsi="MetaPro-Norm"/>
        </w:rPr>
        <w:t xml:space="preserve">political </w:t>
      </w:r>
      <w:r w:rsidR="5F4ABF3C" w:rsidRPr="00D662A5">
        <w:rPr>
          <w:rFonts w:ascii="MetaPro-Norm" w:hAnsi="MetaPro-Norm"/>
        </w:rPr>
        <w:t xml:space="preserve">efforts to limit </w:t>
      </w:r>
      <w:r w:rsidR="16FCDD69" w:rsidRPr="00D662A5">
        <w:rPr>
          <w:rFonts w:ascii="MetaPro-Norm" w:hAnsi="MetaPro-Norm"/>
        </w:rPr>
        <w:t>civil and political rights</w:t>
      </w:r>
      <w:r w:rsidR="16FCDD69">
        <w:rPr>
          <w:rFonts w:ascii="MetaPro-Norm" w:hAnsi="MetaPro-Norm"/>
        </w:rPr>
        <w:t>, including</w:t>
      </w:r>
      <w:r w:rsidR="16FCDD69" w:rsidRPr="00D662A5">
        <w:rPr>
          <w:rFonts w:ascii="MetaPro-Norm" w:hAnsi="MetaPro-Norm"/>
        </w:rPr>
        <w:t xml:space="preserve"> </w:t>
      </w:r>
      <w:r w:rsidR="5F4ABF3C" w:rsidRPr="00D662A5">
        <w:rPr>
          <w:rFonts w:ascii="MetaPro-Norm" w:hAnsi="MetaPro-Norm"/>
        </w:rPr>
        <w:t>the right to freedom of expression.</w:t>
      </w:r>
      <w:r w:rsidR="00D449D8" w:rsidRPr="00D449D8">
        <w:rPr>
          <w:rFonts w:ascii="MetaPro-Medi" w:hAnsi="MetaPro-Medi"/>
          <w:vertAlign w:val="superscript"/>
        </w:rPr>
        <w:footnoteReference w:id="30"/>
      </w:r>
      <w:r w:rsidR="5F4ABF3C" w:rsidRPr="00D662A5">
        <w:rPr>
          <w:rFonts w:ascii="MetaPro-Norm" w:hAnsi="MetaPro-Norm"/>
        </w:rPr>
        <w:t xml:space="preserve"> </w:t>
      </w:r>
    </w:p>
    <w:p w14:paraId="069CDD88" w14:textId="77777777" w:rsidR="00E334EF" w:rsidRDefault="00E334EF" w:rsidP="00E334EF">
      <w:pPr>
        <w:spacing w:after="0"/>
        <w:rPr>
          <w:rFonts w:ascii="MetaPro-Norm" w:hAnsi="MetaPro-Norm"/>
        </w:rPr>
      </w:pPr>
    </w:p>
    <w:p w14:paraId="21284055" w14:textId="75C2F9CC" w:rsidR="00010E5E" w:rsidRPr="00DD3502" w:rsidRDefault="00E815D1" w:rsidP="00DD3502">
      <w:pPr>
        <w:pStyle w:val="ListParagraph"/>
        <w:numPr>
          <w:ilvl w:val="0"/>
          <w:numId w:val="3"/>
        </w:numPr>
        <w:spacing w:after="0"/>
        <w:rPr>
          <w:rFonts w:ascii="MetaPro-Norm" w:hAnsi="MetaPro-Norm"/>
        </w:rPr>
      </w:pPr>
      <w:r>
        <w:rPr>
          <w:rFonts w:ascii="MetaPro-Norm" w:hAnsi="MetaPro-Norm"/>
        </w:rPr>
        <w:t>I</w:t>
      </w:r>
      <w:r w:rsidR="0F905D76">
        <w:rPr>
          <w:rFonts w:ascii="MetaPro-Norm" w:hAnsi="MetaPro-Norm"/>
        </w:rPr>
        <w:t xml:space="preserve">n </w:t>
      </w:r>
      <w:r w:rsidR="0F905D76" w:rsidRPr="00D837C6">
        <w:rPr>
          <w:rFonts w:ascii="MetaPro-Norm" w:hAnsi="MetaPro-Norm"/>
          <w:b/>
          <w:bCs/>
        </w:rPr>
        <w:t>Brazil</w:t>
      </w:r>
      <w:r w:rsidR="0F905D76">
        <w:rPr>
          <w:rFonts w:ascii="MetaPro-Norm" w:hAnsi="MetaPro-Norm"/>
        </w:rPr>
        <w:t>, l</w:t>
      </w:r>
      <w:r w:rsidR="00B112CF" w:rsidRPr="00883646">
        <w:rPr>
          <w:rFonts w:ascii="MetaPro-Norm" w:hAnsi="MetaPro-Norm"/>
        </w:rPr>
        <w:t>awmakers and other public officials have used pernicious legal and political tactics to undermine and even prohibit gender and sexuality education</w:t>
      </w:r>
      <w:r w:rsidR="00B112CF">
        <w:rPr>
          <w:rFonts w:ascii="MetaPro-Norm" w:hAnsi="MetaPro-Norm"/>
        </w:rPr>
        <w:t>.</w:t>
      </w:r>
      <w:r w:rsidR="00196183" w:rsidRPr="00D449D8">
        <w:rPr>
          <w:rFonts w:ascii="MetaPro-Medi" w:hAnsi="MetaPro-Medi"/>
          <w:vertAlign w:val="superscript"/>
        </w:rPr>
        <w:footnoteReference w:id="31"/>
      </w:r>
      <w:r w:rsidR="49A034BF">
        <w:rPr>
          <w:rFonts w:ascii="MetaPro-Norm" w:hAnsi="MetaPro-Norm"/>
        </w:rPr>
        <w:t xml:space="preserve"> </w:t>
      </w:r>
      <w:r w:rsidR="1F730F58">
        <w:rPr>
          <w:rFonts w:ascii="MetaPro-Norm" w:hAnsi="MetaPro-Norm"/>
        </w:rPr>
        <w:t xml:space="preserve">Human Rights Watch interviews with public school teachers </w:t>
      </w:r>
      <w:r w:rsidR="49A034BF" w:rsidRPr="002A690E">
        <w:rPr>
          <w:rFonts w:ascii="MetaPro-Norm" w:hAnsi="MetaPro-Norm"/>
        </w:rPr>
        <w:t>revealed that they were hesitant or fearful to address gender and sexuality in the classroom due to the legal and political efforts to discredit such material.</w:t>
      </w:r>
      <w:r w:rsidR="00010E5E">
        <w:rPr>
          <w:rFonts w:ascii="MetaPro-Norm" w:hAnsi="MetaPro-Norm"/>
        </w:rPr>
        <w:t xml:space="preserve"> </w:t>
      </w:r>
      <w:r w:rsidR="7F86ACC3" w:rsidRPr="00010E5E">
        <w:rPr>
          <w:rFonts w:ascii="MetaPro-Norm" w:hAnsi="MetaPro-Norm"/>
        </w:rPr>
        <w:t>Secondary school t</w:t>
      </w:r>
      <w:r w:rsidR="49A034BF" w:rsidRPr="00010E5E">
        <w:rPr>
          <w:rFonts w:ascii="MetaPro-Norm" w:hAnsi="MetaPro-Norm"/>
        </w:rPr>
        <w:t>eachers</w:t>
      </w:r>
      <w:r w:rsidR="63ADA20B" w:rsidRPr="00010E5E">
        <w:rPr>
          <w:rFonts w:ascii="MetaPro-Norm" w:hAnsi="MetaPro-Norm"/>
        </w:rPr>
        <w:t xml:space="preserve"> </w:t>
      </w:r>
      <w:r w:rsidR="49A034BF" w:rsidRPr="00010E5E">
        <w:rPr>
          <w:rFonts w:ascii="MetaPro-Norm" w:hAnsi="MetaPro-Norm"/>
        </w:rPr>
        <w:t>said they were harassed for addressing gender and sexuality, including by elected officials and community members. Some teachers faced administrative proceedings for covering such material, while others were summoned to provide statements to the police and other officials.</w:t>
      </w:r>
      <w:r w:rsidR="4870EA8F" w:rsidRPr="00010E5E">
        <w:rPr>
          <w:rFonts w:ascii="MetaPro-Norm" w:hAnsi="MetaPro-Norm"/>
        </w:rPr>
        <w:t xml:space="preserve"> </w:t>
      </w:r>
    </w:p>
    <w:p w14:paraId="052AFE07" w14:textId="0CA9CD45" w:rsidR="00304D5D" w:rsidRPr="00010E5E" w:rsidRDefault="1FC1B692" w:rsidP="00010E5E">
      <w:pPr>
        <w:pStyle w:val="ListParagraph"/>
        <w:numPr>
          <w:ilvl w:val="0"/>
          <w:numId w:val="3"/>
        </w:numPr>
        <w:spacing w:after="0"/>
        <w:rPr>
          <w:rFonts w:ascii="MetaPro-Norm" w:hAnsi="MetaPro-Norm"/>
        </w:rPr>
      </w:pPr>
      <w:r w:rsidRPr="00010E5E">
        <w:rPr>
          <w:rFonts w:ascii="MetaPro-Norm" w:hAnsi="MetaPro-Norm"/>
        </w:rPr>
        <w:t>Human rights g</w:t>
      </w:r>
      <w:r w:rsidR="1D5010F8" w:rsidRPr="00010E5E">
        <w:rPr>
          <w:rFonts w:ascii="MetaPro-Norm" w:hAnsi="MetaPro-Norm"/>
        </w:rPr>
        <w:t>roups have for years called out these attacks on education. In 2018 and 2022, 80 education and human rights organizations published and updated a manual to protect teachers against censorship in the classroom.</w:t>
      </w:r>
      <w:r w:rsidR="7F86ACC3" w:rsidRPr="00852701">
        <w:rPr>
          <w:rStyle w:val="FootnoteReference"/>
        </w:rPr>
        <w:footnoteReference w:id="32"/>
      </w:r>
    </w:p>
    <w:sectPr w:rsidR="00304D5D" w:rsidRPr="00010E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8FBE" w14:textId="77777777" w:rsidR="00B94911" w:rsidRDefault="00B94911" w:rsidP="000F2A03">
      <w:pPr>
        <w:spacing w:after="0" w:line="240" w:lineRule="auto"/>
      </w:pPr>
      <w:r>
        <w:separator/>
      </w:r>
    </w:p>
  </w:endnote>
  <w:endnote w:type="continuationSeparator" w:id="0">
    <w:p w14:paraId="1A964FE4" w14:textId="77777777" w:rsidR="00B94911" w:rsidRDefault="00B94911" w:rsidP="000F2A03">
      <w:pPr>
        <w:spacing w:after="0" w:line="240" w:lineRule="auto"/>
      </w:pPr>
      <w:r>
        <w:continuationSeparator/>
      </w:r>
    </w:p>
  </w:endnote>
  <w:endnote w:type="continuationNotice" w:id="1">
    <w:p w14:paraId="3B6F97BB" w14:textId="77777777" w:rsidR="00B94911" w:rsidRDefault="00B94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Medi">
    <w:panose1 w:val="020B0604030101020102"/>
    <w:charset w:val="00"/>
    <w:family w:val="swiss"/>
    <w:notTrueType/>
    <w:pitch w:val="variable"/>
    <w:sig w:usb0="A00002FF"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taPro-Norm">
    <w:altName w:val="Calibri"/>
    <w:panose1 w:val="020B0504030101020102"/>
    <w:charset w:val="00"/>
    <w:family w:val="swiss"/>
    <w:notTrueType/>
    <w:pitch w:val="variable"/>
    <w:sig w:usb0="A00002F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93351"/>
      <w:docPartObj>
        <w:docPartGallery w:val="Page Numbers (Bottom of Page)"/>
        <w:docPartUnique/>
      </w:docPartObj>
    </w:sdtPr>
    <w:sdtEndPr>
      <w:rPr>
        <w:rFonts w:ascii="MetaPro-Medi" w:hAnsi="MetaPro-Medi"/>
        <w:noProof/>
      </w:rPr>
    </w:sdtEndPr>
    <w:sdtContent>
      <w:p w14:paraId="0C25CAF8" w14:textId="1E8B4E77" w:rsidR="00C60133" w:rsidRPr="00C60133" w:rsidRDefault="00C60133">
        <w:pPr>
          <w:pStyle w:val="Footer"/>
          <w:jc w:val="center"/>
          <w:rPr>
            <w:rFonts w:ascii="MetaPro-Medi" w:hAnsi="MetaPro-Medi"/>
          </w:rPr>
        </w:pPr>
        <w:r w:rsidRPr="00C60133">
          <w:rPr>
            <w:rFonts w:ascii="MetaPro-Medi" w:hAnsi="MetaPro-Medi"/>
          </w:rPr>
          <w:fldChar w:fldCharType="begin"/>
        </w:r>
        <w:r w:rsidRPr="00C60133">
          <w:rPr>
            <w:rFonts w:ascii="MetaPro-Medi" w:hAnsi="MetaPro-Medi"/>
          </w:rPr>
          <w:instrText xml:space="preserve"> PAGE   \* MERGEFORMAT </w:instrText>
        </w:r>
        <w:r w:rsidRPr="00C60133">
          <w:rPr>
            <w:rFonts w:ascii="MetaPro-Medi" w:hAnsi="MetaPro-Medi"/>
          </w:rPr>
          <w:fldChar w:fldCharType="separate"/>
        </w:r>
        <w:r w:rsidRPr="00C60133">
          <w:rPr>
            <w:rFonts w:ascii="MetaPro-Medi" w:hAnsi="MetaPro-Medi"/>
            <w:noProof/>
          </w:rPr>
          <w:t>2</w:t>
        </w:r>
        <w:r w:rsidRPr="00C60133">
          <w:rPr>
            <w:rFonts w:ascii="MetaPro-Medi" w:hAnsi="MetaPro-Medi"/>
            <w:noProof/>
          </w:rPr>
          <w:fldChar w:fldCharType="end"/>
        </w:r>
      </w:p>
    </w:sdtContent>
  </w:sdt>
  <w:p w14:paraId="4645F367" w14:textId="77777777" w:rsidR="00C60133" w:rsidRDefault="00C6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38CD" w14:textId="77777777" w:rsidR="00B94911" w:rsidRDefault="00B94911" w:rsidP="000F2A03">
      <w:pPr>
        <w:spacing w:after="0" w:line="240" w:lineRule="auto"/>
      </w:pPr>
      <w:r>
        <w:separator/>
      </w:r>
    </w:p>
  </w:footnote>
  <w:footnote w:type="continuationSeparator" w:id="0">
    <w:p w14:paraId="4C0E1733" w14:textId="77777777" w:rsidR="00B94911" w:rsidRDefault="00B94911" w:rsidP="000F2A03">
      <w:pPr>
        <w:spacing w:after="0" w:line="240" w:lineRule="auto"/>
      </w:pPr>
      <w:r>
        <w:continuationSeparator/>
      </w:r>
    </w:p>
  </w:footnote>
  <w:footnote w:type="continuationNotice" w:id="1">
    <w:p w14:paraId="455CA506" w14:textId="77777777" w:rsidR="00B94911" w:rsidRDefault="00B94911">
      <w:pPr>
        <w:spacing w:after="0" w:line="240" w:lineRule="auto"/>
      </w:pPr>
    </w:p>
  </w:footnote>
  <w:footnote w:id="2">
    <w:p w14:paraId="6720C289" w14:textId="1988E378" w:rsidR="0047782A" w:rsidRDefault="0047782A" w:rsidP="0047782A">
      <w:pPr>
        <w:pStyle w:val="FootnoteText"/>
      </w:pPr>
      <w:r>
        <w:rPr>
          <w:rStyle w:val="FootnoteReference"/>
        </w:rPr>
        <w:footnoteRef/>
      </w:r>
      <w:r>
        <w:t xml:space="preserve"> Michael Page</w:t>
      </w:r>
      <w:r w:rsidR="004E1061">
        <w:t xml:space="preserve"> (Human Rights Watch)</w:t>
      </w:r>
      <w:r>
        <w:t>, “</w:t>
      </w:r>
      <w:r w:rsidRPr="0074615A">
        <w:t>University of Toronto’s Leadership Draws Fire Over Academic Freedom</w:t>
      </w:r>
      <w:r>
        <w:t xml:space="preserve">,” Human Rights Watch dispatch, April 28, 2021, </w:t>
      </w:r>
      <w:r w:rsidRPr="00552529">
        <w:t>https://www.hrw.org/news/2021/04/28/university-torontos-leadership-draws-fire-over-academic-freedom</w:t>
      </w:r>
      <w:r>
        <w:t>.</w:t>
      </w:r>
    </w:p>
  </w:footnote>
  <w:footnote w:id="3">
    <w:p w14:paraId="58FB7B89" w14:textId="371B4BD9" w:rsidR="00BE44AE" w:rsidRDefault="00BE44AE">
      <w:pPr>
        <w:pStyle w:val="FootnoteText"/>
      </w:pPr>
      <w:r>
        <w:rPr>
          <w:rStyle w:val="FootnoteReference"/>
        </w:rPr>
        <w:footnoteRef/>
      </w:r>
      <w:r>
        <w:t xml:space="preserve"> Lydia Gall</w:t>
      </w:r>
      <w:r w:rsidR="00B36D4C">
        <w:t xml:space="preserve"> (Human Rights Watch)</w:t>
      </w:r>
      <w:r>
        <w:t xml:space="preserve">, </w:t>
      </w:r>
      <w:r w:rsidR="00210235">
        <w:t>“</w:t>
      </w:r>
      <w:r w:rsidRPr="00BE44AE">
        <w:t>Hungary Continues Attacks on Academic Freedom</w:t>
      </w:r>
      <w:r w:rsidR="00210235">
        <w:t xml:space="preserve">,” Human Rights Watch dispatch, </w:t>
      </w:r>
      <w:r w:rsidR="00445212">
        <w:t xml:space="preserve">September 3, 2020, </w:t>
      </w:r>
      <w:r w:rsidR="00445212" w:rsidRPr="00445212">
        <w:t>https://www.hrw.org/news/2020/09/03/hungary-continues-attacks-academic-freedom</w:t>
      </w:r>
      <w:r w:rsidR="00445212">
        <w:t>.</w:t>
      </w:r>
    </w:p>
  </w:footnote>
  <w:footnote w:id="4">
    <w:p w14:paraId="41584BBE" w14:textId="5CF09ACA" w:rsidR="00A6775A" w:rsidRPr="00A6775A" w:rsidRDefault="00A6775A">
      <w:pPr>
        <w:pStyle w:val="FootnoteText"/>
      </w:pPr>
      <w:r>
        <w:rPr>
          <w:rStyle w:val="FootnoteReference"/>
        </w:rPr>
        <w:footnoteRef/>
      </w:r>
      <w:r>
        <w:t xml:space="preserve"> </w:t>
      </w:r>
      <w:r w:rsidR="005C7D5C">
        <w:t>Ibid.</w:t>
      </w:r>
      <w:r w:rsidR="00C56B78">
        <w:t>, “</w:t>
      </w:r>
      <w:r w:rsidR="00C56B78" w:rsidRPr="00C56B78">
        <w:t>Central European University Opens Vienna Campus After Hungary Ousting</w:t>
      </w:r>
      <w:r w:rsidR="00C56B78">
        <w:t xml:space="preserve">,” Human Rights Watch dispatch, </w:t>
      </w:r>
      <w:r w:rsidR="0086148D">
        <w:t xml:space="preserve">November 18, 2019, </w:t>
      </w:r>
      <w:r w:rsidR="0086148D" w:rsidRPr="0086148D">
        <w:t>https://www.hrw.org/news/2019/11/18/central-european-university-opens-vienna-campus-after-hungary-ousting</w:t>
      </w:r>
      <w:r w:rsidR="0086148D">
        <w:t xml:space="preserve">; </w:t>
      </w:r>
      <w:r w:rsidR="00713980">
        <w:t>“</w:t>
      </w:r>
      <w:r w:rsidR="00713980" w:rsidRPr="00713980">
        <w:t>Hungary Renews its War on Academic Freedom</w:t>
      </w:r>
      <w:r w:rsidR="00713980">
        <w:t xml:space="preserve">,” Human Rights Watch dispatch, </w:t>
      </w:r>
      <w:r w:rsidR="008F511F">
        <w:t xml:space="preserve">July 2, 2019, </w:t>
      </w:r>
      <w:r w:rsidR="008F511F" w:rsidRPr="008F511F">
        <w:t>https://www.hrw.org/news/2019/07/02/hungary-renews-its-war-academic-freedom</w:t>
      </w:r>
      <w:r w:rsidR="008F511F">
        <w:t>.</w:t>
      </w:r>
    </w:p>
  </w:footnote>
  <w:footnote w:id="5">
    <w:p w14:paraId="2F0EEFC4" w14:textId="23328F7A" w:rsidR="009F331B" w:rsidRPr="00001457" w:rsidRDefault="009F331B" w:rsidP="009F331B">
      <w:pPr>
        <w:pStyle w:val="FootnoteText"/>
      </w:pPr>
      <w:r>
        <w:rPr>
          <w:rStyle w:val="FootnoteReference"/>
        </w:rPr>
        <w:footnoteRef/>
      </w:r>
      <w:r>
        <w:t xml:space="preserve"> </w:t>
      </w:r>
      <w:r w:rsidR="008E221A" w:rsidRPr="006C7E03">
        <w:t xml:space="preserve">At least 13 teachers have been fired since June 2022 based on a May 2022 law extending the state of </w:t>
      </w:r>
      <w:r w:rsidR="00A001B2">
        <w:t>emergency</w:t>
      </w:r>
      <w:r w:rsidR="008E221A" w:rsidRPr="006C7E03">
        <w:t xml:space="preserve"> due to the war in Ukraine. </w:t>
      </w:r>
      <w:r>
        <w:t>Edina Hajnal, “</w:t>
      </w:r>
      <w:r w:rsidRPr="004F5613">
        <w:t xml:space="preserve">Hungary’s </w:t>
      </w:r>
      <w:r>
        <w:t>‘</w:t>
      </w:r>
      <w:r w:rsidRPr="004F5613">
        <w:t>revenge bill</w:t>
      </w:r>
      <w:r>
        <w:t>’</w:t>
      </w:r>
      <w:r w:rsidRPr="004F5613">
        <w:t xml:space="preserve"> against teachers, </w:t>
      </w:r>
      <w:proofErr w:type="gramStart"/>
      <w:r w:rsidRPr="004F5613">
        <w:t>students</w:t>
      </w:r>
      <w:proofErr w:type="gramEnd"/>
      <w:r w:rsidRPr="004F5613">
        <w:t xml:space="preserve"> and parents</w:t>
      </w:r>
      <w:r>
        <w:t>,”</w:t>
      </w:r>
      <w:r w:rsidRPr="004F5613">
        <w:t xml:space="preserve"> </w:t>
      </w:r>
      <w:r w:rsidRPr="00001457">
        <w:rPr>
          <w:i/>
          <w:iCs/>
        </w:rPr>
        <w:t>Heinrich Böll Foundation</w:t>
      </w:r>
      <w:r>
        <w:t xml:space="preserve">, May 12, 2023, </w:t>
      </w:r>
      <w:r w:rsidRPr="00001457">
        <w:t>https://cz.boell.org/en/2023/05/12/hungarys-revenge-bill-against-teachers</w:t>
      </w:r>
      <w:r>
        <w:t xml:space="preserve"> (accessed January 22, 2024).</w:t>
      </w:r>
    </w:p>
  </w:footnote>
  <w:footnote w:id="6">
    <w:p w14:paraId="4D4A8DAF" w14:textId="5F51B470" w:rsidR="00601193" w:rsidRDefault="00601193" w:rsidP="00601193">
      <w:pPr>
        <w:pStyle w:val="FootnoteText"/>
      </w:pPr>
      <w:r>
        <w:rPr>
          <w:rStyle w:val="FootnoteReference"/>
        </w:rPr>
        <w:footnoteRef/>
      </w:r>
      <w:r>
        <w:t xml:space="preserve"> Except where noted, all examples can be found in Global Coalition to Protect Education from Attack, “Protecting Schools from Military Use 2021: Law, Policy, and Military Doctrine,” October 2021, </w:t>
      </w:r>
      <w:r w:rsidR="004A65E6" w:rsidRPr="004A65E6">
        <w:t>https://protectingeducation.org/wp-content/uploads/Protecting-Schools-from-Military-Use-2021.pdf</w:t>
      </w:r>
      <w:r w:rsidR="004A65E6">
        <w:t xml:space="preserve"> (accessed January 9, 2024)</w:t>
      </w:r>
      <w:r>
        <w:t>.</w:t>
      </w:r>
    </w:p>
  </w:footnote>
  <w:footnote w:id="7">
    <w:p w14:paraId="402A4957" w14:textId="54DDC3CE" w:rsidR="00601193" w:rsidRDefault="00601193" w:rsidP="00601193">
      <w:pPr>
        <w:pStyle w:val="FootnoteText"/>
      </w:pPr>
      <w:r>
        <w:rPr>
          <w:rStyle w:val="FootnoteReference"/>
        </w:rPr>
        <w:footnoteRef/>
      </w:r>
      <w:r>
        <w:t xml:space="preserve"> Human Rights Watch, </w:t>
      </w:r>
      <w:r w:rsidRPr="006A27D6">
        <w:rPr>
          <w:i/>
          <w:iCs/>
        </w:rPr>
        <w:t>“Tanks on the Playground</w:t>
      </w:r>
      <w:r w:rsidR="006A27D6" w:rsidRPr="006A27D6">
        <w:rPr>
          <w:i/>
          <w:iCs/>
        </w:rPr>
        <w:t>”</w:t>
      </w:r>
      <w:r w:rsidRPr="006A27D6">
        <w:rPr>
          <w:i/>
          <w:iCs/>
        </w:rPr>
        <w:t>: Attacks on Schools and Military Use of Schools in Ukraine</w:t>
      </w:r>
      <w:r w:rsidR="00776381">
        <w:t xml:space="preserve"> (New York: Human Rights Watch, </w:t>
      </w:r>
      <w:r>
        <w:t>2023</w:t>
      </w:r>
      <w:r w:rsidR="00776381">
        <w:t>)</w:t>
      </w:r>
      <w:r>
        <w:t xml:space="preserve">, </w:t>
      </w:r>
      <w:r w:rsidRPr="00E839CE">
        <w:t>https://www.hrw.org/sites/default/files/media_2023/11/ukraine1123web_0.pdf</w:t>
      </w:r>
      <w:r>
        <w:t>.</w:t>
      </w:r>
    </w:p>
  </w:footnote>
  <w:footnote w:id="8">
    <w:p w14:paraId="2C26A45C" w14:textId="3D79645D" w:rsidR="00A831B9" w:rsidRPr="00A831B9" w:rsidRDefault="00A831B9" w:rsidP="00885B0B">
      <w:pPr>
        <w:pStyle w:val="FootnoteText"/>
      </w:pPr>
      <w:r>
        <w:rPr>
          <w:rStyle w:val="FootnoteReference"/>
        </w:rPr>
        <w:footnoteRef/>
      </w:r>
      <w:r>
        <w:t xml:space="preserve"> </w:t>
      </w:r>
      <w:r w:rsidR="002B2091" w:rsidRPr="002B2091">
        <w:t>Within the C</w:t>
      </w:r>
      <w:r w:rsidR="002B2091">
        <w:t xml:space="preserve">hinese </w:t>
      </w:r>
      <w:r w:rsidR="002B2091" w:rsidRPr="002B2091">
        <w:t>C</w:t>
      </w:r>
      <w:r w:rsidR="002B2091">
        <w:t xml:space="preserve">ommunist </w:t>
      </w:r>
      <w:r w:rsidR="002B2091" w:rsidRPr="002B2091">
        <w:t>P</w:t>
      </w:r>
      <w:r w:rsidR="002B2091">
        <w:t>arty</w:t>
      </w:r>
      <w:r w:rsidR="002B2091" w:rsidRPr="002B2091">
        <w:t>, a special section called the United Front Work Department (UFWD) is responsible for organizing outreach to key Chinese interest groups, including ethnic Chinese abroad, and representing and influencing them.</w:t>
      </w:r>
      <w:r w:rsidR="002E078E">
        <w:t xml:space="preserve"> </w:t>
      </w:r>
      <w:r w:rsidR="002E078E" w:rsidRPr="002E078E">
        <w:t>Overseas Chinese students have long been a target of the United Front, but in 2015, this was reinforced when Xi Jinping designated them as a “new focus of United Front work.”</w:t>
      </w:r>
      <w:r w:rsidR="00784941">
        <w:t xml:space="preserve"> </w:t>
      </w:r>
      <w:r w:rsidR="00ED7854">
        <w:t>S</w:t>
      </w:r>
      <w:r w:rsidR="00784941">
        <w:t xml:space="preserve">ee </w:t>
      </w:r>
      <w:r w:rsidR="00885B0B">
        <w:t xml:space="preserve">Human Rights Watch, </w:t>
      </w:r>
      <w:r w:rsidR="00885B0B" w:rsidRPr="00A139DE">
        <w:rPr>
          <w:i/>
          <w:iCs/>
        </w:rPr>
        <w:t>“They Don’t Understand the Fear We Have”</w:t>
      </w:r>
      <w:r w:rsidR="00885B0B">
        <w:rPr>
          <w:i/>
          <w:iCs/>
        </w:rPr>
        <w:t xml:space="preserve">: </w:t>
      </w:r>
      <w:r w:rsidR="00885B0B" w:rsidRPr="00A139DE">
        <w:rPr>
          <w:i/>
          <w:iCs/>
        </w:rPr>
        <w:t>How China’s Long Reach of Repression Undermines Academic Freedom at Australia’s Universities</w:t>
      </w:r>
      <w:r w:rsidR="00885B0B">
        <w:rPr>
          <w:i/>
          <w:iCs/>
        </w:rPr>
        <w:t xml:space="preserve"> </w:t>
      </w:r>
      <w:r w:rsidR="00885B0B">
        <w:t xml:space="preserve">(New York: Human Rights Watch, 2021), </w:t>
      </w:r>
      <w:r w:rsidR="00885B0B" w:rsidRPr="00A24429">
        <w:t>https://www.hrw.org/report/2021/06/30/they-dont-understand-fear-we-have/how-chinas-long-reach-repression-undermines</w:t>
      </w:r>
      <w:r w:rsidR="00885B0B">
        <w:t>.</w:t>
      </w:r>
    </w:p>
  </w:footnote>
  <w:footnote w:id="9">
    <w:p w14:paraId="0237FCC5" w14:textId="47060996" w:rsidR="00645F3C" w:rsidRDefault="00645F3C" w:rsidP="00645F3C">
      <w:pPr>
        <w:pStyle w:val="FootnoteText"/>
      </w:pPr>
      <w:r>
        <w:rPr>
          <w:rStyle w:val="FootnoteReference"/>
        </w:rPr>
        <w:footnoteRef/>
      </w:r>
      <w:r>
        <w:t xml:space="preserve"> Sophie Richardson</w:t>
      </w:r>
      <w:r w:rsidR="00B92117">
        <w:t xml:space="preserve"> (Human Rights Watch)</w:t>
      </w:r>
      <w:r>
        <w:t>, “</w:t>
      </w:r>
      <w:r w:rsidRPr="006019E4">
        <w:t>Dutch University Hit by Chinese Government Funding Scandal</w:t>
      </w:r>
      <w:r>
        <w:t xml:space="preserve">,” Human Rights Watch dispatch, January 20, 2022, </w:t>
      </w:r>
      <w:r w:rsidRPr="00465AC2">
        <w:t>https://www.hrw.org/news/2022/01/20/dutch-university-hit-chinese-government-funding-scandal</w:t>
      </w:r>
      <w:r>
        <w:t>.</w:t>
      </w:r>
    </w:p>
  </w:footnote>
  <w:footnote w:id="10">
    <w:p w14:paraId="3BFEAA60" w14:textId="0FEFC17F" w:rsidR="00054DB5" w:rsidRDefault="00054DB5">
      <w:pPr>
        <w:pStyle w:val="FootnoteText"/>
      </w:pPr>
      <w:r>
        <w:rPr>
          <w:rStyle w:val="FootnoteReference"/>
        </w:rPr>
        <w:footnoteRef/>
      </w:r>
      <w:r>
        <w:t xml:space="preserve"> </w:t>
      </w:r>
      <w:r w:rsidR="00BC7A19">
        <w:t xml:space="preserve">Human Rights Watch, </w:t>
      </w:r>
      <w:r w:rsidR="009C2818">
        <w:t>“</w:t>
      </w:r>
      <w:r w:rsidR="00BC7A19">
        <w:t xml:space="preserve">Resisting Chinese Government Efforts to Undermine Academic Freedom Abroad: </w:t>
      </w:r>
      <w:r w:rsidR="009C2818">
        <w:t xml:space="preserve">A Code of Conduct for Colleges, Universities, and Academic Institutions Worldwide,” </w:t>
      </w:r>
      <w:r w:rsidR="00ED308F">
        <w:t xml:space="preserve">available at </w:t>
      </w:r>
      <w:r w:rsidR="00ED308F" w:rsidRPr="00ED308F">
        <w:t>https://www.hrw.org/sites/default/files/supporting_resources/190321_china_academic_freedom_coc_0.pdf</w:t>
      </w:r>
      <w:r w:rsidR="00ED308F">
        <w:t>.</w:t>
      </w:r>
    </w:p>
  </w:footnote>
  <w:footnote w:id="11">
    <w:p w14:paraId="7F5D43CE" w14:textId="689AECBA" w:rsidR="00BA51B2" w:rsidRDefault="00BA51B2">
      <w:pPr>
        <w:pStyle w:val="FootnoteText"/>
      </w:pPr>
      <w:r>
        <w:rPr>
          <w:rStyle w:val="FootnoteReference"/>
        </w:rPr>
        <w:footnoteRef/>
      </w:r>
      <w:r>
        <w:t xml:space="preserve"> For more details, see </w:t>
      </w:r>
      <w:r w:rsidR="00E16902">
        <w:t>Human Rights Watch, “</w:t>
      </w:r>
      <w:r w:rsidR="00E16902" w:rsidRPr="00D67240">
        <w:t>Russia: Submission to the UN Committee on the Rights of the Child</w:t>
      </w:r>
      <w:r w:rsidR="00E16902">
        <w:t xml:space="preserve">,” December 21, 2023, </w:t>
      </w:r>
      <w:r w:rsidR="00E16902" w:rsidRPr="00FC6787">
        <w:t>https://www.hrw.org/news/2023/12/21/russia-submission-un-committee-rights-child</w:t>
      </w:r>
      <w:r w:rsidR="00742FA7">
        <w:t>.</w:t>
      </w:r>
    </w:p>
  </w:footnote>
  <w:footnote w:id="12">
    <w:p w14:paraId="52247591" w14:textId="7D0E0F24" w:rsidR="000D3BD3" w:rsidRDefault="000D3BD3">
      <w:pPr>
        <w:pStyle w:val="FootnoteText"/>
      </w:pPr>
      <w:r>
        <w:rPr>
          <w:rStyle w:val="FootnoteReference"/>
        </w:rPr>
        <w:footnoteRef/>
      </w:r>
      <w:r>
        <w:t xml:space="preserve"> “</w:t>
      </w:r>
      <w:r w:rsidRPr="000D3BD3">
        <w:t>Australia: Beijing Threatening Academic Freedom</w:t>
      </w:r>
      <w:r>
        <w:t xml:space="preserve">,” Human Rights Watch news release, </w:t>
      </w:r>
      <w:r w:rsidR="00F01D09">
        <w:t xml:space="preserve">June 29, 2021, </w:t>
      </w:r>
      <w:r w:rsidR="00F01D09" w:rsidRPr="00F01D09">
        <w:t>https://www.hrw.org/news/2021/06/30/australia-beijing-threatening-academic-freedom</w:t>
      </w:r>
      <w:r w:rsidR="00F01D09">
        <w:t>.</w:t>
      </w:r>
    </w:p>
  </w:footnote>
  <w:footnote w:id="13">
    <w:p w14:paraId="66D2BE45" w14:textId="0D445405" w:rsidR="00747765" w:rsidRPr="00A139DE" w:rsidRDefault="00747765" w:rsidP="00A139DE">
      <w:pPr>
        <w:pStyle w:val="FootnoteText"/>
      </w:pPr>
      <w:r>
        <w:rPr>
          <w:rStyle w:val="FootnoteReference"/>
        </w:rPr>
        <w:footnoteRef/>
      </w:r>
      <w:r>
        <w:t xml:space="preserve"> </w:t>
      </w:r>
      <w:r w:rsidR="00A139DE">
        <w:t xml:space="preserve">Human Rights Watch, </w:t>
      </w:r>
      <w:r w:rsidR="00A139DE" w:rsidRPr="00A139DE">
        <w:rPr>
          <w:i/>
          <w:iCs/>
        </w:rPr>
        <w:t>“They Don’t Understand the Fear We Have</w:t>
      </w:r>
      <w:r w:rsidR="00885B0B">
        <w:rPr>
          <w:i/>
          <w:iCs/>
        </w:rPr>
        <w:t>.</w:t>
      </w:r>
      <w:r w:rsidR="00A139DE" w:rsidRPr="00A139DE">
        <w:rPr>
          <w:i/>
          <w:iCs/>
        </w:rPr>
        <w:t>”</w:t>
      </w:r>
    </w:p>
  </w:footnote>
  <w:footnote w:id="14">
    <w:p w14:paraId="08EDC5FC" w14:textId="77777777" w:rsidR="00C0545A" w:rsidRPr="007A0823" w:rsidRDefault="00C0545A" w:rsidP="00C0545A">
      <w:pPr>
        <w:pStyle w:val="FootnoteText"/>
      </w:pPr>
      <w:r>
        <w:rPr>
          <w:rStyle w:val="FootnoteReference"/>
        </w:rPr>
        <w:footnoteRef/>
      </w:r>
      <w:r>
        <w:t xml:space="preserve"> Sophie McNeill (Human Rights Watch), “</w:t>
      </w:r>
      <w:r w:rsidRPr="007A0823">
        <w:t>How Australian universities are working to counter China's global attacks on academic freedom</w:t>
      </w:r>
      <w:r>
        <w:t xml:space="preserve">,” </w:t>
      </w:r>
      <w:r>
        <w:rPr>
          <w:i/>
          <w:iCs/>
        </w:rPr>
        <w:t>ABC News</w:t>
      </w:r>
      <w:r>
        <w:t xml:space="preserve">, April 4, 2022, </w:t>
      </w:r>
      <w:r w:rsidRPr="007A0823">
        <w:t>https://www.hrw.org/news/2022/04/04/how-australian-universities-are-working-counter-chinas-global-attacks-academic</w:t>
      </w:r>
      <w:r>
        <w:t>.</w:t>
      </w:r>
    </w:p>
  </w:footnote>
  <w:footnote w:id="15">
    <w:p w14:paraId="0F5CA8B4" w14:textId="0AE3334D" w:rsidR="00CC3173" w:rsidRPr="006B1A12" w:rsidRDefault="00CC3173" w:rsidP="006B1A12">
      <w:pPr>
        <w:pStyle w:val="FootnoteText"/>
      </w:pPr>
      <w:r>
        <w:rPr>
          <w:rStyle w:val="FootnoteReference"/>
        </w:rPr>
        <w:footnoteRef/>
      </w:r>
      <w:r>
        <w:t xml:space="preserve"> </w:t>
      </w:r>
      <w:r w:rsidR="00DA3F5E" w:rsidRPr="008E51E3">
        <w:t>The conference, held annually, is hosted by different universities each year.</w:t>
      </w:r>
      <w:r w:rsidR="00DA3F5E">
        <w:t xml:space="preserve"> </w:t>
      </w:r>
      <w:r w:rsidR="006B1A12">
        <w:t xml:space="preserve">Human Rights Watch, </w:t>
      </w:r>
      <w:r w:rsidR="006B1A12" w:rsidRPr="006B1A12">
        <w:rPr>
          <w:i/>
          <w:iCs/>
        </w:rPr>
        <w:t>To Speak Out is Dangerous: Criminalization of Peaceful Expression in Thailand</w:t>
      </w:r>
      <w:r w:rsidR="006B1A12">
        <w:rPr>
          <w:i/>
          <w:iCs/>
        </w:rPr>
        <w:t xml:space="preserve"> </w:t>
      </w:r>
      <w:r w:rsidR="006B1A12">
        <w:t xml:space="preserve">(New York: Human Rights Watch, 2019), </w:t>
      </w:r>
      <w:r w:rsidR="0047782A" w:rsidRPr="0047782A">
        <w:t>https://www.hrw.org/report/2019/10/25/speak-out-dangerous/criminalization-peaceful-expression-thailand</w:t>
      </w:r>
      <w:r w:rsidR="0047782A">
        <w:t>.</w:t>
      </w:r>
    </w:p>
  </w:footnote>
  <w:footnote w:id="16">
    <w:p w14:paraId="6B706B5E" w14:textId="40E89893" w:rsidR="002B0CF7" w:rsidRDefault="002B0CF7">
      <w:pPr>
        <w:pStyle w:val="FootnoteText"/>
      </w:pPr>
      <w:r>
        <w:rPr>
          <w:rStyle w:val="FootnoteReference"/>
        </w:rPr>
        <w:footnoteRef/>
      </w:r>
      <w:r>
        <w:t xml:space="preserve"> </w:t>
      </w:r>
      <w:r w:rsidR="00AE00C4" w:rsidRPr="00AE00C4">
        <w:t xml:space="preserve">Human Rights Watch, </w:t>
      </w:r>
      <w:r w:rsidR="00AE00C4" w:rsidRPr="00747C96">
        <w:rPr>
          <w:i/>
          <w:iCs/>
        </w:rPr>
        <w:t>“How Dare They Peep into My Private Life?”: Children’s Rights Violations by Governments that Endorsed Online Learning During the Covid-19 Pandemic</w:t>
      </w:r>
      <w:r w:rsidR="00AE00C4" w:rsidRPr="00AE00C4">
        <w:t xml:space="preserve"> (New York: Human Rights Watch, 2022), https://www.hrw.org/report/2022/05/25/how-dare-they-peep-my-private-life/childrens-rights-violations-governments.</w:t>
      </w:r>
    </w:p>
  </w:footnote>
  <w:footnote w:id="17">
    <w:p w14:paraId="7A7CE4BA" w14:textId="5DD74E53" w:rsidR="00941688" w:rsidRDefault="00941688">
      <w:pPr>
        <w:pStyle w:val="FootnoteText"/>
      </w:pPr>
      <w:r>
        <w:rPr>
          <w:rStyle w:val="FootnoteReference"/>
        </w:rPr>
        <w:footnoteRef/>
      </w:r>
      <w:r>
        <w:t xml:space="preserve"> For more details</w:t>
      </w:r>
      <w:r w:rsidR="00990CD4">
        <w:t>, see</w:t>
      </w:r>
      <w:r w:rsidR="00817941">
        <w:t xml:space="preserve"> ibid</w:t>
      </w:r>
      <w:r w:rsidR="00AD2F70">
        <w:t>., section IV: Failure to Protect,</w:t>
      </w:r>
      <w:r w:rsidR="00990CD4">
        <w:t xml:space="preserve"> “Child Data Protection Laws</w:t>
      </w:r>
      <w:r w:rsidR="007B6688">
        <w:t>.</w:t>
      </w:r>
      <w:r w:rsidR="00990CD4">
        <w:t>”</w:t>
      </w:r>
      <w:r>
        <w:t xml:space="preserve"> </w:t>
      </w:r>
    </w:p>
  </w:footnote>
  <w:footnote w:id="18">
    <w:p w14:paraId="0FEB7092" w14:textId="4AAB984D" w:rsidR="00390FAD" w:rsidRDefault="00390FAD">
      <w:pPr>
        <w:pStyle w:val="FootnoteText"/>
      </w:pPr>
      <w:r>
        <w:rPr>
          <w:rStyle w:val="FootnoteReference"/>
        </w:rPr>
        <w:footnoteRef/>
      </w:r>
      <w:r>
        <w:t xml:space="preserve"> </w:t>
      </w:r>
      <w:r w:rsidR="007605A6">
        <w:t xml:space="preserve">See Human Rights Watch, </w:t>
      </w:r>
      <w:r w:rsidR="00160919">
        <w:t>“</w:t>
      </w:r>
      <w:r w:rsidR="007605A6">
        <w:t>Submission by Human Rights Watch to the UN Special Rapporteur on the Right to Privacy,</w:t>
      </w:r>
      <w:r w:rsidR="00160919">
        <w:t>”</w:t>
      </w:r>
      <w:r w:rsidR="007605A6">
        <w:t xml:space="preserve"> October 2020, </w:t>
      </w:r>
      <w:r w:rsidR="007605A6" w:rsidRPr="007605A6">
        <w:t>https://www.hrw.org/news/2020/10/19/submission-human-rights-watch-un-special-rapporteur-right-privacy</w:t>
      </w:r>
      <w:r w:rsidR="007605A6">
        <w:t>.</w:t>
      </w:r>
    </w:p>
  </w:footnote>
  <w:footnote w:id="19">
    <w:p w14:paraId="149AE0BF" w14:textId="431D0330" w:rsidR="00C52DC3" w:rsidRPr="00687126" w:rsidRDefault="00C52DC3">
      <w:pPr>
        <w:pStyle w:val="FootnoteText"/>
      </w:pPr>
      <w:r>
        <w:rPr>
          <w:rStyle w:val="FootnoteReference"/>
        </w:rPr>
        <w:footnoteRef/>
      </w:r>
      <w:r>
        <w:t xml:space="preserve"> </w:t>
      </w:r>
      <w:r w:rsidR="000529DF">
        <w:t>Movement Advancement Project (MAP), “</w:t>
      </w:r>
      <w:r w:rsidR="00EE5D97">
        <w:t>Equality Maps</w:t>
      </w:r>
      <w:r w:rsidR="00187D22">
        <w:t xml:space="preserve">: </w:t>
      </w:r>
      <w:r w:rsidR="000529DF">
        <w:t>LGBTQ Curricular Laws” (webpage)</w:t>
      </w:r>
      <w:r w:rsidR="00074F97">
        <w:t xml:space="preserve"> </w:t>
      </w:r>
      <w:r w:rsidR="00B56FDD" w:rsidRPr="00B56FDD">
        <w:t>[</w:t>
      </w:r>
      <w:r w:rsidR="00B56FDD">
        <w:t>n.d.</w:t>
      </w:r>
      <w:r w:rsidR="00B56FDD" w:rsidRPr="00B56FDD">
        <w:t>]</w:t>
      </w:r>
      <w:r w:rsidR="002E533E">
        <w:t xml:space="preserve">, </w:t>
      </w:r>
      <w:r w:rsidR="00071DF8" w:rsidRPr="00071DF8">
        <w:t>https://www.lgbtmap.org/equality-maps/curricular_laws</w:t>
      </w:r>
      <w:r w:rsidR="00C84FA1">
        <w:t xml:space="preserve"> (accessed </w:t>
      </w:r>
      <w:r w:rsidR="004F365F">
        <w:t>January 25, 2024).</w:t>
      </w:r>
      <w:r w:rsidR="00687126">
        <w:t xml:space="preserve"> See also Human Rights Watch, “Feminist Florida</w:t>
      </w:r>
      <w:r w:rsidR="00E34256">
        <w:t xml:space="preserve">,” blog, </w:t>
      </w:r>
      <w:r w:rsidR="00C91CF1" w:rsidRPr="00C91CF1">
        <w:t>https://www.hrw.org/blog-feed/feminist-florida</w:t>
      </w:r>
      <w:r w:rsidR="00C91CF1">
        <w:t>.</w:t>
      </w:r>
    </w:p>
  </w:footnote>
  <w:footnote w:id="20">
    <w:p w14:paraId="5C63A6BC" w14:textId="19AFF84A" w:rsidR="001241B8" w:rsidRDefault="001241B8">
      <w:pPr>
        <w:pStyle w:val="FootnoteText"/>
      </w:pPr>
      <w:r>
        <w:rPr>
          <w:rStyle w:val="FootnoteReference"/>
        </w:rPr>
        <w:footnoteRef/>
      </w:r>
      <w:r>
        <w:t xml:space="preserve"> </w:t>
      </w:r>
      <w:r w:rsidR="00C07CF1">
        <w:t xml:space="preserve">Human Rights Watch, </w:t>
      </w:r>
      <w:r w:rsidR="00223424">
        <w:t>“</w:t>
      </w:r>
      <w:r w:rsidR="00C07CF1">
        <w:t>US: School Censorship Violates Basic Human Rights,</w:t>
      </w:r>
      <w:r w:rsidR="00223424">
        <w:t>” May 3, 2023,</w:t>
      </w:r>
      <w:r w:rsidR="00C07CF1">
        <w:t xml:space="preserve"> </w:t>
      </w:r>
      <w:r w:rsidR="00E1278C" w:rsidRPr="000173FB">
        <w:t>https://www.hrw.org/news/2023/05/03/us-school-censorship-violates-basic-human-rights</w:t>
      </w:r>
      <w:r w:rsidR="00E1278C">
        <w:t xml:space="preserve">. </w:t>
      </w:r>
    </w:p>
  </w:footnote>
  <w:footnote w:id="21">
    <w:p w14:paraId="2C8CA1B8" w14:textId="13893442" w:rsidR="00624145" w:rsidRDefault="00624145">
      <w:pPr>
        <w:pStyle w:val="FootnoteText"/>
      </w:pPr>
      <w:r>
        <w:rPr>
          <w:rStyle w:val="FootnoteReference"/>
        </w:rPr>
        <w:footnoteRef/>
      </w:r>
      <w:r>
        <w:t xml:space="preserve"> </w:t>
      </w:r>
      <w:r w:rsidR="007009B9">
        <w:t>“</w:t>
      </w:r>
      <w:r w:rsidRPr="008D3228">
        <w:t>Organizational Letter Endorsing the Freedom to Learn Campaign</w:t>
      </w:r>
      <w:r>
        <w:t xml:space="preserve">,” Human Rights Watch letter, May 3, 2023, </w:t>
      </w:r>
      <w:r w:rsidRPr="007D590A">
        <w:t>https://www.hrw.org/news/2023/05/03/organizational-letter-endorsing-freedom-learn-campaign</w:t>
      </w:r>
      <w:r>
        <w:t>.</w:t>
      </w:r>
    </w:p>
  </w:footnote>
  <w:footnote w:id="22">
    <w:p w14:paraId="561A6D2C" w14:textId="7E550FCE" w:rsidR="009F3259" w:rsidRDefault="009F3259">
      <w:pPr>
        <w:pStyle w:val="FootnoteText"/>
      </w:pPr>
      <w:r>
        <w:rPr>
          <w:rStyle w:val="FootnoteReference"/>
        </w:rPr>
        <w:footnoteRef/>
      </w:r>
      <w:r>
        <w:t xml:space="preserve"> For more details, see Human Rights Watch, “</w:t>
      </w:r>
      <w:r w:rsidRPr="00D67240">
        <w:t>Russia: Submission to the UN Committee on the Rights of the Child</w:t>
      </w:r>
      <w:r>
        <w:t>.”</w:t>
      </w:r>
    </w:p>
  </w:footnote>
  <w:footnote w:id="23">
    <w:p w14:paraId="26140D97" w14:textId="26CD40C7" w:rsidR="00484D26" w:rsidRPr="00F56BBB" w:rsidRDefault="00484D26" w:rsidP="00484D26">
      <w:pPr>
        <w:pStyle w:val="FootnoteText"/>
      </w:pPr>
      <w:r>
        <w:rPr>
          <w:rStyle w:val="FootnoteReference"/>
        </w:rPr>
        <w:footnoteRef/>
      </w:r>
      <w:r>
        <w:t xml:space="preserve"> Human Rights Watch, </w:t>
      </w:r>
      <w:r w:rsidRPr="00F56BBB">
        <w:rPr>
          <w:i/>
          <w:iCs/>
        </w:rPr>
        <w:t>“Schools are Failing Boys Too”: The Taliban’s Impact on Boys’ Education in Afghanistan</w:t>
      </w:r>
      <w:r>
        <w:rPr>
          <w:i/>
          <w:iCs/>
        </w:rPr>
        <w:t xml:space="preserve"> </w:t>
      </w:r>
      <w:r>
        <w:t xml:space="preserve">(New York: Human Rights Watch, 2023), </w:t>
      </w:r>
      <w:r w:rsidRPr="001B46D8">
        <w:t>https://www.hrw.org/report/2023/12/06/schools-are-failing-boys-too/talibans-impact-boys-education-afghanistan</w:t>
      </w:r>
      <w:r>
        <w:t xml:space="preserve">. </w:t>
      </w:r>
    </w:p>
  </w:footnote>
  <w:footnote w:id="24">
    <w:p w14:paraId="79B4BB9F" w14:textId="11630226" w:rsidR="00B81E51" w:rsidRPr="00921EA7" w:rsidRDefault="00B81E51" w:rsidP="00921EA7">
      <w:pPr>
        <w:pStyle w:val="FootnoteText"/>
      </w:pPr>
      <w:r>
        <w:rPr>
          <w:rStyle w:val="FootnoteReference"/>
        </w:rPr>
        <w:footnoteRef/>
      </w:r>
      <w:r>
        <w:t xml:space="preserve"> </w:t>
      </w:r>
      <w:r w:rsidR="00921EA7">
        <w:t xml:space="preserve">Human Rights Watch, </w:t>
      </w:r>
      <w:r w:rsidR="00921EA7" w:rsidRPr="00921EA7">
        <w:rPr>
          <w:i/>
          <w:iCs/>
        </w:rPr>
        <w:t>Meta’s Broken Promises: Systemic Censorship of Palestine Content on Instagram and Facebook</w:t>
      </w:r>
      <w:r w:rsidR="00921EA7">
        <w:rPr>
          <w:i/>
          <w:iCs/>
        </w:rPr>
        <w:t xml:space="preserve"> </w:t>
      </w:r>
      <w:r w:rsidR="00921EA7">
        <w:t>(</w:t>
      </w:r>
      <w:r w:rsidR="00361C00">
        <w:t xml:space="preserve">New York: Human Rights Watch, </w:t>
      </w:r>
      <w:r w:rsidR="000E31F1">
        <w:t xml:space="preserve">2023), </w:t>
      </w:r>
      <w:r w:rsidR="000E31F1" w:rsidRPr="000E31F1">
        <w:t>https://www.hrw.org/report/2023/12/21/metas-broken-promises/systemic-censorship-palestine-content-instagram-and</w:t>
      </w:r>
      <w:r w:rsidR="000E31F1">
        <w:t>.</w:t>
      </w:r>
    </w:p>
  </w:footnote>
  <w:footnote w:id="25">
    <w:p w14:paraId="093C0F7A" w14:textId="31610737" w:rsidR="004302EA" w:rsidRPr="001B0E95" w:rsidRDefault="004302EA" w:rsidP="000358DD">
      <w:pPr>
        <w:pStyle w:val="FootnoteText"/>
        <w:rPr>
          <w:lang w:val="de-DE"/>
        </w:rPr>
      </w:pPr>
      <w:r>
        <w:rPr>
          <w:rStyle w:val="FootnoteReference"/>
        </w:rPr>
        <w:footnoteRef/>
      </w:r>
      <w:r w:rsidRPr="001B0E95">
        <w:rPr>
          <w:lang w:val="de-DE"/>
        </w:rPr>
        <w:t xml:space="preserve"> </w:t>
      </w:r>
      <w:r w:rsidR="00040ACF" w:rsidRPr="000358DD">
        <w:rPr>
          <w:lang w:val="de-DE"/>
        </w:rPr>
        <w:t xml:space="preserve">Senatsverwaltung für Bildung, Jugend und Familie Berlin, Schreiben an alle Schulen des Landes Berlin im “Umgang mit Störungen des Schulfriedens im Zusammenhang mit dem </w:t>
      </w:r>
      <w:r w:rsidR="00040ACF" w:rsidRPr="000358DD">
        <w:rPr>
          <w:lang w:val="de-DE"/>
        </w:rPr>
        <w:t>Terrorangriff auf</w:t>
      </w:r>
      <w:r w:rsidR="000358DD" w:rsidRPr="000358DD">
        <w:rPr>
          <w:lang w:val="de-DE"/>
        </w:rPr>
        <w:t xml:space="preserve"> </w:t>
      </w:r>
      <w:r w:rsidR="00040ACF" w:rsidRPr="00040ACF">
        <w:rPr>
          <w:lang w:val="de-DE"/>
        </w:rPr>
        <w:t>Israel</w:t>
      </w:r>
      <w:r w:rsidR="00040ACF" w:rsidRPr="001B0E95">
        <w:rPr>
          <w:lang w:val="de-DE"/>
        </w:rPr>
        <w:t>,” October 13, 2023, https://www.tagesspiegel.de/berlin/downloads/umgang-mit-storungen-des-schulfriedens-im-zusammenhang-mit-dem-terrorangriff-auf-israel</w:t>
      </w:r>
      <w:r w:rsidR="000358DD" w:rsidRPr="001B0E95">
        <w:rPr>
          <w:lang w:val="de-DE"/>
        </w:rPr>
        <w:t xml:space="preserve"> (accessed January 22, 2024).</w:t>
      </w:r>
    </w:p>
  </w:footnote>
  <w:footnote w:id="26">
    <w:p w14:paraId="6ABC1669" w14:textId="45AE791F" w:rsidR="0014679F" w:rsidRPr="003F4BF7" w:rsidRDefault="0014679F">
      <w:pPr>
        <w:pStyle w:val="FootnoteText"/>
      </w:pPr>
      <w:r>
        <w:rPr>
          <w:rStyle w:val="FootnoteReference"/>
        </w:rPr>
        <w:footnoteRef/>
      </w:r>
      <w:r>
        <w:t xml:space="preserve"> </w:t>
      </w:r>
      <w:r w:rsidR="00363F22">
        <w:t>See for example</w:t>
      </w:r>
      <w:r w:rsidR="00C86EDD">
        <w:t xml:space="preserve"> </w:t>
      </w:r>
      <w:r w:rsidR="00EE20F7" w:rsidRPr="00EE20F7">
        <w:t xml:space="preserve">“US rights group urges colleges to protect free speech amid Israel-Gaza war,” </w:t>
      </w:r>
      <w:r w:rsidR="00EE20F7" w:rsidRPr="003B0A51">
        <w:rPr>
          <w:i/>
          <w:iCs/>
        </w:rPr>
        <w:t>Al Jazeera</w:t>
      </w:r>
      <w:r w:rsidR="00EE20F7" w:rsidRPr="00EE20F7">
        <w:t>, November 1, 2023, https://www.aljazeera.com/news/2023/11/1/us-rights-group-urges-colleges-to-protect-free-speech-amid-gaza-war (accessed November 30, 2023)</w:t>
      </w:r>
      <w:r w:rsidR="00263CBC">
        <w:t>,</w:t>
      </w:r>
      <w:r w:rsidR="00EE20F7" w:rsidRPr="00EE20F7">
        <w:t xml:space="preserve"> </w:t>
      </w:r>
      <w:r w:rsidR="00BB7BB4">
        <w:t xml:space="preserve">and </w:t>
      </w:r>
      <w:r w:rsidR="00C86EDD">
        <w:t xml:space="preserve">Vima Patel and Anna Betts, </w:t>
      </w:r>
      <w:r w:rsidR="00FE2EC6">
        <w:t xml:space="preserve">“Campus Crackdowns Have </w:t>
      </w:r>
      <w:r w:rsidR="00AD56D3">
        <w:t>Chilling Effect on Pro-Palestinian Speech</w:t>
      </w:r>
      <w:r w:rsidR="00171F41">
        <w:t xml:space="preserve">,” </w:t>
      </w:r>
      <w:r w:rsidR="00171F41">
        <w:rPr>
          <w:i/>
          <w:iCs/>
        </w:rPr>
        <w:t>New York Times</w:t>
      </w:r>
      <w:r w:rsidR="00171F41">
        <w:t xml:space="preserve">, </w:t>
      </w:r>
      <w:r w:rsidR="005F66FD">
        <w:t xml:space="preserve">December 17, 2023, </w:t>
      </w:r>
      <w:r w:rsidR="00D42D1C" w:rsidRPr="00D42D1C">
        <w:t>https://www.nytimes.com/2023/12/17/us/campus-crackdowns-have-chilling-effect-on-pro-palestinian-speech.html</w:t>
      </w:r>
      <w:r w:rsidR="00363F22">
        <w:t xml:space="preserve"> </w:t>
      </w:r>
      <w:r w:rsidR="00D42D1C">
        <w:t xml:space="preserve">(accessed </w:t>
      </w:r>
      <w:r w:rsidR="00252490">
        <w:t>January 25, 2024)</w:t>
      </w:r>
      <w:r w:rsidR="00CD4821">
        <w:rPr>
          <w:i/>
          <w:iCs/>
        </w:rPr>
        <w:t>.</w:t>
      </w:r>
    </w:p>
  </w:footnote>
  <w:footnote w:id="27">
    <w:p w14:paraId="2BA7B965" w14:textId="24334FB6" w:rsidR="00642B8E" w:rsidRDefault="00642B8E">
      <w:pPr>
        <w:pStyle w:val="FootnoteText"/>
      </w:pPr>
      <w:r>
        <w:rPr>
          <w:rStyle w:val="FootnoteReference"/>
        </w:rPr>
        <w:footnoteRef/>
      </w:r>
      <w:r>
        <w:t xml:space="preserve"> Human Rights Watch, </w:t>
      </w:r>
      <w:r w:rsidR="00B1740E">
        <w:t>“</w:t>
      </w:r>
      <w:r w:rsidR="00B1740E" w:rsidRPr="00B1740E">
        <w:t>Israel-Palestine Hostilities Affect Rights in Europe</w:t>
      </w:r>
      <w:r w:rsidR="00B1740E">
        <w:t xml:space="preserve">,” </w:t>
      </w:r>
      <w:r w:rsidR="005D704C">
        <w:t xml:space="preserve">October 26, 2023, </w:t>
      </w:r>
      <w:r w:rsidR="005D704C" w:rsidRPr="005D704C">
        <w:t>https://www.hrw.org/news/2023/10/26/israel-palestine-hostilities-affect-rights-europe</w:t>
      </w:r>
      <w:r w:rsidR="005D704C">
        <w:t>.</w:t>
      </w:r>
    </w:p>
  </w:footnote>
  <w:footnote w:id="28">
    <w:p w14:paraId="79B7ADE1" w14:textId="6221D817" w:rsidR="009758C9" w:rsidRPr="009758C9" w:rsidRDefault="009758C9">
      <w:pPr>
        <w:pStyle w:val="FootnoteText"/>
        <w:rPr>
          <w:lang w:val="de-DE"/>
        </w:rPr>
      </w:pPr>
      <w:r>
        <w:rPr>
          <w:rStyle w:val="FootnoteReference"/>
        </w:rPr>
        <w:footnoteRef/>
      </w:r>
      <w:r w:rsidRPr="009758C9">
        <w:rPr>
          <w:lang w:val="de-DE"/>
        </w:rPr>
        <w:t xml:space="preserve"> </w:t>
      </w:r>
      <w:r w:rsidRPr="009758C9">
        <w:rPr>
          <w:lang w:val="de-DE"/>
        </w:rPr>
        <w:t xml:space="preserve">Juedische Allgemeine, “Immer mehr Antisemitismus an Schulen und Unis,” December 10, 2023, </w:t>
      </w:r>
      <w:r w:rsidR="00784304" w:rsidRPr="00A86F74">
        <w:rPr>
          <w:lang w:val="de-DE"/>
        </w:rPr>
        <w:t>https://www.juedische-allgemeine.de/unsere-woche/immer-mehr-antisemitismus-an-schulen-und-unis/</w:t>
      </w:r>
      <w:r w:rsidR="00784304">
        <w:rPr>
          <w:lang w:val="de-DE"/>
        </w:rPr>
        <w:t xml:space="preserve"> (accessed January 31, 2024),</w:t>
      </w:r>
      <w:r w:rsidRPr="009758C9">
        <w:rPr>
          <w:lang w:val="de-DE"/>
        </w:rPr>
        <w:t xml:space="preserve"> and </w:t>
      </w:r>
      <w:r w:rsidR="00DE3A79">
        <w:rPr>
          <w:lang w:val="de-DE"/>
        </w:rPr>
        <w:t>Jenny Barke</w:t>
      </w:r>
      <w:r w:rsidRPr="009758C9">
        <w:rPr>
          <w:lang w:val="de-DE"/>
        </w:rPr>
        <w:t xml:space="preserve">, “Was tun gegen den Antisemitismus an Berliner Schulen?,” </w:t>
      </w:r>
      <w:r w:rsidR="00BD7638">
        <w:rPr>
          <w:i/>
          <w:iCs/>
          <w:lang w:val="de-DE"/>
        </w:rPr>
        <w:t>rbb</w:t>
      </w:r>
      <w:r w:rsidR="00DE3A79" w:rsidRPr="00DE3A79">
        <w:rPr>
          <w:i/>
          <w:iCs/>
          <w:lang w:val="de-DE"/>
        </w:rPr>
        <w:t>24</w:t>
      </w:r>
      <w:r w:rsidR="00DE3A79">
        <w:rPr>
          <w:lang w:val="de-DE"/>
        </w:rPr>
        <w:t xml:space="preserve">, </w:t>
      </w:r>
      <w:r w:rsidRPr="009758C9">
        <w:rPr>
          <w:lang w:val="de-DE"/>
        </w:rPr>
        <w:t xml:space="preserve">October 10, 2023, </w:t>
      </w:r>
      <w:r w:rsidR="00821D1A" w:rsidRPr="00821D1A">
        <w:rPr>
          <w:lang w:val="de-DE"/>
        </w:rPr>
        <w:t>https://www.rbb24.de/politik/beitrag/2023/10/nahost-konflikt-berlin-schule-kiga-vermittlung-antisemitismus.html</w:t>
      </w:r>
      <w:r w:rsidR="00821D1A">
        <w:rPr>
          <w:lang w:val="de-DE"/>
        </w:rPr>
        <w:t xml:space="preserve"> (accessed January 31, 2024).</w:t>
      </w:r>
    </w:p>
  </w:footnote>
  <w:footnote w:id="29">
    <w:p w14:paraId="6BB83E86" w14:textId="2417D059" w:rsidR="00FF7119" w:rsidRDefault="00FF7119">
      <w:pPr>
        <w:pStyle w:val="FootnoteText"/>
      </w:pPr>
      <w:r>
        <w:rPr>
          <w:rStyle w:val="FootnoteReference"/>
        </w:rPr>
        <w:footnoteRef/>
      </w:r>
      <w:r>
        <w:t xml:space="preserve"> For</w:t>
      </w:r>
      <w:r w:rsidR="00D662A5">
        <w:t xml:space="preserve"> more</w:t>
      </w:r>
      <w:r w:rsidR="00D10BC6">
        <w:t xml:space="preserve"> country</w:t>
      </w:r>
      <w:r>
        <w:t xml:space="preserve"> examples, see</w:t>
      </w:r>
      <w:r w:rsidR="00A33B77">
        <w:t xml:space="preserve"> for instance</w:t>
      </w:r>
      <w:r w:rsidR="007A4A45">
        <w:t xml:space="preserve"> </w:t>
      </w:r>
      <w:r w:rsidR="00CA4401" w:rsidRPr="008E77DC">
        <w:t xml:space="preserve">Human Rights Watch, </w:t>
      </w:r>
      <w:r w:rsidR="00CA4401" w:rsidRPr="00CA4401">
        <w:rPr>
          <w:i/>
          <w:iCs/>
        </w:rPr>
        <w:t>No Support: Russia’s “Gay Propaganda” Law Imperils LGBT Youth</w:t>
      </w:r>
      <w:r w:rsidR="00CA4401" w:rsidRPr="008E77DC">
        <w:t xml:space="preserve"> (New York: Human Rights Watch, 2018), </w:t>
      </w:r>
      <w:r w:rsidR="00D22970" w:rsidRPr="00D22970">
        <w:t>https://www.hrw.org/report/2018/12/12/no-support/russias-gay-propaganda-law-imperils-lgbt-youth</w:t>
      </w:r>
      <w:r w:rsidR="00540023">
        <w:t>;</w:t>
      </w:r>
      <w:r w:rsidR="00D22970">
        <w:t xml:space="preserve"> </w:t>
      </w:r>
      <w:r w:rsidR="00D10BC6" w:rsidRPr="00D10BC6">
        <w:t>Cristian González Cabrera</w:t>
      </w:r>
      <w:r w:rsidR="00A33B77">
        <w:t xml:space="preserve"> (Human Rights Watch)</w:t>
      </w:r>
      <w:r w:rsidR="00D10BC6">
        <w:t>, “</w:t>
      </w:r>
      <w:r w:rsidR="008A0EB8" w:rsidRPr="008A0EB8">
        <w:t>Censoring Sexuality Education is Not a ‘New Idea’</w:t>
      </w:r>
      <w:r w:rsidR="008A0EB8">
        <w:t xml:space="preserve">,” </w:t>
      </w:r>
      <w:r w:rsidR="00A33B77">
        <w:rPr>
          <w:i/>
          <w:iCs/>
        </w:rPr>
        <w:t>El Mundo,</w:t>
      </w:r>
      <w:r w:rsidR="00A33B77">
        <w:t xml:space="preserve"> </w:t>
      </w:r>
      <w:r w:rsidR="008A0EB8">
        <w:t xml:space="preserve">October 11, 2o22, </w:t>
      </w:r>
      <w:r w:rsidR="00A33B77" w:rsidRPr="00A33B77">
        <w:t>https://www.hrw.org/news/2022/10/11/censoring-sexuality-education-not-new-idea</w:t>
      </w:r>
      <w:r w:rsidR="00A33B77">
        <w:t xml:space="preserve">; </w:t>
      </w:r>
      <w:r w:rsidR="00D8139B">
        <w:t>“</w:t>
      </w:r>
      <w:r w:rsidR="00D8139B" w:rsidRPr="00D8139B">
        <w:t>Poland: Veto Bill Targeting Sex Ed</w:t>
      </w:r>
      <w:r w:rsidR="00D8139B">
        <w:t xml:space="preserve">,” Human Rights Watch news release, </w:t>
      </w:r>
      <w:r w:rsidR="00D24BA9">
        <w:t xml:space="preserve">December 8, 2022, </w:t>
      </w:r>
      <w:r w:rsidR="00D24BA9" w:rsidRPr="00D24BA9">
        <w:t>https://www.hrw.org/news/2022/12/09/poland-veto-bill-targeting-sex-ed</w:t>
      </w:r>
      <w:r w:rsidR="00540023">
        <w:t>;</w:t>
      </w:r>
      <w:r w:rsidR="00D24BA9">
        <w:t xml:space="preserve"> </w:t>
      </w:r>
      <w:r w:rsidR="00D8139B">
        <w:t xml:space="preserve">and </w:t>
      </w:r>
      <w:r w:rsidR="005B273D">
        <w:t>Ryan Thoreson, “</w:t>
      </w:r>
      <w:r w:rsidR="005B273D" w:rsidRPr="005B273D">
        <w:t>UN Body Urges South Korea to Improve Sexuality Education</w:t>
      </w:r>
      <w:r w:rsidR="005B273D">
        <w:t xml:space="preserve">,” Human Rights Watch dispatch, </w:t>
      </w:r>
      <w:r w:rsidR="00677AA5">
        <w:t xml:space="preserve">October 16, 2019, </w:t>
      </w:r>
      <w:r w:rsidR="00677AA5" w:rsidRPr="00677AA5">
        <w:t>https://www.hrw.org/news/2019/10/16/un-body-urges-south-korea-improve-sexuality-education</w:t>
      </w:r>
      <w:r w:rsidR="00D8139B">
        <w:t>.</w:t>
      </w:r>
    </w:p>
  </w:footnote>
  <w:footnote w:id="30">
    <w:p w14:paraId="7DC1DFAC" w14:textId="42748F19" w:rsidR="00D449D8" w:rsidRPr="00982CB0" w:rsidRDefault="00D449D8" w:rsidP="00D449D8">
      <w:pPr>
        <w:pStyle w:val="FootnoteText"/>
      </w:pPr>
      <w:r w:rsidRPr="00982CB0">
        <w:rPr>
          <w:rStyle w:val="FootnoteReference"/>
        </w:rPr>
        <w:footnoteRef/>
      </w:r>
      <w:r w:rsidRPr="00982CB0">
        <w:t xml:space="preserve"> See for example Mauricio Albarracín-Caballero (Human Rights Watch), “How Targeting LGBTQ+ Rights Are Part of the Authoritarian Playbook,” </w:t>
      </w:r>
      <w:r w:rsidRPr="00982CB0">
        <w:rPr>
          <w:i/>
          <w:iCs/>
        </w:rPr>
        <w:t>Advocate</w:t>
      </w:r>
      <w:r w:rsidRPr="00982CB0">
        <w:t xml:space="preserve">, September 6, 2022, https://www.hrw.org/news/2022/09/06/how-targeting-lgbtq-rights-are-part-authoritarian-playbook. </w:t>
      </w:r>
    </w:p>
  </w:footnote>
  <w:footnote w:id="31">
    <w:p w14:paraId="29B471E1" w14:textId="77777777" w:rsidR="00196183" w:rsidRPr="00982CB0" w:rsidRDefault="00196183" w:rsidP="00196183">
      <w:pPr>
        <w:pStyle w:val="FootnoteText"/>
      </w:pPr>
      <w:r w:rsidRPr="00982CB0">
        <w:rPr>
          <w:rStyle w:val="FootnoteReference"/>
        </w:rPr>
        <w:footnoteRef/>
      </w:r>
      <w:r w:rsidRPr="00982CB0">
        <w:t xml:space="preserve"> Human Rights Watch, </w:t>
      </w:r>
      <w:r w:rsidRPr="00982CB0">
        <w:rPr>
          <w:i/>
          <w:iCs/>
        </w:rPr>
        <w:t xml:space="preserve">“I Became Scared, This Was Their Goal”: Efforts to Ban Gender and Sexuality Education in Brazil </w:t>
      </w:r>
      <w:r w:rsidRPr="00982CB0">
        <w:t xml:space="preserve">(New York: Human Rights Watch, 2022), https://www.hrw.org/report/2022/05/12/i-became-scared-was-their-goal/efforts-ban-gender-and-sexuality-education-brazil. </w:t>
      </w:r>
    </w:p>
  </w:footnote>
  <w:footnote w:id="32">
    <w:p w14:paraId="41E3F375" w14:textId="1A2149C3" w:rsidR="706066F6" w:rsidRDefault="706066F6" w:rsidP="00DB44F7">
      <w:r w:rsidRPr="706066F6">
        <w:rPr>
          <w:rStyle w:val="FootnoteReference"/>
        </w:rPr>
        <w:footnoteRef/>
      </w:r>
      <w:r w:rsidR="58415C56">
        <w:t xml:space="preserve"> </w:t>
      </w:r>
      <w:r w:rsidR="4CEE9CCD" w:rsidRPr="00DB44F7">
        <w:rPr>
          <w:rStyle w:val="FootnoteTextChar"/>
        </w:rPr>
        <w:t xml:space="preserve">Defense Manual </w:t>
      </w:r>
      <w:r w:rsidR="15CF5198" w:rsidRPr="00DB44F7">
        <w:rPr>
          <w:rStyle w:val="FootnoteTextChar"/>
        </w:rPr>
        <w:t xml:space="preserve">Against </w:t>
      </w:r>
      <w:r w:rsidR="413B24A5" w:rsidRPr="00DB44F7">
        <w:rPr>
          <w:rStyle w:val="FootnoteTextChar"/>
        </w:rPr>
        <w:t xml:space="preserve">Censorship in </w:t>
      </w:r>
      <w:r w:rsidR="369FE7F4" w:rsidRPr="00DB44F7">
        <w:rPr>
          <w:rStyle w:val="FootnoteTextChar"/>
        </w:rPr>
        <w:t>Schools</w:t>
      </w:r>
      <w:r w:rsidR="2C981A3E" w:rsidRPr="00DB44F7">
        <w:rPr>
          <w:rStyle w:val="FootnoteTextChar"/>
        </w:rPr>
        <w:t xml:space="preserve">, </w:t>
      </w:r>
      <w:r w:rsidR="063A96AE" w:rsidRPr="00DB44F7">
        <w:rPr>
          <w:rStyle w:val="FootnoteTextChar"/>
        </w:rPr>
        <w:t>2022, available</w:t>
      </w:r>
      <w:r w:rsidR="2DFECDC1" w:rsidRPr="00DB44F7">
        <w:rPr>
          <w:rStyle w:val="FootnoteTextChar"/>
        </w:rPr>
        <w:t xml:space="preserve"> at</w:t>
      </w:r>
      <w:r w:rsidR="302AE4F4" w:rsidRPr="00DB44F7">
        <w:rPr>
          <w:rStyle w:val="FootnoteTextChar"/>
        </w:rPr>
        <w:t xml:space="preserve"> </w:t>
      </w:r>
      <w:hyperlink r:id="rId1" w:history="1">
        <w:r w:rsidR="58415C56" w:rsidRPr="00DB44F7">
          <w:rPr>
            <w:rStyle w:val="FootnoteTextChar"/>
          </w:rPr>
          <w:t>https://manualdedefesadasescolas.org.br/</w:t>
        </w:r>
      </w:hyperlink>
      <w:r w:rsidR="00757F4B">
        <w:rPr>
          <w:rStyle w:val="FootnoteTextChar"/>
        </w:rPr>
        <w:t xml:space="preserve"> (accessed January 25,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A3204"/>
    <w:multiLevelType w:val="hybridMultilevel"/>
    <w:tmpl w:val="E026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C6C61"/>
    <w:multiLevelType w:val="hybridMultilevel"/>
    <w:tmpl w:val="00980CCA"/>
    <w:lvl w:ilvl="0" w:tplc="1A2E97B0">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FB7852"/>
    <w:multiLevelType w:val="hybridMultilevel"/>
    <w:tmpl w:val="EB2476EE"/>
    <w:lvl w:ilvl="0" w:tplc="0FDCCE5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7889864">
    <w:abstractNumId w:val="0"/>
  </w:num>
  <w:num w:numId="2" w16cid:durableId="1195390550">
    <w:abstractNumId w:val="2"/>
  </w:num>
  <w:num w:numId="3" w16cid:durableId="648629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E8"/>
    <w:rsid w:val="00001457"/>
    <w:rsid w:val="00001C56"/>
    <w:rsid w:val="000022B8"/>
    <w:rsid w:val="000032A1"/>
    <w:rsid w:val="00003808"/>
    <w:rsid w:val="00003F40"/>
    <w:rsid w:val="000049AC"/>
    <w:rsid w:val="0000646B"/>
    <w:rsid w:val="00006B2B"/>
    <w:rsid w:val="0000CF36"/>
    <w:rsid w:val="00010E5E"/>
    <w:rsid w:val="000121E3"/>
    <w:rsid w:val="00012BA7"/>
    <w:rsid w:val="0001407F"/>
    <w:rsid w:val="000145F8"/>
    <w:rsid w:val="00016F29"/>
    <w:rsid w:val="000173FB"/>
    <w:rsid w:val="00021326"/>
    <w:rsid w:val="00025F9C"/>
    <w:rsid w:val="0002753F"/>
    <w:rsid w:val="00027A89"/>
    <w:rsid w:val="00030D5E"/>
    <w:rsid w:val="000358DD"/>
    <w:rsid w:val="00036641"/>
    <w:rsid w:val="00040A8A"/>
    <w:rsid w:val="00040ACF"/>
    <w:rsid w:val="00041375"/>
    <w:rsid w:val="00043AE3"/>
    <w:rsid w:val="00043BC3"/>
    <w:rsid w:val="00043F8D"/>
    <w:rsid w:val="00052230"/>
    <w:rsid w:val="000529DF"/>
    <w:rsid w:val="00052D5F"/>
    <w:rsid w:val="00054DB5"/>
    <w:rsid w:val="00056BF8"/>
    <w:rsid w:val="00065CDB"/>
    <w:rsid w:val="00067ABB"/>
    <w:rsid w:val="00071DF8"/>
    <w:rsid w:val="00071EF5"/>
    <w:rsid w:val="00074F97"/>
    <w:rsid w:val="000825E0"/>
    <w:rsid w:val="00082BDD"/>
    <w:rsid w:val="00082CF1"/>
    <w:rsid w:val="0008422A"/>
    <w:rsid w:val="000859F4"/>
    <w:rsid w:val="0008701A"/>
    <w:rsid w:val="0009142C"/>
    <w:rsid w:val="000915EA"/>
    <w:rsid w:val="0009245A"/>
    <w:rsid w:val="00093896"/>
    <w:rsid w:val="00094C82"/>
    <w:rsid w:val="000A0729"/>
    <w:rsid w:val="000A0D59"/>
    <w:rsid w:val="000A1575"/>
    <w:rsid w:val="000A1859"/>
    <w:rsid w:val="000A3FF9"/>
    <w:rsid w:val="000A51C6"/>
    <w:rsid w:val="000A5457"/>
    <w:rsid w:val="000B1B46"/>
    <w:rsid w:val="000B23B6"/>
    <w:rsid w:val="000B2DA3"/>
    <w:rsid w:val="000B4B66"/>
    <w:rsid w:val="000B6331"/>
    <w:rsid w:val="000B6ECC"/>
    <w:rsid w:val="000B7349"/>
    <w:rsid w:val="000B7A76"/>
    <w:rsid w:val="000C05AA"/>
    <w:rsid w:val="000C1194"/>
    <w:rsid w:val="000C44CF"/>
    <w:rsid w:val="000C4C96"/>
    <w:rsid w:val="000C7294"/>
    <w:rsid w:val="000C7FE3"/>
    <w:rsid w:val="000D054E"/>
    <w:rsid w:val="000D16FA"/>
    <w:rsid w:val="000D17C0"/>
    <w:rsid w:val="000D1B1F"/>
    <w:rsid w:val="000D3BD3"/>
    <w:rsid w:val="000D524B"/>
    <w:rsid w:val="000D72A5"/>
    <w:rsid w:val="000E31F1"/>
    <w:rsid w:val="000E3E93"/>
    <w:rsid w:val="000E421D"/>
    <w:rsid w:val="000E4456"/>
    <w:rsid w:val="000E61AD"/>
    <w:rsid w:val="000F0D3C"/>
    <w:rsid w:val="000F1219"/>
    <w:rsid w:val="000F1CB1"/>
    <w:rsid w:val="000F1FF2"/>
    <w:rsid w:val="000F2712"/>
    <w:rsid w:val="000F2A03"/>
    <w:rsid w:val="000F3892"/>
    <w:rsid w:val="000F6F55"/>
    <w:rsid w:val="00103ED3"/>
    <w:rsid w:val="00106921"/>
    <w:rsid w:val="001071EF"/>
    <w:rsid w:val="00110BEF"/>
    <w:rsid w:val="001121BD"/>
    <w:rsid w:val="0011607D"/>
    <w:rsid w:val="00121734"/>
    <w:rsid w:val="00121C35"/>
    <w:rsid w:val="00122659"/>
    <w:rsid w:val="001241B8"/>
    <w:rsid w:val="001241F2"/>
    <w:rsid w:val="001251F2"/>
    <w:rsid w:val="001254ED"/>
    <w:rsid w:val="00126203"/>
    <w:rsid w:val="00127AA3"/>
    <w:rsid w:val="00130042"/>
    <w:rsid w:val="00133459"/>
    <w:rsid w:val="0013415D"/>
    <w:rsid w:val="00137128"/>
    <w:rsid w:val="00141B1D"/>
    <w:rsid w:val="00141E8F"/>
    <w:rsid w:val="001426BC"/>
    <w:rsid w:val="0014679F"/>
    <w:rsid w:val="0015540C"/>
    <w:rsid w:val="00155CF4"/>
    <w:rsid w:val="00160321"/>
    <w:rsid w:val="00160919"/>
    <w:rsid w:val="00162B14"/>
    <w:rsid w:val="00164371"/>
    <w:rsid w:val="001663A8"/>
    <w:rsid w:val="00171A19"/>
    <w:rsid w:val="00171F41"/>
    <w:rsid w:val="00173519"/>
    <w:rsid w:val="00174AC1"/>
    <w:rsid w:val="001755E5"/>
    <w:rsid w:val="00177015"/>
    <w:rsid w:val="00177097"/>
    <w:rsid w:val="00177662"/>
    <w:rsid w:val="001857B6"/>
    <w:rsid w:val="00187D22"/>
    <w:rsid w:val="00192C33"/>
    <w:rsid w:val="00196183"/>
    <w:rsid w:val="0019655A"/>
    <w:rsid w:val="001965D3"/>
    <w:rsid w:val="001974F0"/>
    <w:rsid w:val="001A1D1B"/>
    <w:rsid w:val="001A2310"/>
    <w:rsid w:val="001A76A6"/>
    <w:rsid w:val="001B0909"/>
    <w:rsid w:val="001B0E95"/>
    <w:rsid w:val="001B1F92"/>
    <w:rsid w:val="001B2153"/>
    <w:rsid w:val="001B2BBF"/>
    <w:rsid w:val="001B46D8"/>
    <w:rsid w:val="001B657D"/>
    <w:rsid w:val="001B7CBA"/>
    <w:rsid w:val="001C085D"/>
    <w:rsid w:val="001C0964"/>
    <w:rsid w:val="001C2B79"/>
    <w:rsid w:val="001C3DA2"/>
    <w:rsid w:val="001D1105"/>
    <w:rsid w:val="001D1228"/>
    <w:rsid w:val="001D5B31"/>
    <w:rsid w:val="001E0BB0"/>
    <w:rsid w:val="001E3FAD"/>
    <w:rsid w:val="001E40E8"/>
    <w:rsid w:val="001E5581"/>
    <w:rsid w:val="001E63DA"/>
    <w:rsid w:val="001F1380"/>
    <w:rsid w:val="001F5D9D"/>
    <w:rsid w:val="0020277E"/>
    <w:rsid w:val="00203DD7"/>
    <w:rsid w:val="00203E7E"/>
    <w:rsid w:val="00205B8D"/>
    <w:rsid w:val="00206D9E"/>
    <w:rsid w:val="00210144"/>
    <w:rsid w:val="00210235"/>
    <w:rsid w:val="002121C5"/>
    <w:rsid w:val="00212A88"/>
    <w:rsid w:val="0021333A"/>
    <w:rsid w:val="002144CD"/>
    <w:rsid w:val="00223424"/>
    <w:rsid w:val="002308AD"/>
    <w:rsid w:val="0023186D"/>
    <w:rsid w:val="00237725"/>
    <w:rsid w:val="00237C1C"/>
    <w:rsid w:val="00243C3B"/>
    <w:rsid w:val="002445F8"/>
    <w:rsid w:val="00245465"/>
    <w:rsid w:val="00246B30"/>
    <w:rsid w:val="00250C93"/>
    <w:rsid w:val="00251F01"/>
    <w:rsid w:val="00252490"/>
    <w:rsid w:val="0025631B"/>
    <w:rsid w:val="00257A55"/>
    <w:rsid w:val="00261E87"/>
    <w:rsid w:val="002622F2"/>
    <w:rsid w:val="00263CBC"/>
    <w:rsid w:val="00266EBC"/>
    <w:rsid w:val="002721A3"/>
    <w:rsid w:val="00272E35"/>
    <w:rsid w:val="00276E50"/>
    <w:rsid w:val="0027732F"/>
    <w:rsid w:val="00277890"/>
    <w:rsid w:val="00277FFC"/>
    <w:rsid w:val="00280114"/>
    <w:rsid w:val="00280D29"/>
    <w:rsid w:val="0028215F"/>
    <w:rsid w:val="00287291"/>
    <w:rsid w:val="002949FB"/>
    <w:rsid w:val="00296508"/>
    <w:rsid w:val="00297DB5"/>
    <w:rsid w:val="002A0CC0"/>
    <w:rsid w:val="002A47F9"/>
    <w:rsid w:val="002A52CE"/>
    <w:rsid w:val="002A690E"/>
    <w:rsid w:val="002A70CE"/>
    <w:rsid w:val="002B09E0"/>
    <w:rsid w:val="002B0CF7"/>
    <w:rsid w:val="002B1F59"/>
    <w:rsid w:val="002B2091"/>
    <w:rsid w:val="002B2DF0"/>
    <w:rsid w:val="002C1F6E"/>
    <w:rsid w:val="002C2F50"/>
    <w:rsid w:val="002C519B"/>
    <w:rsid w:val="002C75E6"/>
    <w:rsid w:val="002D3DF9"/>
    <w:rsid w:val="002D6D58"/>
    <w:rsid w:val="002D7B26"/>
    <w:rsid w:val="002E078E"/>
    <w:rsid w:val="002E3A82"/>
    <w:rsid w:val="002E533E"/>
    <w:rsid w:val="002E629B"/>
    <w:rsid w:val="002F0334"/>
    <w:rsid w:val="002F0EC0"/>
    <w:rsid w:val="002F3E95"/>
    <w:rsid w:val="002F4A30"/>
    <w:rsid w:val="002F4BEF"/>
    <w:rsid w:val="002F5603"/>
    <w:rsid w:val="00302598"/>
    <w:rsid w:val="00304D5D"/>
    <w:rsid w:val="003050C2"/>
    <w:rsid w:val="0030545F"/>
    <w:rsid w:val="00305776"/>
    <w:rsid w:val="00315306"/>
    <w:rsid w:val="00315965"/>
    <w:rsid w:val="003209FC"/>
    <w:rsid w:val="00321AB9"/>
    <w:rsid w:val="003249EF"/>
    <w:rsid w:val="00325794"/>
    <w:rsid w:val="00330289"/>
    <w:rsid w:val="0033032B"/>
    <w:rsid w:val="00333546"/>
    <w:rsid w:val="003341CA"/>
    <w:rsid w:val="0033452D"/>
    <w:rsid w:val="00336B71"/>
    <w:rsid w:val="00341C8E"/>
    <w:rsid w:val="00343B2C"/>
    <w:rsid w:val="00351392"/>
    <w:rsid w:val="003520E7"/>
    <w:rsid w:val="00353B98"/>
    <w:rsid w:val="00353D9F"/>
    <w:rsid w:val="00353F0D"/>
    <w:rsid w:val="00354FD2"/>
    <w:rsid w:val="003570F6"/>
    <w:rsid w:val="00360A0E"/>
    <w:rsid w:val="00361C00"/>
    <w:rsid w:val="00363EFE"/>
    <w:rsid w:val="00363F22"/>
    <w:rsid w:val="0036420D"/>
    <w:rsid w:val="00366017"/>
    <w:rsid w:val="0036611D"/>
    <w:rsid w:val="00370C33"/>
    <w:rsid w:val="003718AB"/>
    <w:rsid w:val="00373544"/>
    <w:rsid w:val="003749AB"/>
    <w:rsid w:val="0037563D"/>
    <w:rsid w:val="00381EA4"/>
    <w:rsid w:val="003853D3"/>
    <w:rsid w:val="00390FAD"/>
    <w:rsid w:val="00392544"/>
    <w:rsid w:val="003975F4"/>
    <w:rsid w:val="003A22B5"/>
    <w:rsid w:val="003A29AC"/>
    <w:rsid w:val="003A37B2"/>
    <w:rsid w:val="003A44DC"/>
    <w:rsid w:val="003A5B17"/>
    <w:rsid w:val="003A765C"/>
    <w:rsid w:val="003B0A51"/>
    <w:rsid w:val="003B57E2"/>
    <w:rsid w:val="003B6598"/>
    <w:rsid w:val="003C20F3"/>
    <w:rsid w:val="003C6D2C"/>
    <w:rsid w:val="003D0B8D"/>
    <w:rsid w:val="003D0D1F"/>
    <w:rsid w:val="003E0C5A"/>
    <w:rsid w:val="003E4D86"/>
    <w:rsid w:val="003E64AD"/>
    <w:rsid w:val="003F4BF7"/>
    <w:rsid w:val="003F6FFE"/>
    <w:rsid w:val="003F7F5C"/>
    <w:rsid w:val="0040008B"/>
    <w:rsid w:val="0040137E"/>
    <w:rsid w:val="00401FCC"/>
    <w:rsid w:val="00403879"/>
    <w:rsid w:val="004045DF"/>
    <w:rsid w:val="00407190"/>
    <w:rsid w:val="004132D6"/>
    <w:rsid w:val="004170A3"/>
    <w:rsid w:val="00417810"/>
    <w:rsid w:val="0042083F"/>
    <w:rsid w:val="00421447"/>
    <w:rsid w:val="00423907"/>
    <w:rsid w:val="00424590"/>
    <w:rsid w:val="00425FF9"/>
    <w:rsid w:val="004270CE"/>
    <w:rsid w:val="00427D1D"/>
    <w:rsid w:val="00430215"/>
    <w:rsid w:val="004302EA"/>
    <w:rsid w:val="00432893"/>
    <w:rsid w:val="00441748"/>
    <w:rsid w:val="00441E53"/>
    <w:rsid w:val="00444E57"/>
    <w:rsid w:val="00444F46"/>
    <w:rsid w:val="0044503C"/>
    <w:rsid w:val="00445212"/>
    <w:rsid w:val="0044759A"/>
    <w:rsid w:val="004509AD"/>
    <w:rsid w:val="00454944"/>
    <w:rsid w:val="004551B0"/>
    <w:rsid w:val="0045675D"/>
    <w:rsid w:val="00456DD9"/>
    <w:rsid w:val="00463973"/>
    <w:rsid w:val="00464CDA"/>
    <w:rsid w:val="00465AC2"/>
    <w:rsid w:val="00465C57"/>
    <w:rsid w:val="004663A5"/>
    <w:rsid w:val="00470AC6"/>
    <w:rsid w:val="00470B4F"/>
    <w:rsid w:val="004761E8"/>
    <w:rsid w:val="0047782A"/>
    <w:rsid w:val="00477F20"/>
    <w:rsid w:val="004826E1"/>
    <w:rsid w:val="00484D26"/>
    <w:rsid w:val="00492DEA"/>
    <w:rsid w:val="00493DB7"/>
    <w:rsid w:val="00494257"/>
    <w:rsid w:val="00494A58"/>
    <w:rsid w:val="004953DC"/>
    <w:rsid w:val="00496F5C"/>
    <w:rsid w:val="004A0240"/>
    <w:rsid w:val="004A28C2"/>
    <w:rsid w:val="004A2D3C"/>
    <w:rsid w:val="004A65E6"/>
    <w:rsid w:val="004B2026"/>
    <w:rsid w:val="004B45F4"/>
    <w:rsid w:val="004B7199"/>
    <w:rsid w:val="004B7B4A"/>
    <w:rsid w:val="004C1849"/>
    <w:rsid w:val="004D066E"/>
    <w:rsid w:val="004D1F2B"/>
    <w:rsid w:val="004D443A"/>
    <w:rsid w:val="004D49CC"/>
    <w:rsid w:val="004D576C"/>
    <w:rsid w:val="004E0C55"/>
    <w:rsid w:val="004E1061"/>
    <w:rsid w:val="004E2417"/>
    <w:rsid w:val="004E31FD"/>
    <w:rsid w:val="004E371D"/>
    <w:rsid w:val="004E562A"/>
    <w:rsid w:val="004F0F7D"/>
    <w:rsid w:val="004F24FB"/>
    <w:rsid w:val="004F2E63"/>
    <w:rsid w:val="004F365F"/>
    <w:rsid w:val="004F5613"/>
    <w:rsid w:val="004F7DD3"/>
    <w:rsid w:val="005052D1"/>
    <w:rsid w:val="00506822"/>
    <w:rsid w:val="00506DAE"/>
    <w:rsid w:val="00506F84"/>
    <w:rsid w:val="0051293C"/>
    <w:rsid w:val="005130AE"/>
    <w:rsid w:val="00514C04"/>
    <w:rsid w:val="00515438"/>
    <w:rsid w:val="00515577"/>
    <w:rsid w:val="00517C63"/>
    <w:rsid w:val="00517E81"/>
    <w:rsid w:val="0052033B"/>
    <w:rsid w:val="00521924"/>
    <w:rsid w:val="00521A57"/>
    <w:rsid w:val="0052247C"/>
    <w:rsid w:val="00522AF4"/>
    <w:rsid w:val="00523AB1"/>
    <w:rsid w:val="00524D80"/>
    <w:rsid w:val="00525798"/>
    <w:rsid w:val="00527EA0"/>
    <w:rsid w:val="005300DA"/>
    <w:rsid w:val="00531FE4"/>
    <w:rsid w:val="00537651"/>
    <w:rsid w:val="00540023"/>
    <w:rsid w:val="005407BD"/>
    <w:rsid w:val="00540FAD"/>
    <w:rsid w:val="005428D6"/>
    <w:rsid w:val="005471FE"/>
    <w:rsid w:val="0055143C"/>
    <w:rsid w:val="00552529"/>
    <w:rsid w:val="0055363E"/>
    <w:rsid w:val="00561139"/>
    <w:rsid w:val="00561DBB"/>
    <w:rsid w:val="0056726E"/>
    <w:rsid w:val="00580758"/>
    <w:rsid w:val="00580F78"/>
    <w:rsid w:val="0058132B"/>
    <w:rsid w:val="00581D62"/>
    <w:rsid w:val="00592D0B"/>
    <w:rsid w:val="00593A45"/>
    <w:rsid w:val="00596A35"/>
    <w:rsid w:val="005A00C2"/>
    <w:rsid w:val="005A2E58"/>
    <w:rsid w:val="005A3C8A"/>
    <w:rsid w:val="005A4125"/>
    <w:rsid w:val="005A5466"/>
    <w:rsid w:val="005A72C0"/>
    <w:rsid w:val="005A7BC0"/>
    <w:rsid w:val="005B273D"/>
    <w:rsid w:val="005B415C"/>
    <w:rsid w:val="005C20C4"/>
    <w:rsid w:val="005C22DF"/>
    <w:rsid w:val="005C3C00"/>
    <w:rsid w:val="005C4C06"/>
    <w:rsid w:val="005C62CC"/>
    <w:rsid w:val="005C6D42"/>
    <w:rsid w:val="005C6FA5"/>
    <w:rsid w:val="005C7D5C"/>
    <w:rsid w:val="005D0193"/>
    <w:rsid w:val="005D3230"/>
    <w:rsid w:val="005D704C"/>
    <w:rsid w:val="005E0005"/>
    <w:rsid w:val="005E0D45"/>
    <w:rsid w:val="005E1ACA"/>
    <w:rsid w:val="005E1F36"/>
    <w:rsid w:val="005E1FF3"/>
    <w:rsid w:val="005E25BD"/>
    <w:rsid w:val="005E2858"/>
    <w:rsid w:val="005E3BE1"/>
    <w:rsid w:val="005E44BD"/>
    <w:rsid w:val="005E4E26"/>
    <w:rsid w:val="005E53A4"/>
    <w:rsid w:val="005E54BF"/>
    <w:rsid w:val="005E584E"/>
    <w:rsid w:val="005E5FBE"/>
    <w:rsid w:val="005E6140"/>
    <w:rsid w:val="005E6D22"/>
    <w:rsid w:val="005F39E8"/>
    <w:rsid w:val="005F3C9C"/>
    <w:rsid w:val="005F3E5D"/>
    <w:rsid w:val="005F44A5"/>
    <w:rsid w:val="005F66FD"/>
    <w:rsid w:val="005F6924"/>
    <w:rsid w:val="005F724A"/>
    <w:rsid w:val="005F7DDC"/>
    <w:rsid w:val="00601193"/>
    <w:rsid w:val="006019E4"/>
    <w:rsid w:val="00601F3F"/>
    <w:rsid w:val="006034A2"/>
    <w:rsid w:val="006057D2"/>
    <w:rsid w:val="006133F6"/>
    <w:rsid w:val="00616A3E"/>
    <w:rsid w:val="006175A6"/>
    <w:rsid w:val="0061765F"/>
    <w:rsid w:val="006215DC"/>
    <w:rsid w:val="006224C6"/>
    <w:rsid w:val="00623592"/>
    <w:rsid w:val="00624145"/>
    <w:rsid w:val="0062474B"/>
    <w:rsid w:val="00626C06"/>
    <w:rsid w:val="006271D3"/>
    <w:rsid w:val="00630122"/>
    <w:rsid w:val="00630383"/>
    <w:rsid w:val="00631DCF"/>
    <w:rsid w:val="00632FE8"/>
    <w:rsid w:val="00634450"/>
    <w:rsid w:val="00636EFC"/>
    <w:rsid w:val="00642B8E"/>
    <w:rsid w:val="00642DF8"/>
    <w:rsid w:val="00645F3C"/>
    <w:rsid w:val="00646B34"/>
    <w:rsid w:val="00646E69"/>
    <w:rsid w:val="00647674"/>
    <w:rsid w:val="00647711"/>
    <w:rsid w:val="00656CE8"/>
    <w:rsid w:val="00662990"/>
    <w:rsid w:val="00663627"/>
    <w:rsid w:val="00664CB5"/>
    <w:rsid w:val="00666ACA"/>
    <w:rsid w:val="00667228"/>
    <w:rsid w:val="00667643"/>
    <w:rsid w:val="00670202"/>
    <w:rsid w:val="006737C4"/>
    <w:rsid w:val="00675727"/>
    <w:rsid w:val="00677AA5"/>
    <w:rsid w:val="006818B4"/>
    <w:rsid w:val="00681A0F"/>
    <w:rsid w:val="006844D7"/>
    <w:rsid w:val="00684DC8"/>
    <w:rsid w:val="0068559F"/>
    <w:rsid w:val="0068699A"/>
    <w:rsid w:val="00687126"/>
    <w:rsid w:val="006935D2"/>
    <w:rsid w:val="00693FCD"/>
    <w:rsid w:val="00695504"/>
    <w:rsid w:val="006961A2"/>
    <w:rsid w:val="00696BC2"/>
    <w:rsid w:val="006A1D04"/>
    <w:rsid w:val="006A27D6"/>
    <w:rsid w:val="006A3AA0"/>
    <w:rsid w:val="006A6D8E"/>
    <w:rsid w:val="006B06D1"/>
    <w:rsid w:val="006B1A12"/>
    <w:rsid w:val="006B65DF"/>
    <w:rsid w:val="006B6FCB"/>
    <w:rsid w:val="006B748E"/>
    <w:rsid w:val="006C1A1A"/>
    <w:rsid w:val="006C34BA"/>
    <w:rsid w:val="006C4DF4"/>
    <w:rsid w:val="006C5DC8"/>
    <w:rsid w:val="006C61AF"/>
    <w:rsid w:val="006C719B"/>
    <w:rsid w:val="006C7A2F"/>
    <w:rsid w:val="006C7E03"/>
    <w:rsid w:val="006C7EA3"/>
    <w:rsid w:val="006D1EB1"/>
    <w:rsid w:val="006D47A5"/>
    <w:rsid w:val="006D5811"/>
    <w:rsid w:val="006D5C36"/>
    <w:rsid w:val="006E114A"/>
    <w:rsid w:val="006E2594"/>
    <w:rsid w:val="006E2951"/>
    <w:rsid w:val="006E3032"/>
    <w:rsid w:val="006E4CDD"/>
    <w:rsid w:val="006E640C"/>
    <w:rsid w:val="006E7C1D"/>
    <w:rsid w:val="006F1BC8"/>
    <w:rsid w:val="006F41CD"/>
    <w:rsid w:val="007009B9"/>
    <w:rsid w:val="007009BE"/>
    <w:rsid w:val="00702041"/>
    <w:rsid w:val="00702E4C"/>
    <w:rsid w:val="007107A0"/>
    <w:rsid w:val="0071230A"/>
    <w:rsid w:val="007124F9"/>
    <w:rsid w:val="00712EA8"/>
    <w:rsid w:val="007137D1"/>
    <w:rsid w:val="00713980"/>
    <w:rsid w:val="00713F7B"/>
    <w:rsid w:val="00716785"/>
    <w:rsid w:val="00716FE9"/>
    <w:rsid w:val="007174DD"/>
    <w:rsid w:val="00723392"/>
    <w:rsid w:val="0072739A"/>
    <w:rsid w:val="007308E6"/>
    <w:rsid w:val="00730B61"/>
    <w:rsid w:val="00731C03"/>
    <w:rsid w:val="00734CAD"/>
    <w:rsid w:val="00736EC5"/>
    <w:rsid w:val="00742FA7"/>
    <w:rsid w:val="007443B4"/>
    <w:rsid w:val="007457CB"/>
    <w:rsid w:val="00745DB1"/>
    <w:rsid w:val="0074615A"/>
    <w:rsid w:val="00747765"/>
    <w:rsid w:val="00747C96"/>
    <w:rsid w:val="00750AE2"/>
    <w:rsid w:val="00757C0A"/>
    <w:rsid w:val="00757C86"/>
    <w:rsid w:val="00757F4B"/>
    <w:rsid w:val="007605A6"/>
    <w:rsid w:val="00760796"/>
    <w:rsid w:val="00761151"/>
    <w:rsid w:val="00762A54"/>
    <w:rsid w:val="00763C71"/>
    <w:rsid w:val="00764E1F"/>
    <w:rsid w:val="007652A5"/>
    <w:rsid w:val="007702F8"/>
    <w:rsid w:val="00771FAE"/>
    <w:rsid w:val="00773F43"/>
    <w:rsid w:val="007756BA"/>
    <w:rsid w:val="00776381"/>
    <w:rsid w:val="0077640C"/>
    <w:rsid w:val="00777667"/>
    <w:rsid w:val="0078048E"/>
    <w:rsid w:val="00781CAE"/>
    <w:rsid w:val="00782D69"/>
    <w:rsid w:val="00782D83"/>
    <w:rsid w:val="00782EE1"/>
    <w:rsid w:val="00784304"/>
    <w:rsid w:val="007844AE"/>
    <w:rsid w:val="00784941"/>
    <w:rsid w:val="0078776C"/>
    <w:rsid w:val="00793CDB"/>
    <w:rsid w:val="00794190"/>
    <w:rsid w:val="00794942"/>
    <w:rsid w:val="00794F76"/>
    <w:rsid w:val="00796F95"/>
    <w:rsid w:val="007A0823"/>
    <w:rsid w:val="007A2731"/>
    <w:rsid w:val="007A38BF"/>
    <w:rsid w:val="007A4A45"/>
    <w:rsid w:val="007A4DD1"/>
    <w:rsid w:val="007A717A"/>
    <w:rsid w:val="007A7CFA"/>
    <w:rsid w:val="007B00BC"/>
    <w:rsid w:val="007B0119"/>
    <w:rsid w:val="007B3DD0"/>
    <w:rsid w:val="007B4A60"/>
    <w:rsid w:val="007B615E"/>
    <w:rsid w:val="007B6688"/>
    <w:rsid w:val="007B6841"/>
    <w:rsid w:val="007B691B"/>
    <w:rsid w:val="007C0677"/>
    <w:rsid w:val="007C21E2"/>
    <w:rsid w:val="007C4737"/>
    <w:rsid w:val="007C4E3F"/>
    <w:rsid w:val="007C5F44"/>
    <w:rsid w:val="007C6149"/>
    <w:rsid w:val="007C626C"/>
    <w:rsid w:val="007C74B4"/>
    <w:rsid w:val="007D0D97"/>
    <w:rsid w:val="007D1145"/>
    <w:rsid w:val="007D1218"/>
    <w:rsid w:val="007D590A"/>
    <w:rsid w:val="007D6A79"/>
    <w:rsid w:val="007D6C1F"/>
    <w:rsid w:val="007D6D25"/>
    <w:rsid w:val="007E2C6E"/>
    <w:rsid w:val="007E3098"/>
    <w:rsid w:val="007F183F"/>
    <w:rsid w:val="007F39B5"/>
    <w:rsid w:val="008006E4"/>
    <w:rsid w:val="008062F3"/>
    <w:rsid w:val="00806E59"/>
    <w:rsid w:val="0080789F"/>
    <w:rsid w:val="00812042"/>
    <w:rsid w:val="008154DF"/>
    <w:rsid w:val="00817669"/>
    <w:rsid w:val="00817941"/>
    <w:rsid w:val="00821D1A"/>
    <w:rsid w:val="00822BDB"/>
    <w:rsid w:val="00823A25"/>
    <w:rsid w:val="00823BE7"/>
    <w:rsid w:val="008247DB"/>
    <w:rsid w:val="008251F6"/>
    <w:rsid w:val="00826779"/>
    <w:rsid w:val="00827C56"/>
    <w:rsid w:val="00831F4B"/>
    <w:rsid w:val="00833486"/>
    <w:rsid w:val="008335E9"/>
    <w:rsid w:val="00833A5F"/>
    <w:rsid w:val="008361FA"/>
    <w:rsid w:val="00843B2D"/>
    <w:rsid w:val="0084487B"/>
    <w:rsid w:val="008451A4"/>
    <w:rsid w:val="00845BB4"/>
    <w:rsid w:val="00847143"/>
    <w:rsid w:val="008502B4"/>
    <w:rsid w:val="00852701"/>
    <w:rsid w:val="00853DEE"/>
    <w:rsid w:val="00853E3F"/>
    <w:rsid w:val="00854006"/>
    <w:rsid w:val="00854E99"/>
    <w:rsid w:val="0086148D"/>
    <w:rsid w:val="0086335C"/>
    <w:rsid w:val="0086665E"/>
    <w:rsid w:val="00867F11"/>
    <w:rsid w:val="008746E3"/>
    <w:rsid w:val="00883646"/>
    <w:rsid w:val="00884E5F"/>
    <w:rsid w:val="00885022"/>
    <w:rsid w:val="00885828"/>
    <w:rsid w:val="00885B0B"/>
    <w:rsid w:val="00886608"/>
    <w:rsid w:val="00886E94"/>
    <w:rsid w:val="00887F02"/>
    <w:rsid w:val="00887FE7"/>
    <w:rsid w:val="00890D01"/>
    <w:rsid w:val="00894434"/>
    <w:rsid w:val="00896FB7"/>
    <w:rsid w:val="008A0168"/>
    <w:rsid w:val="008A0EB8"/>
    <w:rsid w:val="008A5879"/>
    <w:rsid w:val="008B1D5E"/>
    <w:rsid w:val="008B2746"/>
    <w:rsid w:val="008B413D"/>
    <w:rsid w:val="008B50D0"/>
    <w:rsid w:val="008B5528"/>
    <w:rsid w:val="008B63CD"/>
    <w:rsid w:val="008B6CDD"/>
    <w:rsid w:val="008C001B"/>
    <w:rsid w:val="008C028D"/>
    <w:rsid w:val="008C12C6"/>
    <w:rsid w:val="008C177C"/>
    <w:rsid w:val="008C206C"/>
    <w:rsid w:val="008C6A85"/>
    <w:rsid w:val="008D1F14"/>
    <w:rsid w:val="008D2C97"/>
    <w:rsid w:val="008D3228"/>
    <w:rsid w:val="008D3423"/>
    <w:rsid w:val="008D3CAA"/>
    <w:rsid w:val="008D4590"/>
    <w:rsid w:val="008D4F0A"/>
    <w:rsid w:val="008D58C6"/>
    <w:rsid w:val="008E02A6"/>
    <w:rsid w:val="008E1973"/>
    <w:rsid w:val="008E221A"/>
    <w:rsid w:val="008E2355"/>
    <w:rsid w:val="008E285E"/>
    <w:rsid w:val="008E3269"/>
    <w:rsid w:val="008E3724"/>
    <w:rsid w:val="008E51E3"/>
    <w:rsid w:val="008E77DC"/>
    <w:rsid w:val="008F33C3"/>
    <w:rsid w:val="008F4333"/>
    <w:rsid w:val="008F4E03"/>
    <w:rsid w:val="008F511F"/>
    <w:rsid w:val="008F6BC3"/>
    <w:rsid w:val="008F7690"/>
    <w:rsid w:val="008F7CA1"/>
    <w:rsid w:val="0090095D"/>
    <w:rsid w:val="00901D03"/>
    <w:rsid w:val="0090378B"/>
    <w:rsid w:val="00903C7D"/>
    <w:rsid w:val="00904411"/>
    <w:rsid w:val="0090590C"/>
    <w:rsid w:val="00905FC9"/>
    <w:rsid w:val="00912AE2"/>
    <w:rsid w:val="00916601"/>
    <w:rsid w:val="00916811"/>
    <w:rsid w:val="00920CB4"/>
    <w:rsid w:val="00921171"/>
    <w:rsid w:val="00921D3C"/>
    <w:rsid w:val="00921EA7"/>
    <w:rsid w:val="00921FDB"/>
    <w:rsid w:val="00923D5D"/>
    <w:rsid w:val="00925586"/>
    <w:rsid w:val="00925A6C"/>
    <w:rsid w:val="00925AD0"/>
    <w:rsid w:val="0092642A"/>
    <w:rsid w:val="0092675F"/>
    <w:rsid w:val="00927E7C"/>
    <w:rsid w:val="00931A48"/>
    <w:rsid w:val="00932062"/>
    <w:rsid w:val="00933589"/>
    <w:rsid w:val="0093362F"/>
    <w:rsid w:val="0093366E"/>
    <w:rsid w:val="00934EDE"/>
    <w:rsid w:val="009360FE"/>
    <w:rsid w:val="00941688"/>
    <w:rsid w:val="00942A44"/>
    <w:rsid w:val="00943943"/>
    <w:rsid w:val="009451A6"/>
    <w:rsid w:val="009452C2"/>
    <w:rsid w:val="00945678"/>
    <w:rsid w:val="00947A22"/>
    <w:rsid w:val="00947A5B"/>
    <w:rsid w:val="00947ACA"/>
    <w:rsid w:val="009507D4"/>
    <w:rsid w:val="009512C9"/>
    <w:rsid w:val="00953E9A"/>
    <w:rsid w:val="0095726C"/>
    <w:rsid w:val="009615E4"/>
    <w:rsid w:val="00964128"/>
    <w:rsid w:val="00966C50"/>
    <w:rsid w:val="0097249B"/>
    <w:rsid w:val="0097339E"/>
    <w:rsid w:val="009758C9"/>
    <w:rsid w:val="009771A6"/>
    <w:rsid w:val="00977228"/>
    <w:rsid w:val="0097791B"/>
    <w:rsid w:val="00980CA9"/>
    <w:rsid w:val="00983564"/>
    <w:rsid w:val="00984583"/>
    <w:rsid w:val="00985A3D"/>
    <w:rsid w:val="00985EF0"/>
    <w:rsid w:val="00990CD4"/>
    <w:rsid w:val="00995A53"/>
    <w:rsid w:val="00995B8F"/>
    <w:rsid w:val="009A0D71"/>
    <w:rsid w:val="009A1EE7"/>
    <w:rsid w:val="009A2333"/>
    <w:rsid w:val="009A54C5"/>
    <w:rsid w:val="009B2E4A"/>
    <w:rsid w:val="009B2FA4"/>
    <w:rsid w:val="009B4F9C"/>
    <w:rsid w:val="009B620E"/>
    <w:rsid w:val="009C02B7"/>
    <w:rsid w:val="009C1989"/>
    <w:rsid w:val="009C2818"/>
    <w:rsid w:val="009C6187"/>
    <w:rsid w:val="009C633B"/>
    <w:rsid w:val="009D1008"/>
    <w:rsid w:val="009D182D"/>
    <w:rsid w:val="009D3585"/>
    <w:rsid w:val="009D55C5"/>
    <w:rsid w:val="009D565B"/>
    <w:rsid w:val="009E0946"/>
    <w:rsid w:val="009E0F53"/>
    <w:rsid w:val="009E3A8F"/>
    <w:rsid w:val="009E4BB6"/>
    <w:rsid w:val="009E52F0"/>
    <w:rsid w:val="009F0B08"/>
    <w:rsid w:val="009F3259"/>
    <w:rsid w:val="009F331B"/>
    <w:rsid w:val="009F456C"/>
    <w:rsid w:val="009F4B6C"/>
    <w:rsid w:val="009F544D"/>
    <w:rsid w:val="009F5A81"/>
    <w:rsid w:val="009F5EA9"/>
    <w:rsid w:val="009F605C"/>
    <w:rsid w:val="00A001B2"/>
    <w:rsid w:val="00A005D6"/>
    <w:rsid w:val="00A00716"/>
    <w:rsid w:val="00A01773"/>
    <w:rsid w:val="00A06268"/>
    <w:rsid w:val="00A105F3"/>
    <w:rsid w:val="00A139DE"/>
    <w:rsid w:val="00A16565"/>
    <w:rsid w:val="00A1778F"/>
    <w:rsid w:val="00A20321"/>
    <w:rsid w:val="00A2267E"/>
    <w:rsid w:val="00A22ED8"/>
    <w:rsid w:val="00A232E7"/>
    <w:rsid w:val="00A24429"/>
    <w:rsid w:val="00A26031"/>
    <w:rsid w:val="00A31F3C"/>
    <w:rsid w:val="00A32E42"/>
    <w:rsid w:val="00A33B77"/>
    <w:rsid w:val="00A35906"/>
    <w:rsid w:val="00A36EFA"/>
    <w:rsid w:val="00A37194"/>
    <w:rsid w:val="00A37438"/>
    <w:rsid w:val="00A40179"/>
    <w:rsid w:val="00A40238"/>
    <w:rsid w:val="00A41773"/>
    <w:rsid w:val="00A41E7F"/>
    <w:rsid w:val="00A44565"/>
    <w:rsid w:val="00A466EC"/>
    <w:rsid w:val="00A46BBB"/>
    <w:rsid w:val="00A503DE"/>
    <w:rsid w:val="00A5383A"/>
    <w:rsid w:val="00A54374"/>
    <w:rsid w:val="00A54FB6"/>
    <w:rsid w:val="00A5515E"/>
    <w:rsid w:val="00A561C6"/>
    <w:rsid w:val="00A62A3C"/>
    <w:rsid w:val="00A63599"/>
    <w:rsid w:val="00A63735"/>
    <w:rsid w:val="00A63D98"/>
    <w:rsid w:val="00A64418"/>
    <w:rsid w:val="00A6720E"/>
    <w:rsid w:val="00A6775A"/>
    <w:rsid w:val="00A719B7"/>
    <w:rsid w:val="00A75108"/>
    <w:rsid w:val="00A75792"/>
    <w:rsid w:val="00A7641A"/>
    <w:rsid w:val="00A76DFE"/>
    <w:rsid w:val="00A80925"/>
    <w:rsid w:val="00A80D55"/>
    <w:rsid w:val="00A81596"/>
    <w:rsid w:val="00A831B9"/>
    <w:rsid w:val="00A85FBC"/>
    <w:rsid w:val="00A86F74"/>
    <w:rsid w:val="00A90B48"/>
    <w:rsid w:val="00A9478D"/>
    <w:rsid w:val="00A9554F"/>
    <w:rsid w:val="00AA06DD"/>
    <w:rsid w:val="00AA1323"/>
    <w:rsid w:val="00AA359F"/>
    <w:rsid w:val="00AA379B"/>
    <w:rsid w:val="00AA5F80"/>
    <w:rsid w:val="00AA741F"/>
    <w:rsid w:val="00AB073F"/>
    <w:rsid w:val="00AB093D"/>
    <w:rsid w:val="00AB0C21"/>
    <w:rsid w:val="00AB230C"/>
    <w:rsid w:val="00AB2324"/>
    <w:rsid w:val="00AB4A9C"/>
    <w:rsid w:val="00AB7BC1"/>
    <w:rsid w:val="00AC19DF"/>
    <w:rsid w:val="00AC2C5F"/>
    <w:rsid w:val="00AC7697"/>
    <w:rsid w:val="00AD09AD"/>
    <w:rsid w:val="00AD178B"/>
    <w:rsid w:val="00AD2F70"/>
    <w:rsid w:val="00AD53FD"/>
    <w:rsid w:val="00AD56D3"/>
    <w:rsid w:val="00AD7A50"/>
    <w:rsid w:val="00AE00C4"/>
    <w:rsid w:val="00AE1CE6"/>
    <w:rsid w:val="00AE2F5D"/>
    <w:rsid w:val="00AE45CD"/>
    <w:rsid w:val="00AE6C25"/>
    <w:rsid w:val="00AF14B2"/>
    <w:rsid w:val="00AF4247"/>
    <w:rsid w:val="00AF45BD"/>
    <w:rsid w:val="00AF5C6A"/>
    <w:rsid w:val="00AF65B8"/>
    <w:rsid w:val="00AF716C"/>
    <w:rsid w:val="00AF7416"/>
    <w:rsid w:val="00B005A4"/>
    <w:rsid w:val="00B02279"/>
    <w:rsid w:val="00B03761"/>
    <w:rsid w:val="00B10D29"/>
    <w:rsid w:val="00B112CF"/>
    <w:rsid w:val="00B11F1B"/>
    <w:rsid w:val="00B128DB"/>
    <w:rsid w:val="00B1740E"/>
    <w:rsid w:val="00B2013D"/>
    <w:rsid w:val="00B263A2"/>
    <w:rsid w:val="00B2662B"/>
    <w:rsid w:val="00B26A78"/>
    <w:rsid w:val="00B31BB1"/>
    <w:rsid w:val="00B32109"/>
    <w:rsid w:val="00B3383C"/>
    <w:rsid w:val="00B342FB"/>
    <w:rsid w:val="00B34FAC"/>
    <w:rsid w:val="00B35AA5"/>
    <w:rsid w:val="00B36D4C"/>
    <w:rsid w:val="00B37DA3"/>
    <w:rsid w:val="00B410E6"/>
    <w:rsid w:val="00B41550"/>
    <w:rsid w:val="00B41BC9"/>
    <w:rsid w:val="00B423AF"/>
    <w:rsid w:val="00B43247"/>
    <w:rsid w:val="00B47194"/>
    <w:rsid w:val="00B52519"/>
    <w:rsid w:val="00B53041"/>
    <w:rsid w:val="00B5391F"/>
    <w:rsid w:val="00B55082"/>
    <w:rsid w:val="00B56AFD"/>
    <w:rsid w:val="00B56FDD"/>
    <w:rsid w:val="00B6080B"/>
    <w:rsid w:val="00B6200B"/>
    <w:rsid w:val="00B63D11"/>
    <w:rsid w:val="00B64772"/>
    <w:rsid w:val="00B653C8"/>
    <w:rsid w:val="00B66272"/>
    <w:rsid w:val="00B67069"/>
    <w:rsid w:val="00B73262"/>
    <w:rsid w:val="00B7374A"/>
    <w:rsid w:val="00B7397F"/>
    <w:rsid w:val="00B76D9E"/>
    <w:rsid w:val="00B80A41"/>
    <w:rsid w:val="00B8124A"/>
    <w:rsid w:val="00B81E51"/>
    <w:rsid w:val="00B82827"/>
    <w:rsid w:val="00B8445F"/>
    <w:rsid w:val="00B84984"/>
    <w:rsid w:val="00B8499C"/>
    <w:rsid w:val="00B8632C"/>
    <w:rsid w:val="00B86711"/>
    <w:rsid w:val="00B86A35"/>
    <w:rsid w:val="00B91379"/>
    <w:rsid w:val="00B92117"/>
    <w:rsid w:val="00B94911"/>
    <w:rsid w:val="00B94B34"/>
    <w:rsid w:val="00B95D28"/>
    <w:rsid w:val="00B969E7"/>
    <w:rsid w:val="00BA3814"/>
    <w:rsid w:val="00BA51B2"/>
    <w:rsid w:val="00BA6090"/>
    <w:rsid w:val="00BA6864"/>
    <w:rsid w:val="00BB1D0E"/>
    <w:rsid w:val="00BB3E2D"/>
    <w:rsid w:val="00BB685B"/>
    <w:rsid w:val="00BB6903"/>
    <w:rsid w:val="00BB7BB4"/>
    <w:rsid w:val="00BC1C75"/>
    <w:rsid w:val="00BC2CD4"/>
    <w:rsid w:val="00BC2D44"/>
    <w:rsid w:val="00BC329D"/>
    <w:rsid w:val="00BC3949"/>
    <w:rsid w:val="00BC5CC8"/>
    <w:rsid w:val="00BC7A19"/>
    <w:rsid w:val="00BC7E1A"/>
    <w:rsid w:val="00BD2297"/>
    <w:rsid w:val="00BD5A0E"/>
    <w:rsid w:val="00BD7631"/>
    <w:rsid w:val="00BD7638"/>
    <w:rsid w:val="00BE2C52"/>
    <w:rsid w:val="00BE4055"/>
    <w:rsid w:val="00BE44AE"/>
    <w:rsid w:val="00BE47AC"/>
    <w:rsid w:val="00BE4A71"/>
    <w:rsid w:val="00BE4CBC"/>
    <w:rsid w:val="00BF0EEA"/>
    <w:rsid w:val="00BF11BE"/>
    <w:rsid w:val="00BF12A9"/>
    <w:rsid w:val="00BF2344"/>
    <w:rsid w:val="00BF3EEF"/>
    <w:rsid w:val="00BF40AA"/>
    <w:rsid w:val="00BF52E1"/>
    <w:rsid w:val="00BF55C2"/>
    <w:rsid w:val="00BF66E4"/>
    <w:rsid w:val="00BF6A8C"/>
    <w:rsid w:val="00BF6FBC"/>
    <w:rsid w:val="00BF70EE"/>
    <w:rsid w:val="00BF7FB5"/>
    <w:rsid w:val="00C03D24"/>
    <w:rsid w:val="00C04091"/>
    <w:rsid w:val="00C043C3"/>
    <w:rsid w:val="00C0545A"/>
    <w:rsid w:val="00C07B04"/>
    <w:rsid w:val="00C07CF1"/>
    <w:rsid w:val="00C10CFD"/>
    <w:rsid w:val="00C1188C"/>
    <w:rsid w:val="00C12260"/>
    <w:rsid w:val="00C12A55"/>
    <w:rsid w:val="00C206D2"/>
    <w:rsid w:val="00C226DB"/>
    <w:rsid w:val="00C2547F"/>
    <w:rsid w:val="00C305FA"/>
    <w:rsid w:val="00C31510"/>
    <w:rsid w:val="00C33580"/>
    <w:rsid w:val="00C340F1"/>
    <w:rsid w:val="00C34F61"/>
    <w:rsid w:val="00C365D1"/>
    <w:rsid w:val="00C4277D"/>
    <w:rsid w:val="00C437DF"/>
    <w:rsid w:val="00C4591C"/>
    <w:rsid w:val="00C473A4"/>
    <w:rsid w:val="00C479AB"/>
    <w:rsid w:val="00C51DD3"/>
    <w:rsid w:val="00C52A15"/>
    <w:rsid w:val="00C52DC3"/>
    <w:rsid w:val="00C5319C"/>
    <w:rsid w:val="00C53FF4"/>
    <w:rsid w:val="00C5649B"/>
    <w:rsid w:val="00C56B78"/>
    <w:rsid w:val="00C60133"/>
    <w:rsid w:val="00C61FBF"/>
    <w:rsid w:val="00C65644"/>
    <w:rsid w:val="00C70C96"/>
    <w:rsid w:val="00C7441E"/>
    <w:rsid w:val="00C75214"/>
    <w:rsid w:val="00C75C97"/>
    <w:rsid w:val="00C80B21"/>
    <w:rsid w:val="00C8104F"/>
    <w:rsid w:val="00C81283"/>
    <w:rsid w:val="00C84FA1"/>
    <w:rsid w:val="00C862A7"/>
    <w:rsid w:val="00C86959"/>
    <w:rsid w:val="00C86EDD"/>
    <w:rsid w:val="00C87F11"/>
    <w:rsid w:val="00C91CF1"/>
    <w:rsid w:val="00C925DA"/>
    <w:rsid w:val="00C96FBD"/>
    <w:rsid w:val="00CA0DC3"/>
    <w:rsid w:val="00CA3737"/>
    <w:rsid w:val="00CA3760"/>
    <w:rsid w:val="00CA4401"/>
    <w:rsid w:val="00CA6442"/>
    <w:rsid w:val="00CA7D37"/>
    <w:rsid w:val="00CB15C2"/>
    <w:rsid w:val="00CB2983"/>
    <w:rsid w:val="00CB40B1"/>
    <w:rsid w:val="00CB495E"/>
    <w:rsid w:val="00CB7FFC"/>
    <w:rsid w:val="00CC0356"/>
    <w:rsid w:val="00CC3173"/>
    <w:rsid w:val="00CC61BF"/>
    <w:rsid w:val="00CC6AC7"/>
    <w:rsid w:val="00CC72D2"/>
    <w:rsid w:val="00CD1915"/>
    <w:rsid w:val="00CD4821"/>
    <w:rsid w:val="00CD48E8"/>
    <w:rsid w:val="00CD5451"/>
    <w:rsid w:val="00CD76D7"/>
    <w:rsid w:val="00CE08F0"/>
    <w:rsid w:val="00CE0D68"/>
    <w:rsid w:val="00CE578C"/>
    <w:rsid w:val="00CF1353"/>
    <w:rsid w:val="00CF37E6"/>
    <w:rsid w:val="00CF5385"/>
    <w:rsid w:val="00CF755C"/>
    <w:rsid w:val="00D04FA7"/>
    <w:rsid w:val="00D04FFB"/>
    <w:rsid w:val="00D10BC6"/>
    <w:rsid w:val="00D14A47"/>
    <w:rsid w:val="00D16FCA"/>
    <w:rsid w:val="00D22970"/>
    <w:rsid w:val="00D22DF9"/>
    <w:rsid w:val="00D24404"/>
    <w:rsid w:val="00D24BA9"/>
    <w:rsid w:val="00D2515F"/>
    <w:rsid w:val="00D42D1C"/>
    <w:rsid w:val="00D449D8"/>
    <w:rsid w:val="00D47C49"/>
    <w:rsid w:val="00D502B9"/>
    <w:rsid w:val="00D50F83"/>
    <w:rsid w:val="00D52CC5"/>
    <w:rsid w:val="00D52E42"/>
    <w:rsid w:val="00D53192"/>
    <w:rsid w:val="00D57FF5"/>
    <w:rsid w:val="00D61010"/>
    <w:rsid w:val="00D6320D"/>
    <w:rsid w:val="00D6467B"/>
    <w:rsid w:val="00D662A5"/>
    <w:rsid w:val="00D6660E"/>
    <w:rsid w:val="00D669AE"/>
    <w:rsid w:val="00D67240"/>
    <w:rsid w:val="00D76178"/>
    <w:rsid w:val="00D8139B"/>
    <w:rsid w:val="00D82191"/>
    <w:rsid w:val="00D837C6"/>
    <w:rsid w:val="00D83CD2"/>
    <w:rsid w:val="00D841F9"/>
    <w:rsid w:val="00D85CAB"/>
    <w:rsid w:val="00D908E8"/>
    <w:rsid w:val="00D9098E"/>
    <w:rsid w:val="00D912F8"/>
    <w:rsid w:val="00D92D37"/>
    <w:rsid w:val="00D97A02"/>
    <w:rsid w:val="00DA0DC7"/>
    <w:rsid w:val="00DA2839"/>
    <w:rsid w:val="00DA3F5E"/>
    <w:rsid w:val="00DA4DA1"/>
    <w:rsid w:val="00DA51D0"/>
    <w:rsid w:val="00DA796D"/>
    <w:rsid w:val="00DB0250"/>
    <w:rsid w:val="00DB0629"/>
    <w:rsid w:val="00DB185E"/>
    <w:rsid w:val="00DB44F7"/>
    <w:rsid w:val="00DB48B8"/>
    <w:rsid w:val="00DB6B9F"/>
    <w:rsid w:val="00DB7966"/>
    <w:rsid w:val="00DC006E"/>
    <w:rsid w:val="00DC0A0C"/>
    <w:rsid w:val="00DC3EE8"/>
    <w:rsid w:val="00DD0DCA"/>
    <w:rsid w:val="00DD1775"/>
    <w:rsid w:val="00DD27F0"/>
    <w:rsid w:val="00DD3502"/>
    <w:rsid w:val="00DD5E79"/>
    <w:rsid w:val="00DD7922"/>
    <w:rsid w:val="00DE3A79"/>
    <w:rsid w:val="00DE5CB2"/>
    <w:rsid w:val="00DE6DBA"/>
    <w:rsid w:val="00DF1EF3"/>
    <w:rsid w:val="00DF27BB"/>
    <w:rsid w:val="00DF5ADD"/>
    <w:rsid w:val="00E003C1"/>
    <w:rsid w:val="00E1059A"/>
    <w:rsid w:val="00E11CD6"/>
    <w:rsid w:val="00E1278C"/>
    <w:rsid w:val="00E12D7C"/>
    <w:rsid w:val="00E14AA2"/>
    <w:rsid w:val="00E15742"/>
    <w:rsid w:val="00E16902"/>
    <w:rsid w:val="00E21F49"/>
    <w:rsid w:val="00E22B71"/>
    <w:rsid w:val="00E2344F"/>
    <w:rsid w:val="00E250C0"/>
    <w:rsid w:val="00E275E7"/>
    <w:rsid w:val="00E27A5C"/>
    <w:rsid w:val="00E307E8"/>
    <w:rsid w:val="00E334EF"/>
    <w:rsid w:val="00E34256"/>
    <w:rsid w:val="00E35597"/>
    <w:rsid w:val="00E35C70"/>
    <w:rsid w:val="00E374A0"/>
    <w:rsid w:val="00E37B79"/>
    <w:rsid w:val="00E42942"/>
    <w:rsid w:val="00E43F74"/>
    <w:rsid w:val="00E4414A"/>
    <w:rsid w:val="00E44D1A"/>
    <w:rsid w:val="00E45F57"/>
    <w:rsid w:val="00E534F7"/>
    <w:rsid w:val="00E54007"/>
    <w:rsid w:val="00E544B8"/>
    <w:rsid w:val="00E54FF2"/>
    <w:rsid w:val="00E608F3"/>
    <w:rsid w:val="00E6457E"/>
    <w:rsid w:val="00E645D3"/>
    <w:rsid w:val="00E656D6"/>
    <w:rsid w:val="00E65ACC"/>
    <w:rsid w:val="00E710A2"/>
    <w:rsid w:val="00E729C3"/>
    <w:rsid w:val="00E729D7"/>
    <w:rsid w:val="00E73DDE"/>
    <w:rsid w:val="00E74E8B"/>
    <w:rsid w:val="00E74FD3"/>
    <w:rsid w:val="00E768E7"/>
    <w:rsid w:val="00E76A9B"/>
    <w:rsid w:val="00E815D1"/>
    <w:rsid w:val="00E82928"/>
    <w:rsid w:val="00E839DD"/>
    <w:rsid w:val="00E845BF"/>
    <w:rsid w:val="00E84FAF"/>
    <w:rsid w:val="00E8629C"/>
    <w:rsid w:val="00E91566"/>
    <w:rsid w:val="00E922EA"/>
    <w:rsid w:val="00E94E1F"/>
    <w:rsid w:val="00E97B22"/>
    <w:rsid w:val="00EA1D14"/>
    <w:rsid w:val="00EA65DA"/>
    <w:rsid w:val="00EA7AE7"/>
    <w:rsid w:val="00EB50CA"/>
    <w:rsid w:val="00EB5D24"/>
    <w:rsid w:val="00EB6CAE"/>
    <w:rsid w:val="00EB6DF4"/>
    <w:rsid w:val="00EC09FA"/>
    <w:rsid w:val="00EC4FA9"/>
    <w:rsid w:val="00EC5694"/>
    <w:rsid w:val="00ED045C"/>
    <w:rsid w:val="00ED2577"/>
    <w:rsid w:val="00ED308F"/>
    <w:rsid w:val="00ED7854"/>
    <w:rsid w:val="00EE20F7"/>
    <w:rsid w:val="00EE263D"/>
    <w:rsid w:val="00EE5D97"/>
    <w:rsid w:val="00EE6210"/>
    <w:rsid w:val="00EF0AF8"/>
    <w:rsid w:val="00EF238C"/>
    <w:rsid w:val="00F01D09"/>
    <w:rsid w:val="00F02A1D"/>
    <w:rsid w:val="00F04BC0"/>
    <w:rsid w:val="00F1119E"/>
    <w:rsid w:val="00F120FC"/>
    <w:rsid w:val="00F1250C"/>
    <w:rsid w:val="00F13BD7"/>
    <w:rsid w:val="00F1515F"/>
    <w:rsid w:val="00F15420"/>
    <w:rsid w:val="00F15FE4"/>
    <w:rsid w:val="00F200DE"/>
    <w:rsid w:val="00F205EA"/>
    <w:rsid w:val="00F2129E"/>
    <w:rsid w:val="00F23B6E"/>
    <w:rsid w:val="00F23E1C"/>
    <w:rsid w:val="00F23FB8"/>
    <w:rsid w:val="00F317C4"/>
    <w:rsid w:val="00F31D37"/>
    <w:rsid w:val="00F32BA0"/>
    <w:rsid w:val="00F33054"/>
    <w:rsid w:val="00F36CED"/>
    <w:rsid w:val="00F41D24"/>
    <w:rsid w:val="00F43275"/>
    <w:rsid w:val="00F44BB4"/>
    <w:rsid w:val="00F4522C"/>
    <w:rsid w:val="00F46A64"/>
    <w:rsid w:val="00F46AF4"/>
    <w:rsid w:val="00F5178F"/>
    <w:rsid w:val="00F548F1"/>
    <w:rsid w:val="00F56481"/>
    <w:rsid w:val="00F56BBB"/>
    <w:rsid w:val="00F60724"/>
    <w:rsid w:val="00F617AD"/>
    <w:rsid w:val="00F61ED4"/>
    <w:rsid w:val="00F62434"/>
    <w:rsid w:val="00F65685"/>
    <w:rsid w:val="00F65B0D"/>
    <w:rsid w:val="00F660BD"/>
    <w:rsid w:val="00F7133D"/>
    <w:rsid w:val="00F723AA"/>
    <w:rsid w:val="00F73847"/>
    <w:rsid w:val="00F7471D"/>
    <w:rsid w:val="00F83111"/>
    <w:rsid w:val="00F8421E"/>
    <w:rsid w:val="00F8427D"/>
    <w:rsid w:val="00F8454A"/>
    <w:rsid w:val="00F869A2"/>
    <w:rsid w:val="00F86CD9"/>
    <w:rsid w:val="00F86FBB"/>
    <w:rsid w:val="00F9463E"/>
    <w:rsid w:val="00F9687F"/>
    <w:rsid w:val="00FA39DA"/>
    <w:rsid w:val="00FA3F74"/>
    <w:rsid w:val="00FA5FCF"/>
    <w:rsid w:val="00FB1313"/>
    <w:rsid w:val="00FB13F3"/>
    <w:rsid w:val="00FB280B"/>
    <w:rsid w:val="00FB2ECD"/>
    <w:rsid w:val="00FB4094"/>
    <w:rsid w:val="00FB47DC"/>
    <w:rsid w:val="00FB775E"/>
    <w:rsid w:val="00FB7AC5"/>
    <w:rsid w:val="00FB7E09"/>
    <w:rsid w:val="00FC0287"/>
    <w:rsid w:val="00FC3C8D"/>
    <w:rsid w:val="00FC54BF"/>
    <w:rsid w:val="00FC6787"/>
    <w:rsid w:val="00FC79C6"/>
    <w:rsid w:val="00FD0B7B"/>
    <w:rsid w:val="00FD2D5C"/>
    <w:rsid w:val="00FD527F"/>
    <w:rsid w:val="00FD6739"/>
    <w:rsid w:val="00FD7D3A"/>
    <w:rsid w:val="00FE01FD"/>
    <w:rsid w:val="00FE2EC6"/>
    <w:rsid w:val="00FE32C9"/>
    <w:rsid w:val="00FE3FDD"/>
    <w:rsid w:val="00FE45C6"/>
    <w:rsid w:val="00FE609F"/>
    <w:rsid w:val="00FF2DD6"/>
    <w:rsid w:val="00FF50FB"/>
    <w:rsid w:val="00FF5EA5"/>
    <w:rsid w:val="00FF7119"/>
    <w:rsid w:val="00FF74FC"/>
    <w:rsid w:val="01E65B92"/>
    <w:rsid w:val="01FF391D"/>
    <w:rsid w:val="021725F5"/>
    <w:rsid w:val="02311A19"/>
    <w:rsid w:val="023C4286"/>
    <w:rsid w:val="02B084D8"/>
    <w:rsid w:val="031A22FE"/>
    <w:rsid w:val="031A2FF0"/>
    <w:rsid w:val="03C5E50A"/>
    <w:rsid w:val="03D52647"/>
    <w:rsid w:val="03FAAFFB"/>
    <w:rsid w:val="045E72E8"/>
    <w:rsid w:val="0491BA3B"/>
    <w:rsid w:val="05530943"/>
    <w:rsid w:val="056D83BE"/>
    <w:rsid w:val="05E6A202"/>
    <w:rsid w:val="05F58851"/>
    <w:rsid w:val="063A96AE"/>
    <w:rsid w:val="0657D079"/>
    <w:rsid w:val="066522F5"/>
    <w:rsid w:val="069EB427"/>
    <w:rsid w:val="06FF0A7A"/>
    <w:rsid w:val="0709436C"/>
    <w:rsid w:val="0726197F"/>
    <w:rsid w:val="079CFAED"/>
    <w:rsid w:val="07B6314C"/>
    <w:rsid w:val="07C80BBD"/>
    <w:rsid w:val="08483EA0"/>
    <w:rsid w:val="087C5977"/>
    <w:rsid w:val="091E94EC"/>
    <w:rsid w:val="09FBB024"/>
    <w:rsid w:val="0A3A1B2F"/>
    <w:rsid w:val="0A40A4BE"/>
    <w:rsid w:val="0AD0EC42"/>
    <w:rsid w:val="0B69A675"/>
    <w:rsid w:val="0C0032AC"/>
    <w:rsid w:val="0C9FCCB0"/>
    <w:rsid w:val="0CAFDE8A"/>
    <w:rsid w:val="0CD8CEED"/>
    <w:rsid w:val="0D466331"/>
    <w:rsid w:val="0DA39EF9"/>
    <w:rsid w:val="0DE888F1"/>
    <w:rsid w:val="0E1F36D6"/>
    <w:rsid w:val="0E307236"/>
    <w:rsid w:val="0E310C0C"/>
    <w:rsid w:val="0E3BEE2E"/>
    <w:rsid w:val="0E4C19A3"/>
    <w:rsid w:val="0E654CE8"/>
    <w:rsid w:val="0E67F5F4"/>
    <w:rsid w:val="0E7784C4"/>
    <w:rsid w:val="0EC88217"/>
    <w:rsid w:val="0EE07B38"/>
    <w:rsid w:val="0F905D76"/>
    <w:rsid w:val="0FA2E3D0"/>
    <w:rsid w:val="0FDBD333"/>
    <w:rsid w:val="0FF32E03"/>
    <w:rsid w:val="0FF87491"/>
    <w:rsid w:val="10184E21"/>
    <w:rsid w:val="103087C5"/>
    <w:rsid w:val="105F90F5"/>
    <w:rsid w:val="10ADCB09"/>
    <w:rsid w:val="10B506A7"/>
    <w:rsid w:val="10FC7DCB"/>
    <w:rsid w:val="11317405"/>
    <w:rsid w:val="1163A79F"/>
    <w:rsid w:val="11A2726C"/>
    <w:rsid w:val="11A97925"/>
    <w:rsid w:val="11ADD1C3"/>
    <w:rsid w:val="11C4AB04"/>
    <w:rsid w:val="11CEA01C"/>
    <w:rsid w:val="11F64DAF"/>
    <w:rsid w:val="1203F24E"/>
    <w:rsid w:val="122AA810"/>
    <w:rsid w:val="13101046"/>
    <w:rsid w:val="132B4AE3"/>
    <w:rsid w:val="135F3E54"/>
    <w:rsid w:val="13922168"/>
    <w:rsid w:val="13C1392F"/>
    <w:rsid w:val="13E0F412"/>
    <w:rsid w:val="13E89332"/>
    <w:rsid w:val="1422D618"/>
    <w:rsid w:val="1443F493"/>
    <w:rsid w:val="14A1E10E"/>
    <w:rsid w:val="14A728D3"/>
    <w:rsid w:val="14E29544"/>
    <w:rsid w:val="15424AF4"/>
    <w:rsid w:val="1564CA1C"/>
    <w:rsid w:val="159D2267"/>
    <w:rsid w:val="15C9B5CB"/>
    <w:rsid w:val="15CF5198"/>
    <w:rsid w:val="15DA271B"/>
    <w:rsid w:val="1604F0E1"/>
    <w:rsid w:val="167FE5F0"/>
    <w:rsid w:val="168D1136"/>
    <w:rsid w:val="168EB984"/>
    <w:rsid w:val="16AE3845"/>
    <w:rsid w:val="16C6019A"/>
    <w:rsid w:val="16FCDD69"/>
    <w:rsid w:val="177F0929"/>
    <w:rsid w:val="17B5490E"/>
    <w:rsid w:val="180A25F7"/>
    <w:rsid w:val="182A10D1"/>
    <w:rsid w:val="1883A24C"/>
    <w:rsid w:val="18C178BC"/>
    <w:rsid w:val="1973EF23"/>
    <w:rsid w:val="199A55C2"/>
    <w:rsid w:val="199CCA55"/>
    <w:rsid w:val="19B786B2"/>
    <w:rsid w:val="19EBD4C1"/>
    <w:rsid w:val="19F322EF"/>
    <w:rsid w:val="1A09D0FF"/>
    <w:rsid w:val="1A1153E7"/>
    <w:rsid w:val="1A498E86"/>
    <w:rsid w:val="1A5BE49E"/>
    <w:rsid w:val="1A7EB58A"/>
    <w:rsid w:val="1A9A4EF4"/>
    <w:rsid w:val="1AC2AA86"/>
    <w:rsid w:val="1B4C8746"/>
    <w:rsid w:val="1B8D7B43"/>
    <w:rsid w:val="1C090DF4"/>
    <w:rsid w:val="1CE35896"/>
    <w:rsid w:val="1CFB9452"/>
    <w:rsid w:val="1D1C6966"/>
    <w:rsid w:val="1D2F3FF1"/>
    <w:rsid w:val="1D5010F8"/>
    <w:rsid w:val="1D57B4EF"/>
    <w:rsid w:val="1D69AA2A"/>
    <w:rsid w:val="1D9E1363"/>
    <w:rsid w:val="1DBBED1A"/>
    <w:rsid w:val="1DD86263"/>
    <w:rsid w:val="1E641612"/>
    <w:rsid w:val="1E9BB23E"/>
    <w:rsid w:val="1F3F114A"/>
    <w:rsid w:val="1F59587F"/>
    <w:rsid w:val="1F5EC477"/>
    <w:rsid w:val="1F730F58"/>
    <w:rsid w:val="1FC1B692"/>
    <w:rsid w:val="1FEA5CAB"/>
    <w:rsid w:val="2023B5C8"/>
    <w:rsid w:val="2072E004"/>
    <w:rsid w:val="207A6A2D"/>
    <w:rsid w:val="2081C85A"/>
    <w:rsid w:val="20BE7636"/>
    <w:rsid w:val="210904A4"/>
    <w:rsid w:val="212B99E4"/>
    <w:rsid w:val="2162617F"/>
    <w:rsid w:val="21682763"/>
    <w:rsid w:val="217F58A8"/>
    <w:rsid w:val="21CA0F89"/>
    <w:rsid w:val="21CFBF45"/>
    <w:rsid w:val="21D1DCBC"/>
    <w:rsid w:val="221FE871"/>
    <w:rsid w:val="22323F47"/>
    <w:rsid w:val="223D4063"/>
    <w:rsid w:val="2296CAD5"/>
    <w:rsid w:val="2387E9C9"/>
    <w:rsid w:val="23BFABCA"/>
    <w:rsid w:val="24543DE5"/>
    <w:rsid w:val="24648F9B"/>
    <w:rsid w:val="24D5CB25"/>
    <w:rsid w:val="25BCC978"/>
    <w:rsid w:val="25CCDC3D"/>
    <w:rsid w:val="26263F1D"/>
    <w:rsid w:val="262AF52A"/>
    <w:rsid w:val="263AFE52"/>
    <w:rsid w:val="265784DA"/>
    <w:rsid w:val="2687B2C7"/>
    <w:rsid w:val="26D84874"/>
    <w:rsid w:val="26DFAA81"/>
    <w:rsid w:val="27874BF8"/>
    <w:rsid w:val="2789713D"/>
    <w:rsid w:val="27E0AFA7"/>
    <w:rsid w:val="28228562"/>
    <w:rsid w:val="29259D0E"/>
    <w:rsid w:val="2958A7A5"/>
    <w:rsid w:val="296513A1"/>
    <w:rsid w:val="29651E13"/>
    <w:rsid w:val="29E4FF85"/>
    <w:rsid w:val="2A9FC8A3"/>
    <w:rsid w:val="2AED6113"/>
    <w:rsid w:val="2B507729"/>
    <w:rsid w:val="2B62459E"/>
    <w:rsid w:val="2BA43828"/>
    <w:rsid w:val="2C19BE9C"/>
    <w:rsid w:val="2C6D14C7"/>
    <w:rsid w:val="2C6DE3FD"/>
    <w:rsid w:val="2C8063E9"/>
    <w:rsid w:val="2C96F88E"/>
    <w:rsid w:val="2C981A3E"/>
    <w:rsid w:val="2CB1E09D"/>
    <w:rsid w:val="2CD22775"/>
    <w:rsid w:val="2D1E6DD2"/>
    <w:rsid w:val="2D622B22"/>
    <w:rsid w:val="2D820558"/>
    <w:rsid w:val="2DBA39EF"/>
    <w:rsid w:val="2DF90E31"/>
    <w:rsid w:val="2DFECDC1"/>
    <w:rsid w:val="2E37DDE9"/>
    <w:rsid w:val="2E52AFA3"/>
    <w:rsid w:val="2EA61273"/>
    <w:rsid w:val="2F05D160"/>
    <w:rsid w:val="2F7AD4CF"/>
    <w:rsid w:val="2F8154FF"/>
    <w:rsid w:val="2FB804AB"/>
    <w:rsid w:val="2FC57014"/>
    <w:rsid w:val="30115E15"/>
    <w:rsid w:val="302AE4F4"/>
    <w:rsid w:val="3033B780"/>
    <w:rsid w:val="30651059"/>
    <w:rsid w:val="3091FFED"/>
    <w:rsid w:val="31178696"/>
    <w:rsid w:val="322E0BC4"/>
    <w:rsid w:val="325D10A0"/>
    <w:rsid w:val="328B63BE"/>
    <w:rsid w:val="32D50107"/>
    <w:rsid w:val="3307CB2C"/>
    <w:rsid w:val="3318DF2F"/>
    <w:rsid w:val="3368F7D6"/>
    <w:rsid w:val="33758CE0"/>
    <w:rsid w:val="33B2CB3A"/>
    <w:rsid w:val="33EE4205"/>
    <w:rsid w:val="34211BDE"/>
    <w:rsid w:val="34449C98"/>
    <w:rsid w:val="34CBE4C9"/>
    <w:rsid w:val="34D2A512"/>
    <w:rsid w:val="34F482E7"/>
    <w:rsid w:val="3541869E"/>
    <w:rsid w:val="35604CBA"/>
    <w:rsid w:val="356E962B"/>
    <w:rsid w:val="35713628"/>
    <w:rsid w:val="35C90B83"/>
    <w:rsid w:val="35CA7A30"/>
    <w:rsid w:val="35DF0F8B"/>
    <w:rsid w:val="35EAF7B9"/>
    <w:rsid w:val="36585F31"/>
    <w:rsid w:val="3672702F"/>
    <w:rsid w:val="367F5E07"/>
    <w:rsid w:val="369FE7F4"/>
    <w:rsid w:val="36C16AD9"/>
    <w:rsid w:val="372B6B3C"/>
    <w:rsid w:val="3764568E"/>
    <w:rsid w:val="37ABE4FF"/>
    <w:rsid w:val="37B7D0CF"/>
    <w:rsid w:val="37C7336A"/>
    <w:rsid w:val="37CA408C"/>
    <w:rsid w:val="388B6618"/>
    <w:rsid w:val="38B6D983"/>
    <w:rsid w:val="38E31815"/>
    <w:rsid w:val="38F98C18"/>
    <w:rsid w:val="39ABCA61"/>
    <w:rsid w:val="3A03A729"/>
    <w:rsid w:val="3A134BB0"/>
    <w:rsid w:val="3AB6D219"/>
    <w:rsid w:val="3ACE7323"/>
    <w:rsid w:val="3B43A52C"/>
    <w:rsid w:val="3B5C3BFE"/>
    <w:rsid w:val="3B6AA243"/>
    <w:rsid w:val="3BE782B2"/>
    <w:rsid w:val="3BF475E8"/>
    <w:rsid w:val="3C2824C6"/>
    <w:rsid w:val="3C4BA580"/>
    <w:rsid w:val="3C77DC5E"/>
    <w:rsid w:val="3CAAC1E3"/>
    <w:rsid w:val="3DECD52A"/>
    <w:rsid w:val="3E184844"/>
    <w:rsid w:val="3E499246"/>
    <w:rsid w:val="3E537327"/>
    <w:rsid w:val="3E8F305B"/>
    <w:rsid w:val="3EBBA956"/>
    <w:rsid w:val="3EFC770E"/>
    <w:rsid w:val="3F125429"/>
    <w:rsid w:val="3F4BBE7E"/>
    <w:rsid w:val="3F5A8204"/>
    <w:rsid w:val="3FC7BF7F"/>
    <w:rsid w:val="3FF636E2"/>
    <w:rsid w:val="40185B43"/>
    <w:rsid w:val="4018D099"/>
    <w:rsid w:val="401D7530"/>
    <w:rsid w:val="40C96E12"/>
    <w:rsid w:val="41040A8E"/>
    <w:rsid w:val="413B24A5"/>
    <w:rsid w:val="416D456A"/>
    <w:rsid w:val="41A22561"/>
    <w:rsid w:val="41E02B1A"/>
    <w:rsid w:val="41E698A6"/>
    <w:rsid w:val="421C5A0E"/>
    <w:rsid w:val="42B85DCA"/>
    <w:rsid w:val="42B92BE3"/>
    <w:rsid w:val="42E4B316"/>
    <w:rsid w:val="4318BCF1"/>
    <w:rsid w:val="4323BCD3"/>
    <w:rsid w:val="43343E3B"/>
    <w:rsid w:val="433630CC"/>
    <w:rsid w:val="434C7AE8"/>
    <w:rsid w:val="43742FB0"/>
    <w:rsid w:val="43B28F91"/>
    <w:rsid w:val="44F73212"/>
    <w:rsid w:val="4517F736"/>
    <w:rsid w:val="4520FFD8"/>
    <w:rsid w:val="4596F8E0"/>
    <w:rsid w:val="4605935D"/>
    <w:rsid w:val="4605DEF4"/>
    <w:rsid w:val="460E17C3"/>
    <w:rsid w:val="461C53D8"/>
    <w:rsid w:val="4665C21F"/>
    <w:rsid w:val="46891B11"/>
    <w:rsid w:val="46B2A4CD"/>
    <w:rsid w:val="46B30DC5"/>
    <w:rsid w:val="470B5713"/>
    <w:rsid w:val="47EB4ADB"/>
    <w:rsid w:val="480B3997"/>
    <w:rsid w:val="482DD66A"/>
    <w:rsid w:val="48368EA9"/>
    <w:rsid w:val="4870EA8F"/>
    <w:rsid w:val="48B2D1D3"/>
    <w:rsid w:val="48BF44D3"/>
    <w:rsid w:val="48ED1D7D"/>
    <w:rsid w:val="48F2BD0F"/>
    <w:rsid w:val="48F7BCC3"/>
    <w:rsid w:val="495356BC"/>
    <w:rsid w:val="49A034BF"/>
    <w:rsid w:val="4B02DCE6"/>
    <w:rsid w:val="4B20D785"/>
    <w:rsid w:val="4B795D22"/>
    <w:rsid w:val="4B84FB67"/>
    <w:rsid w:val="4BC8522D"/>
    <w:rsid w:val="4BFC411D"/>
    <w:rsid w:val="4C29B97C"/>
    <w:rsid w:val="4CD4DB33"/>
    <w:rsid w:val="4CEE9CCD"/>
    <w:rsid w:val="4CFFB7B6"/>
    <w:rsid w:val="4D1DDD17"/>
    <w:rsid w:val="4D7EFDD3"/>
    <w:rsid w:val="4DE250FB"/>
    <w:rsid w:val="4E1CF7FD"/>
    <w:rsid w:val="4E374107"/>
    <w:rsid w:val="4EB3C4E1"/>
    <w:rsid w:val="4F1B28B0"/>
    <w:rsid w:val="4F305DA5"/>
    <w:rsid w:val="4F337744"/>
    <w:rsid w:val="4F666929"/>
    <w:rsid w:val="4FAD35EA"/>
    <w:rsid w:val="4FC61D45"/>
    <w:rsid w:val="4FFC9AAF"/>
    <w:rsid w:val="511EB9BD"/>
    <w:rsid w:val="51F1C96E"/>
    <w:rsid w:val="51F7375E"/>
    <w:rsid w:val="521D37E4"/>
    <w:rsid w:val="52230FB1"/>
    <w:rsid w:val="52498959"/>
    <w:rsid w:val="525D08AA"/>
    <w:rsid w:val="527CFCDB"/>
    <w:rsid w:val="5294FFDC"/>
    <w:rsid w:val="52A5F6D2"/>
    <w:rsid w:val="530C0577"/>
    <w:rsid w:val="545A5177"/>
    <w:rsid w:val="5493A24D"/>
    <w:rsid w:val="551CCF16"/>
    <w:rsid w:val="55C518BA"/>
    <w:rsid w:val="55CE99D7"/>
    <w:rsid w:val="55D2F79E"/>
    <w:rsid w:val="56732F8B"/>
    <w:rsid w:val="57198D3B"/>
    <w:rsid w:val="577FA1E4"/>
    <w:rsid w:val="57B805F0"/>
    <w:rsid w:val="58050060"/>
    <w:rsid w:val="58168E13"/>
    <w:rsid w:val="58415C56"/>
    <w:rsid w:val="5861D6CA"/>
    <w:rsid w:val="58B820ED"/>
    <w:rsid w:val="58DDCFA3"/>
    <w:rsid w:val="58FD337A"/>
    <w:rsid w:val="593962A6"/>
    <w:rsid w:val="59421DC6"/>
    <w:rsid w:val="59B15CA9"/>
    <w:rsid w:val="59CB9E49"/>
    <w:rsid w:val="59F6FE93"/>
    <w:rsid w:val="5A6AA638"/>
    <w:rsid w:val="5AB14C5F"/>
    <w:rsid w:val="5AC97F64"/>
    <w:rsid w:val="5AD04125"/>
    <w:rsid w:val="5B675AF4"/>
    <w:rsid w:val="5B937645"/>
    <w:rsid w:val="5BD17595"/>
    <w:rsid w:val="5C39101E"/>
    <w:rsid w:val="5C426DE7"/>
    <w:rsid w:val="5C50302C"/>
    <w:rsid w:val="5CB7501A"/>
    <w:rsid w:val="5CD4A550"/>
    <w:rsid w:val="5D434FCA"/>
    <w:rsid w:val="5DCAFE28"/>
    <w:rsid w:val="5DD8FA29"/>
    <w:rsid w:val="5E77DB4B"/>
    <w:rsid w:val="5E93AE12"/>
    <w:rsid w:val="5F121145"/>
    <w:rsid w:val="5F2A62F5"/>
    <w:rsid w:val="5F4ABF3C"/>
    <w:rsid w:val="60702110"/>
    <w:rsid w:val="60942C5F"/>
    <w:rsid w:val="60B9D20C"/>
    <w:rsid w:val="60DCF825"/>
    <w:rsid w:val="60E159A4"/>
    <w:rsid w:val="60E30E01"/>
    <w:rsid w:val="610E2150"/>
    <w:rsid w:val="61108169"/>
    <w:rsid w:val="614DA99A"/>
    <w:rsid w:val="61F59F1A"/>
    <w:rsid w:val="62373D88"/>
    <w:rsid w:val="62B62936"/>
    <w:rsid w:val="62E880A6"/>
    <w:rsid w:val="63030749"/>
    <w:rsid w:val="630CA3CF"/>
    <w:rsid w:val="632B7017"/>
    <w:rsid w:val="637A9FEB"/>
    <w:rsid w:val="63ADA20B"/>
    <w:rsid w:val="6436861D"/>
    <w:rsid w:val="64C2BF18"/>
    <w:rsid w:val="64FF2F1D"/>
    <w:rsid w:val="655E42D5"/>
    <w:rsid w:val="655EEBDC"/>
    <w:rsid w:val="66285585"/>
    <w:rsid w:val="6674A30B"/>
    <w:rsid w:val="6698B3A9"/>
    <w:rsid w:val="66D1D9AA"/>
    <w:rsid w:val="66DE84B6"/>
    <w:rsid w:val="66FF1BA8"/>
    <w:rsid w:val="67096DAB"/>
    <w:rsid w:val="6714D973"/>
    <w:rsid w:val="673A037C"/>
    <w:rsid w:val="677550D4"/>
    <w:rsid w:val="679F77DB"/>
    <w:rsid w:val="684594C6"/>
    <w:rsid w:val="689358FB"/>
    <w:rsid w:val="68ABBB94"/>
    <w:rsid w:val="68B59232"/>
    <w:rsid w:val="6956409E"/>
    <w:rsid w:val="69748596"/>
    <w:rsid w:val="699170FF"/>
    <w:rsid w:val="6A09DDFD"/>
    <w:rsid w:val="6A2C2569"/>
    <w:rsid w:val="6A478BF5"/>
    <w:rsid w:val="6A66DA5C"/>
    <w:rsid w:val="6A6AB20E"/>
    <w:rsid w:val="6A74A1B4"/>
    <w:rsid w:val="6A75EC3E"/>
    <w:rsid w:val="6A991CA8"/>
    <w:rsid w:val="6AD5894E"/>
    <w:rsid w:val="6B4E8F93"/>
    <w:rsid w:val="6C32EDAC"/>
    <w:rsid w:val="6C5ED8EA"/>
    <w:rsid w:val="6C796427"/>
    <w:rsid w:val="6C9B8A1F"/>
    <w:rsid w:val="6CF44524"/>
    <w:rsid w:val="6CFF52F6"/>
    <w:rsid w:val="6D495632"/>
    <w:rsid w:val="6D97A487"/>
    <w:rsid w:val="6E2EAD82"/>
    <w:rsid w:val="6E36A1E4"/>
    <w:rsid w:val="6E36EAB8"/>
    <w:rsid w:val="6E78F6A0"/>
    <w:rsid w:val="6ED967D9"/>
    <w:rsid w:val="6EDBDF54"/>
    <w:rsid w:val="6EEA1D43"/>
    <w:rsid w:val="6EFC8C49"/>
    <w:rsid w:val="6F59D7EA"/>
    <w:rsid w:val="6FDF4282"/>
    <w:rsid w:val="701D9939"/>
    <w:rsid w:val="702CCFD8"/>
    <w:rsid w:val="704940A4"/>
    <w:rsid w:val="706066F6"/>
    <w:rsid w:val="70A57CD1"/>
    <w:rsid w:val="70F3DBFC"/>
    <w:rsid w:val="710F97A1"/>
    <w:rsid w:val="7151EF7B"/>
    <w:rsid w:val="71B4F493"/>
    <w:rsid w:val="71D3C8AF"/>
    <w:rsid w:val="71F230CD"/>
    <w:rsid w:val="72107C5C"/>
    <w:rsid w:val="727F2CFA"/>
    <w:rsid w:val="73300D18"/>
    <w:rsid w:val="73BED387"/>
    <w:rsid w:val="74131526"/>
    <w:rsid w:val="7413E45C"/>
    <w:rsid w:val="7462A777"/>
    <w:rsid w:val="74660B5F"/>
    <w:rsid w:val="75042549"/>
    <w:rsid w:val="752084F7"/>
    <w:rsid w:val="7542F863"/>
    <w:rsid w:val="7548645B"/>
    <w:rsid w:val="75D5089D"/>
    <w:rsid w:val="77300E7D"/>
    <w:rsid w:val="77623523"/>
    <w:rsid w:val="7828C122"/>
    <w:rsid w:val="788C6644"/>
    <w:rsid w:val="78D6E1DF"/>
    <w:rsid w:val="7979148C"/>
    <w:rsid w:val="7981220F"/>
    <w:rsid w:val="7992D7D0"/>
    <w:rsid w:val="79EEE52E"/>
    <w:rsid w:val="79F7CBA5"/>
    <w:rsid w:val="7A16291A"/>
    <w:rsid w:val="7A19E64C"/>
    <w:rsid w:val="7A3E19B3"/>
    <w:rsid w:val="7A7C6513"/>
    <w:rsid w:val="7A97E839"/>
    <w:rsid w:val="7AAB1029"/>
    <w:rsid w:val="7B32C7FF"/>
    <w:rsid w:val="7B87BEAE"/>
    <w:rsid w:val="7BB4C2AD"/>
    <w:rsid w:val="7BBE8260"/>
    <w:rsid w:val="7C387FD0"/>
    <w:rsid w:val="7CE6C164"/>
    <w:rsid w:val="7CF7FED9"/>
    <w:rsid w:val="7D0BF840"/>
    <w:rsid w:val="7D1DB450"/>
    <w:rsid w:val="7D21EAF0"/>
    <w:rsid w:val="7E6FEB17"/>
    <w:rsid w:val="7F2C109A"/>
    <w:rsid w:val="7F6EC0A0"/>
    <w:rsid w:val="7F86ACC3"/>
    <w:rsid w:val="7F8B1B74"/>
    <w:rsid w:val="7FDC7F45"/>
    <w:rsid w:val="7FFEB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03B36"/>
  <w15:chartTrackingRefBased/>
  <w15:docId w15:val="{187CF4F2-8047-4E79-A608-2A3A2DDD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3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F12A9"/>
    <w:rPr>
      <w:rFonts w:ascii="MetaPro-Medi" w:hAnsi="MetaPro-Medi"/>
      <w:sz w:val="22"/>
      <w:vertAlign w:val="superscript"/>
    </w:rPr>
  </w:style>
  <w:style w:type="paragraph" w:styleId="NoSpacing">
    <w:name w:val="No Spacing"/>
    <w:uiPriority w:val="1"/>
    <w:qFormat/>
    <w:rsid w:val="006E3032"/>
    <w:pPr>
      <w:spacing w:after="0" w:line="240" w:lineRule="auto"/>
    </w:pPr>
    <w:rPr>
      <w:rFonts w:ascii="Times New Roman" w:eastAsia="SimSun" w:hAnsi="Times New Roman" w:cs="Times New Roman"/>
      <w:kern w:val="0"/>
      <w:sz w:val="24"/>
      <w:szCs w:val="24"/>
      <w:lang w:eastAsia="zh-CN"/>
    </w:rPr>
  </w:style>
  <w:style w:type="paragraph" w:styleId="FootnoteText">
    <w:name w:val="footnote text"/>
    <w:aliases w:val="5_G,Footnote Text Char Char,Footnote Text Char1 Char Char,Footnote Text Char Char Char Char,Footnote Text Char Char1,Footnote Text Char Char Char,Char Char,Char,fn,ft,footnotes,Footnote Text Char2 Char,f"/>
    <w:basedOn w:val="Normal"/>
    <w:link w:val="FootnoteTextChar"/>
    <w:uiPriority w:val="99"/>
    <w:unhideWhenUsed/>
    <w:qFormat/>
    <w:rsid w:val="000F2A03"/>
    <w:pPr>
      <w:spacing w:after="0" w:line="240" w:lineRule="auto"/>
    </w:pPr>
    <w:rPr>
      <w:rFonts w:ascii="MetaPro-Norm" w:hAnsi="MetaPro-Norm"/>
      <w:sz w:val="16"/>
      <w:szCs w:val="20"/>
    </w:rPr>
  </w:style>
  <w:style w:type="character" w:customStyle="1" w:styleId="FootnoteTextChar">
    <w:name w:val="Footnote Text Char"/>
    <w:aliases w:val="5_G Char,Footnote Text Char Char Char1,Footnote Text Char1 Char Char Char,Footnote Text Char Char Char Char Char,Footnote Text Char Char1 Char,Footnote Text Char Char Char Char1,Char Char Char,Char Char1,fn Char,ft Char,footnotes Char"/>
    <w:basedOn w:val="DefaultParagraphFont"/>
    <w:link w:val="FootnoteText"/>
    <w:uiPriority w:val="99"/>
    <w:rsid w:val="000F2A03"/>
    <w:rPr>
      <w:rFonts w:ascii="MetaPro-Norm" w:hAnsi="MetaPro-Norm"/>
      <w:kern w:val="0"/>
      <w:sz w:val="16"/>
      <w:szCs w:val="20"/>
    </w:rPr>
  </w:style>
  <w:style w:type="paragraph" w:styleId="ListParagraph">
    <w:name w:val="List Paragraph"/>
    <w:basedOn w:val="Normal"/>
    <w:uiPriority w:val="34"/>
    <w:qFormat/>
    <w:rsid w:val="006133F6"/>
    <w:pPr>
      <w:ind w:left="720"/>
      <w:contextualSpacing/>
    </w:pPr>
  </w:style>
  <w:style w:type="paragraph" w:styleId="Header">
    <w:name w:val="header"/>
    <w:basedOn w:val="Normal"/>
    <w:link w:val="HeaderChar"/>
    <w:uiPriority w:val="99"/>
    <w:unhideWhenUsed/>
    <w:rsid w:val="00C60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133"/>
    <w:rPr>
      <w:kern w:val="0"/>
    </w:rPr>
  </w:style>
  <w:style w:type="paragraph" w:styleId="Footer">
    <w:name w:val="footer"/>
    <w:basedOn w:val="Normal"/>
    <w:link w:val="FooterChar"/>
    <w:uiPriority w:val="99"/>
    <w:unhideWhenUsed/>
    <w:rsid w:val="00C60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133"/>
    <w:rPr>
      <w:kern w:val="0"/>
    </w:rPr>
  </w:style>
  <w:style w:type="character" w:styleId="CommentReference">
    <w:name w:val="annotation reference"/>
    <w:basedOn w:val="DefaultParagraphFont"/>
    <w:uiPriority w:val="99"/>
    <w:semiHidden/>
    <w:unhideWhenUsed/>
    <w:rsid w:val="00354FD2"/>
    <w:rPr>
      <w:sz w:val="16"/>
      <w:szCs w:val="16"/>
    </w:rPr>
  </w:style>
  <w:style w:type="paragraph" w:styleId="CommentText">
    <w:name w:val="annotation text"/>
    <w:basedOn w:val="Normal"/>
    <w:link w:val="CommentTextChar"/>
    <w:uiPriority w:val="99"/>
    <w:unhideWhenUsed/>
    <w:rsid w:val="00354FD2"/>
    <w:pPr>
      <w:spacing w:line="240" w:lineRule="auto"/>
    </w:pPr>
    <w:rPr>
      <w:sz w:val="20"/>
      <w:szCs w:val="20"/>
    </w:rPr>
  </w:style>
  <w:style w:type="character" w:customStyle="1" w:styleId="CommentTextChar">
    <w:name w:val="Comment Text Char"/>
    <w:basedOn w:val="DefaultParagraphFont"/>
    <w:link w:val="CommentText"/>
    <w:uiPriority w:val="99"/>
    <w:rsid w:val="00354FD2"/>
    <w:rPr>
      <w:kern w:val="0"/>
      <w:sz w:val="20"/>
      <w:szCs w:val="20"/>
    </w:rPr>
  </w:style>
  <w:style w:type="paragraph" w:styleId="CommentSubject">
    <w:name w:val="annotation subject"/>
    <w:basedOn w:val="CommentText"/>
    <w:next w:val="CommentText"/>
    <w:link w:val="CommentSubjectChar"/>
    <w:uiPriority w:val="99"/>
    <w:semiHidden/>
    <w:unhideWhenUsed/>
    <w:rsid w:val="00354FD2"/>
    <w:rPr>
      <w:b/>
      <w:bCs/>
    </w:rPr>
  </w:style>
  <w:style w:type="character" w:customStyle="1" w:styleId="CommentSubjectChar">
    <w:name w:val="Comment Subject Char"/>
    <w:basedOn w:val="CommentTextChar"/>
    <w:link w:val="CommentSubject"/>
    <w:uiPriority w:val="99"/>
    <w:semiHidden/>
    <w:rsid w:val="00354FD2"/>
    <w:rPr>
      <w:b/>
      <w:bCs/>
      <w:kern w:val="0"/>
      <w:sz w:val="20"/>
      <w:szCs w:val="20"/>
    </w:rPr>
  </w:style>
  <w:style w:type="character" w:styleId="Hyperlink">
    <w:name w:val="Hyperlink"/>
    <w:basedOn w:val="DefaultParagraphFont"/>
    <w:uiPriority w:val="99"/>
    <w:unhideWhenUsed/>
    <w:rsid w:val="007B615E"/>
    <w:rPr>
      <w:color w:val="0563C1" w:themeColor="hyperlink"/>
      <w:u w:val="single"/>
    </w:rPr>
  </w:style>
  <w:style w:type="character" w:styleId="UnresolvedMention">
    <w:name w:val="Unresolved Mention"/>
    <w:basedOn w:val="DefaultParagraphFont"/>
    <w:uiPriority w:val="99"/>
    <w:semiHidden/>
    <w:unhideWhenUsed/>
    <w:rsid w:val="007B615E"/>
    <w:rPr>
      <w:color w:val="605E5C"/>
      <w:shd w:val="clear" w:color="auto" w:fill="E1DFDD"/>
    </w:rPr>
  </w:style>
  <w:style w:type="character" w:customStyle="1" w:styleId="contentpasted1">
    <w:name w:val="contentpasted1"/>
    <w:basedOn w:val="DefaultParagraphFont"/>
    <w:rsid w:val="00AF5C6A"/>
  </w:style>
  <w:style w:type="paragraph" w:styleId="Revision">
    <w:name w:val="Revision"/>
    <w:hidden/>
    <w:uiPriority w:val="99"/>
    <w:semiHidden/>
    <w:rsid w:val="002622F2"/>
    <w:pPr>
      <w:spacing w:after="0" w:line="240" w:lineRule="auto"/>
    </w:pPr>
    <w:rPr>
      <w:kern w:val="0"/>
    </w:rPr>
  </w:style>
  <w:style w:type="character" w:styleId="Mention">
    <w:name w:val="Mention"/>
    <w:basedOn w:val="DefaultParagraphFont"/>
    <w:uiPriority w:val="99"/>
    <w:unhideWhenUsed/>
    <w:rsid w:val="007B4A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12">
      <w:bodyDiv w:val="1"/>
      <w:marLeft w:val="0"/>
      <w:marRight w:val="0"/>
      <w:marTop w:val="0"/>
      <w:marBottom w:val="0"/>
      <w:divBdr>
        <w:top w:val="none" w:sz="0" w:space="0" w:color="auto"/>
        <w:left w:val="none" w:sz="0" w:space="0" w:color="auto"/>
        <w:bottom w:val="none" w:sz="0" w:space="0" w:color="auto"/>
        <w:right w:val="none" w:sz="0" w:space="0" w:color="auto"/>
      </w:divBdr>
    </w:div>
    <w:div w:id="49159278">
      <w:bodyDiv w:val="1"/>
      <w:marLeft w:val="0"/>
      <w:marRight w:val="0"/>
      <w:marTop w:val="0"/>
      <w:marBottom w:val="0"/>
      <w:divBdr>
        <w:top w:val="none" w:sz="0" w:space="0" w:color="auto"/>
        <w:left w:val="none" w:sz="0" w:space="0" w:color="auto"/>
        <w:bottom w:val="none" w:sz="0" w:space="0" w:color="auto"/>
        <w:right w:val="none" w:sz="0" w:space="0" w:color="auto"/>
      </w:divBdr>
    </w:div>
    <w:div w:id="185872696">
      <w:bodyDiv w:val="1"/>
      <w:marLeft w:val="0"/>
      <w:marRight w:val="0"/>
      <w:marTop w:val="0"/>
      <w:marBottom w:val="0"/>
      <w:divBdr>
        <w:top w:val="none" w:sz="0" w:space="0" w:color="auto"/>
        <w:left w:val="none" w:sz="0" w:space="0" w:color="auto"/>
        <w:bottom w:val="none" w:sz="0" w:space="0" w:color="auto"/>
        <w:right w:val="none" w:sz="0" w:space="0" w:color="auto"/>
      </w:divBdr>
    </w:div>
    <w:div w:id="223880703">
      <w:bodyDiv w:val="1"/>
      <w:marLeft w:val="0"/>
      <w:marRight w:val="0"/>
      <w:marTop w:val="0"/>
      <w:marBottom w:val="0"/>
      <w:divBdr>
        <w:top w:val="none" w:sz="0" w:space="0" w:color="auto"/>
        <w:left w:val="none" w:sz="0" w:space="0" w:color="auto"/>
        <w:bottom w:val="none" w:sz="0" w:space="0" w:color="auto"/>
        <w:right w:val="none" w:sz="0" w:space="0" w:color="auto"/>
      </w:divBdr>
    </w:div>
    <w:div w:id="268895447">
      <w:bodyDiv w:val="1"/>
      <w:marLeft w:val="0"/>
      <w:marRight w:val="0"/>
      <w:marTop w:val="0"/>
      <w:marBottom w:val="0"/>
      <w:divBdr>
        <w:top w:val="none" w:sz="0" w:space="0" w:color="auto"/>
        <w:left w:val="none" w:sz="0" w:space="0" w:color="auto"/>
        <w:bottom w:val="none" w:sz="0" w:space="0" w:color="auto"/>
        <w:right w:val="none" w:sz="0" w:space="0" w:color="auto"/>
      </w:divBdr>
    </w:div>
    <w:div w:id="302737412">
      <w:bodyDiv w:val="1"/>
      <w:marLeft w:val="0"/>
      <w:marRight w:val="0"/>
      <w:marTop w:val="0"/>
      <w:marBottom w:val="0"/>
      <w:divBdr>
        <w:top w:val="none" w:sz="0" w:space="0" w:color="auto"/>
        <w:left w:val="none" w:sz="0" w:space="0" w:color="auto"/>
        <w:bottom w:val="none" w:sz="0" w:space="0" w:color="auto"/>
        <w:right w:val="none" w:sz="0" w:space="0" w:color="auto"/>
      </w:divBdr>
    </w:div>
    <w:div w:id="316694237">
      <w:bodyDiv w:val="1"/>
      <w:marLeft w:val="0"/>
      <w:marRight w:val="0"/>
      <w:marTop w:val="0"/>
      <w:marBottom w:val="0"/>
      <w:divBdr>
        <w:top w:val="none" w:sz="0" w:space="0" w:color="auto"/>
        <w:left w:val="none" w:sz="0" w:space="0" w:color="auto"/>
        <w:bottom w:val="none" w:sz="0" w:space="0" w:color="auto"/>
        <w:right w:val="none" w:sz="0" w:space="0" w:color="auto"/>
      </w:divBdr>
    </w:div>
    <w:div w:id="585041896">
      <w:bodyDiv w:val="1"/>
      <w:marLeft w:val="0"/>
      <w:marRight w:val="0"/>
      <w:marTop w:val="0"/>
      <w:marBottom w:val="0"/>
      <w:divBdr>
        <w:top w:val="none" w:sz="0" w:space="0" w:color="auto"/>
        <w:left w:val="none" w:sz="0" w:space="0" w:color="auto"/>
        <w:bottom w:val="none" w:sz="0" w:space="0" w:color="auto"/>
        <w:right w:val="none" w:sz="0" w:space="0" w:color="auto"/>
      </w:divBdr>
    </w:div>
    <w:div w:id="631055524">
      <w:bodyDiv w:val="1"/>
      <w:marLeft w:val="0"/>
      <w:marRight w:val="0"/>
      <w:marTop w:val="0"/>
      <w:marBottom w:val="0"/>
      <w:divBdr>
        <w:top w:val="none" w:sz="0" w:space="0" w:color="auto"/>
        <w:left w:val="none" w:sz="0" w:space="0" w:color="auto"/>
        <w:bottom w:val="none" w:sz="0" w:space="0" w:color="auto"/>
        <w:right w:val="none" w:sz="0" w:space="0" w:color="auto"/>
      </w:divBdr>
    </w:div>
    <w:div w:id="682166715">
      <w:bodyDiv w:val="1"/>
      <w:marLeft w:val="0"/>
      <w:marRight w:val="0"/>
      <w:marTop w:val="0"/>
      <w:marBottom w:val="0"/>
      <w:divBdr>
        <w:top w:val="none" w:sz="0" w:space="0" w:color="auto"/>
        <w:left w:val="none" w:sz="0" w:space="0" w:color="auto"/>
        <w:bottom w:val="none" w:sz="0" w:space="0" w:color="auto"/>
        <w:right w:val="none" w:sz="0" w:space="0" w:color="auto"/>
      </w:divBdr>
    </w:div>
    <w:div w:id="806705784">
      <w:bodyDiv w:val="1"/>
      <w:marLeft w:val="0"/>
      <w:marRight w:val="0"/>
      <w:marTop w:val="0"/>
      <w:marBottom w:val="0"/>
      <w:divBdr>
        <w:top w:val="none" w:sz="0" w:space="0" w:color="auto"/>
        <w:left w:val="none" w:sz="0" w:space="0" w:color="auto"/>
        <w:bottom w:val="none" w:sz="0" w:space="0" w:color="auto"/>
        <w:right w:val="none" w:sz="0" w:space="0" w:color="auto"/>
      </w:divBdr>
    </w:div>
    <w:div w:id="850073167">
      <w:bodyDiv w:val="1"/>
      <w:marLeft w:val="0"/>
      <w:marRight w:val="0"/>
      <w:marTop w:val="0"/>
      <w:marBottom w:val="0"/>
      <w:divBdr>
        <w:top w:val="none" w:sz="0" w:space="0" w:color="auto"/>
        <w:left w:val="none" w:sz="0" w:space="0" w:color="auto"/>
        <w:bottom w:val="none" w:sz="0" w:space="0" w:color="auto"/>
        <w:right w:val="none" w:sz="0" w:space="0" w:color="auto"/>
      </w:divBdr>
    </w:div>
    <w:div w:id="1035036936">
      <w:bodyDiv w:val="1"/>
      <w:marLeft w:val="0"/>
      <w:marRight w:val="0"/>
      <w:marTop w:val="0"/>
      <w:marBottom w:val="0"/>
      <w:divBdr>
        <w:top w:val="none" w:sz="0" w:space="0" w:color="auto"/>
        <w:left w:val="none" w:sz="0" w:space="0" w:color="auto"/>
        <w:bottom w:val="none" w:sz="0" w:space="0" w:color="auto"/>
        <w:right w:val="none" w:sz="0" w:space="0" w:color="auto"/>
      </w:divBdr>
    </w:div>
    <w:div w:id="1071348874">
      <w:bodyDiv w:val="1"/>
      <w:marLeft w:val="0"/>
      <w:marRight w:val="0"/>
      <w:marTop w:val="0"/>
      <w:marBottom w:val="0"/>
      <w:divBdr>
        <w:top w:val="none" w:sz="0" w:space="0" w:color="auto"/>
        <w:left w:val="none" w:sz="0" w:space="0" w:color="auto"/>
        <w:bottom w:val="none" w:sz="0" w:space="0" w:color="auto"/>
        <w:right w:val="none" w:sz="0" w:space="0" w:color="auto"/>
      </w:divBdr>
    </w:div>
    <w:div w:id="1090275369">
      <w:bodyDiv w:val="1"/>
      <w:marLeft w:val="0"/>
      <w:marRight w:val="0"/>
      <w:marTop w:val="0"/>
      <w:marBottom w:val="0"/>
      <w:divBdr>
        <w:top w:val="none" w:sz="0" w:space="0" w:color="auto"/>
        <w:left w:val="none" w:sz="0" w:space="0" w:color="auto"/>
        <w:bottom w:val="none" w:sz="0" w:space="0" w:color="auto"/>
        <w:right w:val="none" w:sz="0" w:space="0" w:color="auto"/>
      </w:divBdr>
    </w:div>
    <w:div w:id="1133863420">
      <w:bodyDiv w:val="1"/>
      <w:marLeft w:val="0"/>
      <w:marRight w:val="0"/>
      <w:marTop w:val="0"/>
      <w:marBottom w:val="0"/>
      <w:divBdr>
        <w:top w:val="none" w:sz="0" w:space="0" w:color="auto"/>
        <w:left w:val="none" w:sz="0" w:space="0" w:color="auto"/>
        <w:bottom w:val="none" w:sz="0" w:space="0" w:color="auto"/>
        <w:right w:val="none" w:sz="0" w:space="0" w:color="auto"/>
      </w:divBdr>
    </w:div>
    <w:div w:id="1205826640">
      <w:bodyDiv w:val="1"/>
      <w:marLeft w:val="0"/>
      <w:marRight w:val="0"/>
      <w:marTop w:val="0"/>
      <w:marBottom w:val="0"/>
      <w:divBdr>
        <w:top w:val="none" w:sz="0" w:space="0" w:color="auto"/>
        <w:left w:val="none" w:sz="0" w:space="0" w:color="auto"/>
        <w:bottom w:val="none" w:sz="0" w:space="0" w:color="auto"/>
        <w:right w:val="none" w:sz="0" w:space="0" w:color="auto"/>
      </w:divBdr>
    </w:div>
    <w:div w:id="1252466307">
      <w:bodyDiv w:val="1"/>
      <w:marLeft w:val="0"/>
      <w:marRight w:val="0"/>
      <w:marTop w:val="0"/>
      <w:marBottom w:val="0"/>
      <w:divBdr>
        <w:top w:val="none" w:sz="0" w:space="0" w:color="auto"/>
        <w:left w:val="none" w:sz="0" w:space="0" w:color="auto"/>
        <w:bottom w:val="none" w:sz="0" w:space="0" w:color="auto"/>
        <w:right w:val="none" w:sz="0" w:space="0" w:color="auto"/>
      </w:divBdr>
    </w:div>
    <w:div w:id="1308902398">
      <w:bodyDiv w:val="1"/>
      <w:marLeft w:val="0"/>
      <w:marRight w:val="0"/>
      <w:marTop w:val="0"/>
      <w:marBottom w:val="0"/>
      <w:divBdr>
        <w:top w:val="none" w:sz="0" w:space="0" w:color="auto"/>
        <w:left w:val="none" w:sz="0" w:space="0" w:color="auto"/>
        <w:bottom w:val="none" w:sz="0" w:space="0" w:color="auto"/>
        <w:right w:val="none" w:sz="0" w:space="0" w:color="auto"/>
      </w:divBdr>
    </w:div>
    <w:div w:id="1367564001">
      <w:bodyDiv w:val="1"/>
      <w:marLeft w:val="0"/>
      <w:marRight w:val="0"/>
      <w:marTop w:val="0"/>
      <w:marBottom w:val="0"/>
      <w:divBdr>
        <w:top w:val="none" w:sz="0" w:space="0" w:color="auto"/>
        <w:left w:val="none" w:sz="0" w:space="0" w:color="auto"/>
        <w:bottom w:val="none" w:sz="0" w:space="0" w:color="auto"/>
        <w:right w:val="none" w:sz="0" w:space="0" w:color="auto"/>
      </w:divBdr>
    </w:div>
    <w:div w:id="1444769485">
      <w:bodyDiv w:val="1"/>
      <w:marLeft w:val="0"/>
      <w:marRight w:val="0"/>
      <w:marTop w:val="0"/>
      <w:marBottom w:val="0"/>
      <w:divBdr>
        <w:top w:val="none" w:sz="0" w:space="0" w:color="auto"/>
        <w:left w:val="none" w:sz="0" w:space="0" w:color="auto"/>
        <w:bottom w:val="none" w:sz="0" w:space="0" w:color="auto"/>
        <w:right w:val="none" w:sz="0" w:space="0" w:color="auto"/>
      </w:divBdr>
    </w:div>
    <w:div w:id="1489175481">
      <w:bodyDiv w:val="1"/>
      <w:marLeft w:val="0"/>
      <w:marRight w:val="0"/>
      <w:marTop w:val="0"/>
      <w:marBottom w:val="0"/>
      <w:divBdr>
        <w:top w:val="none" w:sz="0" w:space="0" w:color="auto"/>
        <w:left w:val="none" w:sz="0" w:space="0" w:color="auto"/>
        <w:bottom w:val="none" w:sz="0" w:space="0" w:color="auto"/>
        <w:right w:val="none" w:sz="0" w:space="0" w:color="auto"/>
      </w:divBdr>
    </w:div>
    <w:div w:id="1551965629">
      <w:bodyDiv w:val="1"/>
      <w:marLeft w:val="0"/>
      <w:marRight w:val="0"/>
      <w:marTop w:val="0"/>
      <w:marBottom w:val="0"/>
      <w:divBdr>
        <w:top w:val="none" w:sz="0" w:space="0" w:color="auto"/>
        <w:left w:val="none" w:sz="0" w:space="0" w:color="auto"/>
        <w:bottom w:val="none" w:sz="0" w:space="0" w:color="auto"/>
        <w:right w:val="none" w:sz="0" w:space="0" w:color="auto"/>
      </w:divBdr>
    </w:div>
    <w:div w:id="1555964314">
      <w:bodyDiv w:val="1"/>
      <w:marLeft w:val="0"/>
      <w:marRight w:val="0"/>
      <w:marTop w:val="0"/>
      <w:marBottom w:val="0"/>
      <w:divBdr>
        <w:top w:val="none" w:sz="0" w:space="0" w:color="auto"/>
        <w:left w:val="none" w:sz="0" w:space="0" w:color="auto"/>
        <w:bottom w:val="none" w:sz="0" w:space="0" w:color="auto"/>
        <w:right w:val="none" w:sz="0" w:space="0" w:color="auto"/>
      </w:divBdr>
    </w:div>
    <w:div w:id="1595750510">
      <w:bodyDiv w:val="1"/>
      <w:marLeft w:val="0"/>
      <w:marRight w:val="0"/>
      <w:marTop w:val="0"/>
      <w:marBottom w:val="0"/>
      <w:divBdr>
        <w:top w:val="none" w:sz="0" w:space="0" w:color="auto"/>
        <w:left w:val="none" w:sz="0" w:space="0" w:color="auto"/>
        <w:bottom w:val="none" w:sz="0" w:space="0" w:color="auto"/>
        <w:right w:val="none" w:sz="0" w:space="0" w:color="auto"/>
      </w:divBdr>
    </w:div>
    <w:div w:id="1598177151">
      <w:bodyDiv w:val="1"/>
      <w:marLeft w:val="0"/>
      <w:marRight w:val="0"/>
      <w:marTop w:val="0"/>
      <w:marBottom w:val="0"/>
      <w:divBdr>
        <w:top w:val="none" w:sz="0" w:space="0" w:color="auto"/>
        <w:left w:val="none" w:sz="0" w:space="0" w:color="auto"/>
        <w:bottom w:val="none" w:sz="0" w:space="0" w:color="auto"/>
        <w:right w:val="none" w:sz="0" w:space="0" w:color="auto"/>
      </w:divBdr>
    </w:div>
    <w:div w:id="1674068515">
      <w:bodyDiv w:val="1"/>
      <w:marLeft w:val="0"/>
      <w:marRight w:val="0"/>
      <w:marTop w:val="0"/>
      <w:marBottom w:val="0"/>
      <w:divBdr>
        <w:top w:val="none" w:sz="0" w:space="0" w:color="auto"/>
        <w:left w:val="none" w:sz="0" w:space="0" w:color="auto"/>
        <w:bottom w:val="none" w:sz="0" w:space="0" w:color="auto"/>
        <w:right w:val="none" w:sz="0" w:space="0" w:color="auto"/>
      </w:divBdr>
    </w:div>
    <w:div w:id="1737897192">
      <w:bodyDiv w:val="1"/>
      <w:marLeft w:val="0"/>
      <w:marRight w:val="0"/>
      <w:marTop w:val="0"/>
      <w:marBottom w:val="0"/>
      <w:divBdr>
        <w:top w:val="none" w:sz="0" w:space="0" w:color="auto"/>
        <w:left w:val="none" w:sz="0" w:space="0" w:color="auto"/>
        <w:bottom w:val="none" w:sz="0" w:space="0" w:color="auto"/>
        <w:right w:val="none" w:sz="0" w:space="0" w:color="auto"/>
      </w:divBdr>
    </w:div>
    <w:div w:id="1939630230">
      <w:bodyDiv w:val="1"/>
      <w:marLeft w:val="0"/>
      <w:marRight w:val="0"/>
      <w:marTop w:val="0"/>
      <w:marBottom w:val="0"/>
      <w:divBdr>
        <w:top w:val="none" w:sz="0" w:space="0" w:color="auto"/>
        <w:left w:val="none" w:sz="0" w:space="0" w:color="auto"/>
        <w:bottom w:val="none" w:sz="0" w:space="0" w:color="auto"/>
        <w:right w:val="none" w:sz="0" w:space="0" w:color="auto"/>
      </w:divBdr>
    </w:div>
    <w:div w:id="1975451814">
      <w:bodyDiv w:val="1"/>
      <w:marLeft w:val="0"/>
      <w:marRight w:val="0"/>
      <w:marTop w:val="0"/>
      <w:marBottom w:val="0"/>
      <w:divBdr>
        <w:top w:val="none" w:sz="0" w:space="0" w:color="auto"/>
        <w:left w:val="none" w:sz="0" w:space="0" w:color="auto"/>
        <w:bottom w:val="none" w:sz="0" w:space="0" w:color="auto"/>
        <w:right w:val="none" w:sz="0" w:space="0" w:color="auto"/>
      </w:divBdr>
    </w:div>
    <w:div w:id="2001735579">
      <w:bodyDiv w:val="1"/>
      <w:marLeft w:val="0"/>
      <w:marRight w:val="0"/>
      <w:marTop w:val="0"/>
      <w:marBottom w:val="0"/>
      <w:divBdr>
        <w:top w:val="none" w:sz="0" w:space="0" w:color="auto"/>
        <w:left w:val="none" w:sz="0" w:space="0" w:color="auto"/>
        <w:bottom w:val="none" w:sz="0" w:space="0" w:color="auto"/>
        <w:right w:val="none" w:sz="0" w:space="0" w:color="auto"/>
      </w:divBdr>
    </w:div>
    <w:div w:id="2002125058">
      <w:bodyDiv w:val="1"/>
      <w:marLeft w:val="0"/>
      <w:marRight w:val="0"/>
      <w:marTop w:val="0"/>
      <w:marBottom w:val="0"/>
      <w:divBdr>
        <w:top w:val="none" w:sz="0" w:space="0" w:color="auto"/>
        <w:left w:val="none" w:sz="0" w:space="0" w:color="auto"/>
        <w:bottom w:val="none" w:sz="0" w:space="0" w:color="auto"/>
        <w:right w:val="none" w:sz="0" w:space="0" w:color="auto"/>
      </w:divBdr>
    </w:div>
    <w:div w:id="2003853580">
      <w:bodyDiv w:val="1"/>
      <w:marLeft w:val="0"/>
      <w:marRight w:val="0"/>
      <w:marTop w:val="0"/>
      <w:marBottom w:val="0"/>
      <w:divBdr>
        <w:top w:val="none" w:sz="0" w:space="0" w:color="auto"/>
        <w:left w:val="none" w:sz="0" w:space="0" w:color="auto"/>
        <w:bottom w:val="none" w:sz="0" w:space="0" w:color="auto"/>
        <w:right w:val="none" w:sz="0" w:space="0" w:color="auto"/>
      </w:divBdr>
    </w:div>
    <w:div w:id="2034259111">
      <w:bodyDiv w:val="1"/>
      <w:marLeft w:val="0"/>
      <w:marRight w:val="0"/>
      <w:marTop w:val="0"/>
      <w:marBottom w:val="0"/>
      <w:divBdr>
        <w:top w:val="none" w:sz="0" w:space="0" w:color="auto"/>
        <w:left w:val="none" w:sz="0" w:space="0" w:color="auto"/>
        <w:bottom w:val="none" w:sz="0" w:space="0" w:color="auto"/>
        <w:right w:val="none" w:sz="0" w:space="0" w:color="auto"/>
      </w:divBdr>
    </w:div>
    <w:div w:id="2047177994">
      <w:bodyDiv w:val="1"/>
      <w:marLeft w:val="0"/>
      <w:marRight w:val="0"/>
      <w:marTop w:val="0"/>
      <w:marBottom w:val="0"/>
      <w:divBdr>
        <w:top w:val="none" w:sz="0" w:space="0" w:color="auto"/>
        <w:left w:val="none" w:sz="0" w:space="0" w:color="auto"/>
        <w:bottom w:val="none" w:sz="0" w:space="0" w:color="auto"/>
        <w:right w:val="none" w:sz="0" w:space="0" w:color="auto"/>
      </w:divBdr>
    </w:div>
    <w:div w:id="209592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manualdedefesadasescolas.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Human Rights Watch</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014F080-CC8F-41F8-93A0-7221E3168B32}">
  <ds:schemaRefs>
    <ds:schemaRef ds:uri="http://schemas.openxmlformats.org/officeDocument/2006/bibliography"/>
  </ds:schemaRefs>
</ds:datastoreItem>
</file>

<file path=customXml/itemProps2.xml><?xml version="1.0" encoding="utf-8"?>
<ds:datastoreItem xmlns:ds="http://schemas.openxmlformats.org/officeDocument/2006/customXml" ds:itemID="{5D9471B2-062F-4A4B-AB6E-8D137B89CFEF}"/>
</file>

<file path=customXml/itemProps3.xml><?xml version="1.0" encoding="utf-8"?>
<ds:datastoreItem xmlns:ds="http://schemas.openxmlformats.org/officeDocument/2006/customXml" ds:itemID="{02159F04-E31D-4FAE-86F4-820ECFDD4A68}"/>
</file>

<file path=customXml/itemProps4.xml><?xml version="1.0" encoding="utf-8"?>
<ds:datastoreItem xmlns:ds="http://schemas.openxmlformats.org/officeDocument/2006/customXml" ds:itemID="{369E2490-43B7-4002-AE09-3E66AEC679CF}"/>
</file>

<file path=docProps/app.xml><?xml version="1.0" encoding="utf-8"?>
<Properties xmlns="http://schemas.openxmlformats.org/officeDocument/2006/extended-properties" xmlns:vt="http://schemas.openxmlformats.org/officeDocument/2006/docPropsVTypes">
  <Template>Normal</Template>
  <TotalTime>71</TotalTime>
  <Pages>11</Pages>
  <Words>3194</Words>
  <Characters>18643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Links>
    <vt:vector size="18" baseType="variant">
      <vt:variant>
        <vt:i4>5242973</vt:i4>
      </vt:variant>
      <vt:variant>
        <vt:i4>0</vt:i4>
      </vt:variant>
      <vt:variant>
        <vt:i4>0</vt:i4>
      </vt:variant>
      <vt:variant>
        <vt:i4>5</vt:i4>
      </vt:variant>
      <vt:variant>
        <vt:lpwstr>https://manualdedefesadasescolas.org.br/</vt:lpwstr>
      </vt:variant>
      <vt:variant>
        <vt:lpwstr/>
      </vt:variant>
      <vt:variant>
        <vt:i4>8257591</vt:i4>
      </vt:variant>
      <vt:variant>
        <vt:i4>3</vt:i4>
      </vt:variant>
      <vt:variant>
        <vt:i4>0</vt:i4>
      </vt:variant>
      <vt:variant>
        <vt:i4>5</vt:i4>
      </vt:variant>
      <vt:variant>
        <vt:lpwstr>https://www.hrw.org/blog-feed/feminist-florida</vt:lpwstr>
      </vt:variant>
      <vt:variant>
        <vt:lpwstr/>
      </vt:variant>
      <vt:variant>
        <vt:i4>4259915</vt:i4>
      </vt:variant>
      <vt:variant>
        <vt:i4>0</vt:i4>
      </vt:variant>
      <vt:variant>
        <vt:i4>0</vt:i4>
      </vt:variant>
      <vt:variant>
        <vt:i4>5</vt:i4>
      </vt:variant>
      <vt:variant>
        <vt:lpwstr>https://pen.org/americas-censored-classrooms-introduction-by-eduardo-padron,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 Fadel</dc:creator>
  <cp:keywords/>
  <dc:description/>
  <cp:lastModifiedBy>Joya Fadel</cp:lastModifiedBy>
  <cp:revision>64</cp:revision>
  <dcterms:created xsi:type="dcterms:W3CDTF">2024-01-30T20:58:00Z</dcterms:created>
  <dcterms:modified xsi:type="dcterms:W3CDTF">2024-02-02T09:08:00Z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