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9489" w14:textId="77777777" w:rsidR="00385F56" w:rsidRDefault="00385F56" w:rsidP="00385F56">
      <w:pPr>
        <w:snapToGrid w:val="0"/>
        <w:spacing w:line="400" w:lineRule="exact"/>
        <w:jc w:val="center"/>
        <w:rPr>
          <w:rFonts w:ascii="Century" w:hAnsi="Century"/>
          <w:b/>
          <w:bCs/>
          <w:sz w:val="32"/>
          <w:szCs w:val="32"/>
        </w:rPr>
      </w:pPr>
      <w:r w:rsidRPr="00E37A61">
        <w:rPr>
          <w:rFonts w:ascii="Century" w:hAnsi="Century" w:hint="eastAsia"/>
          <w:b/>
          <w:bCs/>
          <w:sz w:val="32"/>
          <w:szCs w:val="32"/>
        </w:rPr>
        <w:t>I</w:t>
      </w:r>
      <w:r w:rsidRPr="00E37A61">
        <w:rPr>
          <w:rFonts w:ascii="Century" w:hAnsi="Century"/>
          <w:b/>
          <w:bCs/>
          <w:sz w:val="32"/>
          <w:szCs w:val="32"/>
        </w:rPr>
        <w:t>nformation on Questions 9 and 10</w:t>
      </w:r>
    </w:p>
    <w:p w14:paraId="3161088A" w14:textId="77777777" w:rsidR="00385F56" w:rsidRPr="00571D89" w:rsidRDefault="00385F56" w:rsidP="00385F56">
      <w:pPr>
        <w:snapToGrid w:val="0"/>
        <w:spacing w:line="400" w:lineRule="exact"/>
        <w:jc w:val="center"/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From the Japan Federation of Publishing Workers’ Unions</w:t>
      </w:r>
    </w:p>
    <w:p w14:paraId="1FABC1E8" w14:textId="77777777" w:rsidR="00385F56" w:rsidRPr="00385F56" w:rsidRDefault="00385F56" w:rsidP="00B2352C">
      <w:pPr>
        <w:snapToGrid w:val="0"/>
        <w:spacing w:line="400" w:lineRule="exact"/>
        <w:jc w:val="center"/>
        <w:rPr>
          <w:rFonts w:ascii="Century" w:hAnsi="Century"/>
          <w:b/>
          <w:bCs/>
          <w:sz w:val="32"/>
          <w:szCs w:val="32"/>
        </w:rPr>
      </w:pPr>
    </w:p>
    <w:p w14:paraId="3EBE94AD" w14:textId="7EF17BE7" w:rsidR="00B2352C" w:rsidRPr="000C57A6" w:rsidRDefault="00B2352C" w:rsidP="00B2352C">
      <w:pPr>
        <w:snapToGrid w:val="0"/>
        <w:spacing w:line="400" w:lineRule="exact"/>
        <w:rPr>
          <w:rFonts w:ascii="Century" w:hAnsi="Century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52C" w14:paraId="2C7CFE32" w14:textId="77777777" w:rsidTr="00C773CE">
        <w:tc>
          <w:tcPr>
            <w:tcW w:w="4814" w:type="dxa"/>
          </w:tcPr>
          <w:p w14:paraId="305A7D93" w14:textId="77777777" w:rsidR="00B2352C" w:rsidRDefault="00B2352C" w:rsidP="00C773CE">
            <w:pPr>
              <w:snapToGrid w:val="0"/>
              <w:spacing w:line="400" w:lineRule="exact"/>
              <w:rPr>
                <w:rFonts w:ascii="Century" w:hAnsi="Century"/>
                <w:sz w:val="24"/>
              </w:rPr>
            </w:pPr>
            <w:r w:rsidRPr="000C57A6">
              <w:rPr>
                <w:rFonts w:ascii="Century" w:hAnsi="Century"/>
                <w:sz w:val="24"/>
              </w:rPr>
              <w:t>Country</w:t>
            </w:r>
            <w:r>
              <w:rPr>
                <w:rFonts w:ascii="Century" w:hAnsi="Century"/>
                <w:sz w:val="24"/>
              </w:rPr>
              <w:t>/Organization</w:t>
            </w:r>
          </w:p>
        </w:tc>
        <w:tc>
          <w:tcPr>
            <w:tcW w:w="4814" w:type="dxa"/>
          </w:tcPr>
          <w:p w14:paraId="1A904A3E" w14:textId="77777777" w:rsidR="00B2352C" w:rsidRDefault="00B2352C" w:rsidP="00C773CE">
            <w:pPr>
              <w:snapToGrid w:val="0"/>
              <w:spacing w:line="400" w:lineRule="exact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Japan /</w:t>
            </w:r>
            <w:r w:rsidRPr="000C57A6">
              <w:rPr>
                <w:rFonts w:ascii="Century" w:hAnsi="Century"/>
                <w:sz w:val="24"/>
              </w:rPr>
              <w:t xml:space="preserve"> Japan Federation</w:t>
            </w:r>
            <w:r>
              <w:rPr>
                <w:rFonts w:ascii="Century" w:hAnsi="Century"/>
                <w:sz w:val="24"/>
              </w:rPr>
              <w:t xml:space="preserve"> of Publishing Workers </w:t>
            </w:r>
            <w:r w:rsidRPr="000C57A6">
              <w:rPr>
                <w:rFonts w:ascii="Century" w:hAnsi="Century"/>
                <w:sz w:val="24"/>
              </w:rPr>
              <w:t>Union</w:t>
            </w:r>
            <w:r>
              <w:rPr>
                <w:rFonts w:ascii="Century" w:hAnsi="Century"/>
                <w:sz w:val="24"/>
              </w:rPr>
              <w:t>s (</w:t>
            </w:r>
            <w:proofErr w:type="spellStart"/>
            <w:r w:rsidRPr="00E37A61">
              <w:rPr>
                <w:rFonts w:ascii="Century" w:hAnsi="Century"/>
                <w:i/>
                <w:iCs/>
                <w:sz w:val="24"/>
              </w:rPr>
              <w:t>Shuppan</w:t>
            </w:r>
            <w:proofErr w:type="spellEnd"/>
            <w:r w:rsidRPr="00E37A61">
              <w:rPr>
                <w:rFonts w:ascii="Century" w:hAnsi="Century"/>
                <w:i/>
                <w:iCs/>
                <w:sz w:val="24"/>
              </w:rPr>
              <w:t xml:space="preserve"> </w:t>
            </w:r>
            <w:proofErr w:type="spellStart"/>
            <w:r w:rsidRPr="00E37A61">
              <w:rPr>
                <w:rFonts w:ascii="Century" w:hAnsi="Century"/>
                <w:i/>
                <w:iCs/>
                <w:sz w:val="24"/>
              </w:rPr>
              <w:t>Roren</w:t>
            </w:r>
            <w:proofErr w:type="spellEnd"/>
            <w:r>
              <w:rPr>
                <w:rFonts w:ascii="Century" w:hAnsi="Century"/>
                <w:sz w:val="24"/>
              </w:rPr>
              <w:t>)</w:t>
            </w:r>
          </w:p>
        </w:tc>
      </w:tr>
    </w:tbl>
    <w:p w14:paraId="7A72A84C" w14:textId="77777777" w:rsidR="00B2352C" w:rsidRDefault="00B2352C" w:rsidP="00B2352C">
      <w:pPr>
        <w:snapToGrid w:val="0"/>
        <w:spacing w:line="400" w:lineRule="exact"/>
        <w:rPr>
          <w:rFonts w:ascii="Century" w:hAnsi="Century"/>
          <w:sz w:val="24"/>
          <w:szCs w:val="24"/>
        </w:rPr>
      </w:pPr>
    </w:p>
    <w:p w14:paraId="309F9AF4" w14:textId="62A74C48" w:rsidR="00CC2F22" w:rsidRPr="000C57A6" w:rsidRDefault="00CC2F22" w:rsidP="00B2352C">
      <w:pPr>
        <w:snapToGrid w:val="0"/>
        <w:spacing w:line="40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</w:t>
      </w:r>
      <w:r>
        <w:rPr>
          <w:rFonts w:ascii="Century" w:hAnsi="Century"/>
          <w:sz w:val="24"/>
          <w:szCs w:val="24"/>
        </w:rPr>
        <w:t>Bold letters are explained in the Annex)</w:t>
      </w:r>
    </w:p>
    <w:p w14:paraId="4A7A90AD" w14:textId="48C73DD3" w:rsidR="00DD35A7" w:rsidRPr="00DD35A7" w:rsidRDefault="00DD35A7">
      <w:pPr>
        <w:rPr>
          <w:rFonts w:ascii="Century" w:hAnsi="Century"/>
          <w:b/>
          <w:bCs/>
          <w:sz w:val="24"/>
          <w:szCs w:val="24"/>
        </w:rPr>
      </w:pPr>
      <w:r w:rsidRPr="00DD35A7">
        <w:rPr>
          <w:rFonts w:ascii="Century" w:hAnsi="Century"/>
          <w:b/>
          <w:bCs/>
          <w:sz w:val="24"/>
          <w:szCs w:val="24"/>
        </w:rPr>
        <w:t>Question 9</w:t>
      </w:r>
    </w:p>
    <w:p w14:paraId="2D5B705B" w14:textId="5C147CF8" w:rsidR="0040122C" w:rsidRDefault="00DD35A7" w:rsidP="00DD35A7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 w:rsidRPr="00DD35A7">
        <w:rPr>
          <w:rFonts w:ascii="Century" w:hAnsi="Century" w:hint="eastAsia"/>
          <w:sz w:val="24"/>
          <w:szCs w:val="24"/>
        </w:rPr>
        <w:t xml:space="preserve">On the </w:t>
      </w:r>
      <w:r w:rsidRPr="00DD35A7">
        <w:rPr>
          <w:rFonts w:ascii="Century" w:hAnsi="Century"/>
          <w:sz w:val="24"/>
          <w:szCs w:val="24"/>
        </w:rPr>
        <w:t>elementary and the lower secondary education level</w:t>
      </w:r>
      <w:r w:rsidR="00385F56">
        <w:rPr>
          <w:rFonts w:ascii="Century" w:hAnsi="Century"/>
          <w:sz w:val="24"/>
          <w:szCs w:val="24"/>
        </w:rPr>
        <w:t>s</w:t>
      </w:r>
      <w:r w:rsidRPr="00DD35A7">
        <w:rPr>
          <w:rFonts w:ascii="Century" w:hAnsi="Century"/>
          <w:sz w:val="24"/>
          <w:szCs w:val="24"/>
        </w:rPr>
        <w:t xml:space="preserve"> (</w:t>
      </w:r>
      <w:r w:rsidR="00C62822">
        <w:rPr>
          <w:rFonts w:ascii="Century" w:hAnsi="Century"/>
          <w:sz w:val="24"/>
          <w:szCs w:val="24"/>
        </w:rPr>
        <w:t xml:space="preserve">i.e., </w:t>
      </w:r>
      <w:proofErr w:type="gramStart"/>
      <w:r w:rsidRPr="00DD35A7">
        <w:rPr>
          <w:rFonts w:ascii="Century" w:hAnsi="Century"/>
          <w:sz w:val="24"/>
          <w:szCs w:val="24"/>
        </w:rPr>
        <w:t>elementary</w:t>
      </w:r>
      <w:proofErr w:type="gramEnd"/>
      <w:r w:rsidRPr="00DD35A7">
        <w:rPr>
          <w:rFonts w:ascii="Century" w:hAnsi="Century"/>
          <w:sz w:val="24"/>
          <w:szCs w:val="24"/>
        </w:rPr>
        <w:t xml:space="preserve"> and junior high schools), the content</w:t>
      </w:r>
      <w:r w:rsidR="00385F56">
        <w:rPr>
          <w:rFonts w:ascii="Century" w:hAnsi="Century"/>
          <w:sz w:val="24"/>
          <w:szCs w:val="24"/>
        </w:rPr>
        <w:t>s</w:t>
      </w:r>
      <w:r w:rsidRPr="00DD35A7">
        <w:rPr>
          <w:rFonts w:ascii="Century" w:hAnsi="Century"/>
          <w:sz w:val="24"/>
          <w:szCs w:val="24"/>
        </w:rPr>
        <w:t xml:space="preserve"> of education are constrained by the </w:t>
      </w:r>
      <w:r>
        <w:rPr>
          <w:rFonts w:ascii="Century" w:hAnsi="Century"/>
          <w:sz w:val="24"/>
          <w:szCs w:val="24"/>
        </w:rPr>
        <w:t>Course of Study (C</w:t>
      </w:r>
      <w:r w:rsidR="00CC2F22">
        <w:rPr>
          <w:rFonts w:ascii="Century" w:hAnsi="Century"/>
          <w:sz w:val="24"/>
          <w:szCs w:val="24"/>
        </w:rPr>
        <w:t>O</w:t>
      </w:r>
      <w:r>
        <w:rPr>
          <w:rFonts w:ascii="Century" w:hAnsi="Century"/>
          <w:sz w:val="24"/>
          <w:szCs w:val="24"/>
        </w:rPr>
        <w:t xml:space="preserve">S), which, according to the </w:t>
      </w:r>
      <w:r w:rsidR="00385F56">
        <w:rPr>
          <w:rFonts w:ascii="Century" w:hAnsi="Century"/>
          <w:sz w:val="24"/>
          <w:szCs w:val="24"/>
        </w:rPr>
        <w:t>claim</w:t>
      </w:r>
      <w:r>
        <w:rPr>
          <w:rFonts w:ascii="Century" w:hAnsi="Century"/>
          <w:sz w:val="24"/>
          <w:szCs w:val="24"/>
        </w:rPr>
        <w:t xml:space="preserve"> of the Ministry of Education, </w:t>
      </w:r>
      <w:r w:rsidR="00385F56">
        <w:rPr>
          <w:rFonts w:ascii="Century" w:hAnsi="Century"/>
          <w:sz w:val="24"/>
          <w:szCs w:val="24"/>
        </w:rPr>
        <w:t xml:space="preserve">Culture, Sports, </w:t>
      </w:r>
      <w:r>
        <w:rPr>
          <w:rFonts w:ascii="Century" w:hAnsi="Century"/>
          <w:sz w:val="24"/>
          <w:szCs w:val="24"/>
        </w:rPr>
        <w:t xml:space="preserve">Science and Technology (MEXT), is </w:t>
      </w:r>
      <w:r w:rsidR="00385F56">
        <w:rPr>
          <w:rFonts w:ascii="Century" w:hAnsi="Century"/>
          <w:sz w:val="24"/>
          <w:szCs w:val="24"/>
        </w:rPr>
        <w:t>a legally binding document</w:t>
      </w:r>
      <w:r>
        <w:rPr>
          <w:rFonts w:ascii="Century" w:hAnsi="Century"/>
          <w:sz w:val="24"/>
          <w:szCs w:val="24"/>
        </w:rPr>
        <w:t xml:space="preserve"> in spite of its name.</w:t>
      </w:r>
    </w:p>
    <w:p w14:paraId="2EAB8D4F" w14:textId="31AC26F0" w:rsidR="00DD35A7" w:rsidRDefault="00DD35A7" w:rsidP="00DD35A7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The contents of the C</w:t>
      </w:r>
      <w:r w:rsidR="00CC2F22">
        <w:rPr>
          <w:rFonts w:ascii="Century" w:hAnsi="Century"/>
          <w:sz w:val="24"/>
          <w:szCs w:val="24"/>
        </w:rPr>
        <w:t>O</w:t>
      </w:r>
      <w:r>
        <w:rPr>
          <w:rFonts w:ascii="Century" w:hAnsi="Century"/>
          <w:sz w:val="24"/>
          <w:szCs w:val="24"/>
        </w:rPr>
        <w:t xml:space="preserve">S are not necessarily politically neutral.  On the other hand, </w:t>
      </w:r>
      <w:r w:rsidR="00CC2F22" w:rsidRPr="00CC2F22">
        <w:rPr>
          <w:rFonts w:ascii="Century" w:hAnsi="Century"/>
          <w:b/>
          <w:bCs/>
          <w:sz w:val="24"/>
          <w:szCs w:val="24"/>
        </w:rPr>
        <w:t xml:space="preserve">Article 34 of </w:t>
      </w:r>
      <w:r w:rsidRPr="00CC2F22">
        <w:rPr>
          <w:rFonts w:ascii="Century" w:hAnsi="Century"/>
          <w:b/>
          <w:bCs/>
          <w:sz w:val="24"/>
          <w:szCs w:val="24"/>
        </w:rPr>
        <w:t>the School Education Law</w:t>
      </w:r>
      <w:r>
        <w:rPr>
          <w:rFonts w:ascii="Century" w:hAnsi="Century"/>
          <w:sz w:val="24"/>
          <w:szCs w:val="24"/>
        </w:rPr>
        <w:t xml:space="preserve"> stipulates that in elementary schools, the </w:t>
      </w:r>
      <w:r w:rsidR="00AD0690">
        <w:rPr>
          <w:rFonts w:ascii="Century" w:hAnsi="Century" w:hint="eastAsia"/>
          <w:sz w:val="24"/>
          <w:szCs w:val="24"/>
        </w:rPr>
        <w:t>t</w:t>
      </w:r>
      <w:r w:rsidR="00AD0690">
        <w:rPr>
          <w:rFonts w:ascii="Century" w:hAnsi="Century"/>
          <w:sz w:val="24"/>
          <w:szCs w:val="24"/>
        </w:rPr>
        <w:t xml:space="preserve">eachers shall use </w:t>
      </w:r>
      <w:r>
        <w:rPr>
          <w:rFonts w:ascii="Century" w:hAnsi="Century"/>
          <w:sz w:val="24"/>
          <w:szCs w:val="24"/>
        </w:rPr>
        <w:t xml:space="preserve">textbooks authorized by the Minister of the MEXT (this </w:t>
      </w:r>
      <w:r w:rsidR="00227010">
        <w:rPr>
          <w:rFonts w:ascii="Century" w:hAnsi="Century"/>
          <w:sz w:val="24"/>
          <w:szCs w:val="24"/>
        </w:rPr>
        <w:t xml:space="preserve">provision is </w:t>
      </w:r>
      <w:r w:rsidR="00BF12D8">
        <w:rPr>
          <w:rFonts w:ascii="Century" w:hAnsi="Century"/>
          <w:sz w:val="24"/>
          <w:szCs w:val="24"/>
        </w:rPr>
        <w:t xml:space="preserve">applied to </w:t>
      </w:r>
      <w:r w:rsidR="0040122C">
        <w:rPr>
          <w:rFonts w:ascii="Century" w:hAnsi="Century"/>
          <w:sz w:val="24"/>
          <w:szCs w:val="24"/>
        </w:rPr>
        <w:t xml:space="preserve">all </w:t>
      </w:r>
      <w:r w:rsidR="00BF12D8">
        <w:rPr>
          <w:rFonts w:ascii="Century" w:hAnsi="Century"/>
          <w:sz w:val="24"/>
          <w:szCs w:val="24"/>
        </w:rPr>
        <w:t>lower and upper secondary schools</w:t>
      </w:r>
      <w:r w:rsidR="00AD0690">
        <w:rPr>
          <w:rFonts w:ascii="Century" w:hAnsi="Century"/>
          <w:sz w:val="24"/>
          <w:szCs w:val="24"/>
        </w:rPr>
        <w:t>, whoever run them, i.e., the government, local governments, or private educational institutions)</w:t>
      </w:r>
      <w:r w:rsidR="00BF12D8">
        <w:rPr>
          <w:rFonts w:ascii="Century" w:hAnsi="Century"/>
          <w:sz w:val="24"/>
          <w:szCs w:val="24"/>
        </w:rPr>
        <w:t xml:space="preserve">.  </w:t>
      </w:r>
      <w:r w:rsidR="008350C9">
        <w:rPr>
          <w:rFonts w:ascii="Century" w:hAnsi="Century"/>
          <w:sz w:val="24"/>
          <w:szCs w:val="24"/>
        </w:rPr>
        <w:t>The academic freedom</w:t>
      </w:r>
      <w:r w:rsidR="00AD0690">
        <w:rPr>
          <w:rFonts w:ascii="Century" w:hAnsi="Century"/>
          <w:sz w:val="24"/>
          <w:szCs w:val="24"/>
        </w:rPr>
        <w:t>, therefore,</w:t>
      </w:r>
      <w:r w:rsidR="008350C9">
        <w:rPr>
          <w:rFonts w:ascii="Century" w:hAnsi="Century"/>
          <w:sz w:val="24"/>
          <w:szCs w:val="24"/>
        </w:rPr>
        <w:t xml:space="preserve"> is constrained in elementary and secondary schools</w:t>
      </w:r>
      <w:r w:rsidR="00AD0690">
        <w:rPr>
          <w:rFonts w:ascii="Century" w:hAnsi="Century"/>
          <w:sz w:val="24"/>
          <w:szCs w:val="24"/>
        </w:rPr>
        <w:t xml:space="preserve"> and the teachers cannot enjoy it</w:t>
      </w:r>
      <w:r w:rsidR="0040122C">
        <w:rPr>
          <w:rFonts w:ascii="Century" w:hAnsi="Century"/>
          <w:sz w:val="24"/>
          <w:szCs w:val="24"/>
        </w:rPr>
        <w:t>.</w:t>
      </w:r>
    </w:p>
    <w:p w14:paraId="354AB4D7" w14:textId="65D56CBE" w:rsidR="00CA3B9C" w:rsidRDefault="00AD0690" w:rsidP="002F52E3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 w:rsidRPr="002F52E3">
        <w:rPr>
          <w:rFonts w:ascii="Century" w:hAnsi="Century"/>
          <w:sz w:val="24"/>
          <w:szCs w:val="24"/>
        </w:rPr>
        <w:t>The textbooks used in the above</w:t>
      </w:r>
      <w:r w:rsidR="00DF68F5" w:rsidRPr="002F52E3">
        <w:rPr>
          <w:rFonts w:ascii="Century" w:hAnsi="Century"/>
          <w:sz w:val="24"/>
          <w:szCs w:val="24"/>
        </w:rPr>
        <w:t>-</w:t>
      </w:r>
      <w:r w:rsidRPr="002F52E3">
        <w:rPr>
          <w:rFonts w:ascii="Century" w:hAnsi="Century"/>
          <w:sz w:val="24"/>
          <w:szCs w:val="24"/>
        </w:rPr>
        <w:t xml:space="preserve">mentioned schools, shall undergo the authorization </w:t>
      </w:r>
      <w:r w:rsidR="002F52E3" w:rsidRPr="002F52E3">
        <w:rPr>
          <w:rFonts w:ascii="Century" w:hAnsi="Century"/>
          <w:sz w:val="24"/>
          <w:szCs w:val="24"/>
        </w:rPr>
        <w:t>conducted</w:t>
      </w:r>
      <w:r w:rsidRPr="002F52E3">
        <w:rPr>
          <w:rFonts w:ascii="Century" w:hAnsi="Century"/>
          <w:sz w:val="24"/>
          <w:szCs w:val="24"/>
        </w:rPr>
        <w:t xml:space="preserve"> by the textbook experts</w:t>
      </w:r>
      <w:r w:rsidR="002F52E3" w:rsidRPr="002F52E3">
        <w:rPr>
          <w:rFonts w:ascii="Century" w:hAnsi="Century"/>
          <w:sz w:val="24"/>
          <w:szCs w:val="24"/>
        </w:rPr>
        <w:t xml:space="preserve">, personnel </w:t>
      </w:r>
      <w:r w:rsidR="002F52E3">
        <w:rPr>
          <w:rFonts w:ascii="Century" w:hAnsi="Century"/>
          <w:sz w:val="24"/>
          <w:szCs w:val="24"/>
        </w:rPr>
        <w:t xml:space="preserve">appointed by </w:t>
      </w:r>
      <w:r w:rsidR="002F52E3" w:rsidRPr="002F52E3">
        <w:rPr>
          <w:rFonts w:ascii="Century" w:hAnsi="Century"/>
          <w:sz w:val="24"/>
          <w:szCs w:val="24"/>
        </w:rPr>
        <w:t xml:space="preserve">the </w:t>
      </w:r>
      <w:proofErr w:type="gramStart"/>
      <w:r w:rsidR="002F52E3" w:rsidRPr="002F52E3">
        <w:rPr>
          <w:rFonts w:ascii="Century" w:hAnsi="Century"/>
          <w:sz w:val="24"/>
          <w:szCs w:val="24"/>
        </w:rPr>
        <w:t>MEXT</w:t>
      </w:r>
      <w:proofErr w:type="gramEnd"/>
      <w:r w:rsidR="002F52E3" w:rsidRPr="002F52E3">
        <w:rPr>
          <w:rFonts w:ascii="Century" w:hAnsi="Century"/>
          <w:sz w:val="24"/>
          <w:szCs w:val="24"/>
        </w:rPr>
        <w:t xml:space="preserve"> </w:t>
      </w:r>
      <w:r w:rsidRPr="002F52E3">
        <w:rPr>
          <w:rFonts w:ascii="Century" w:hAnsi="Century"/>
          <w:sz w:val="24"/>
          <w:szCs w:val="24"/>
        </w:rPr>
        <w:t>and the Textbook Authorization Research Council</w:t>
      </w:r>
      <w:r w:rsidR="00CA3B9C" w:rsidRPr="002F52E3">
        <w:rPr>
          <w:rFonts w:ascii="Century" w:hAnsi="Century"/>
          <w:sz w:val="24"/>
          <w:szCs w:val="24"/>
        </w:rPr>
        <w:t xml:space="preserve"> </w:t>
      </w:r>
      <w:r w:rsidR="002F52E3" w:rsidRPr="002F52E3">
        <w:rPr>
          <w:rFonts w:ascii="Century" w:hAnsi="Century"/>
          <w:sz w:val="24"/>
          <w:szCs w:val="24"/>
        </w:rPr>
        <w:t xml:space="preserve">decides to pass or fail </w:t>
      </w:r>
      <w:r w:rsidR="00CA3B9C" w:rsidRPr="002F52E3">
        <w:rPr>
          <w:rFonts w:ascii="Century" w:hAnsi="Century"/>
          <w:sz w:val="24"/>
          <w:szCs w:val="24"/>
        </w:rPr>
        <w:t>though there is no law</w:t>
      </w:r>
      <w:r w:rsidR="002F52E3">
        <w:rPr>
          <w:rFonts w:ascii="Century" w:hAnsi="Century"/>
          <w:sz w:val="24"/>
          <w:szCs w:val="24"/>
        </w:rPr>
        <w:t xml:space="preserve"> to give them that authority</w:t>
      </w:r>
      <w:r w:rsidR="00CA3B9C" w:rsidRPr="002F52E3">
        <w:rPr>
          <w:rFonts w:ascii="Century" w:hAnsi="Century"/>
          <w:sz w:val="24"/>
          <w:szCs w:val="24"/>
        </w:rPr>
        <w:t>.</w:t>
      </w:r>
      <w:r w:rsidR="002F52E3">
        <w:rPr>
          <w:rFonts w:ascii="Century" w:hAnsi="Century"/>
          <w:sz w:val="24"/>
          <w:szCs w:val="24"/>
        </w:rPr>
        <w:t xml:space="preserve">  </w:t>
      </w:r>
      <w:r>
        <w:rPr>
          <w:rFonts w:ascii="Century" w:hAnsi="Century"/>
          <w:sz w:val="24"/>
          <w:szCs w:val="24"/>
        </w:rPr>
        <w:t>In other words</w:t>
      </w:r>
      <w:r w:rsidR="006E7B45">
        <w:rPr>
          <w:rFonts w:ascii="Century" w:hAnsi="Century"/>
          <w:sz w:val="24"/>
          <w:szCs w:val="24"/>
        </w:rPr>
        <w:t>,</w:t>
      </w:r>
      <w:r>
        <w:rPr>
          <w:rFonts w:ascii="Century" w:hAnsi="Century"/>
          <w:sz w:val="24"/>
          <w:szCs w:val="24"/>
        </w:rPr>
        <w:t xml:space="preserve"> the entities that carry out the textbook authorization are not independent from the interference by the MEXT</w:t>
      </w:r>
      <w:r w:rsidR="006E7B45">
        <w:rPr>
          <w:rFonts w:ascii="Century" w:hAnsi="Century"/>
          <w:sz w:val="24"/>
          <w:szCs w:val="24"/>
        </w:rPr>
        <w:t xml:space="preserve">, which has frequently accepted </w:t>
      </w:r>
      <w:r w:rsidR="00CA3B9C">
        <w:rPr>
          <w:rFonts w:ascii="Century" w:hAnsi="Century"/>
          <w:sz w:val="24"/>
          <w:szCs w:val="24"/>
        </w:rPr>
        <w:t xml:space="preserve">external views </w:t>
      </w:r>
      <w:r w:rsidR="002F52E3">
        <w:rPr>
          <w:rFonts w:ascii="Century" w:hAnsi="Century"/>
          <w:sz w:val="24"/>
          <w:szCs w:val="24"/>
        </w:rPr>
        <w:t xml:space="preserve">(mainly of politicians) </w:t>
      </w:r>
      <w:r w:rsidR="00CA3B9C">
        <w:rPr>
          <w:rFonts w:ascii="Century" w:hAnsi="Century"/>
          <w:sz w:val="24"/>
          <w:szCs w:val="24"/>
        </w:rPr>
        <w:t>that are not based on academic information, especially th</w:t>
      </w:r>
      <w:r w:rsidR="002F52E3">
        <w:rPr>
          <w:rFonts w:ascii="Century" w:hAnsi="Century"/>
          <w:sz w:val="24"/>
          <w:szCs w:val="24"/>
        </w:rPr>
        <w:t>at</w:t>
      </w:r>
      <w:r w:rsidR="00CA3B9C">
        <w:rPr>
          <w:rFonts w:ascii="Century" w:hAnsi="Century"/>
          <w:sz w:val="24"/>
          <w:szCs w:val="24"/>
        </w:rPr>
        <w:t xml:space="preserve"> of Japanese modern history.</w:t>
      </w:r>
    </w:p>
    <w:p w14:paraId="21AF3086" w14:textId="085B5709" w:rsidR="00AD0690" w:rsidRPr="002F52E3" w:rsidRDefault="00DF68F5" w:rsidP="00DD35A7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 w:rsidRPr="002F52E3">
        <w:rPr>
          <w:rFonts w:ascii="Century" w:hAnsi="Century" w:hint="eastAsia"/>
          <w:sz w:val="24"/>
          <w:szCs w:val="24"/>
        </w:rPr>
        <w:t>A</w:t>
      </w:r>
      <w:r w:rsidRPr="002F52E3">
        <w:rPr>
          <w:rFonts w:ascii="Century" w:hAnsi="Century"/>
          <w:sz w:val="24"/>
          <w:szCs w:val="24"/>
        </w:rPr>
        <w:t xml:space="preserve">s the result of all these, the academic freedom is not guaranteed in </w:t>
      </w:r>
      <w:r w:rsidR="002F52E3" w:rsidRPr="002F52E3">
        <w:rPr>
          <w:rFonts w:ascii="Century" w:hAnsi="Century"/>
          <w:sz w:val="24"/>
          <w:szCs w:val="24"/>
        </w:rPr>
        <w:t xml:space="preserve">elementary and secondary </w:t>
      </w:r>
      <w:r w:rsidRPr="002F52E3">
        <w:rPr>
          <w:rFonts w:ascii="Century" w:hAnsi="Century"/>
          <w:sz w:val="24"/>
          <w:szCs w:val="24"/>
        </w:rPr>
        <w:t>schools.</w:t>
      </w:r>
      <w:r w:rsidR="002F52E3" w:rsidRPr="002F52E3">
        <w:rPr>
          <w:rFonts w:ascii="Century" w:hAnsi="Century"/>
          <w:sz w:val="24"/>
          <w:szCs w:val="24"/>
        </w:rPr>
        <w:t xml:space="preserve">  </w:t>
      </w:r>
      <w:r w:rsidR="00CA3B9C" w:rsidRPr="002F52E3">
        <w:rPr>
          <w:rFonts w:ascii="Century" w:hAnsi="Century"/>
          <w:sz w:val="24"/>
          <w:szCs w:val="24"/>
        </w:rPr>
        <w:t xml:space="preserve">The Human Rights Committee mentioned in political interference in history textbooks in its </w:t>
      </w:r>
      <w:r w:rsidRPr="002F52E3">
        <w:rPr>
          <w:rFonts w:ascii="Century" w:hAnsi="Century"/>
          <w:sz w:val="24"/>
          <w:szCs w:val="24"/>
        </w:rPr>
        <w:t>concluding observations in 2022 (</w:t>
      </w:r>
      <w:r w:rsidRPr="001B68D0">
        <w:rPr>
          <w:rFonts w:ascii="Century" w:hAnsi="Century"/>
          <w:b/>
          <w:bCs/>
          <w:sz w:val="24"/>
          <w:szCs w:val="24"/>
        </w:rPr>
        <w:t>paragraph 29 (c), CCPR/C/JPN/CO/7</w:t>
      </w:r>
      <w:r w:rsidRPr="002F52E3">
        <w:rPr>
          <w:rFonts w:ascii="Century" w:hAnsi="Century"/>
          <w:sz w:val="24"/>
          <w:szCs w:val="24"/>
        </w:rPr>
        <w:t xml:space="preserve">). </w:t>
      </w:r>
    </w:p>
    <w:p w14:paraId="7FD9772B" w14:textId="77777777" w:rsidR="00DF68F5" w:rsidRDefault="00DF68F5" w:rsidP="00D87A01">
      <w:pPr>
        <w:rPr>
          <w:rFonts w:ascii="Century" w:hAnsi="Century"/>
          <w:sz w:val="24"/>
          <w:szCs w:val="24"/>
        </w:rPr>
      </w:pPr>
    </w:p>
    <w:p w14:paraId="6497E021" w14:textId="071168EA" w:rsidR="00D87A01" w:rsidRPr="00446041" w:rsidRDefault="00D87A01" w:rsidP="00D87A01">
      <w:pPr>
        <w:rPr>
          <w:rFonts w:ascii="Century" w:hAnsi="Century"/>
          <w:b/>
          <w:bCs/>
          <w:sz w:val="24"/>
          <w:szCs w:val="24"/>
        </w:rPr>
      </w:pPr>
      <w:r w:rsidRPr="00446041">
        <w:rPr>
          <w:rFonts w:ascii="Century" w:hAnsi="Century"/>
          <w:b/>
          <w:bCs/>
          <w:sz w:val="24"/>
          <w:szCs w:val="24"/>
        </w:rPr>
        <w:t>Question 10</w:t>
      </w:r>
    </w:p>
    <w:p w14:paraId="1A372BFB" w14:textId="79DBAE49" w:rsidR="00BB4E33" w:rsidRDefault="003C4C10" w:rsidP="00D87A01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The Law on the Measures for </w:t>
      </w:r>
      <w:r w:rsidRPr="003C4C10">
        <w:rPr>
          <w:rFonts w:ascii="Century" w:hAnsi="Century"/>
          <w:sz w:val="24"/>
          <w:szCs w:val="24"/>
        </w:rPr>
        <w:t>Free Supply of Textbooks</w:t>
      </w:r>
      <w:r>
        <w:rPr>
          <w:rFonts w:ascii="Century" w:hAnsi="Century"/>
          <w:sz w:val="24"/>
          <w:szCs w:val="24"/>
        </w:rPr>
        <w:t xml:space="preserve"> for Compulsory Schools stipulates that </w:t>
      </w:r>
      <w:r w:rsidR="00BB4E33">
        <w:rPr>
          <w:rFonts w:ascii="Century" w:hAnsi="Century"/>
          <w:sz w:val="24"/>
          <w:szCs w:val="24"/>
        </w:rPr>
        <w:t>the textbook</w:t>
      </w:r>
      <w:r w:rsidR="003D7ADA">
        <w:rPr>
          <w:rFonts w:ascii="Century" w:hAnsi="Century"/>
          <w:sz w:val="24"/>
          <w:szCs w:val="24"/>
        </w:rPr>
        <w:t>s</w:t>
      </w:r>
      <w:r w:rsidR="00BB4E33">
        <w:rPr>
          <w:rFonts w:ascii="Century" w:hAnsi="Century"/>
          <w:sz w:val="24"/>
          <w:szCs w:val="24"/>
        </w:rPr>
        <w:t xml:space="preserve"> for those schools shall be </w:t>
      </w:r>
      <w:r w:rsidR="003D7ADA">
        <w:rPr>
          <w:rFonts w:ascii="Century" w:hAnsi="Century"/>
          <w:sz w:val="24"/>
          <w:szCs w:val="24"/>
        </w:rPr>
        <w:t>selected</w:t>
      </w:r>
      <w:r w:rsidR="00BB4E33">
        <w:rPr>
          <w:rFonts w:ascii="Century" w:hAnsi="Century"/>
          <w:sz w:val="24"/>
          <w:szCs w:val="24"/>
        </w:rPr>
        <w:t xml:space="preserve"> in every “adoption area” which consists of </w:t>
      </w:r>
      <w:r w:rsidR="00BB4E33" w:rsidRPr="00D87A01">
        <w:rPr>
          <w:rFonts w:ascii="Century" w:hAnsi="Century"/>
          <w:sz w:val="24"/>
          <w:szCs w:val="24"/>
        </w:rPr>
        <w:t>one single or a few basic municipalities</w:t>
      </w:r>
      <w:r w:rsidR="00BB4E33">
        <w:rPr>
          <w:rFonts w:ascii="Century" w:hAnsi="Century"/>
          <w:sz w:val="24"/>
          <w:szCs w:val="24"/>
        </w:rPr>
        <w:t>.  The same textbooks are used in each adoption area.</w:t>
      </w:r>
    </w:p>
    <w:p w14:paraId="634DA191" w14:textId="76D2A586" w:rsidR="00296EAA" w:rsidRPr="003D7ADA" w:rsidRDefault="00BB4E33" w:rsidP="00D87A01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 w:rsidRPr="003D7ADA">
        <w:rPr>
          <w:rFonts w:ascii="Century" w:hAnsi="Century" w:hint="eastAsia"/>
          <w:sz w:val="24"/>
          <w:szCs w:val="24"/>
        </w:rPr>
        <w:t>T</w:t>
      </w:r>
      <w:r w:rsidRPr="003D7ADA">
        <w:rPr>
          <w:rFonts w:ascii="Century" w:hAnsi="Century"/>
          <w:sz w:val="24"/>
          <w:szCs w:val="24"/>
        </w:rPr>
        <w:t xml:space="preserve">he teachers at public elementary and lower secondary schools cannot choose the </w:t>
      </w:r>
      <w:r w:rsidRPr="003D7ADA">
        <w:rPr>
          <w:rFonts w:ascii="Century" w:hAnsi="Century"/>
          <w:sz w:val="24"/>
          <w:szCs w:val="24"/>
        </w:rPr>
        <w:lastRenderedPageBreak/>
        <w:t>textbooks they hope to use</w:t>
      </w:r>
      <w:r w:rsidR="003D7ADA" w:rsidRPr="003D7ADA">
        <w:rPr>
          <w:rFonts w:ascii="Century" w:hAnsi="Century"/>
          <w:sz w:val="24"/>
          <w:szCs w:val="24"/>
        </w:rPr>
        <w:t>.  T</w:t>
      </w:r>
      <w:r w:rsidRPr="003D7ADA">
        <w:rPr>
          <w:rFonts w:ascii="Century" w:hAnsi="Century"/>
          <w:sz w:val="24"/>
          <w:szCs w:val="24"/>
        </w:rPr>
        <w:t xml:space="preserve">hey cannot directly </w:t>
      </w:r>
      <w:r w:rsidR="003D7ADA" w:rsidRPr="003D7ADA">
        <w:rPr>
          <w:rFonts w:ascii="Century" w:hAnsi="Century"/>
          <w:sz w:val="24"/>
          <w:szCs w:val="24"/>
        </w:rPr>
        <w:t>participate</w:t>
      </w:r>
      <w:r w:rsidRPr="003D7ADA">
        <w:rPr>
          <w:rFonts w:ascii="Century" w:hAnsi="Century"/>
          <w:sz w:val="24"/>
          <w:szCs w:val="24"/>
        </w:rPr>
        <w:t xml:space="preserve"> in the process of the textbook adoption.</w:t>
      </w:r>
      <w:r w:rsidR="00721A52" w:rsidRPr="003D7ADA">
        <w:rPr>
          <w:rFonts w:ascii="Century" w:hAnsi="Century"/>
          <w:sz w:val="24"/>
          <w:szCs w:val="24"/>
        </w:rPr>
        <w:t xml:space="preserve">  </w:t>
      </w:r>
      <w:r w:rsidRPr="003D7ADA">
        <w:rPr>
          <w:rFonts w:ascii="Century" w:hAnsi="Century" w:hint="eastAsia"/>
          <w:sz w:val="24"/>
          <w:szCs w:val="24"/>
        </w:rPr>
        <w:t>I</w:t>
      </w:r>
      <w:r w:rsidRPr="003D7ADA">
        <w:rPr>
          <w:rFonts w:ascii="Century" w:hAnsi="Century"/>
          <w:sz w:val="24"/>
          <w:szCs w:val="24"/>
        </w:rPr>
        <w:t>t is the members of the education board that decide the textbook for each adoption area.</w:t>
      </w:r>
      <w:r w:rsidR="003D7ADA" w:rsidRPr="003D7ADA">
        <w:rPr>
          <w:rFonts w:ascii="Century" w:hAnsi="Century"/>
          <w:sz w:val="24"/>
          <w:szCs w:val="24"/>
        </w:rPr>
        <w:t xml:space="preserve">  On the other hand, </w:t>
      </w:r>
      <w:r w:rsidR="003D7ADA">
        <w:rPr>
          <w:rFonts w:ascii="Century" w:hAnsi="Century"/>
          <w:sz w:val="24"/>
          <w:szCs w:val="24"/>
        </w:rPr>
        <w:t>t</w:t>
      </w:r>
      <w:r w:rsidR="00101C44" w:rsidRPr="003D7ADA">
        <w:rPr>
          <w:rFonts w:ascii="Century" w:hAnsi="Century"/>
          <w:sz w:val="24"/>
          <w:szCs w:val="24"/>
        </w:rPr>
        <w:t>he teachers at state-run and private schools on the same education levels are allowed to choose the textbooks.</w:t>
      </w:r>
    </w:p>
    <w:p w14:paraId="7AEC1BEE" w14:textId="75F3C1DB" w:rsidR="00C631D6" w:rsidRDefault="00101C44" w:rsidP="00D87A01">
      <w:pPr>
        <w:pStyle w:val="ListParagraph"/>
        <w:numPr>
          <w:ilvl w:val="0"/>
          <w:numId w:val="1"/>
        </w:numPr>
        <w:ind w:leftChars="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T</w:t>
      </w:r>
      <w:r>
        <w:rPr>
          <w:rFonts w:ascii="Century" w:hAnsi="Century"/>
          <w:sz w:val="24"/>
          <w:szCs w:val="24"/>
        </w:rPr>
        <w:t xml:space="preserve">hough the teachers have the right to choose the materials other than the authorized textbooks, such as reference books or printed materials, they </w:t>
      </w:r>
      <w:proofErr w:type="gramStart"/>
      <w:r>
        <w:rPr>
          <w:rFonts w:ascii="Century" w:hAnsi="Century"/>
          <w:sz w:val="24"/>
          <w:szCs w:val="24"/>
        </w:rPr>
        <w:t>have to</w:t>
      </w:r>
      <w:proofErr w:type="gramEnd"/>
      <w:r>
        <w:rPr>
          <w:rFonts w:ascii="Century" w:hAnsi="Century"/>
          <w:sz w:val="24"/>
          <w:szCs w:val="24"/>
        </w:rPr>
        <w:t xml:space="preserve"> obtain the approval of the education board for the former</w:t>
      </w:r>
      <w:r w:rsidR="003D7ADA">
        <w:rPr>
          <w:rFonts w:ascii="Century" w:hAnsi="Century"/>
          <w:sz w:val="24"/>
          <w:szCs w:val="24"/>
        </w:rPr>
        <w:t>;</w:t>
      </w:r>
      <w:r>
        <w:rPr>
          <w:rFonts w:ascii="Century" w:hAnsi="Century"/>
          <w:sz w:val="24"/>
          <w:szCs w:val="24"/>
        </w:rPr>
        <w:t xml:space="preserve"> </w:t>
      </w:r>
      <w:r w:rsidR="003D7ADA">
        <w:rPr>
          <w:rFonts w:ascii="Century" w:hAnsi="Century"/>
          <w:sz w:val="24"/>
          <w:szCs w:val="24"/>
        </w:rPr>
        <w:t xml:space="preserve">for the latter </w:t>
      </w:r>
      <w:r>
        <w:rPr>
          <w:rFonts w:ascii="Century" w:hAnsi="Century"/>
          <w:sz w:val="24"/>
          <w:szCs w:val="24"/>
        </w:rPr>
        <w:t xml:space="preserve">they </w:t>
      </w:r>
      <w:r w:rsidR="00CC2F22">
        <w:rPr>
          <w:rFonts w:ascii="Century" w:hAnsi="Century"/>
          <w:sz w:val="24"/>
          <w:szCs w:val="24"/>
        </w:rPr>
        <w:t>may be</w:t>
      </w:r>
      <w:r>
        <w:rPr>
          <w:rFonts w:ascii="Century" w:hAnsi="Century"/>
          <w:sz w:val="24"/>
          <w:szCs w:val="24"/>
        </w:rPr>
        <w:t xml:space="preserve"> often obliged to get the approval of their school principal before they use the materials in class.</w:t>
      </w:r>
    </w:p>
    <w:p w14:paraId="65050416" w14:textId="4684F2A5" w:rsidR="00101C44" w:rsidRDefault="00C631D6" w:rsidP="00C631D6">
      <w:pPr>
        <w:rPr>
          <w:rFonts w:ascii="Century" w:hAnsi="Century"/>
          <w:sz w:val="24"/>
          <w:szCs w:val="24"/>
        </w:rPr>
      </w:pPr>
      <w:r w:rsidRPr="00C631D6">
        <w:rPr>
          <w:rFonts w:ascii="Century" w:hAnsi="Century"/>
          <w:sz w:val="24"/>
          <w:szCs w:val="24"/>
        </w:rPr>
        <w:br w:type="column"/>
      </w:r>
      <w:r>
        <w:rPr>
          <w:rFonts w:ascii="Century" w:hAnsi="Century"/>
          <w:sz w:val="24"/>
          <w:szCs w:val="24"/>
        </w:rPr>
        <w:lastRenderedPageBreak/>
        <w:t>Annex:</w:t>
      </w:r>
    </w:p>
    <w:p w14:paraId="475CE563" w14:textId="444961DB" w:rsidR="001B68D0" w:rsidRDefault="00CC2F22" w:rsidP="001D2C6C">
      <w:pPr>
        <w:pStyle w:val="ListParagraph"/>
        <w:numPr>
          <w:ilvl w:val="0"/>
          <w:numId w:val="3"/>
        </w:numPr>
        <w:ind w:leftChars="0"/>
        <w:rPr>
          <w:rFonts w:ascii="Century" w:hAnsi="Century"/>
          <w:sz w:val="24"/>
          <w:szCs w:val="24"/>
        </w:rPr>
      </w:pPr>
      <w:r w:rsidRPr="001B68D0">
        <w:rPr>
          <w:rFonts w:ascii="Century" w:hAnsi="Century"/>
          <w:sz w:val="24"/>
          <w:szCs w:val="24"/>
        </w:rPr>
        <w:t>Article 34 of the School Education Law</w:t>
      </w:r>
      <w:r w:rsidR="001B68D0" w:rsidRPr="001B68D0">
        <w:rPr>
          <w:rFonts w:ascii="Century" w:hAnsi="Century"/>
          <w:sz w:val="24"/>
          <w:szCs w:val="24"/>
        </w:rPr>
        <w:t>: “</w:t>
      </w:r>
      <w:r w:rsidR="001B68D0" w:rsidRPr="001B68D0">
        <w:rPr>
          <w:rFonts w:ascii="Century" w:hAnsi="Century" w:hint="eastAsia"/>
          <w:sz w:val="24"/>
          <w:szCs w:val="24"/>
        </w:rPr>
        <w:t xml:space="preserve">Elementary schools must use textbooks that have been </w:t>
      </w:r>
      <w:r w:rsidR="001B68D0" w:rsidRPr="001B68D0">
        <w:rPr>
          <w:rFonts w:ascii="Century" w:hAnsi="Century"/>
          <w:sz w:val="24"/>
          <w:szCs w:val="24"/>
        </w:rPr>
        <w:t>approved</w:t>
      </w:r>
      <w:r w:rsidR="001B68D0" w:rsidRPr="001B68D0">
        <w:rPr>
          <w:rFonts w:ascii="Century" w:hAnsi="Century" w:hint="eastAsia"/>
          <w:sz w:val="24"/>
          <w:szCs w:val="24"/>
        </w:rPr>
        <w:t xml:space="preserve"> by the Minister of Education, Culture, Sports, Science and Technology or books that have been authored by the Ministry of Education, Culture, Sports, Science and Technology.</w:t>
      </w:r>
      <w:r w:rsidR="001B68D0">
        <w:rPr>
          <w:rFonts w:ascii="Century" w:hAnsi="Century"/>
          <w:sz w:val="24"/>
          <w:szCs w:val="24"/>
        </w:rPr>
        <w:t>” (</w:t>
      </w:r>
      <w:proofErr w:type="gramStart"/>
      <w:r w:rsidR="001B68D0">
        <w:rPr>
          <w:rFonts w:ascii="Century" w:hAnsi="Century"/>
          <w:sz w:val="24"/>
          <w:szCs w:val="24"/>
        </w:rPr>
        <w:t>translated</w:t>
      </w:r>
      <w:proofErr w:type="gramEnd"/>
      <w:r w:rsidR="001B68D0">
        <w:rPr>
          <w:rFonts w:ascii="Century" w:hAnsi="Century"/>
          <w:sz w:val="24"/>
          <w:szCs w:val="24"/>
        </w:rPr>
        <w:t xml:space="preserve"> by the contributor; there is no official translation by the Government of Japan.)</w:t>
      </w:r>
    </w:p>
    <w:p w14:paraId="18F6A38C" w14:textId="77777777" w:rsidR="001E2342" w:rsidRDefault="001B68D0" w:rsidP="001D2C6C">
      <w:pPr>
        <w:pStyle w:val="ListParagraph"/>
        <w:numPr>
          <w:ilvl w:val="0"/>
          <w:numId w:val="3"/>
        </w:numPr>
        <w:ind w:leftChars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</w:t>
      </w:r>
      <w:r w:rsidRPr="001B68D0">
        <w:rPr>
          <w:rFonts w:ascii="Century" w:hAnsi="Century"/>
          <w:sz w:val="24"/>
          <w:szCs w:val="24"/>
        </w:rPr>
        <w:t>aragraph 29 (c), CCPR/C/JPN/CO/7</w:t>
      </w:r>
      <w:r>
        <w:rPr>
          <w:rFonts w:ascii="Century" w:hAnsi="Century"/>
          <w:sz w:val="24"/>
          <w:szCs w:val="24"/>
        </w:rPr>
        <w:t xml:space="preserve">: </w:t>
      </w:r>
    </w:p>
    <w:p w14:paraId="04406877" w14:textId="18BF027F" w:rsidR="001E2342" w:rsidRDefault="001B68D0" w:rsidP="001E2342">
      <w:pPr>
        <w:pStyle w:val="ListParagrap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“</w:t>
      </w:r>
      <w:r w:rsidR="001E2342" w:rsidRPr="001E2342">
        <w:rPr>
          <w:rFonts w:ascii="Century" w:hAnsi="Century"/>
          <w:sz w:val="24"/>
          <w:szCs w:val="24"/>
        </w:rPr>
        <w:t>29.</w:t>
      </w:r>
      <w:r w:rsidR="001E2342">
        <w:rPr>
          <w:rFonts w:ascii="Century" w:hAnsi="Century"/>
          <w:sz w:val="24"/>
          <w:szCs w:val="24"/>
        </w:rPr>
        <w:t xml:space="preserve"> </w:t>
      </w:r>
      <w:r w:rsidR="001E2342" w:rsidRPr="001E2342">
        <w:rPr>
          <w:rFonts w:ascii="Century" w:hAnsi="Century"/>
          <w:sz w:val="24"/>
          <w:szCs w:val="24"/>
        </w:rPr>
        <w:t xml:space="preserve">The Committee reiterates its previous </w:t>
      </w:r>
      <w:proofErr w:type="gramStart"/>
      <w:r w:rsidR="001E2342" w:rsidRPr="001E2342">
        <w:rPr>
          <w:rFonts w:ascii="Century" w:hAnsi="Century"/>
          <w:sz w:val="24"/>
          <w:szCs w:val="24"/>
        </w:rPr>
        <w:t>recommendations,  and</w:t>
      </w:r>
      <w:proofErr w:type="gramEnd"/>
      <w:r w:rsidR="001E2342" w:rsidRPr="001E2342">
        <w:rPr>
          <w:rFonts w:ascii="Century" w:hAnsi="Century"/>
          <w:sz w:val="24"/>
          <w:szCs w:val="24"/>
        </w:rPr>
        <w:t xml:space="preserve"> urges the State party to take immediate and effective legislative and administrative measures to ensure:</w:t>
      </w:r>
    </w:p>
    <w:p w14:paraId="61389CB4" w14:textId="31C3A9CF" w:rsidR="001E2342" w:rsidRPr="001E2342" w:rsidRDefault="001E2342" w:rsidP="001E2342">
      <w:pPr>
        <w:pStyle w:val="ListParagrap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…</w:t>
      </w:r>
    </w:p>
    <w:p w14:paraId="68920248" w14:textId="59716417" w:rsidR="001B68D0" w:rsidRPr="001B68D0" w:rsidRDefault="001E2342" w:rsidP="001E2342">
      <w:pPr>
        <w:pStyle w:val="ListParagraph"/>
        <w:ind w:leftChars="370" w:left="991" w:hangingChars="89" w:hanging="214"/>
        <w:rPr>
          <w:rFonts w:ascii="Century" w:hAnsi="Century"/>
          <w:sz w:val="24"/>
          <w:szCs w:val="24"/>
        </w:rPr>
      </w:pPr>
      <w:r w:rsidRPr="001E2342">
        <w:rPr>
          <w:rFonts w:ascii="Century" w:hAnsi="Century"/>
          <w:sz w:val="24"/>
          <w:szCs w:val="24"/>
        </w:rPr>
        <w:t>(c)</w:t>
      </w:r>
      <w:r>
        <w:rPr>
          <w:rFonts w:ascii="Century" w:hAnsi="Century"/>
          <w:sz w:val="24"/>
          <w:szCs w:val="24"/>
        </w:rPr>
        <w:t xml:space="preserve"> </w:t>
      </w:r>
      <w:r w:rsidRPr="001E2342">
        <w:rPr>
          <w:rFonts w:ascii="Century" w:hAnsi="Century"/>
          <w:sz w:val="24"/>
          <w:szCs w:val="24"/>
        </w:rPr>
        <w:t>Education about the issue, including adequate references in textbooks, and strong condemnation of any attempts to defame victims or to deny the events.</w:t>
      </w:r>
      <w:r>
        <w:rPr>
          <w:rFonts w:ascii="Century" w:hAnsi="Century"/>
          <w:sz w:val="24"/>
          <w:szCs w:val="24"/>
        </w:rPr>
        <w:t>”</w:t>
      </w:r>
    </w:p>
    <w:p w14:paraId="5D70431F" w14:textId="2E6DDA4F" w:rsidR="00C631D6" w:rsidRPr="00C631D6" w:rsidRDefault="00C631D6" w:rsidP="00C631D6">
      <w:pPr>
        <w:rPr>
          <w:rFonts w:ascii="Century" w:hAnsi="Century"/>
          <w:sz w:val="24"/>
          <w:szCs w:val="24"/>
        </w:rPr>
      </w:pPr>
    </w:p>
    <w:sectPr w:rsidR="00C631D6" w:rsidRPr="00C631D6" w:rsidSect="00AA355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DB96" w14:textId="77777777" w:rsidR="00AA3550" w:rsidRDefault="00AA3550" w:rsidP="00873B80">
      <w:r>
        <w:separator/>
      </w:r>
    </w:p>
  </w:endnote>
  <w:endnote w:type="continuationSeparator" w:id="0">
    <w:p w14:paraId="380CC874" w14:textId="77777777" w:rsidR="00AA3550" w:rsidRDefault="00AA3550" w:rsidP="008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ACCB" w14:textId="77777777" w:rsidR="00AA3550" w:rsidRDefault="00AA3550" w:rsidP="00873B80">
      <w:r>
        <w:separator/>
      </w:r>
    </w:p>
  </w:footnote>
  <w:footnote w:type="continuationSeparator" w:id="0">
    <w:p w14:paraId="721D0698" w14:textId="77777777" w:rsidR="00AA3550" w:rsidRDefault="00AA3550" w:rsidP="0087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64C"/>
    <w:multiLevelType w:val="hybridMultilevel"/>
    <w:tmpl w:val="06647F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E2064F"/>
    <w:multiLevelType w:val="hybridMultilevel"/>
    <w:tmpl w:val="60AE4E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713052"/>
    <w:multiLevelType w:val="hybridMultilevel"/>
    <w:tmpl w:val="F49454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39398">
    <w:abstractNumId w:val="2"/>
  </w:num>
  <w:num w:numId="2" w16cid:durableId="1618634947">
    <w:abstractNumId w:val="0"/>
  </w:num>
  <w:num w:numId="3" w16cid:durableId="87473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A7"/>
    <w:rsid w:val="00066752"/>
    <w:rsid w:val="00101C44"/>
    <w:rsid w:val="001B68D0"/>
    <w:rsid w:val="001E2342"/>
    <w:rsid w:val="00227010"/>
    <w:rsid w:val="00296EAA"/>
    <w:rsid w:val="002F52E3"/>
    <w:rsid w:val="00385F56"/>
    <w:rsid w:val="003C4C10"/>
    <w:rsid w:val="003D7ADA"/>
    <w:rsid w:val="0040122C"/>
    <w:rsid w:val="00446041"/>
    <w:rsid w:val="006E7B45"/>
    <w:rsid w:val="00721A52"/>
    <w:rsid w:val="008350C9"/>
    <w:rsid w:val="00873B80"/>
    <w:rsid w:val="00AA3550"/>
    <w:rsid w:val="00AD0690"/>
    <w:rsid w:val="00B2352C"/>
    <w:rsid w:val="00B874C0"/>
    <w:rsid w:val="00B87F88"/>
    <w:rsid w:val="00BB4E33"/>
    <w:rsid w:val="00BF12D8"/>
    <w:rsid w:val="00C62822"/>
    <w:rsid w:val="00C631D6"/>
    <w:rsid w:val="00CA3B9C"/>
    <w:rsid w:val="00CC2F22"/>
    <w:rsid w:val="00D3271F"/>
    <w:rsid w:val="00D87A01"/>
    <w:rsid w:val="00DD35A7"/>
    <w:rsid w:val="00D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2FA7B"/>
  <w15:chartTrackingRefBased/>
  <w15:docId w15:val="{B733CCA5-0081-4925-BBC3-C2A6F6ED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A7"/>
    <w:pPr>
      <w:ind w:leftChars="400" w:left="840"/>
    </w:pPr>
  </w:style>
  <w:style w:type="table" w:styleId="TableGrid">
    <w:name w:val="Table Grid"/>
    <w:basedOn w:val="TableNormal"/>
    <w:uiPriority w:val="39"/>
    <w:rsid w:val="00B2352C"/>
    <w:pPr>
      <w:jc w:val="both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3B8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73B80"/>
  </w:style>
  <w:style w:type="paragraph" w:styleId="Footer">
    <w:name w:val="footer"/>
    <w:basedOn w:val="Normal"/>
    <w:link w:val="FooterChar"/>
    <w:uiPriority w:val="99"/>
    <w:unhideWhenUsed/>
    <w:rsid w:val="00873B8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7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Japan Federation of Publishing Workers Unions 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DE7EC-5D0A-4C84-870F-774CCEDC3313}">
  <ds:schemaRefs>
    <ds:schemaRef ds:uri="http://schemas.microsoft.com/office/2006/documentManagement/types"/>
    <ds:schemaRef ds:uri="http://purl.org/dc/elements/1.1/"/>
    <ds:schemaRef ds:uri="d42e65b2-cf21-49c1-b27d-d23f90380c0e"/>
    <ds:schemaRef ds:uri="9c2e4527-2efa-4ade-b3d6-b2418af14986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598F2A-120D-46E4-B6CB-ABEE3466D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2BBA-4ABF-46F5-97FC-7D72BCCE9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CDEB8-8EF3-41F3-A8CE-3BDAC501C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e65b2-cf21-49c1-b27d-d23f90380c0e"/>
    <ds:schemaRef ds:uri="9c2e4527-2efa-4ade-b3d6-b2418af14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norihiro-yoshida@outlook.jp</dc:creator>
  <cp:keywords/>
  <dc:description/>
  <cp:lastModifiedBy>Mylene Bidault Abdulle</cp:lastModifiedBy>
  <cp:revision>18</cp:revision>
  <dcterms:created xsi:type="dcterms:W3CDTF">2024-02-01T02:02:00Z</dcterms:created>
  <dcterms:modified xsi:type="dcterms:W3CDTF">2024-04-30T15:30:00Z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