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712639ED" w:rsidR="004C72E6" w:rsidRPr="004C72E6" w:rsidRDefault="00FB1CDA" w:rsidP="00987912">
            <w:pPr>
              <w:spacing w:before="120" w:after="120"/>
              <w:jc w:val="both"/>
              <w:rPr>
                <w:b/>
                <w:bCs/>
                <w:sz w:val="24"/>
                <w:szCs w:val="24"/>
                <w:lang w:val="en-US"/>
              </w:rPr>
            </w:pPr>
            <w:r>
              <w:rPr>
                <w:b/>
                <w:bCs/>
                <w:sz w:val="24"/>
                <w:szCs w:val="24"/>
                <w:lang w:val="en-US"/>
              </w:rPr>
              <w:t>Middle East Studies Association of North America</w:t>
            </w:r>
          </w:p>
        </w:tc>
      </w:tr>
    </w:tbl>
    <w:p w14:paraId="4C1A65D3" w14:textId="77777777" w:rsidR="004C72E6" w:rsidRDefault="004C72E6" w:rsidP="00987912">
      <w:pPr>
        <w:spacing w:before="120" w:after="120"/>
        <w:ind w:firstLine="425"/>
        <w:jc w:val="both"/>
        <w:rPr>
          <w:sz w:val="24"/>
          <w:szCs w:val="24"/>
        </w:rPr>
      </w:pPr>
    </w:p>
    <w:p w14:paraId="03455673" w14:textId="77777777" w:rsidR="00D02D31" w:rsidRDefault="00D02D31" w:rsidP="00987912">
      <w:pPr>
        <w:spacing w:before="120" w:after="120"/>
        <w:ind w:firstLine="425"/>
        <w:jc w:val="both"/>
        <w:rPr>
          <w:sz w:val="24"/>
          <w:szCs w:val="24"/>
        </w:rPr>
      </w:pPr>
    </w:p>
    <w:p w14:paraId="534D7D8D" w14:textId="77777777" w:rsidR="00D02D31" w:rsidRPr="00D02D31" w:rsidRDefault="00D02D31" w:rsidP="00987912">
      <w:pPr>
        <w:spacing w:before="120" w:after="120"/>
        <w:ind w:firstLine="425"/>
        <w:jc w:val="both"/>
        <w:rPr>
          <w:sz w:val="24"/>
          <w:szCs w:val="24"/>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596751B8" w:rsidR="00987912"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62340FF3" w14:textId="41B7BBF5" w:rsidR="00160B6A" w:rsidRPr="00160B6A" w:rsidRDefault="00160B6A" w:rsidP="004D14C7">
      <w:pPr>
        <w:spacing w:before="120" w:after="120"/>
        <w:ind w:left="567" w:hanging="567"/>
        <w:jc w:val="both"/>
        <w:rPr>
          <w:b/>
          <w:bCs/>
          <w:i/>
          <w:iCs/>
          <w:sz w:val="24"/>
          <w:szCs w:val="24"/>
          <w:lang w:val="en-US"/>
        </w:rPr>
      </w:pPr>
      <w:r w:rsidRPr="00160B6A">
        <w:rPr>
          <w:b/>
          <w:bCs/>
          <w:i/>
          <w:iCs/>
          <w:sz w:val="24"/>
          <w:szCs w:val="24"/>
          <w:lang w:val="en-US"/>
        </w:rPr>
        <w:t>Response to Question 1</w:t>
      </w:r>
    </w:p>
    <w:p w14:paraId="133A8A6F" w14:textId="764B6224" w:rsidR="00D95A3B" w:rsidRPr="00D2162F" w:rsidRDefault="00D95A3B" w:rsidP="00D2162F">
      <w:pPr>
        <w:pStyle w:val="ListParagraph"/>
        <w:numPr>
          <w:ilvl w:val="0"/>
          <w:numId w:val="34"/>
        </w:numPr>
        <w:spacing w:before="120" w:after="120"/>
        <w:jc w:val="both"/>
        <w:rPr>
          <w:sz w:val="24"/>
          <w:szCs w:val="24"/>
          <w:lang w:val="en-US"/>
        </w:rPr>
      </w:pPr>
      <w:r w:rsidRPr="00D2162F">
        <w:rPr>
          <w:sz w:val="24"/>
          <w:szCs w:val="24"/>
          <w:lang w:val="en-US"/>
        </w:rPr>
        <w:t>In higher education</w:t>
      </w:r>
      <w:r w:rsidR="007C1B7D">
        <w:rPr>
          <w:sz w:val="24"/>
          <w:szCs w:val="24"/>
          <w:lang w:val="en-US"/>
        </w:rPr>
        <w:t xml:space="preserve"> of the United States of America (US)</w:t>
      </w:r>
      <w:r w:rsidRPr="00D2162F">
        <w:rPr>
          <w:sz w:val="24"/>
          <w:szCs w:val="24"/>
          <w:lang w:val="en-US"/>
        </w:rPr>
        <w:t>, academic freedom is generally defined as freedom of inquiry and research; freedom of teaching within a university or college</w:t>
      </w:r>
      <w:r w:rsidR="00C37FC5" w:rsidRPr="00D2162F">
        <w:rPr>
          <w:sz w:val="24"/>
          <w:szCs w:val="24"/>
          <w:lang w:val="en-US"/>
        </w:rPr>
        <w:t>;</w:t>
      </w:r>
      <w:r w:rsidRPr="00D2162F">
        <w:rPr>
          <w:sz w:val="24"/>
          <w:szCs w:val="24"/>
          <w:lang w:val="en-US"/>
        </w:rPr>
        <w:t xml:space="preserve"> and freedom of extramural speech and association. </w:t>
      </w:r>
      <w:r w:rsidR="00EA71A2" w:rsidRPr="00D2162F">
        <w:rPr>
          <w:sz w:val="24"/>
          <w:szCs w:val="24"/>
          <w:lang w:val="en-US"/>
        </w:rPr>
        <w:t>Thus, it is connected to the educational contexts of teaching, learning and research, for faculty and students alike</w:t>
      </w:r>
      <w:r w:rsidR="006157AA" w:rsidRPr="00D2162F">
        <w:rPr>
          <w:sz w:val="24"/>
          <w:szCs w:val="24"/>
          <w:lang w:val="en-US"/>
        </w:rPr>
        <w:t xml:space="preserve">, both inside and outside of the classroom. </w:t>
      </w:r>
      <w:r w:rsidRPr="00D2162F">
        <w:rPr>
          <w:sz w:val="24"/>
          <w:szCs w:val="24"/>
          <w:lang w:val="en-US"/>
        </w:rPr>
        <w:t xml:space="preserve">The legal protection of academic freedom is tied to the constitutional protection of freedom of speech in the United States under the First Amendment, which applies to public universities and colleges. The First Amendment restricts the right of public colleges and universities to regulate the speech and expressive activity of their employees and students. Private universities and colleges typically adopt speech codes for their students, staff and faculty that broadly correspond to the First Amendment’s </w:t>
      </w:r>
      <w:proofErr w:type="gramStart"/>
      <w:r w:rsidRPr="00D2162F">
        <w:rPr>
          <w:sz w:val="24"/>
          <w:szCs w:val="24"/>
          <w:lang w:val="en-US"/>
        </w:rPr>
        <w:t>protections, but</w:t>
      </w:r>
      <w:proofErr w:type="gramEnd"/>
      <w:r w:rsidRPr="00D2162F">
        <w:rPr>
          <w:sz w:val="24"/>
          <w:szCs w:val="24"/>
          <w:lang w:val="en-US"/>
        </w:rPr>
        <w:t xml:space="preserve"> may be more restrictive than the constitutional standard. The Supreme Court has consistently interpreted</w:t>
      </w:r>
      <w:r w:rsidR="00321971" w:rsidRPr="00D2162F">
        <w:rPr>
          <w:sz w:val="24"/>
          <w:szCs w:val="24"/>
          <w:lang w:val="en-US"/>
        </w:rPr>
        <w:t xml:space="preserve"> the First Amendment as </w:t>
      </w:r>
      <w:r w:rsidR="00476858" w:rsidRPr="00D2162F">
        <w:rPr>
          <w:sz w:val="24"/>
          <w:szCs w:val="24"/>
          <w:lang w:val="en-US"/>
        </w:rPr>
        <w:t xml:space="preserve">providing constitutional protection for academic freedom. In addition, there are a range of contractual rights protected by law for faculty, </w:t>
      </w:r>
      <w:proofErr w:type="gramStart"/>
      <w:r w:rsidR="00476858" w:rsidRPr="00D2162F">
        <w:rPr>
          <w:sz w:val="24"/>
          <w:szCs w:val="24"/>
          <w:lang w:val="en-US"/>
        </w:rPr>
        <w:t>staff</w:t>
      </w:r>
      <w:proofErr w:type="gramEnd"/>
      <w:r w:rsidR="00476858" w:rsidRPr="00D2162F">
        <w:rPr>
          <w:sz w:val="24"/>
          <w:szCs w:val="24"/>
          <w:lang w:val="en-US"/>
        </w:rPr>
        <w:t xml:space="preserve"> and students on university campuses in connection to their rights of freedom of expression, </w:t>
      </w:r>
      <w:r w:rsidR="00E066E1" w:rsidRPr="00D2162F">
        <w:rPr>
          <w:sz w:val="24"/>
          <w:szCs w:val="24"/>
          <w:lang w:val="en-US"/>
        </w:rPr>
        <w:t>freedom of speech and freedom of association.</w:t>
      </w:r>
    </w:p>
    <w:p w14:paraId="374673F2" w14:textId="24FC790D" w:rsidR="00987912"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3612D338" w14:textId="38CC3EE8" w:rsidR="00160B6A" w:rsidRPr="00160B6A" w:rsidRDefault="00160B6A" w:rsidP="000003A9">
      <w:pPr>
        <w:spacing w:before="120" w:after="120"/>
        <w:ind w:left="567" w:hanging="567"/>
        <w:jc w:val="both"/>
        <w:rPr>
          <w:b/>
          <w:bCs/>
          <w:i/>
          <w:iCs/>
          <w:sz w:val="24"/>
          <w:szCs w:val="24"/>
          <w:lang w:val="en-US"/>
        </w:rPr>
      </w:pPr>
      <w:r>
        <w:rPr>
          <w:b/>
          <w:bCs/>
          <w:i/>
          <w:iCs/>
          <w:sz w:val="24"/>
          <w:szCs w:val="24"/>
          <w:lang w:val="en-US"/>
        </w:rPr>
        <w:t>Response to Question 2</w:t>
      </w:r>
    </w:p>
    <w:p w14:paraId="4DB2A94B" w14:textId="568170D5" w:rsidR="00E066E1" w:rsidRPr="00D2162F" w:rsidRDefault="0021192F" w:rsidP="00D2162F">
      <w:pPr>
        <w:pStyle w:val="ListParagraph"/>
        <w:numPr>
          <w:ilvl w:val="0"/>
          <w:numId w:val="34"/>
        </w:numPr>
        <w:spacing w:before="120" w:after="120"/>
        <w:jc w:val="both"/>
        <w:rPr>
          <w:sz w:val="24"/>
          <w:szCs w:val="24"/>
          <w:lang w:val="en-US"/>
        </w:rPr>
      </w:pPr>
      <w:r w:rsidRPr="00D2162F">
        <w:rPr>
          <w:sz w:val="24"/>
          <w:szCs w:val="24"/>
          <w:lang w:val="en-US"/>
        </w:rPr>
        <w:t>While most academic freedom issues in the U</w:t>
      </w:r>
      <w:r w:rsidR="007C1B7D">
        <w:rPr>
          <w:sz w:val="24"/>
          <w:szCs w:val="24"/>
          <w:lang w:val="en-US"/>
        </w:rPr>
        <w:t>S</w:t>
      </w:r>
      <w:r w:rsidRPr="00D2162F">
        <w:rPr>
          <w:sz w:val="24"/>
          <w:szCs w:val="24"/>
          <w:lang w:val="en-US"/>
        </w:rPr>
        <w:t xml:space="preserve"> concern the speech rights of faculty and </w:t>
      </w:r>
      <w:r w:rsidR="00FA6C42" w:rsidRPr="00D2162F">
        <w:rPr>
          <w:sz w:val="24"/>
          <w:szCs w:val="24"/>
          <w:lang w:val="en-US"/>
        </w:rPr>
        <w:t xml:space="preserve">undergraduate and graduate </w:t>
      </w:r>
      <w:r w:rsidR="00166EE7" w:rsidRPr="00D2162F">
        <w:rPr>
          <w:sz w:val="24"/>
          <w:szCs w:val="24"/>
          <w:lang w:val="en-US"/>
        </w:rPr>
        <w:t xml:space="preserve">students, all academic staff, including librarians, research staff, lecturers, </w:t>
      </w:r>
      <w:r w:rsidR="00FA6C42" w:rsidRPr="00D2162F">
        <w:rPr>
          <w:sz w:val="24"/>
          <w:szCs w:val="24"/>
          <w:lang w:val="en-US"/>
        </w:rPr>
        <w:t>post-doctoral fellows and administrators are typically entitled to protection of rights to freedom of speech and freedom of expression</w:t>
      </w:r>
      <w:r w:rsidR="000B4560" w:rsidRPr="00D2162F">
        <w:rPr>
          <w:sz w:val="24"/>
          <w:szCs w:val="24"/>
          <w:lang w:val="en-US"/>
        </w:rPr>
        <w:t xml:space="preserve"> — </w:t>
      </w:r>
      <w:r w:rsidR="00FA6C42" w:rsidRPr="00D2162F">
        <w:rPr>
          <w:sz w:val="24"/>
          <w:szCs w:val="24"/>
          <w:lang w:val="en-US"/>
        </w:rPr>
        <w:t>in accordance with campus speech policies</w:t>
      </w:r>
      <w:r w:rsidR="000B4560" w:rsidRPr="00D2162F">
        <w:rPr>
          <w:sz w:val="24"/>
          <w:szCs w:val="24"/>
          <w:lang w:val="en-US"/>
        </w:rPr>
        <w:t xml:space="preserve"> at private institutions and under state and federal law at public institutions — </w:t>
      </w:r>
      <w:r w:rsidR="00FA6C42" w:rsidRPr="00D2162F">
        <w:rPr>
          <w:sz w:val="24"/>
          <w:szCs w:val="24"/>
          <w:lang w:val="en-US"/>
        </w:rPr>
        <w:t>on university and college campuses in the United States.</w:t>
      </w:r>
    </w:p>
    <w:p w14:paraId="65474793" w14:textId="77777777" w:rsidR="00166EE7" w:rsidRPr="00E14B3F" w:rsidRDefault="00166EE7" w:rsidP="000003A9">
      <w:pPr>
        <w:spacing w:before="120" w:after="120"/>
        <w:ind w:left="567" w:hanging="567"/>
        <w:jc w:val="both"/>
        <w:rPr>
          <w:sz w:val="24"/>
          <w:szCs w:val="24"/>
          <w:lang w:val="en-US"/>
        </w:rPr>
      </w:pPr>
    </w:p>
    <w:p w14:paraId="24DAD4DF" w14:textId="7A9D3759" w:rsidR="00987912"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2D6833CD" w14:textId="27536477" w:rsidR="00160B6A" w:rsidRPr="00160B6A" w:rsidRDefault="00160B6A" w:rsidP="0020144A">
      <w:pPr>
        <w:spacing w:before="120" w:after="120"/>
        <w:ind w:left="567" w:hanging="567"/>
        <w:jc w:val="both"/>
        <w:rPr>
          <w:b/>
          <w:bCs/>
          <w:i/>
          <w:iCs/>
          <w:sz w:val="24"/>
          <w:szCs w:val="24"/>
          <w:lang w:val="en-US"/>
        </w:rPr>
      </w:pPr>
      <w:r>
        <w:rPr>
          <w:b/>
          <w:bCs/>
          <w:i/>
          <w:iCs/>
          <w:sz w:val="24"/>
          <w:szCs w:val="24"/>
          <w:lang w:val="en-US"/>
        </w:rPr>
        <w:t>Response to Question 3 (a)</w:t>
      </w:r>
    </w:p>
    <w:p w14:paraId="0A6257EE" w14:textId="30D3B308" w:rsidR="008B21ED" w:rsidRDefault="00757806" w:rsidP="00D2162F">
      <w:pPr>
        <w:pStyle w:val="ListParagraph"/>
        <w:numPr>
          <w:ilvl w:val="0"/>
          <w:numId w:val="34"/>
        </w:numPr>
        <w:spacing w:before="120" w:after="120"/>
        <w:jc w:val="both"/>
        <w:rPr>
          <w:sz w:val="24"/>
          <w:szCs w:val="24"/>
          <w:lang w:val="en-US"/>
        </w:rPr>
      </w:pPr>
      <w:r>
        <w:rPr>
          <w:sz w:val="24"/>
          <w:szCs w:val="24"/>
          <w:lang w:val="en-US"/>
        </w:rPr>
        <w:t xml:space="preserve">(a) </w:t>
      </w:r>
      <w:r w:rsidR="00947EC1" w:rsidRPr="00D2162F">
        <w:rPr>
          <w:sz w:val="24"/>
          <w:szCs w:val="24"/>
          <w:lang w:val="en-US"/>
        </w:rPr>
        <w:t>Over the years, a</w:t>
      </w:r>
      <w:r w:rsidR="008B21ED" w:rsidRPr="00D2162F">
        <w:rPr>
          <w:sz w:val="24"/>
          <w:szCs w:val="24"/>
          <w:lang w:val="en-US"/>
        </w:rPr>
        <w:t>s a scholarly organization focused on the</w:t>
      </w:r>
      <w:r w:rsidR="00F20138" w:rsidRPr="00D2162F">
        <w:rPr>
          <w:sz w:val="24"/>
          <w:szCs w:val="24"/>
          <w:lang w:val="en-US"/>
        </w:rPr>
        <w:t xml:space="preserve"> </w:t>
      </w:r>
      <w:r w:rsidR="008B21ED" w:rsidRPr="00D2162F">
        <w:rPr>
          <w:sz w:val="24"/>
          <w:szCs w:val="24"/>
          <w:lang w:val="en-US"/>
        </w:rPr>
        <w:t>study of the Middle East-North Africa (MENA) region, MESA</w:t>
      </w:r>
      <w:r w:rsidR="00F20138" w:rsidRPr="00D2162F">
        <w:rPr>
          <w:sz w:val="24"/>
          <w:szCs w:val="24"/>
          <w:lang w:val="en-US"/>
        </w:rPr>
        <w:t xml:space="preserve"> and its</w:t>
      </w:r>
      <w:r w:rsidR="00947EC1" w:rsidRPr="00D2162F">
        <w:rPr>
          <w:sz w:val="24"/>
          <w:szCs w:val="24"/>
          <w:lang w:val="en-US"/>
        </w:rPr>
        <w:t xml:space="preserve"> members have </w:t>
      </w:r>
      <w:r w:rsidR="008B21ED" w:rsidRPr="00D2162F">
        <w:rPr>
          <w:sz w:val="24"/>
          <w:szCs w:val="24"/>
          <w:lang w:val="en-US"/>
        </w:rPr>
        <w:t>experienced a range of challenges to academic freedom, some related to long-standing anti-intellectualism</w:t>
      </w:r>
      <w:r w:rsidR="00F1229C" w:rsidRPr="00D2162F">
        <w:rPr>
          <w:sz w:val="24"/>
          <w:szCs w:val="24"/>
          <w:lang w:val="en-US"/>
        </w:rPr>
        <w:t xml:space="preserve"> and hostility to scholarly work and debates at institutions of higher education</w:t>
      </w:r>
      <w:r w:rsidR="008B21ED" w:rsidRPr="00D2162F">
        <w:rPr>
          <w:sz w:val="24"/>
          <w:szCs w:val="24"/>
          <w:lang w:val="en-US"/>
        </w:rPr>
        <w:t xml:space="preserve"> in</w:t>
      </w:r>
      <w:r w:rsidR="00F1229C">
        <w:rPr>
          <w:rStyle w:val="CommentReference"/>
        </w:rPr>
        <w:t xml:space="preserve"> </w:t>
      </w:r>
      <w:r w:rsidR="008B21ED" w:rsidRPr="00D2162F">
        <w:rPr>
          <w:sz w:val="24"/>
          <w:szCs w:val="24"/>
          <w:lang w:val="en-US"/>
        </w:rPr>
        <w:t xml:space="preserve"> the US, but more recently</w:t>
      </w:r>
      <w:r w:rsidR="00947EC1" w:rsidRPr="00D2162F">
        <w:rPr>
          <w:sz w:val="24"/>
          <w:szCs w:val="24"/>
          <w:lang w:val="en-US"/>
        </w:rPr>
        <w:t xml:space="preserve"> as a result of efforts by</w:t>
      </w:r>
      <w:r w:rsidR="008B21ED" w:rsidRPr="00D2162F">
        <w:rPr>
          <w:sz w:val="24"/>
          <w:szCs w:val="24"/>
          <w:lang w:val="en-US"/>
        </w:rPr>
        <w:t xml:space="preserve"> r</w:t>
      </w:r>
      <w:r w:rsidR="00947EC1" w:rsidRPr="00D2162F">
        <w:rPr>
          <w:sz w:val="24"/>
          <w:szCs w:val="24"/>
          <w:lang w:val="en-US"/>
        </w:rPr>
        <w:t xml:space="preserve">ight-wing politicians and aligned </w:t>
      </w:r>
      <w:r w:rsidR="008B21ED" w:rsidRPr="00D2162F">
        <w:rPr>
          <w:sz w:val="24"/>
          <w:szCs w:val="24"/>
          <w:lang w:val="en-US"/>
        </w:rPr>
        <w:t xml:space="preserve">activists to overturn efforts aimed at promoting diversity </w:t>
      </w:r>
      <w:r w:rsidR="008B21ED" w:rsidRPr="00D2162F">
        <w:rPr>
          <w:sz w:val="24"/>
          <w:szCs w:val="24"/>
          <w:lang w:val="en-US"/>
        </w:rPr>
        <w:lastRenderedPageBreak/>
        <w:t xml:space="preserve">in our academic institutions and in the broader curriculum.  However, such challenges also derive in no small part from the role </w:t>
      </w:r>
      <w:r w:rsidR="00947EC1" w:rsidRPr="00D2162F">
        <w:rPr>
          <w:sz w:val="24"/>
          <w:szCs w:val="24"/>
          <w:lang w:val="en-US"/>
        </w:rPr>
        <w:t>in the domestic politics of the US</w:t>
      </w:r>
      <w:r w:rsidR="00CD63DC" w:rsidRPr="00D2162F">
        <w:rPr>
          <w:sz w:val="24"/>
          <w:szCs w:val="24"/>
          <w:lang w:val="en-US"/>
        </w:rPr>
        <w:t>, and to a lesser extent</w:t>
      </w:r>
      <w:r w:rsidR="00947EC1" w:rsidRPr="00D2162F">
        <w:rPr>
          <w:sz w:val="24"/>
          <w:szCs w:val="24"/>
          <w:lang w:val="en-US"/>
        </w:rPr>
        <w:t xml:space="preserve"> Canada</w:t>
      </w:r>
      <w:r w:rsidR="00CD63DC" w:rsidRPr="00D2162F">
        <w:rPr>
          <w:sz w:val="24"/>
          <w:szCs w:val="24"/>
          <w:lang w:val="en-US"/>
        </w:rPr>
        <w:t>,</w:t>
      </w:r>
      <w:r w:rsidR="00947EC1" w:rsidRPr="00D2162F">
        <w:rPr>
          <w:sz w:val="24"/>
          <w:szCs w:val="24"/>
          <w:lang w:val="en-US"/>
        </w:rPr>
        <w:t xml:space="preserve"> </w:t>
      </w:r>
      <w:r w:rsidR="008B21ED" w:rsidRPr="00D2162F">
        <w:rPr>
          <w:sz w:val="24"/>
          <w:szCs w:val="24"/>
          <w:lang w:val="en-US"/>
        </w:rPr>
        <w:t xml:space="preserve">of some of the MENA region’s most contentious issues.  In our responses that follow, we focus specifically on the alarming increase in such challenges since the beginning of the Israel-Gaza war on 7 October 2023.  </w:t>
      </w:r>
      <w:r w:rsidR="00F20138" w:rsidRPr="00D2162F">
        <w:rPr>
          <w:sz w:val="24"/>
          <w:szCs w:val="24"/>
          <w:lang w:val="en-US"/>
        </w:rPr>
        <w:t xml:space="preserve">Campuses across the country have seen spikes in anti-Palestinian, anti-Arab, Islamophobic and antisemitic acts and </w:t>
      </w:r>
      <w:r w:rsidR="00C37FC5" w:rsidRPr="00D2162F">
        <w:rPr>
          <w:sz w:val="24"/>
          <w:szCs w:val="24"/>
          <w:lang w:val="en-US"/>
        </w:rPr>
        <w:t>incidents</w:t>
      </w:r>
      <w:r w:rsidR="00F1229C" w:rsidRPr="00D2162F">
        <w:rPr>
          <w:sz w:val="24"/>
          <w:szCs w:val="24"/>
          <w:lang w:val="en-US"/>
        </w:rPr>
        <w:t>.</w:t>
      </w:r>
      <w:r w:rsidR="00F20138" w:rsidRPr="00D2162F">
        <w:rPr>
          <w:sz w:val="24"/>
          <w:szCs w:val="24"/>
          <w:lang w:val="en-US"/>
        </w:rPr>
        <w:t xml:space="preserve"> </w:t>
      </w:r>
    </w:p>
    <w:p w14:paraId="27417FE7" w14:textId="3305089A" w:rsidR="008B21ED" w:rsidRPr="00D2162F" w:rsidRDefault="008B21ED" w:rsidP="00D2162F">
      <w:pPr>
        <w:pStyle w:val="ListParagraph"/>
        <w:numPr>
          <w:ilvl w:val="0"/>
          <w:numId w:val="34"/>
        </w:numPr>
        <w:spacing w:before="120" w:after="120"/>
        <w:jc w:val="both"/>
        <w:rPr>
          <w:sz w:val="24"/>
          <w:szCs w:val="24"/>
          <w:lang w:val="en-US"/>
        </w:rPr>
      </w:pPr>
      <w:r w:rsidRPr="00D2162F">
        <w:rPr>
          <w:sz w:val="24"/>
          <w:szCs w:val="24"/>
          <w:lang w:val="en-US"/>
        </w:rPr>
        <w:t xml:space="preserve">One source of challenges to academic freedom </w:t>
      </w:r>
      <w:r w:rsidR="00947EC1" w:rsidRPr="00D2162F">
        <w:rPr>
          <w:sz w:val="24"/>
          <w:szCs w:val="24"/>
          <w:lang w:val="en-US"/>
        </w:rPr>
        <w:t xml:space="preserve">during this period </w:t>
      </w:r>
      <w:r w:rsidRPr="00D2162F">
        <w:rPr>
          <w:sz w:val="24"/>
          <w:szCs w:val="24"/>
          <w:lang w:val="en-US"/>
        </w:rPr>
        <w:t>has been university administrations and administrators. We have seen cases of administrators denying permission for a range of legitimate campus</w:t>
      </w:r>
      <w:r w:rsidR="00DA5F69" w:rsidRPr="00D2162F">
        <w:rPr>
          <w:sz w:val="24"/>
          <w:szCs w:val="24"/>
          <w:lang w:val="en-US"/>
        </w:rPr>
        <w:t xml:space="preserve"> events, perhaps in some cases out of concern for </w:t>
      </w:r>
      <w:proofErr w:type="gramStart"/>
      <w:r w:rsidR="00DA5F69" w:rsidRPr="00D2162F">
        <w:rPr>
          <w:sz w:val="24"/>
          <w:szCs w:val="24"/>
          <w:lang w:val="en-US"/>
        </w:rPr>
        <w:t xml:space="preserve">potential </w:t>
      </w:r>
      <w:r w:rsidR="00F20138" w:rsidRPr="00D2162F">
        <w:rPr>
          <w:sz w:val="24"/>
          <w:szCs w:val="24"/>
          <w:lang w:val="en-US"/>
        </w:rPr>
        <w:t xml:space="preserve"> disruption</w:t>
      </w:r>
      <w:proofErr w:type="gramEnd"/>
      <w:r w:rsidR="00F20138" w:rsidRPr="00D2162F">
        <w:rPr>
          <w:sz w:val="24"/>
          <w:szCs w:val="24"/>
          <w:lang w:val="en-US"/>
        </w:rPr>
        <w:t xml:space="preserve">, but more often out of fear of retaliation from wealthy donors or of the levelling of charges (in the case of Palestine solidarity demonstrations or events) of antisemitism by external organizations, including on-line attacks and other forms of doxing. </w:t>
      </w:r>
      <w:r w:rsidR="00404D7F" w:rsidRPr="00D2162F">
        <w:rPr>
          <w:sz w:val="24"/>
          <w:szCs w:val="24"/>
          <w:lang w:val="en-US"/>
        </w:rPr>
        <w:t xml:space="preserve">By doxing, we mean </w:t>
      </w:r>
      <w:r w:rsidR="00434A3D" w:rsidRPr="00D2162F">
        <w:rPr>
          <w:sz w:val="24"/>
          <w:szCs w:val="24"/>
          <w:lang w:val="en-US"/>
        </w:rPr>
        <w:t xml:space="preserve">third parties publishing identifying information about an individual online, or </w:t>
      </w:r>
      <w:r w:rsidR="00CF5A41" w:rsidRPr="00D2162F">
        <w:rPr>
          <w:sz w:val="24"/>
          <w:szCs w:val="24"/>
          <w:lang w:val="en-US"/>
        </w:rPr>
        <w:t>private communications by an individual, typically with the intent to embarrass</w:t>
      </w:r>
      <w:r w:rsidR="00995313" w:rsidRPr="00D2162F">
        <w:rPr>
          <w:sz w:val="24"/>
          <w:szCs w:val="24"/>
          <w:lang w:val="en-US"/>
        </w:rPr>
        <w:t xml:space="preserve">, persecute or </w:t>
      </w:r>
      <w:r w:rsidR="00074A5B" w:rsidRPr="00D2162F">
        <w:rPr>
          <w:sz w:val="24"/>
          <w:szCs w:val="24"/>
          <w:lang w:val="en-US"/>
        </w:rPr>
        <w:t>endanger the affected individual.</w:t>
      </w:r>
      <w:r w:rsidR="00434A3D" w:rsidRPr="00D2162F">
        <w:rPr>
          <w:sz w:val="24"/>
          <w:szCs w:val="24"/>
          <w:lang w:val="en-US"/>
        </w:rPr>
        <w:t xml:space="preserve"> </w:t>
      </w:r>
      <w:r w:rsidR="00DA5F69" w:rsidRPr="00D2162F">
        <w:rPr>
          <w:sz w:val="24"/>
          <w:szCs w:val="24"/>
          <w:lang w:val="en-US"/>
        </w:rPr>
        <w:t xml:space="preserve">Such doxing has targeted university administrators, faculty, </w:t>
      </w:r>
      <w:proofErr w:type="gramStart"/>
      <w:r w:rsidR="00DA5F69" w:rsidRPr="00D2162F">
        <w:rPr>
          <w:sz w:val="24"/>
          <w:szCs w:val="24"/>
          <w:lang w:val="en-US"/>
        </w:rPr>
        <w:t>staff</w:t>
      </w:r>
      <w:proofErr w:type="gramEnd"/>
      <w:r w:rsidR="00DA5F69" w:rsidRPr="00D2162F">
        <w:rPr>
          <w:sz w:val="24"/>
          <w:szCs w:val="24"/>
          <w:lang w:val="en-US"/>
        </w:rPr>
        <w:t xml:space="preserve"> and students. </w:t>
      </w:r>
      <w:r w:rsidR="00F20138" w:rsidRPr="00D2162F">
        <w:rPr>
          <w:sz w:val="24"/>
          <w:szCs w:val="24"/>
          <w:lang w:val="en-US"/>
        </w:rPr>
        <w:t>In addition, there have been numerous episodes of direct physical violence by university security</w:t>
      </w:r>
      <w:r w:rsidR="00DA5F69" w:rsidRPr="00D2162F">
        <w:rPr>
          <w:sz w:val="24"/>
          <w:szCs w:val="24"/>
          <w:lang w:val="en-US"/>
        </w:rPr>
        <w:t>,</w:t>
      </w:r>
      <w:r w:rsidR="00F20138" w:rsidRPr="00D2162F">
        <w:rPr>
          <w:sz w:val="24"/>
          <w:szCs w:val="24"/>
          <w:lang w:val="en-US"/>
        </w:rPr>
        <w:t xml:space="preserve"> but more often by other </w:t>
      </w:r>
      <w:r w:rsidR="00074A5B" w:rsidRPr="00D2162F">
        <w:rPr>
          <w:sz w:val="24"/>
          <w:szCs w:val="24"/>
          <w:lang w:val="en-US"/>
        </w:rPr>
        <w:t xml:space="preserve">members of the university community or third parties </w:t>
      </w:r>
      <w:r w:rsidR="00381096" w:rsidRPr="00D2162F">
        <w:rPr>
          <w:sz w:val="24"/>
          <w:szCs w:val="24"/>
          <w:lang w:val="en-US"/>
        </w:rPr>
        <w:t>entering the campus</w:t>
      </w:r>
      <w:r w:rsidR="00F20138" w:rsidRPr="00D2162F">
        <w:rPr>
          <w:sz w:val="24"/>
          <w:szCs w:val="24"/>
          <w:lang w:val="en-US"/>
        </w:rPr>
        <w:t>, including most recently the use of “skunk gas” against Palestine solidarity protestors at Columbia University</w:t>
      </w:r>
      <w:r w:rsidR="00381096" w:rsidRPr="00D2162F">
        <w:rPr>
          <w:sz w:val="24"/>
          <w:szCs w:val="24"/>
          <w:lang w:val="en-US"/>
        </w:rPr>
        <w:t xml:space="preserve"> in</w:t>
      </w:r>
      <w:r w:rsidR="00F20138" w:rsidRPr="00D2162F">
        <w:rPr>
          <w:sz w:val="24"/>
          <w:szCs w:val="24"/>
          <w:lang w:val="en-US"/>
        </w:rPr>
        <w:t xml:space="preserve"> N</w:t>
      </w:r>
      <w:r w:rsidR="00381096" w:rsidRPr="00D2162F">
        <w:rPr>
          <w:sz w:val="24"/>
          <w:szCs w:val="24"/>
          <w:lang w:val="en-US"/>
        </w:rPr>
        <w:t xml:space="preserve">ew </w:t>
      </w:r>
      <w:r w:rsidR="00F20138" w:rsidRPr="00D2162F">
        <w:rPr>
          <w:sz w:val="24"/>
          <w:szCs w:val="24"/>
          <w:lang w:val="en-US"/>
        </w:rPr>
        <w:t>Y</w:t>
      </w:r>
      <w:r w:rsidR="00381096" w:rsidRPr="00D2162F">
        <w:rPr>
          <w:sz w:val="24"/>
          <w:szCs w:val="24"/>
          <w:lang w:val="en-US"/>
        </w:rPr>
        <w:t>ork</w:t>
      </w:r>
      <w:r w:rsidR="00F20138" w:rsidRPr="00D2162F">
        <w:rPr>
          <w:sz w:val="24"/>
          <w:szCs w:val="24"/>
          <w:lang w:val="en-US"/>
        </w:rPr>
        <w:t xml:space="preserve">. </w:t>
      </w:r>
      <w:r w:rsidR="00DE7B08" w:rsidRPr="00D2162F">
        <w:rPr>
          <w:sz w:val="24"/>
          <w:szCs w:val="24"/>
          <w:lang w:val="en-US"/>
        </w:rPr>
        <w:t xml:space="preserve"> There are examples of faculty and students being suspended, teaching assistants and graduate students losing their posts, and student groups being shut down.  Untenured, </w:t>
      </w:r>
      <w:proofErr w:type="gramStart"/>
      <w:r w:rsidR="00DE7B08" w:rsidRPr="00D2162F">
        <w:rPr>
          <w:sz w:val="24"/>
          <w:szCs w:val="24"/>
          <w:lang w:val="en-US"/>
        </w:rPr>
        <w:t>part-time</w:t>
      </w:r>
      <w:proofErr w:type="gramEnd"/>
      <w:r w:rsidR="00DE7B08" w:rsidRPr="00D2162F">
        <w:rPr>
          <w:sz w:val="24"/>
          <w:szCs w:val="24"/>
          <w:lang w:val="en-US"/>
        </w:rPr>
        <w:t xml:space="preserve"> and other contingent faculty have felt particularly threatened.</w:t>
      </w:r>
      <w:r w:rsidR="00AB5136" w:rsidRPr="00D2162F">
        <w:rPr>
          <w:sz w:val="24"/>
          <w:szCs w:val="24"/>
          <w:lang w:val="en-US"/>
        </w:rPr>
        <w:t xml:space="preserve"> There have also been instances in which university administrators have interfered with the curricular choices, course offerings and syllabi of faculty teaching subjects related to Israel-Palestine.</w:t>
      </w:r>
    </w:p>
    <w:p w14:paraId="7C615940" w14:textId="069B1BBA" w:rsidR="008B21ED" w:rsidRPr="00D2162F" w:rsidRDefault="00DA5F69" w:rsidP="00D2162F">
      <w:pPr>
        <w:pStyle w:val="ListParagraph"/>
        <w:numPr>
          <w:ilvl w:val="0"/>
          <w:numId w:val="34"/>
        </w:numPr>
        <w:spacing w:before="120" w:after="120"/>
        <w:jc w:val="both"/>
        <w:rPr>
          <w:sz w:val="24"/>
          <w:szCs w:val="24"/>
          <w:lang w:val="en-US"/>
        </w:rPr>
      </w:pPr>
      <w:r w:rsidRPr="00D2162F">
        <w:rPr>
          <w:sz w:val="24"/>
          <w:szCs w:val="24"/>
          <w:lang w:val="en-US"/>
        </w:rPr>
        <w:t>The atmosphere created by the various types and levels of harassment and intimidation ha</w:t>
      </w:r>
      <w:r w:rsidR="00C37FC5" w:rsidRPr="00D2162F">
        <w:rPr>
          <w:sz w:val="24"/>
          <w:szCs w:val="24"/>
          <w:lang w:val="en-US"/>
        </w:rPr>
        <w:t>s</w:t>
      </w:r>
      <w:r w:rsidRPr="00D2162F">
        <w:rPr>
          <w:sz w:val="24"/>
          <w:szCs w:val="24"/>
          <w:lang w:val="en-US"/>
        </w:rPr>
        <w:t xml:space="preserve"> had a chilling effect at all levels.  Reports of feelings of insecurity in the classroom and elsewhere </w:t>
      </w:r>
      <w:r w:rsidR="008E4F76" w:rsidRPr="00D2162F">
        <w:rPr>
          <w:sz w:val="24"/>
          <w:szCs w:val="24"/>
          <w:lang w:val="en-US"/>
        </w:rPr>
        <w:t>on</w:t>
      </w:r>
      <w:r w:rsidRPr="00D2162F">
        <w:rPr>
          <w:sz w:val="24"/>
          <w:szCs w:val="24"/>
          <w:lang w:val="en-US"/>
        </w:rPr>
        <w:t xml:space="preserve"> campus</w:t>
      </w:r>
      <w:r w:rsidR="00DE7B08" w:rsidRPr="00D2162F">
        <w:rPr>
          <w:sz w:val="24"/>
          <w:szCs w:val="24"/>
          <w:lang w:val="en-US"/>
        </w:rPr>
        <w:t xml:space="preserve">, by students and </w:t>
      </w:r>
      <w:hyperlink r:id="rId11" w:history="1">
        <w:r w:rsidR="00DE7B08" w:rsidRPr="00D2162F">
          <w:rPr>
            <w:rStyle w:val="Hyperlink"/>
            <w:sz w:val="24"/>
            <w:szCs w:val="24"/>
            <w:lang w:val="en-US"/>
          </w:rPr>
          <w:t>faculty</w:t>
        </w:r>
      </w:hyperlink>
      <w:r w:rsidR="00DE7B08" w:rsidRPr="00D2162F">
        <w:rPr>
          <w:sz w:val="24"/>
          <w:szCs w:val="24"/>
          <w:lang w:val="en-US"/>
        </w:rPr>
        <w:t>,</w:t>
      </w:r>
      <w:r w:rsidRPr="00D2162F">
        <w:rPr>
          <w:sz w:val="24"/>
          <w:szCs w:val="24"/>
          <w:lang w:val="en-US"/>
        </w:rPr>
        <w:t xml:space="preserve"> are all too common.  </w:t>
      </w:r>
      <w:r w:rsidR="00DE7B08" w:rsidRPr="00D2162F">
        <w:rPr>
          <w:sz w:val="24"/>
          <w:szCs w:val="24"/>
          <w:lang w:val="en-US"/>
        </w:rPr>
        <w:t xml:space="preserve"> </w:t>
      </w:r>
    </w:p>
    <w:p w14:paraId="38AE5AF2" w14:textId="4E156F87" w:rsidR="00DD6F30" w:rsidRDefault="00DD6F30" w:rsidP="00D2162F">
      <w:pPr>
        <w:pStyle w:val="ListParagraph"/>
        <w:numPr>
          <w:ilvl w:val="0"/>
          <w:numId w:val="34"/>
        </w:numPr>
        <w:spacing w:before="120" w:after="120"/>
        <w:jc w:val="both"/>
        <w:rPr>
          <w:sz w:val="24"/>
          <w:szCs w:val="24"/>
          <w:lang w:val="en-US"/>
        </w:rPr>
      </w:pPr>
      <w:r w:rsidRPr="00D2162F">
        <w:rPr>
          <w:sz w:val="24"/>
          <w:szCs w:val="24"/>
          <w:lang w:val="en-US"/>
        </w:rPr>
        <w:t xml:space="preserve">In addition, the risk of government investigation of campuses based on complaints </w:t>
      </w:r>
      <w:r w:rsidR="00C37FC5" w:rsidRPr="00D2162F">
        <w:rPr>
          <w:sz w:val="24"/>
          <w:szCs w:val="24"/>
          <w:lang w:val="en-US"/>
        </w:rPr>
        <w:t xml:space="preserve">by alumni, donors and current students about alleged discrimination and antisemitism </w:t>
      </w:r>
      <w:r w:rsidRPr="00D2162F">
        <w:rPr>
          <w:sz w:val="24"/>
          <w:szCs w:val="24"/>
          <w:lang w:val="en-US"/>
        </w:rPr>
        <w:t>has exacerbated the repressive atmosphere on campuses</w:t>
      </w:r>
      <w:r w:rsidR="00030B3E" w:rsidRPr="00D2162F">
        <w:rPr>
          <w:sz w:val="24"/>
          <w:szCs w:val="24"/>
          <w:lang w:val="en-US"/>
        </w:rPr>
        <w:t xml:space="preserve"> across the United States The Department of Education of the federal government in the US has initiated several such investigations of universities and colleges </w:t>
      </w:r>
      <w:r w:rsidR="00A3751E" w:rsidRPr="00D2162F">
        <w:rPr>
          <w:sz w:val="24"/>
          <w:szCs w:val="24"/>
          <w:lang w:val="en-US"/>
        </w:rPr>
        <w:t>in response to the media scrutiny of campus speech and particularly Palestine</w:t>
      </w:r>
      <w:r w:rsidR="00F1229C">
        <w:rPr>
          <w:rStyle w:val="CommentReference"/>
        </w:rPr>
        <w:t xml:space="preserve"> </w:t>
      </w:r>
      <w:r w:rsidR="00F1229C" w:rsidRPr="00D2162F">
        <w:rPr>
          <w:sz w:val="24"/>
          <w:szCs w:val="24"/>
          <w:lang w:val="en-US"/>
        </w:rPr>
        <w:t xml:space="preserve"> solidarity </w:t>
      </w:r>
      <w:r w:rsidR="00A3751E" w:rsidRPr="00D2162F">
        <w:rPr>
          <w:sz w:val="24"/>
          <w:szCs w:val="24"/>
          <w:lang w:val="en-US"/>
        </w:rPr>
        <w:t>activism or criticisms of Israel since 7 October.</w:t>
      </w:r>
    </w:p>
    <w:p w14:paraId="461F9CBD" w14:textId="01507AD0" w:rsidR="00160B6A" w:rsidRPr="00160B6A" w:rsidRDefault="00160B6A" w:rsidP="00160B6A">
      <w:pPr>
        <w:spacing w:before="120" w:after="120"/>
        <w:ind w:left="360"/>
        <w:jc w:val="both"/>
        <w:rPr>
          <w:b/>
          <w:bCs/>
          <w:i/>
          <w:iCs/>
          <w:sz w:val="24"/>
          <w:szCs w:val="24"/>
          <w:lang w:val="en-US"/>
        </w:rPr>
      </w:pPr>
      <w:r>
        <w:rPr>
          <w:b/>
          <w:bCs/>
          <w:i/>
          <w:iCs/>
          <w:sz w:val="24"/>
          <w:szCs w:val="24"/>
          <w:lang w:val="en-US"/>
        </w:rPr>
        <w:t>Response to Question 3 (b)</w:t>
      </w:r>
    </w:p>
    <w:p w14:paraId="294F58D3" w14:textId="761FBD35" w:rsidR="00160B6A" w:rsidRPr="00D2162F" w:rsidRDefault="003328B0" w:rsidP="00160B6A">
      <w:pPr>
        <w:pStyle w:val="ListParagraph"/>
        <w:numPr>
          <w:ilvl w:val="0"/>
          <w:numId w:val="34"/>
        </w:numPr>
        <w:spacing w:before="120" w:after="120"/>
        <w:jc w:val="both"/>
        <w:rPr>
          <w:sz w:val="24"/>
          <w:szCs w:val="24"/>
          <w:lang w:val="en-US"/>
        </w:rPr>
      </w:pPr>
      <w:r>
        <w:rPr>
          <w:sz w:val="24"/>
          <w:szCs w:val="24"/>
          <w:lang w:val="en-US"/>
        </w:rPr>
        <w:t xml:space="preserve">(b) </w:t>
      </w:r>
      <w:r w:rsidR="00160B6A">
        <w:rPr>
          <w:sz w:val="24"/>
          <w:szCs w:val="24"/>
          <w:lang w:val="en-US"/>
        </w:rPr>
        <w:t xml:space="preserve">As a preliminary matter, the challenge in the US legal framework is less about gaps, though they exist, and more about the limited applicability of federal and state constitutional protections of academic freedom on private college and university campuses, given the very large proportion of the higher education sector that is privately funded in the United States. A second problem is the weakness of labor protections under US employment law that leaves many faculty, academics and researchers employed at institutions of higher education with limited protection against wrongful termination and facing very high costs to bring any legal action to challenge wrongful termination when it occurs. </w:t>
      </w:r>
      <w:proofErr w:type="gramStart"/>
      <w:r w:rsidR="00160B6A">
        <w:rPr>
          <w:sz w:val="24"/>
          <w:szCs w:val="24"/>
          <w:lang w:val="en-US"/>
        </w:rPr>
        <w:t xml:space="preserve">As a </w:t>
      </w:r>
      <w:r w:rsidR="00160B6A">
        <w:rPr>
          <w:sz w:val="24"/>
          <w:szCs w:val="24"/>
          <w:lang w:val="en-US"/>
        </w:rPr>
        <w:lastRenderedPageBreak/>
        <w:t>consequence</w:t>
      </w:r>
      <w:proofErr w:type="gramEnd"/>
      <w:r w:rsidR="00160B6A">
        <w:rPr>
          <w:sz w:val="24"/>
          <w:szCs w:val="24"/>
          <w:lang w:val="en-US"/>
        </w:rPr>
        <w:t>, the principal available recourse in most circumstances is internal, university-designed grievance procedures.</w:t>
      </w:r>
    </w:p>
    <w:p w14:paraId="26CD984E" w14:textId="5CCAC1EB" w:rsidR="00DE7B08" w:rsidRPr="00D2162F" w:rsidRDefault="00160B6A" w:rsidP="00D2162F">
      <w:pPr>
        <w:pStyle w:val="ListParagraph"/>
        <w:numPr>
          <w:ilvl w:val="0"/>
          <w:numId w:val="34"/>
        </w:numPr>
        <w:spacing w:before="120" w:after="120"/>
        <w:jc w:val="both"/>
        <w:rPr>
          <w:sz w:val="24"/>
          <w:szCs w:val="24"/>
          <w:lang w:val="en-US"/>
        </w:rPr>
      </w:pPr>
      <w:r>
        <w:rPr>
          <w:sz w:val="24"/>
          <w:szCs w:val="24"/>
          <w:lang w:val="en-US"/>
        </w:rPr>
        <w:t>Outside of the context of post-7 October restrictions</w:t>
      </w:r>
      <w:r w:rsidR="00DE7B08" w:rsidRPr="00D2162F">
        <w:rPr>
          <w:sz w:val="24"/>
          <w:szCs w:val="24"/>
          <w:lang w:val="en-US"/>
        </w:rPr>
        <w:t xml:space="preserve">, many of these episodes of harassment of faculty and students or denial of permission for events would have been handled by the various university offices dealing with student life or through </w:t>
      </w:r>
      <w:r w:rsidR="00947EC1" w:rsidRPr="00D2162F">
        <w:rPr>
          <w:sz w:val="24"/>
          <w:szCs w:val="24"/>
          <w:lang w:val="en-US"/>
        </w:rPr>
        <w:t xml:space="preserve">established </w:t>
      </w:r>
      <w:r w:rsidR="00DE7B08" w:rsidRPr="00D2162F">
        <w:rPr>
          <w:sz w:val="24"/>
          <w:szCs w:val="24"/>
          <w:lang w:val="en-US"/>
        </w:rPr>
        <w:t>grievance procedures.  However, in the current climate, university administrators have often unilaterally</w:t>
      </w:r>
      <w:r w:rsidR="00947EC1" w:rsidRPr="00D2162F">
        <w:rPr>
          <w:sz w:val="24"/>
          <w:szCs w:val="24"/>
          <w:lang w:val="en-US"/>
        </w:rPr>
        <w:t xml:space="preserve"> and arbitrarily</w:t>
      </w:r>
      <w:r w:rsidR="00DE7B08" w:rsidRPr="00D2162F">
        <w:rPr>
          <w:sz w:val="24"/>
          <w:szCs w:val="24"/>
          <w:lang w:val="en-US"/>
        </w:rPr>
        <w:t xml:space="preserve">, and in violation of established </w:t>
      </w:r>
      <w:r w:rsidR="006E1141" w:rsidRPr="00D2162F">
        <w:rPr>
          <w:sz w:val="24"/>
          <w:szCs w:val="24"/>
          <w:lang w:val="en-US"/>
        </w:rPr>
        <w:t>institutional policies</w:t>
      </w:r>
      <w:r w:rsidR="00DE7B08" w:rsidRPr="00D2162F">
        <w:rPr>
          <w:sz w:val="24"/>
          <w:szCs w:val="24"/>
          <w:lang w:val="en-US"/>
        </w:rPr>
        <w:t>, shut down events, imposed ad hoc</w:t>
      </w:r>
      <w:r w:rsidR="00947EC1" w:rsidRPr="00D2162F">
        <w:rPr>
          <w:sz w:val="24"/>
          <w:szCs w:val="24"/>
          <w:lang w:val="en-US"/>
        </w:rPr>
        <w:t xml:space="preserve"> measures</w:t>
      </w:r>
      <w:r w:rsidR="0004555B" w:rsidRPr="00D2162F">
        <w:rPr>
          <w:sz w:val="24"/>
          <w:szCs w:val="24"/>
          <w:lang w:val="en-US"/>
        </w:rPr>
        <w:t xml:space="preserve">, or </w:t>
      </w:r>
      <w:r w:rsidR="006E1141" w:rsidRPr="00D2162F">
        <w:rPr>
          <w:sz w:val="24"/>
          <w:szCs w:val="24"/>
          <w:lang w:val="en-US"/>
        </w:rPr>
        <w:t>issued statements</w:t>
      </w:r>
      <w:r w:rsidR="00947EC1" w:rsidRPr="00D2162F">
        <w:rPr>
          <w:sz w:val="24"/>
          <w:szCs w:val="24"/>
          <w:lang w:val="en-US"/>
        </w:rPr>
        <w:t xml:space="preserve"> generally supporting pro-</w:t>
      </w:r>
      <w:proofErr w:type="gramStart"/>
      <w:r w:rsidR="00947EC1" w:rsidRPr="00D2162F">
        <w:rPr>
          <w:sz w:val="24"/>
          <w:szCs w:val="24"/>
          <w:lang w:val="en-US"/>
        </w:rPr>
        <w:t>Israel</w:t>
      </w:r>
      <w:r w:rsidR="00F1229C">
        <w:rPr>
          <w:rStyle w:val="CommentReference"/>
        </w:rPr>
        <w:t xml:space="preserve"> </w:t>
      </w:r>
      <w:r w:rsidR="00947EC1" w:rsidRPr="00D2162F">
        <w:rPr>
          <w:sz w:val="24"/>
          <w:szCs w:val="24"/>
          <w:lang w:val="en-US"/>
        </w:rPr>
        <w:t xml:space="preserve"> students</w:t>
      </w:r>
      <w:proofErr w:type="gramEnd"/>
      <w:r w:rsidR="00947EC1" w:rsidRPr="00D2162F">
        <w:rPr>
          <w:sz w:val="24"/>
          <w:szCs w:val="24"/>
          <w:lang w:val="en-US"/>
        </w:rPr>
        <w:t xml:space="preserve"> and activists while </w:t>
      </w:r>
      <w:r w:rsidR="006E1141" w:rsidRPr="00D2162F">
        <w:rPr>
          <w:sz w:val="24"/>
          <w:szCs w:val="24"/>
          <w:lang w:val="en-US"/>
        </w:rPr>
        <w:t>much less frequently</w:t>
      </w:r>
      <w:r w:rsidR="00947EC1" w:rsidRPr="00D2162F">
        <w:rPr>
          <w:sz w:val="24"/>
          <w:szCs w:val="24"/>
          <w:lang w:val="en-US"/>
        </w:rPr>
        <w:t xml:space="preserve"> </w:t>
      </w:r>
      <w:r w:rsidR="006E1141" w:rsidRPr="00D2162F">
        <w:rPr>
          <w:sz w:val="24"/>
          <w:szCs w:val="24"/>
          <w:lang w:val="en-US"/>
        </w:rPr>
        <w:t xml:space="preserve">expressing </w:t>
      </w:r>
      <w:r w:rsidR="00947EC1" w:rsidRPr="00D2162F">
        <w:rPr>
          <w:sz w:val="24"/>
          <w:szCs w:val="24"/>
          <w:lang w:val="en-US"/>
        </w:rPr>
        <w:t xml:space="preserve">concern </w:t>
      </w:r>
      <w:r w:rsidR="006E1141" w:rsidRPr="00D2162F">
        <w:rPr>
          <w:sz w:val="24"/>
          <w:szCs w:val="24"/>
          <w:lang w:val="en-US"/>
        </w:rPr>
        <w:t xml:space="preserve">about </w:t>
      </w:r>
      <w:r w:rsidR="00947EC1" w:rsidRPr="00D2162F">
        <w:rPr>
          <w:sz w:val="24"/>
          <w:szCs w:val="24"/>
          <w:lang w:val="en-US"/>
        </w:rPr>
        <w:t xml:space="preserve">Islamophobia </w:t>
      </w:r>
      <w:r w:rsidR="006E1141" w:rsidRPr="00D2162F">
        <w:rPr>
          <w:sz w:val="24"/>
          <w:szCs w:val="24"/>
          <w:lang w:val="en-US"/>
        </w:rPr>
        <w:t xml:space="preserve">or for Palestinian, Arab and/or Muslim students. </w:t>
      </w:r>
      <w:r w:rsidR="001A6D59" w:rsidRPr="00D2162F">
        <w:rPr>
          <w:sz w:val="24"/>
          <w:szCs w:val="24"/>
          <w:lang w:val="en-US"/>
        </w:rPr>
        <w:t>Such actions</w:t>
      </w:r>
      <w:r w:rsidR="006E1141" w:rsidRPr="00D2162F">
        <w:rPr>
          <w:sz w:val="24"/>
          <w:szCs w:val="24"/>
          <w:lang w:val="en-US"/>
        </w:rPr>
        <w:t xml:space="preserve"> ha</w:t>
      </w:r>
      <w:r w:rsidR="001A6D59" w:rsidRPr="00D2162F">
        <w:rPr>
          <w:sz w:val="24"/>
          <w:szCs w:val="24"/>
          <w:lang w:val="en-US"/>
        </w:rPr>
        <w:t>ve</w:t>
      </w:r>
      <w:r w:rsidR="006E1141" w:rsidRPr="00D2162F">
        <w:rPr>
          <w:sz w:val="24"/>
          <w:szCs w:val="24"/>
          <w:lang w:val="en-US"/>
        </w:rPr>
        <w:t xml:space="preserve"> contributed to</w:t>
      </w:r>
      <w:r w:rsidR="0004555B" w:rsidRPr="00D2162F">
        <w:rPr>
          <w:sz w:val="24"/>
          <w:szCs w:val="24"/>
          <w:lang w:val="en-US"/>
        </w:rPr>
        <w:t xml:space="preserve"> the atmosphere </w:t>
      </w:r>
      <w:r w:rsidR="00036939" w:rsidRPr="00D2162F">
        <w:rPr>
          <w:sz w:val="24"/>
          <w:szCs w:val="24"/>
          <w:lang w:val="en-US"/>
        </w:rPr>
        <w:t xml:space="preserve">of </w:t>
      </w:r>
      <w:r w:rsidR="0004555B" w:rsidRPr="00D2162F">
        <w:rPr>
          <w:sz w:val="24"/>
          <w:szCs w:val="24"/>
          <w:lang w:val="en-US"/>
        </w:rPr>
        <w:t>repression.</w:t>
      </w:r>
    </w:p>
    <w:p w14:paraId="638A4E9B" w14:textId="15158E2F" w:rsidR="0004555B" w:rsidRPr="00D2162F" w:rsidRDefault="0004555B" w:rsidP="00D2162F">
      <w:pPr>
        <w:pStyle w:val="ListParagraph"/>
        <w:numPr>
          <w:ilvl w:val="0"/>
          <w:numId w:val="34"/>
        </w:numPr>
        <w:spacing w:before="120" w:after="120"/>
        <w:jc w:val="both"/>
        <w:rPr>
          <w:sz w:val="24"/>
          <w:szCs w:val="24"/>
          <w:lang w:val="en-US"/>
        </w:rPr>
      </w:pPr>
      <w:r w:rsidRPr="00D2162F">
        <w:rPr>
          <w:sz w:val="24"/>
          <w:szCs w:val="24"/>
          <w:lang w:val="en-US"/>
        </w:rPr>
        <w:t>Currently, aside from university grievance mechanisms</w:t>
      </w:r>
      <w:r w:rsidR="00036939" w:rsidRPr="00D2162F">
        <w:rPr>
          <w:sz w:val="24"/>
          <w:szCs w:val="24"/>
          <w:lang w:val="en-US"/>
        </w:rPr>
        <w:t>,</w:t>
      </w:r>
      <w:r w:rsidRPr="00D2162F">
        <w:rPr>
          <w:sz w:val="24"/>
          <w:szCs w:val="24"/>
          <w:lang w:val="en-US"/>
        </w:rPr>
        <w:t xml:space="preserve"> which are often inadequate and almost always slow, students, facul</w:t>
      </w:r>
      <w:r w:rsidR="00036939" w:rsidRPr="00D2162F">
        <w:rPr>
          <w:sz w:val="24"/>
          <w:szCs w:val="24"/>
          <w:lang w:val="en-US"/>
        </w:rPr>
        <w:t xml:space="preserve">ty, and staff have little </w:t>
      </w:r>
      <w:r w:rsidRPr="00D2162F">
        <w:rPr>
          <w:sz w:val="24"/>
          <w:szCs w:val="24"/>
          <w:lang w:val="en-US"/>
        </w:rPr>
        <w:t xml:space="preserve">recourse </w:t>
      </w:r>
      <w:r w:rsidR="00036939" w:rsidRPr="00D2162F">
        <w:rPr>
          <w:sz w:val="24"/>
          <w:szCs w:val="24"/>
          <w:lang w:val="en-US"/>
        </w:rPr>
        <w:t xml:space="preserve">other </w:t>
      </w:r>
      <w:r w:rsidRPr="00D2162F">
        <w:rPr>
          <w:sz w:val="24"/>
          <w:szCs w:val="24"/>
          <w:lang w:val="en-US"/>
        </w:rPr>
        <w:t xml:space="preserve">than seeking outside legal counsel for redress. But such redress in individual cases has little impact on the overall climate of </w:t>
      </w:r>
      <w:r w:rsidR="00036939" w:rsidRPr="00D2162F">
        <w:rPr>
          <w:sz w:val="24"/>
          <w:szCs w:val="24"/>
          <w:lang w:val="en-US"/>
        </w:rPr>
        <w:t>intimidation and discrimination on campuses.</w:t>
      </w:r>
      <w:r w:rsidRPr="00D2162F">
        <w:rPr>
          <w:sz w:val="24"/>
          <w:szCs w:val="24"/>
          <w:lang w:val="en-US"/>
        </w:rPr>
        <w:t xml:space="preserve"> </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5D25B4A1"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73D307C3" w14:textId="6C40BE1B" w:rsidR="00160B6A" w:rsidRPr="00160B6A" w:rsidRDefault="00160B6A" w:rsidP="00716886">
      <w:pPr>
        <w:spacing w:before="120" w:after="120"/>
        <w:ind w:left="567" w:hanging="567"/>
        <w:jc w:val="both"/>
        <w:rPr>
          <w:b/>
          <w:bCs/>
          <w:i/>
          <w:iCs/>
          <w:sz w:val="24"/>
          <w:szCs w:val="24"/>
          <w:lang w:val="en-US"/>
        </w:rPr>
      </w:pPr>
      <w:r>
        <w:rPr>
          <w:b/>
          <w:bCs/>
          <w:i/>
          <w:iCs/>
          <w:sz w:val="24"/>
          <w:szCs w:val="24"/>
          <w:lang w:val="en-US"/>
        </w:rPr>
        <w:t>Response to Question 4</w:t>
      </w:r>
    </w:p>
    <w:p w14:paraId="76490453" w14:textId="572968F3" w:rsidR="003D558F" w:rsidRPr="00D2162F" w:rsidRDefault="0004555B" w:rsidP="00D2162F">
      <w:pPr>
        <w:pStyle w:val="ListParagraph"/>
        <w:numPr>
          <w:ilvl w:val="0"/>
          <w:numId w:val="34"/>
        </w:numPr>
        <w:spacing w:before="120" w:after="120"/>
        <w:jc w:val="both"/>
        <w:rPr>
          <w:sz w:val="24"/>
          <w:szCs w:val="24"/>
          <w:lang w:val="en-US"/>
        </w:rPr>
      </w:pPr>
      <w:r w:rsidRPr="00D2162F">
        <w:rPr>
          <w:sz w:val="24"/>
          <w:szCs w:val="24"/>
          <w:lang w:val="en-US"/>
        </w:rPr>
        <w:t xml:space="preserve">The higher educational sector in the United States is </w:t>
      </w:r>
      <w:r w:rsidR="006E1141" w:rsidRPr="00D2162F">
        <w:rPr>
          <w:sz w:val="24"/>
          <w:szCs w:val="24"/>
          <w:lang w:val="en-US"/>
        </w:rPr>
        <w:t xml:space="preserve">diverse and </w:t>
      </w:r>
      <w:r w:rsidRPr="00D2162F">
        <w:rPr>
          <w:sz w:val="24"/>
          <w:szCs w:val="24"/>
          <w:lang w:val="en-US"/>
        </w:rPr>
        <w:t>decentralized</w:t>
      </w:r>
      <w:r w:rsidR="006E1141" w:rsidRPr="00D2162F">
        <w:rPr>
          <w:sz w:val="24"/>
          <w:szCs w:val="24"/>
          <w:lang w:val="en-US"/>
        </w:rPr>
        <w:t>: it includes</w:t>
      </w:r>
      <w:r w:rsidR="001A6D59" w:rsidRPr="00D2162F">
        <w:rPr>
          <w:sz w:val="24"/>
          <w:szCs w:val="24"/>
          <w:lang w:val="en-US"/>
        </w:rPr>
        <w:t xml:space="preserve"> </w:t>
      </w:r>
      <w:r w:rsidR="006E1141" w:rsidRPr="00D2162F">
        <w:rPr>
          <w:sz w:val="24"/>
          <w:szCs w:val="24"/>
          <w:lang w:val="en-US"/>
        </w:rPr>
        <w:t xml:space="preserve">both </w:t>
      </w:r>
      <w:r w:rsidRPr="00D2162F">
        <w:rPr>
          <w:sz w:val="24"/>
          <w:szCs w:val="24"/>
          <w:lang w:val="en-US"/>
        </w:rPr>
        <w:t>public and private institutions, and a</w:t>
      </w:r>
      <w:r w:rsidR="006E1141" w:rsidRPr="00D2162F">
        <w:rPr>
          <w:sz w:val="24"/>
          <w:szCs w:val="24"/>
          <w:lang w:val="en-US"/>
        </w:rPr>
        <w:t xml:space="preserve"> broad</w:t>
      </w:r>
      <w:r w:rsidRPr="00D2162F">
        <w:rPr>
          <w:sz w:val="24"/>
          <w:szCs w:val="24"/>
          <w:lang w:val="en-US"/>
        </w:rPr>
        <w:t xml:space="preserve"> range of research universities, other universities, four-year colleges, and community colleges. In the case of public institutions, there are both state laws as well as university handbooks that regulate the degree of autonomy.  In private universities, there is greater autonomy from state interference.</w:t>
      </w:r>
      <w:r w:rsidR="003D558F" w:rsidRPr="00D2162F">
        <w:rPr>
          <w:sz w:val="24"/>
          <w:szCs w:val="24"/>
          <w:lang w:val="en-US"/>
        </w:rPr>
        <w:t xml:space="preserve">   Most campuses have some type of campus security force, which may or may not be armed.  Unless military personnel are attending classes (or the </w:t>
      </w:r>
      <w:r w:rsidR="006E1141" w:rsidRPr="00D2162F">
        <w:rPr>
          <w:sz w:val="24"/>
          <w:szCs w:val="24"/>
          <w:lang w:val="en-US"/>
        </w:rPr>
        <w:t>institution</w:t>
      </w:r>
      <w:r w:rsidR="003D558F" w:rsidRPr="00D2162F">
        <w:rPr>
          <w:sz w:val="24"/>
          <w:szCs w:val="24"/>
          <w:lang w:val="en-US"/>
        </w:rPr>
        <w:t xml:space="preserve"> is a military academy) there is no role f</w:t>
      </w:r>
      <w:r w:rsidR="00036939" w:rsidRPr="00D2162F">
        <w:rPr>
          <w:sz w:val="24"/>
          <w:szCs w:val="24"/>
          <w:lang w:val="en-US"/>
        </w:rPr>
        <w:t>or the military on campus. Local police</w:t>
      </w:r>
      <w:r w:rsidR="003D558F" w:rsidRPr="00D2162F">
        <w:rPr>
          <w:sz w:val="24"/>
          <w:szCs w:val="24"/>
          <w:lang w:val="en-US"/>
        </w:rPr>
        <w:t xml:space="preserve"> do not enter university campuses, although depending upon circumstances </w:t>
      </w:r>
      <w:r w:rsidR="00036939" w:rsidRPr="00D2162F">
        <w:rPr>
          <w:sz w:val="24"/>
          <w:szCs w:val="24"/>
          <w:lang w:val="en-US"/>
        </w:rPr>
        <w:t>they</w:t>
      </w:r>
      <w:r w:rsidR="003D558F" w:rsidRPr="00D2162F">
        <w:rPr>
          <w:sz w:val="24"/>
          <w:szCs w:val="24"/>
          <w:lang w:val="en-US"/>
        </w:rPr>
        <w:t xml:space="preserve"> may be called upon</w:t>
      </w:r>
      <w:r w:rsidR="006E1141" w:rsidRPr="00D2162F">
        <w:rPr>
          <w:sz w:val="24"/>
          <w:szCs w:val="24"/>
          <w:lang w:val="en-US"/>
        </w:rPr>
        <w:t xml:space="preserve"> to do so</w:t>
      </w:r>
      <w:r w:rsidR="003D558F" w:rsidRPr="00D2162F">
        <w:rPr>
          <w:sz w:val="24"/>
          <w:szCs w:val="24"/>
          <w:lang w:val="en-US"/>
        </w:rPr>
        <w:t>.</w:t>
      </w:r>
    </w:p>
    <w:p w14:paraId="5C833CFB" w14:textId="66E71923" w:rsidR="00987912" w:rsidRDefault="00091AC2" w:rsidP="0096233E">
      <w:pPr>
        <w:spacing w:before="120" w:after="120"/>
        <w:ind w:left="360" w:hanging="360"/>
        <w:jc w:val="both"/>
        <w:rPr>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77F9C32D" w14:textId="484CA541" w:rsidR="0096233E" w:rsidRPr="0096233E" w:rsidRDefault="0096233E" w:rsidP="0096233E">
      <w:pPr>
        <w:spacing w:before="120" w:after="120"/>
        <w:ind w:left="360" w:hanging="360"/>
        <w:jc w:val="both"/>
        <w:rPr>
          <w:b/>
          <w:bCs/>
          <w:i/>
          <w:iCs/>
          <w:sz w:val="24"/>
          <w:szCs w:val="24"/>
          <w:lang w:val="en-US"/>
        </w:rPr>
      </w:pPr>
      <w:r>
        <w:rPr>
          <w:b/>
          <w:bCs/>
          <w:i/>
          <w:iCs/>
          <w:sz w:val="24"/>
          <w:szCs w:val="24"/>
          <w:lang w:val="en-US"/>
        </w:rPr>
        <w:t>Response to Question 5</w:t>
      </w:r>
    </w:p>
    <w:p w14:paraId="4ABC3FE9" w14:textId="01A218BF" w:rsidR="003D558F" w:rsidRPr="00D2162F" w:rsidRDefault="003D558F" w:rsidP="00D2162F">
      <w:pPr>
        <w:pStyle w:val="ListParagraph"/>
        <w:numPr>
          <w:ilvl w:val="0"/>
          <w:numId w:val="34"/>
        </w:numPr>
        <w:spacing w:before="120" w:after="120"/>
        <w:jc w:val="both"/>
        <w:rPr>
          <w:b/>
          <w:bCs/>
          <w:sz w:val="24"/>
          <w:szCs w:val="24"/>
          <w:lang w:val="en-US"/>
        </w:rPr>
      </w:pPr>
      <w:r w:rsidRPr="00D2162F">
        <w:rPr>
          <w:sz w:val="24"/>
          <w:szCs w:val="24"/>
          <w:lang w:val="en-US"/>
        </w:rPr>
        <w:t>The most common reference guiding universities</w:t>
      </w:r>
      <w:r w:rsidR="00036939" w:rsidRPr="00D2162F">
        <w:rPr>
          <w:sz w:val="24"/>
          <w:szCs w:val="24"/>
          <w:lang w:val="en-US"/>
        </w:rPr>
        <w:t>’</w:t>
      </w:r>
      <w:r w:rsidRPr="00D2162F">
        <w:rPr>
          <w:sz w:val="24"/>
          <w:szCs w:val="24"/>
          <w:lang w:val="en-US"/>
        </w:rPr>
        <w:t xml:space="preserve"> approach to academic freedom in the US is the 1940 Statement on Principles on Academic Freedom and Tenure of the American Association of University </w:t>
      </w:r>
      <w:hyperlink r:id="rId12" w:history="1">
        <w:r w:rsidRPr="00D2162F">
          <w:rPr>
            <w:rStyle w:val="Hyperlink"/>
            <w:sz w:val="24"/>
            <w:szCs w:val="24"/>
            <w:lang w:val="en-US"/>
          </w:rPr>
          <w:t>Professors</w:t>
        </w:r>
      </w:hyperlink>
      <w:r w:rsidRPr="00D2162F">
        <w:rPr>
          <w:sz w:val="24"/>
          <w:szCs w:val="24"/>
          <w:lang w:val="en-US"/>
        </w:rPr>
        <w:t xml:space="preserve">.  Beyond this statement, post-secondary institutions each have their own </w:t>
      </w:r>
      <w:r w:rsidR="006E1141" w:rsidRPr="00D2162F">
        <w:rPr>
          <w:sz w:val="24"/>
          <w:szCs w:val="24"/>
          <w:lang w:val="en-US"/>
        </w:rPr>
        <w:t>policies</w:t>
      </w:r>
      <w:r w:rsidRPr="00D2162F">
        <w:rPr>
          <w:sz w:val="24"/>
          <w:szCs w:val="24"/>
          <w:lang w:val="en-US"/>
        </w:rPr>
        <w:t xml:space="preserve"> which, among other elements, </w:t>
      </w:r>
      <w:r w:rsidR="00837BFC">
        <w:rPr>
          <w:sz w:val="24"/>
          <w:szCs w:val="24"/>
          <w:lang w:val="en-US"/>
        </w:rPr>
        <w:t>tend to</w:t>
      </w:r>
      <w:r w:rsidRPr="00D2162F">
        <w:rPr>
          <w:sz w:val="24"/>
          <w:szCs w:val="24"/>
          <w:lang w:val="en-US"/>
        </w:rPr>
        <w:t xml:space="preserve"> address academic fre</w:t>
      </w:r>
      <w:r w:rsidR="00036939" w:rsidRPr="00D2162F">
        <w:rPr>
          <w:sz w:val="24"/>
          <w:szCs w:val="24"/>
          <w:lang w:val="en-US"/>
        </w:rPr>
        <w:t>edom</w:t>
      </w:r>
      <w:r w:rsidR="00837BFC">
        <w:rPr>
          <w:sz w:val="24"/>
          <w:szCs w:val="24"/>
          <w:lang w:val="en-US"/>
        </w:rPr>
        <w:t xml:space="preserve">, either </w:t>
      </w:r>
      <w:r w:rsidR="00837BFC" w:rsidRPr="00D2162F">
        <w:rPr>
          <w:sz w:val="24"/>
          <w:szCs w:val="24"/>
          <w:lang w:val="en-US"/>
        </w:rPr>
        <w:t>implicitly or explicitly</w:t>
      </w:r>
      <w:r w:rsidR="00837BFC">
        <w:rPr>
          <w:sz w:val="24"/>
          <w:szCs w:val="24"/>
          <w:lang w:val="en-US"/>
        </w:rPr>
        <w:t>,</w:t>
      </w:r>
      <w:r w:rsidR="00036939" w:rsidRPr="00D2162F">
        <w:rPr>
          <w:sz w:val="24"/>
          <w:szCs w:val="24"/>
          <w:lang w:val="en-US"/>
        </w:rPr>
        <w:t xml:space="preserve"> and how it is to be upheld by the institution.</w:t>
      </w:r>
      <w:r w:rsidRPr="00D2162F">
        <w:rPr>
          <w:sz w:val="24"/>
          <w:szCs w:val="24"/>
          <w:lang w:val="en-US"/>
        </w:rPr>
        <w:t xml:space="preserve">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13C224A9" w:rsidR="00091AC2" w:rsidRDefault="00091AC2" w:rsidP="00091AC2">
      <w:pPr>
        <w:spacing w:before="120" w:after="120"/>
        <w:ind w:left="567" w:hanging="567"/>
        <w:jc w:val="both"/>
        <w:rPr>
          <w:sz w:val="24"/>
          <w:szCs w:val="24"/>
          <w:lang w:val="en-US"/>
        </w:rPr>
      </w:pPr>
      <w:r>
        <w:rPr>
          <w:sz w:val="24"/>
          <w:szCs w:val="24"/>
          <w:lang w:val="en-US"/>
        </w:rPr>
        <w:lastRenderedPageBreak/>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42B8906F" w14:textId="1F1EE6BA" w:rsidR="0096233E" w:rsidRPr="0096233E" w:rsidRDefault="0096233E" w:rsidP="00091AC2">
      <w:pPr>
        <w:spacing w:before="120" w:after="120"/>
        <w:ind w:left="567" w:hanging="567"/>
        <w:jc w:val="both"/>
        <w:rPr>
          <w:b/>
          <w:bCs/>
          <w:i/>
          <w:iCs/>
          <w:sz w:val="24"/>
          <w:szCs w:val="24"/>
          <w:lang w:val="en-US"/>
        </w:rPr>
      </w:pPr>
      <w:r>
        <w:rPr>
          <w:b/>
          <w:bCs/>
          <w:i/>
          <w:iCs/>
          <w:sz w:val="24"/>
          <w:szCs w:val="24"/>
          <w:lang w:val="en-US"/>
        </w:rPr>
        <w:t>Response to Question 6</w:t>
      </w:r>
    </w:p>
    <w:p w14:paraId="1A0523DE" w14:textId="60CD0763" w:rsidR="003D558F" w:rsidRPr="00D2162F" w:rsidRDefault="003D558F" w:rsidP="00D2162F">
      <w:pPr>
        <w:pStyle w:val="ListParagraph"/>
        <w:numPr>
          <w:ilvl w:val="0"/>
          <w:numId w:val="34"/>
        </w:numPr>
        <w:spacing w:before="120" w:after="120"/>
        <w:jc w:val="both"/>
        <w:rPr>
          <w:sz w:val="24"/>
          <w:szCs w:val="24"/>
          <w:lang w:val="en-US"/>
        </w:rPr>
      </w:pPr>
      <w:r w:rsidRPr="00D2162F">
        <w:rPr>
          <w:sz w:val="24"/>
          <w:szCs w:val="24"/>
          <w:lang w:val="en-US"/>
        </w:rPr>
        <w:t xml:space="preserve">There are many sources of potential funding for post-secondary research in the US. </w:t>
      </w:r>
      <w:r w:rsidR="00B36494" w:rsidRPr="00D2162F">
        <w:rPr>
          <w:sz w:val="24"/>
          <w:szCs w:val="24"/>
          <w:lang w:val="en-US"/>
        </w:rPr>
        <w:t xml:space="preserve">For all educational institutions in the US there are prohibitions on funding from Iran. There is also periodically </w:t>
      </w:r>
      <w:r w:rsidR="006E1141" w:rsidRPr="00D2162F">
        <w:rPr>
          <w:sz w:val="24"/>
          <w:szCs w:val="24"/>
          <w:lang w:val="en-US"/>
        </w:rPr>
        <w:t>media</w:t>
      </w:r>
      <w:r w:rsidR="00B36494" w:rsidRPr="00D2162F">
        <w:rPr>
          <w:sz w:val="24"/>
          <w:szCs w:val="24"/>
          <w:lang w:val="en-US"/>
        </w:rPr>
        <w:t xml:space="preserve"> reporting and congressional scrutiny focused on funding that comes from states such as Saudi Arabia, Qatar, Kuwait, and the United Arab Emirates, with concerns raised about purported corruption or negative political influence </w:t>
      </w:r>
      <w:r w:rsidR="00036939" w:rsidRPr="00D2162F">
        <w:rPr>
          <w:sz w:val="24"/>
          <w:szCs w:val="24"/>
          <w:lang w:val="en-US"/>
        </w:rPr>
        <w:t xml:space="preserve">that </w:t>
      </w:r>
      <w:r w:rsidR="00B36494" w:rsidRPr="00D2162F">
        <w:rPr>
          <w:sz w:val="24"/>
          <w:szCs w:val="24"/>
          <w:lang w:val="en-US"/>
        </w:rPr>
        <w:t xml:space="preserve">monies from such states may involve. While external monies can certainly play a negative role in shaping research, the tendency to attribute malevolent intent to Arab states should be seen in the context of anti-Arab or anti-Muslim sentiment in the US and its relationship to the long-standing support for Israel in domestic US politics. In the US as a </w:t>
      </w:r>
      <w:proofErr w:type="gramStart"/>
      <w:r w:rsidR="00B36494" w:rsidRPr="00D2162F">
        <w:rPr>
          <w:sz w:val="24"/>
          <w:szCs w:val="24"/>
          <w:lang w:val="en-US"/>
        </w:rPr>
        <w:t>whole</w:t>
      </w:r>
      <w:r w:rsidR="006E1141" w:rsidRPr="00D2162F">
        <w:rPr>
          <w:sz w:val="24"/>
          <w:szCs w:val="24"/>
          <w:lang w:val="en-US"/>
        </w:rPr>
        <w:t>,</w:t>
      </w:r>
      <w:r w:rsidR="00B36494" w:rsidRPr="00D2162F">
        <w:rPr>
          <w:sz w:val="24"/>
          <w:szCs w:val="24"/>
          <w:lang w:val="en-US"/>
        </w:rPr>
        <w:t xml:space="preserve"> </w:t>
      </w:r>
      <w:r w:rsidR="00036939" w:rsidRPr="00D2162F">
        <w:rPr>
          <w:sz w:val="24"/>
          <w:szCs w:val="24"/>
          <w:lang w:val="en-US"/>
        </w:rPr>
        <w:t xml:space="preserve"> p</w:t>
      </w:r>
      <w:r w:rsidRPr="00D2162F">
        <w:rPr>
          <w:sz w:val="24"/>
          <w:szCs w:val="24"/>
          <w:lang w:val="en-US"/>
        </w:rPr>
        <w:t>ublic</w:t>
      </w:r>
      <w:proofErr w:type="gramEnd"/>
      <w:r w:rsidRPr="00D2162F">
        <w:rPr>
          <w:sz w:val="24"/>
          <w:szCs w:val="24"/>
          <w:lang w:val="en-US"/>
        </w:rPr>
        <w:t xml:space="preserve"> universities and colleges have </w:t>
      </w:r>
      <w:r w:rsidR="00B36494" w:rsidRPr="00D2162F">
        <w:rPr>
          <w:sz w:val="24"/>
          <w:szCs w:val="24"/>
          <w:lang w:val="en-US"/>
        </w:rPr>
        <w:t xml:space="preserve">regulations regarding external funding specified by the </w:t>
      </w:r>
      <w:r w:rsidR="006E1141" w:rsidRPr="00D2162F">
        <w:rPr>
          <w:sz w:val="24"/>
          <w:szCs w:val="24"/>
          <w:lang w:val="en-US"/>
        </w:rPr>
        <w:t xml:space="preserve">individual </w:t>
      </w:r>
      <w:r w:rsidR="00B36494" w:rsidRPr="00D2162F">
        <w:rPr>
          <w:sz w:val="24"/>
          <w:szCs w:val="24"/>
          <w:lang w:val="en-US"/>
        </w:rPr>
        <w:t xml:space="preserve">state that (partially) funds them.  </w:t>
      </w:r>
      <w:r w:rsidR="009B21AD" w:rsidRPr="00D2162F">
        <w:rPr>
          <w:sz w:val="24"/>
          <w:szCs w:val="24"/>
          <w:lang w:val="en-US"/>
        </w:rPr>
        <w:t xml:space="preserve">All universities have guidelines of some sort regarding ethics in funding, use of funding, conflicts of interest, etc. </w:t>
      </w:r>
      <w:r w:rsidR="00B36494" w:rsidRPr="00D2162F">
        <w:rPr>
          <w:sz w:val="24"/>
          <w:szCs w:val="24"/>
          <w:lang w:val="en-US"/>
        </w:rPr>
        <w:t xml:space="preserve"> </w:t>
      </w:r>
    </w:p>
    <w:p w14:paraId="1763780F" w14:textId="46035CF6" w:rsidR="00B36494" w:rsidRDefault="00036939" w:rsidP="00D2162F">
      <w:pPr>
        <w:pStyle w:val="ListParagraph"/>
        <w:numPr>
          <w:ilvl w:val="0"/>
          <w:numId w:val="34"/>
        </w:numPr>
        <w:spacing w:before="120" w:after="120"/>
        <w:jc w:val="both"/>
        <w:rPr>
          <w:sz w:val="24"/>
          <w:szCs w:val="24"/>
          <w:lang w:val="en-US"/>
        </w:rPr>
      </w:pPr>
      <w:r w:rsidRPr="00D2162F">
        <w:rPr>
          <w:sz w:val="24"/>
          <w:szCs w:val="24"/>
          <w:lang w:val="en-US"/>
        </w:rPr>
        <w:t xml:space="preserve">Since October 7 we have </w:t>
      </w:r>
      <w:r w:rsidR="00B36494" w:rsidRPr="00D2162F">
        <w:rPr>
          <w:sz w:val="24"/>
          <w:szCs w:val="24"/>
          <w:lang w:val="en-US"/>
        </w:rPr>
        <w:t>seen numerous high-l</w:t>
      </w:r>
      <w:r w:rsidR="009B21AD" w:rsidRPr="00D2162F">
        <w:rPr>
          <w:sz w:val="24"/>
          <w:szCs w:val="24"/>
          <w:lang w:val="en-US"/>
        </w:rPr>
        <w:t xml:space="preserve">evel cases </w:t>
      </w:r>
      <w:r w:rsidRPr="00D2162F">
        <w:rPr>
          <w:sz w:val="24"/>
          <w:szCs w:val="24"/>
          <w:lang w:val="en-US"/>
        </w:rPr>
        <w:t xml:space="preserve">at US universities </w:t>
      </w:r>
      <w:r w:rsidR="009B21AD" w:rsidRPr="00D2162F">
        <w:rPr>
          <w:sz w:val="24"/>
          <w:szCs w:val="24"/>
          <w:lang w:val="en-US"/>
        </w:rPr>
        <w:t>of the cancelation of pending multi-</w:t>
      </w:r>
      <w:proofErr w:type="gramStart"/>
      <w:r w:rsidR="009B21AD" w:rsidRPr="00D2162F">
        <w:rPr>
          <w:sz w:val="24"/>
          <w:szCs w:val="24"/>
          <w:lang w:val="en-US"/>
        </w:rPr>
        <w:t>million dollar</w:t>
      </w:r>
      <w:proofErr w:type="gramEnd"/>
      <w:r w:rsidR="009B21AD" w:rsidRPr="00D2162F">
        <w:rPr>
          <w:sz w:val="24"/>
          <w:szCs w:val="24"/>
          <w:lang w:val="en-US"/>
        </w:rPr>
        <w:t xml:space="preserve"> gifts or threats to do so by pro-Israel donors angered by what they feel is too permissive an attitude toward Palestine solidarity </w:t>
      </w:r>
      <w:r w:rsidR="006E1141" w:rsidRPr="00D2162F">
        <w:rPr>
          <w:sz w:val="24"/>
          <w:szCs w:val="24"/>
          <w:lang w:val="en-US"/>
        </w:rPr>
        <w:t xml:space="preserve">activism </w:t>
      </w:r>
      <w:r w:rsidR="009B21AD" w:rsidRPr="00D2162F">
        <w:rPr>
          <w:sz w:val="24"/>
          <w:szCs w:val="24"/>
          <w:lang w:val="en-US"/>
        </w:rPr>
        <w:t xml:space="preserve">or </w:t>
      </w:r>
      <w:r w:rsidR="006E1141" w:rsidRPr="00D2162F">
        <w:rPr>
          <w:sz w:val="24"/>
          <w:szCs w:val="24"/>
          <w:lang w:val="en-US"/>
        </w:rPr>
        <w:t xml:space="preserve">alleged </w:t>
      </w:r>
      <w:r w:rsidR="009B21AD" w:rsidRPr="00D2162F">
        <w:rPr>
          <w:sz w:val="24"/>
          <w:szCs w:val="24"/>
          <w:lang w:val="en-US"/>
        </w:rPr>
        <w:t xml:space="preserve">antisemitism on campus. </w:t>
      </w:r>
      <w:r w:rsidRPr="00D2162F">
        <w:rPr>
          <w:sz w:val="24"/>
          <w:szCs w:val="24"/>
          <w:lang w:val="en-US"/>
        </w:rPr>
        <w:t xml:space="preserve">Unfortunately, the climate prior to October 7 saw increasing efforts by pro-Israel advocates to conflate antisemitism and criticism of Israel, the most obvious vehicle of which was urging the adoption by universities (and other institutions such as state governments) of the IHRA </w:t>
      </w:r>
      <w:hyperlink r:id="rId13" w:history="1">
        <w:r w:rsidRPr="00D2162F">
          <w:rPr>
            <w:rStyle w:val="Hyperlink"/>
            <w:sz w:val="24"/>
            <w:szCs w:val="24"/>
            <w:lang w:val="en-US"/>
          </w:rPr>
          <w:t xml:space="preserve">definition of </w:t>
        </w:r>
        <w:proofErr w:type="spellStart"/>
        <w:r w:rsidRPr="00D2162F">
          <w:rPr>
            <w:rStyle w:val="Hyperlink"/>
            <w:sz w:val="24"/>
            <w:szCs w:val="24"/>
            <w:lang w:val="en-US"/>
          </w:rPr>
          <w:t>anti-semitism</w:t>
        </w:r>
        <w:proofErr w:type="spellEnd"/>
      </w:hyperlink>
      <w:r w:rsidR="006E1141" w:rsidRPr="00D2162F">
        <w:rPr>
          <w:rStyle w:val="Hyperlink"/>
          <w:sz w:val="24"/>
          <w:szCs w:val="24"/>
          <w:lang w:val="en-US"/>
        </w:rPr>
        <w:t xml:space="preserve"> and its accompanying examples</w:t>
      </w:r>
      <w:r w:rsidRPr="00D2162F">
        <w:rPr>
          <w:sz w:val="24"/>
          <w:szCs w:val="24"/>
          <w:lang w:val="en-US"/>
        </w:rPr>
        <w:t>. These efforts have only intensified since the beginning of the war, as some groups, such as the Anti-Defamation League</w:t>
      </w:r>
      <w:r w:rsidR="006E1141" w:rsidRPr="00D2162F">
        <w:rPr>
          <w:sz w:val="24"/>
          <w:szCs w:val="24"/>
          <w:lang w:val="en-US"/>
        </w:rPr>
        <w:t>,</w:t>
      </w:r>
      <w:r w:rsidRPr="00D2162F">
        <w:rPr>
          <w:sz w:val="24"/>
          <w:szCs w:val="24"/>
          <w:lang w:val="en-US"/>
        </w:rPr>
        <w:t xml:space="preserve"> </w:t>
      </w:r>
      <w:r w:rsidR="00AC4430" w:rsidRPr="00D2162F">
        <w:rPr>
          <w:sz w:val="24"/>
          <w:szCs w:val="24"/>
          <w:lang w:val="en-US"/>
        </w:rPr>
        <w:t xml:space="preserve">have counted any Palestine solidarity demonstration or event (on campuses or elsewhere) as </w:t>
      </w:r>
      <w:r w:rsidR="001A6D59" w:rsidRPr="00D2162F">
        <w:rPr>
          <w:sz w:val="24"/>
          <w:szCs w:val="24"/>
          <w:lang w:val="en-US"/>
        </w:rPr>
        <w:t xml:space="preserve">an </w:t>
      </w:r>
      <w:r w:rsidR="00AC4430" w:rsidRPr="00D2162F">
        <w:rPr>
          <w:sz w:val="24"/>
          <w:szCs w:val="24"/>
          <w:lang w:val="en-US"/>
        </w:rPr>
        <w:t xml:space="preserve">episode of </w:t>
      </w:r>
      <w:proofErr w:type="spellStart"/>
      <w:r w:rsidR="00AC4430" w:rsidRPr="00D2162F">
        <w:rPr>
          <w:sz w:val="24"/>
          <w:szCs w:val="24"/>
          <w:lang w:val="en-US"/>
        </w:rPr>
        <w:t>anti-semitism</w:t>
      </w:r>
      <w:proofErr w:type="spellEnd"/>
      <w:r w:rsidR="00AC4430" w:rsidRPr="00D2162F">
        <w:rPr>
          <w:sz w:val="24"/>
          <w:szCs w:val="24"/>
          <w:lang w:val="en-US"/>
        </w:rPr>
        <w:t xml:space="preserve">. </w:t>
      </w:r>
    </w:p>
    <w:p w14:paraId="58359724" w14:textId="6BBEE97C" w:rsidR="00987912" w:rsidRDefault="00091AC2" w:rsidP="00091AC2">
      <w:pPr>
        <w:spacing w:before="120" w:after="120"/>
        <w:ind w:left="567" w:hanging="567"/>
        <w:jc w:val="both"/>
        <w:rPr>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6846822C" w14:textId="77777777" w:rsidR="0096233E" w:rsidRPr="0096233E" w:rsidRDefault="0096233E" w:rsidP="0096233E">
      <w:pPr>
        <w:spacing w:before="120" w:after="120"/>
        <w:jc w:val="both"/>
        <w:rPr>
          <w:b/>
          <w:bCs/>
          <w:i/>
          <w:iCs/>
          <w:sz w:val="24"/>
          <w:szCs w:val="24"/>
          <w:lang w:val="en-US"/>
        </w:rPr>
      </w:pPr>
      <w:r>
        <w:rPr>
          <w:b/>
          <w:bCs/>
          <w:i/>
          <w:iCs/>
          <w:sz w:val="24"/>
          <w:szCs w:val="24"/>
          <w:lang w:val="en-US"/>
        </w:rPr>
        <w:t>Response to Question 7</w:t>
      </w:r>
    </w:p>
    <w:p w14:paraId="16103934" w14:textId="3870FE56" w:rsidR="009B21AD" w:rsidRPr="00D2162F" w:rsidRDefault="009B21AD" w:rsidP="00D2162F">
      <w:pPr>
        <w:pStyle w:val="ListParagraph"/>
        <w:numPr>
          <w:ilvl w:val="0"/>
          <w:numId w:val="34"/>
        </w:numPr>
        <w:spacing w:before="120" w:after="120"/>
        <w:jc w:val="both"/>
        <w:rPr>
          <w:b/>
          <w:bCs/>
          <w:sz w:val="24"/>
          <w:szCs w:val="24"/>
          <w:lang w:val="en-US"/>
        </w:rPr>
      </w:pPr>
      <w:r w:rsidRPr="00D2162F">
        <w:rPr>
          <w:sz w:val="24"/>
          <w:szCs w:val="24"/>
          <w:lang w:val="en-US"/>
        </w:rPr>
        <w:t>Such rules vary widely</w:t>
      </w:r>
      <w:r w:rsidR="006E1141" w:rsidRPr="00D2162F">
        <w:rPr>
          <w:sz w:val="24"/>
          <w:szCs w:val="24"/>
          <w:lang w:val="en-US"/>
        </w:rPr>
        <w:t>, and donors (or potential donors) often have an outsized influence on the policies of some universities</w:t>
      </w:r>
      <w:r w:rsidRPr="00D2162F">
        <w:rPr>
          <w:sz w:val="24"/>
          <w:szCs w:val="24"/>
          <w:lang w:val="en-US"/>
        </w:rPr>
        <w:t xml:space="preserve">. </w:t>
      </w:r>
      <w:r w:rsidR="006E1141" w:rsidRPr="00D2162F">
        <w:rPr>
          <w:sz w:val="24"/>
          <w:szCs w:val="24"/>
          <w:lang w:val="en-US"/>
        </w:rPr>
        <w:t xml:space="preserve">In one particularly egregious recent </w:t>
      </w:r>
      <w:proofErr w:type="gramStart"/>
      <w:r w:rsidR="006E1141" w:rsidRPr="00D2162F">
        <w:rPr>
          <w:sz w:val="24"/>
          <w:szCs w:val="24"/>
          <w:lang w:val="en-US"/>
        </w:rPr>
        <w:t xml:space="preserve">example, </w:t>
      </w:r>
      <w:r w:rsidRPr="00D2162F">
        <w:rPr>
          <w:sz w:val="24"/>
          <w:szCs w:val="24"/>
          <w:lang w:val="en-US"/>
        </w:rPr>
        <w:t xml:space="preserve"> the</w:t>
      </w:r>
      <w:proofErr w:type="gramEnd"/>
      <w:r w:rsidRPr="00D2162F">
        <w:rPr>
          <w:sz w:val="24"/>
          <w:szCs w:val="24"/>
          <w:lang w:val="en-US"/>
        </w:rPr>
        <w:t xml:space="preserve"> presidents of Harvard University</w:t>
      </w:r>
      <w:r w:rsidR="00706443" w:rsidRPr="00D2162F">
        <w:rPr>
          <w:sz w:val="24"/>
          <w:szCs w:val="24"/>
          <w:lang w:val="en-US"/>
        </w:rPr>
        <w:t>, the Massachusetts Institute of Technology</w:t>
      </w:r>
      <w:r w:rsidRPr="00D2162F">
        <w:rPr>
          <w:sz w:val="24"/>
          <w:szCs w:val="24"/>
          <w:lang w:val="en-US"/>
        </w:rPr>
        <w:t xml:space="preserve"> and the University of </w:t>
      </w:r>
      <w:r w:rsidR="00AC4430" w:rsidRPr="00D2162F">
        <w:rPr>
          <w:sz w:val="24"/>
          <w:szCs w:val="24"/>
          <w:lang w:val="en-US"/>
        </w:rPr>
        <w:t xml:space="preserve">Pennsylvania </w:t>
      </w:r>
      <w:r w:rsidRPr="00D2162F">
        <w:rPr>
          <w:sz w:val="24"/>
          <w:szCs w:val="24"/>
          <w:lang w:val="en-US"/>
        </w:rPr>
        <w:t xml:space="preserve">were called to testify before </w:t>
      </w:r>
      <w:r w:rsidR="006E1141" w:rsidRPr="00D2162F">
        <w:rPr>
          <w:sz w:val="24"/>
          <w:szCs w:val="24"/>
          <w:lang w:val="en-US"/>
        </w:rPr>
        <w:t xml:space="preserve">a committee of </w:t>
      </w:r>
      <w:r w:rsidRPr="00D2162F">
        <w:rPr>
          <w:sz w:val="24"/>
          <w:szCs w:val="24"/>
          <w:lang w:val="en-US"/>
        </w:rPr>
        <w:t xml:space="preserve">the US Congress because of </w:t>
      </w:r>
      <w:r w:rsidR="00AC4430" w:rsidRPr="00D2162F">
        <w:rPr>
          <w:sz w:val="24"/>
          <w:szCs w:val="24"/>
          <w:lang w:val="en-US"/>
        </w:rPr>
        <w:t xml:space="preserve">contentious </w:t>
      </w:r>
      <w:r w:rsidRPr="00D2162F">
        <w:rPr>
          <w:sz w:val="24"/>
          <w:szCs w:val="24"/>
          <w:lang w:val="en-US"/>
        </w:rPr>
        <w:t xml:space="preserve">events related to the Israel-Gaza war on their campuses.  </w:t>
      </w:r>
      <w:r w:rsidR="007C3027" w:rsidRPr="00D2162F">
        <w:rPr>
          <w:sz w:val="24"/>
          <w:szCs w:val="24"/>
          <w:lang w:val="en-US"/>
        </w:rPr>
        <w:t>Following their testimony, the presidents of Harvard and the University of Pennsylvania were forced to resign</w:t>
      </w:r>
      <w:r w:rsidR="00B06CBA" w:rsidRPr="00D2162F">
        <w:rPr>
          <w:sz w:val="24"/>
          <w:szCs w:val="24"/>
          <w:lang w:val="en-US"/>
        </w:rPr>
        <w:t>,</w:t>
      </w:r>
      <w:r w:rsidR="007C3027" w:rsidRPr="00D2162F">
        <w:rPr>
          <w:sz w:val="24"/>
          <w:szCs w:val="24"/>
          <w:lang w:val="en-US"/>
        </w:rPr>
        <w:t xml:space="preserve"> </w:t>
      </w:r>
      <w:r w:rsidRPr="00D2162F">
        <w:rPr>
          <w:sz w:val="24"/>
          <w:szCs w:val="24"/>
          <w:lang w:val="en-US"/>
        </w:rPr>
        <w:t xml:space="preserve">in no small part owing to threats of cancellation of major gifts to these two universities because of what donors </w:t>
      </w:r>
      <w:r w:rsidR="001A6D59" w:rsidRPr="00D2162F">
        <w:rPr>
          <w:sz w:val="24"/>
          <w:szCs w:val="24"/>
          <w:lang w:val="en-US"/>
        </w:rPr>
        <w:t>perceived</w:t>
      </w:r>
      <w:r w:rsidRPr="00D2162F">
        <w:rPr>
          <w:sz w:val="24"/>
          <w:szCs w:val="24"/>
          <w:lang w:val="en-US"/>
        </w:rPr>
        <w:t xml:space="preserve"> as a climate of rampant antisemitism on campus. Attempts to force out other university presidents and administrators owing to outside pressures</w:t>
      </w:r>
      <w:r w:rsidR="00FB1F74" w:rsidRPr="00D2162F">
        <w:rPr>
          <w:sz w:val="24"/>
          <w:szCs w:val="24"/>
          <w:lang w:val="en-US"/>
        </w:rPr>
        <w:t xml:space="preserve"> in the fraught climate since October </w:t>
      </w:r>
      <w:r w:rsidR="00695B64">
        <w:rPr>
          <w:sz w:val="24"/>
          <w:szCs w:val="24"/>
          <w:lang w:val="en-US"/>
        </w:rPr>
        <w:t xml:space="preserve">7 </w:t>
      </w:r>
      <w:r w:rsidR="00FB1F74" w:rsidRPr="00D2162F">
        <w:rPr>
          <w:sz w:val="24"/>
          <w:szCs w:val="24"/>
          <w:lang w:val="en-US"/>
        </w:rPr>
        <w:t xml:space="preserve">continue. </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4214C843" w:rsidR="0098791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w:t>
      </w:r>
      <w:r w:rsidR="00987912" w:rsidRPr="00A77C58">
        <w:rPr>
          <w:sz w:val="24"/>
          <w:szCs w:val="24"/>
          <w:lang w:val="en-US"/>
        </w:rPr>
        <w:lastRenderedPageBreak/>
        <w:t xml:space="preserve">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4B803620" w14:textId="10697CA9" w:rsidR="0096233E" w:rsidRPr="0096233E" w:rsidRDefault="0096233E" w:rsidP="00091AC2">
      <w:pPr>
        <w:spacing w:before="120" w:after="120"/>
        <w:ind w:left="567" w:hanging="567"/>
        <w:jc w:val="both"/>
        <w:rPr>
          <w:b/>
          <w:bCs/>
          <w:i/>
          <w:iCs/>
          <w:sz w:val="24"/>
          <w:szCs w:val="24"/>
          <w:lang w:val="en-US"/>
        </w:rPr>
      </w:pPr>
      <w:r>
        <w:rPr>
          <w:b/>
          <w:bCs/>
          <w:i/>
          <w:iCs/>
          <w:sz w:val="24"/>
          <w:szCs w:val="24"/>
          <w:lang w:val="en-US"/>
        </w:rPr>
        <w:t>Response to Question 8</w:t>
      </w:r>
    </w:p>
    <w:p w14:paraId="325389A2" w14:textId="2318EFBA" w:rsidR="00FB1F74" w:rsidRPr="00D2162F" w:rsidRDefault="00FB1F74" w:rsidP="00D2162F">
      <w:pPr>
        <w:pStyle w:val="ListParagraph"/>
        <w:numPr>
          <w:ilvl w:val="0"/>
          <w:numId w:val="34"/>
        </w:numPr>
        <w:spacing w:before="120" w:after="120"/>
        <w:jc w:val="both"/>
        <w:rPr>
          <w:sz w:val="24"/>
          <w:szCs w:val="24"/>
          <w:lang w:val="en-US"/>
        </w:rPr>
      </w:pPr>
      <w:r w:rsidRPr="00D2162F">
        <w:rPr>
          <w:sz w:val="24"/>
          <w:szCs w:val="24"/>
          <w:lang w:val="en-US"/>
        </w:rPr>
        <w:t>In the U</w:t>
      </w:r>
      <w:r w:rsidR="00694EFA" w:rsidRPr="00D2162F">
        <w:rPr>
          <w:sz w:val="24"/>
          <w:szCs w:val="24"/>
          <w:lang w:val="en-US"/>
        </w:rPr>
        <w:t>nited States</w:t>
      </w:r>
      <w:r w:rsidRPr="00D2162F">
        <w:rPr>
          <w:sz w:val="24"/>
          <w:szCs w:val="24"/>
          <w:lang w:val="en-US"/>
        </w:rPr>
        <w:t xml:space="preserve"> faculty at public universities and colleges have no guarantee of privacy for correspondence using their university e-mail accounts.   Otherwise, there is at least the presumption of privacy.  However, recently, at New York University (NYU), a private research university in New York City, </w:t>
      </w:r>
      <w:r w:rsidRPr="00D2162F">
        <w:rPr>
          <w:sz w:val="24"/>
          <w:szCs w:val="24"/>
        </w:rPr>
        <w:t>faculty reported instances relating to the current crisis in Palestine/Israel in which university administrators employed email filters that restricted the free flow of information, and increased surveillance on campus. As a </w:t>
      </w:r>
      <w:hyperlink r:id="rId14" w:history="1">
        <w:r w:rsidRPr="00D2162F">
          <w:rPr>
            <w:color w:val="0000FF"/>
            <w:sz w:val="24"/>
            <w:szCs w:val="24"/>
            <w:u w:val="single"/>
          </w:rPr>
          <w:t>statement</w:t>
        </w:r>
      </w:hyperlink>
      <w:r w:rsidRPr="00D2162F">
        <w:rPr>
          <w:sz w:val="24"/>
          <w:szCs w:val="24"/>
        </w:rPr>
        <w:t xml:space="preserve"> issued on 18 December 2023 by the NYU chapter of the American Association of University Professors put it, </w:t>
      </w:r>
      <w:r w:rsidR="00AC4430" w:rsidRPr="00D2162F">
        <w:rPr>
          <w:sz w:val="24"/>
          <w:szCs w:val="24"/>
        </w:rPr>
        <w:t xml:space="preserve">this </w:t>
      </w:r>
      <w:r w:rsidRPr="00D2162F">
        <w:rPr>
          <w:sz w:val="24"/>
          <w:szCs w:val="24"/>
        </w:rPr>
        <w:t>“narrowed the space of free and open inquiry at our global university located in the most diverse city in the world.” </w:t>
      </w:r>
      <w:r w:rsidRPr="00D2162F">
        <w:rPr>
          <w:sz w:val="24"/>
          <w:szCs w:val="24"/>
          <w:lang w:val="en-US"/>
        </w:rPr>
        <w:t xml:space="preserve"> </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0CD1E399"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67DB7D2B" w14:textId="0C3DDE34" w:rsidR="0096233E" w:rsidRPr="0096233E" w:rsidRDefault="0096233E" w:rsidP="00091AC2">
      <w:pPr>
        <w:spacing w:before="120" w:after="120"/>
        <w:ind w:left="567" w:hanging="567"/>
        <w:jc w:val="both"/>
        <w:rPr>
          <w:b/>
          <w:bCs/>
          <w:i/>
          <w:iCs/>
          <w:sz w:val="24"/>
          <w:szCs w:val="24"/>
          <w:lang w:val="en-US"/>
        </w:rPr>
      </w:pPr>
      <w:r>
        <w:rPr>
          <w:b/>
          <w:bCs/>
          <w:i/>
          <w:iCs/>
          <w:sz w:val="24"/>
          <w:szCs w:val="24"/>
          <w:lang w:val="en-US"/>
        </w:rPr>
        <w:t>Response to Question 9</w:t>
      </w:r>
    </w:p>
    <w:p w14:paraId="5F917F8C" w14:textId="3B83902C" w:rsidR="00CC5F99" w:rsidRPr="00D2162F" w:rsidRDefault="00FB1F74" w:rsidP="00D2162F">
      <w:pPr>
        <w:pStyle w:val="ListParagraph"/>
        <w:numPr>
          <w:ilvl w:val="0"/>
          <w:numId w:val="34"/>
        </w:numPr>
        <w:spacing w:before="120" w:after="120"/>
        <w:jc w:val="both"/>
        <w:rPr>
          <w:sz w:val="24"/>
          <w:szCs w:val="24"/>
          <w:lang w:val="en-US"/>
        </w:rPr>
      </w:pPr>
      <w:r w:rsidRPr="00D2162F">
        <w:rPr>
          <w:sz w:val="24"/>
          <w:szCs w:val="24"/>
          <w:lang w:val="en-US"/>
        </w:rPr>
        <w:t xml:space="preserve">The short answer </w:t>
      </w:r>
      <w:r w:rsidR="0012364C" w:rsidRPr="00D2162F">
        <w:rPr>
          <w:sz w:val="24"/>
          <w:szCs w:val="24"/>
          <w:lang w:val="en-US"/>
        </w:rPr>
        <w:t>to the first question is that there can be significant obsta</w:t>
      </w:r>
      <w:r w:rsidR="007C190E" w:rsidRPr="00D2162F">
        <w:rPr>
          <w:sz w:val="24"/>
          <w:szCs w:val="24"/>
          <w:lang w:val="en-US"/>
        </w:rPr>
        <w:t>cles</w:t>
      </w:r>
      <w:r w:rsidR="0012364C" w:rsidRPr="00D2162F">
        <w:rPr>
          <w:sz w:val="24"/>
          <w:szCs w:val="24"/>
          <w:lang w:val="en-US"/>
        </w:rPr>
        <w:t xml:space="preserve"> to such freedom</w:t>
      </w:r>
      <w:r w:rsidRPr="00D2162F">
        <w:rPr>
          <w:sz w:val="24"/>
          <w:szCs w:val="24"/>
          <w:lang w:val="en-US"/>
        </w:rPr>
        <w:t xml:space="preserve">.  Over the years, MENA scholars have often reported feeling the need to self-censor, whether in choosing materials for syllabi, in </w:t>
      </w:r>
      <w:r w:rsidR="00CC5F99" w:rsidRPr="00D2162F">
        <w:rPr>
          <w:sz w:val="24"/>
          <w:szCs w:val="24"/>
          <w:lang w:val="en-US"/>
        </w:rPr>
        <w:t>presenting material on sensitive issues</w:t>
      </w:r>
      <w:r w:rsidR="00516487">
        <w:rPr>
          <w:sz w:val="24"/>
          <w:szCs w:val="24"/>
          <w:lang w:val="en-US"/>
        </w:rPr>
        <w:t>—</w:t>
      </w:r>
      <w:r w:rsidR="00CC5F99" w:rsidRPr="00D2162F">
        <w:rPr>
          <w:sz w:val="24"/>
          <w:szCs w:val="24"/>
          <w:lang w:val="en-US"/>
        </w:rPr>
        <w:t>particularly those related to Israel/Palestine</w:t>
      </w:r>
      <w:r w:rsidR="00AC4430" w:rsidRPr="00D2162F">
        <w:rPr>
          <w:sz w:val="24"/>
          <w:szCs w:val="24"/>
          <w:lang w:val="en-US"/>
        </w:rPr>
        <w:t>—in classroom lectures</w:t>
      </w:r>
      <w:r w:rsidR="00CC5F99" w:rsidRPr="00D2162F">
        <w:rPr>
          <w:sz w:val="24"/>
          <w:szCs w:val="24"/>
          <w:lang w:val="en-US"/>
        </w:rPr>
        <w:t>, in choosing research topics, and in public interviews and commentaries.  Since October 7 we have documented numerous cases of the narrowing or prejudicing of such freedoms.  We cite here just a few:  the case of Prof. Ahlam Muhtaseb, who was prevent</w:t>
      </w:r>
      <w:r w:rsidR="00463217" w:rsidRPr="00D2162F">
        <w:rPr>
          <w:sz w:val="24"/>
          <w:szCs w:val="24"/>
          <w:lang w:val="en-US"/>
        </w:rPr>
        <w:t>ed</w:t>
      </w:r>
      <w:r w:rsidR="00CC5F99" w:rsidRPr="00D2162F">
        <w:rPr>
          <w:sz w:val="24"/>
          <w:szCs w:val="24"/>
          <w:lang w:val="en-US"/>
        </w:rPr>
        <w:t xml:space="preserve"> from giving her speech at the annual convention of the National Communication Association because of the inclusion of the word </w:t>
      </w:r>
      <w:r w:rsidR="00C376C3">
        <w:rPr>
          <w:sz w:val="24"/>
          <w:szCs w:val="24"/>
          <w:lang w:val="en-US"/>
        </w:rPr>
        <w:t>“</w:t>
      </w:r>
      <w:r w:rsidR="00CC5F99" w:rsidRPr="00D2162F">
        <w:rPr>
          <w:sz w:val="24"/>
          <w:szCs w:val="24"/>
          <w:lang w:val="en-US"/>
        </w:rPr>
        <w:t>genocide</w:t>
      </w:r>
      <w:r w:rsidR="00C376C3">
        <w:rPr>
          <w:sz w:val="24"/>
          <w:szCs w:val="24"/>
          <w:lang w:val="en-US"/>
        </w:rPr>
        <w:t>”</w:t>
      </w:r>
      <w:r w:rsidR="00CC5F99" w:rsidRPr="00D2162F">
        <w:rPr>
          <w:sz w:val="24"/>
          <w:szCs w:val="24"/>
          <w:lang w:val="en-US"/>
        </w:rPr>
        <w:t xml:space="preserve"> in the </w:t>
      </w:r>
      <w:hyperlink r:id="rId15" w:history="1">
        <w:r w:rsidR="00CC5F99" w:rsidRPr="00D2162F">
          <w:rPr>
            <w:rStyle w:val="Hyperlink"/>
            <w:sz w:val="24"/>
            <w:szCs w:val="24"/>
            <w:lang w:val="en-US"/>
          </w:rPr>
          <w:t>title</w:t>
        </w:r>
      </w:hyperlink>
      <w:r w:rsidR="0012364C" w:rsidRPr="00D2162F">
        <w:rPr>
          <w:sz w:val="24"/>
          <w:szCs w:val="24"/>
          <w:lang w:val="en-US"/>
        </w:rPr>
        <w:t xml:space="preserve">; </w:t>
      </w:r>
      <w:r w:rsidR="00CC5F99" w:rsidRPr="00D2162F">
        <w:rPr>
          <w:sz w:val="24"/>
          <w:szCs w:val="24"/>
          <w:lang w:val="en-US"/>
        </w:rPr>
        <w:t xml:space="preserve">the case of Prof. Nina Farnia, whose dean interfered in her proposed syllabus reading </w:t>
      </w:r>
      <w:hyperlink r:id="rId16" w:history="1">
        <w:r w:rsidR="00CC5F99" w:rsidRPr="00D2162F">
          <w:rPr>
            <w:rStyle w:val="Hyperlink"/>
            <w:sz w:val="24"/>
            <w:szCs w:val="24"/>
            <w:lang w:val="en-US"/>
          </w:rPr>
          <w:t>choices</w:t>
        </w:r>
      </w:hyperlink>
      <w:r w:rsidR="00DD1946">
        <w:rPr>
          <w:sz w:val="24"/>
          <w:szCs w:val="24"/>
          <w:lang w:val="en-US"/>
        </w:rPr>
        <w:t>; and</w:t>
      </w:r>
      <w:r w:rsidR="00CC5F99" w:rsidRPr="00D2162F">
        <w:rPr>
          <w:sz w:val="24"/>
          <w:szCs w:val="24"/>
          <w:lang w:val="en-US"/>
        </w:rPr>
        <w:t xml:space="preserve"> the case of two faculty members at the University of Arizona</w:t>
      </w:r>
      <w:r w:rsidR="0012364C" w:rsidRPr="00D2162F">
        <w:rPr>
          <w:sz w:val="24"/>
          <w:szCs w:val="24"/>
          <w:lang w:val="en-US"/>
        </w:rPr>
        <w:t xml:space="preserve"> who were put on administrative leave following complaints about the content of class </w:t>
      </w:r>
      <w:hyperlink r:id="rId17" w:history="1">
        <w:r w:rsidR="0012364C" w:rsidRPr="00D2162F">
          <w:rPr>
            <w:rStyle w:val="Hyperlink"/>
            <w:sz w:val="24"/>
            <w:szCs w:val="24"/>
            <w:lang w:val="en-US"/>
          </w:rPr>
          <w:t>discussions</w:t>
        </w:r>
      </w:hyperlink>
      <w:r w:rsidR="00AC4430" w:rsidRPr="00D2162F">
        <w:rPr>
          <w:sz w:val="24"/>
          <w:szCs w:val="24"/>
          <w:lang w:val="en-US"/>
        </w:rPr>
        <w:t>.</w:t>
      </w:r>
      <w:r w:rsidR="0012364C" w:rsidRPr="00D2162F">
        <w:rPr>
          <w:sz w:val="24"/>
          <w:szCs w:val="24"/>
          <w:lang w:val="en-US"/>
        </w:rPr>
        <w:t xml:space="preserve"> </w:t>
      </w:r>
    </w:p>
    <w:p w14:paraId="71D6DAF3" w14:textId="408420D9" w:rsidR="0012364C" w:rsidRPr="00D2162F" w:rsidRDefault="0012364C" w:rsidP="00D2162F">
      <w:pPr>
        <w:pStyle w:val="ListParagraph"/>
        <w:numPr>
          <w:ilvl w:val="0"/>
          <w:numId w:val="34"/>
        </w:numPr>
        <w:spacing w:before="120" w:after="120"/>
        <w:jc w:val="both"/>
        <w:rPr>
          <w:sz w:val="24"/>
          <w:szCs w:val="24"/>
          <w:lang w:val="en-US"/>
        </w:rPr>
      </w:pPr>
      <w:r w:rsidRPr="00D2162F">
        <w:rPr>
          <w:sz w:val="24"/>
          <w:szCs w:val="24"/>
          <w:lang w:val="en-US"/>
        </w:rPr>
        <w:t>In response to the second question, there are continuing pressures</w:t>
      </w:r>
      <w:r w:rsidR="00947EC1" w:rsidRPr="00D2162F">
        <w:rPr>
          <w:sz w:val="24"/>
          <w:szCs w:val="24"/>
          <w:lang w:val="en-US"/>
        </w:rPr>
        <w:t>,</w:t>
      </w:r>
      <w:r w:rsidRPr="00D2162F">
        <w:rPr>
          <w:sz w:val="24"/>
          <w:szCs w:val="24"/>
          <w:lang w:val="en-US"/>
        </w:rPr>
        <w:t xml:space="preserve"> sometimes from inside, </w:t>
      </w:r>
      <w:r w:rsidR="00947EC1" w:rsidRPr="00D2162F">
        <w:rPr>
          <w:sz w:val="24"/>
          <w:szCs w:val="24"/>
          <w:lang w:val="en-US"/>
        </w:rPr>
        <w:t xml:space="preserve">but </w:t>
      </w:r>
      <w:r w:rsidRPr="00D2162F">
        <w:rPr>
          <w:sz w:val="24"/>
          <w:szCs w:val="24"/>
          <w:lang w:val="en-US"/>
        </w:rPr>
        <w:t xml:space="preserve">often from outside the university, to limit the boundaries of expression in the guise of promoting “neutrality” or avoiding </w:t>
      </w:r>
      <w:r w:rsidR="00AC4430" w:rsidRPr="00D2162F">
        <w:rPr>
          <w:sz w:val="24"/>
          <w:szCs w:val="24"/>
          <w:lang w:val="en-US"/>
        </w:rPr>
        <w:t>“</w:t>
      </w:r>
      <w:r w:rsidRPr="00D2162F">
        <w:rPr>
          <w:sz w:val="24"/>
          <w:szCs w:val="24"/>
          <w:lang w:val="en-US"/>
        </w:rPr>
        <w:t>bias</w:t>
      </w:r>
      <w:r w:rsidR="00AC4430" w:rsidRPr="00D2162F">
        <w:rPr>
          <w:sz w:val="24"/>
          <w:szCs w:val="24"/>
          <w:lang w:val="en-US"/>
        </w:rPr>
        <w:t>”</w:t>
      </w:r>
      <w:r w:rsidRPr="00D2162F">
        <w:rPr>
          <w:sz w:val="24"/>
          <w:szCs w:val="24"/>
          <w:lang w:val="en-US"/>
        </w:rPr>
        <w:t xml:space="preserve">.  As we have seen since October 7, attempts by scholars of the region to place the Hamas attack in historical context have been labelled as constituting support for terrorism.  The use of the word “intifada” and expressions such as “From the River to the Sea,” have been </w:t>
      </w:r>
      <w:r w:rsidR="00925FD9" w:rsidRPr="00D2162F">
        <w:rPr>
          <w:sz w:val="24"/>
          <w:szCs w:val="24"/>
          <w:lang w:val="en-US"/>
        </w:rPr>
        <w:t>alleged</w:t>
      </w:r>
      <w:r w:rsidR="001A6D59" w:rsidRPr="00D2162F">
        <w:rPr>
          <w:sz w:val="24"/>
          <w:szCs w:val="24"/>
          <w:lang w:val="en-US"/>
        </w:rPr>
        <w:t xml:space="preserve"> </w:t>
      </w:r>
      <w:r w:rsidR="00925FD9" w:rsidRPr="00D2162F">
        <w:rPr>
          <w:sz w:val="24"/>
          <w:szCs w:val="24"/>
          <w:lang w:val="en-US"/>
        </w:rPr>
        <w:t>to</w:t>
      </w:r>
      <w:r w:rsidRPr="00D2162F">
        <w:rPr>
          <w:sz w:val="24"/>
          <w:szCs w:val="24"/>
          <w:lang w:val="en-US"/>
        </w:rPr>
        <w:t xml:space="preserve"> constitut</w:t>
      </w:r>
      <w:r w:rsidR="00925FD9" w:rsidRPr="00D2162F">
        <w:rPr>
          <w:sz w:val="24"/>
          <w:szCs w:val="24"/>
          <w:lang w:val="en-US"/>
        </w:rPr>
        <w:t>e</w:t>
      </w:r>
      <w:r w:rsidRPr="00D2162F">
        <w:rPr>
          <w:sz w:val="24"/>
          <w:szCs w:val="24"/>
          <w:lang w:val="en-US"/>
        </w:rPr>
        <w:t xml:space="preserve"> incitement to violence or support for genocide</w:t>
      </w:r>
      <w:r w:rsidR="00DD1946">
        <w:rPr>
          <w:sz w:val="24"/>
          <w:szCs w:val="24"/>
          <w:lang w:val="en-US"/>
        </w:rPr>
        <w:t>.</w:t>
      </w:r>
    </w:p>
    <w:p w14:paraId="1FC37C65" w14:textId="77777777" w:rsidR="00CC5F99" w:rsidRDefault="00CC5F99" w:rsidP="00CC5F99">
      <w:pPr>
        <w:spacing w:before="120" w:after="120"/>
        <w:ind w:left="567" w:hanging="27"/>
        <w:jc w:val="both"/>
        <w:rPr>
          <w:sz w:val="24"/>
          <w:szCs w:val="24"/>
          <w:lang w:val="en-US"/>
        </w:rPr>
      </w:pPr>
    </w:p>
    <w:p w14:paraId="23521621" w14:textId="7D5BF4F4" w:rsidR="00987912" w:rsidRDefault="00091AC2" w:rsidP="00091AC2">
      <w:pPr>
        <w:spacing w:before="120" w:after="120"/>
        <w:ind w:left="567" w:hanging="567"/>
        <w:jc w:val="both"/>
        <w:rPr>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66A8E81B" w14:textId="371FBC76" w:rsidR="0096233E" w:rsidRPr="0096233E" w:rsidRDefault="0096233E" w:rsidP="00091AC2">
      <w:pPr>
        <w:spacing w:before="120" w:after="120"/>
        <w:ind w:left="567" w:hanging="567"/>
        <w:jc w:val="both"/>
        <w:rPr>
          <w:b/>
          <w:bCs/>
          <w:i/>
          <w:iCs/>
          <w:sz w:val="24"/>
          <w:szCs w:val="24"/>
          <w:lang w:val="en-US"/>
        </w:rPr>
      </w:pPr>
      <w:r>
        <w:rPr>
          <w:b/>
          <w:bCs/>
          <w:i/>
          <w:iCs/>
          <w:sz w:val="24"/>
          <w:szCs w:val="24"/>
          <w:lang w:val="en-US"/>
        </w:rPr>
        <w:lastRenderedPageBreak/>
        <w:t>Response to Q</w:t>
      </w:r>
      <w:r>
        <w:rPr>
          <w:b/>
          <w:bCs/>
          <w:i/>
          <w:iCs/>
          <w:sz w:val="24"/>
          <w:szCs w:val="24"/>
          <w:lang w:val="en-US"/>
        </w:rPr>
        <w:tab/>
      </w:r>
      <w:proofErr w:type="spellStart"/>
      <w:r>
        <w:rPr>
          <w:b/>
          <w:bCs/>
          <w:i/>
          <w:iCs/>
          <w:sz w:val="24"/>
          <w:szCs w:val="24"/>
          <w:lang w:val="en-US"/>
        </w:rPr>
        <w:t>uestion</w:t>
      </w:r>
      <w:proofErr w:type="spellEnd"/>
      <w:r>
        <w:rPr>
          <w:b/>
          <w:bCs/>
          <w:i/>
          <w:iCs/>
          <w:sz w:val="24"/>
          <w:szCs w:val="24"/>
          <w:lang w:val="en-US"/>
        </w:rPr>
        <w:t xml:space="preserve"> 10</w:t>
      </w:r>
    </w:p>
    <w:p w14:paraId="4BD13B70" w14:textId="3CC4BFB9" w:rsidR="00947EC1" w:rsidRPr="00D2162F" w:rsidRDefault="00947EC1" w:rsidP="00D2162F">
      <w:pPr>
        <w:pStyle w:val="ListParagraph"/>
        <w:numPr>
          <w:ilvl w:val="0"/>
          <w:numId w:val="34"/>
        </w:numPr>
        <w:spacing w:before="120" w:after="120"/>
        <w:jc w:val="both"/>
        <w:rPr>
          <w:b/>
          <w:bCs/>
          <w:sz w:val="24"/>
          <w:szCs w:val="24"/>
          <w:lang w:val="en-US"/>
        </w:rPr>
      </w:pPr>
      <w:r w:rsidRPr="00D2162F">
        <w:rPr>
          <w:sz w:val="24"/>
          <w:szCs w:val="24"/>
          <w:lang w:val="en-US"/>
        </w:rPr>
        <w:t xml:space="preserve">According to the generally agreed upon principles of academic freedom, faculty are presumed to be sovereign over decisions regarding what materials they choose for their syllabi.  </w:t>
      </w:r>
      <w:r w:rsidR="001A6D59" w:rsidRPr="00D2162F">
        <w:rPr>
          <w:sz w:val="24"/>
          <w:szCs w:val="24"/>
          <w:lang w:val="en-US"/>
        </w:rPr>
        <w:t>However, a</w:t>
      </w:r>
      <w:r w:rsidRPr="00D2162F">
        <w:rPr>
          <w:sz w:val="24"/>
          <w:szCs w:val="24"/>
          <w:lang w:val="en-US"/>
        </w:rPr>
        <w:t>s we noted above, this is not always the case, as there are examples of university administrators interfering or trying to interfere in the selection of materials for syllabi.  That said, we are not aware of specific books or articles having been banned or others imposed as mandatory</w:t>
      </w:r>
      <w:r w:rsidR="00DD1946">
        <w:rPr>
          <w:sz w:val="24"/>
          <w:szCs w:val="24"/>
          <w:lang w:val="en-US"/>
        </w:rPr>
        <w:t xml:space="preserve"> at the post-secondary level (institutions of higher education).</w:t>
      </w: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8"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B659B3">
      <w:headerReference w:type="default" r:id="rId19"/>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3BE0" w14:textId="77777777" w:rsidR="0049369C" w:rsidRDefault="0049369C">
      <w:r>
        <w:separator/>
      </w:r>
    </w:p>
  </w:endnote>
  <w:endnote w:type="continuationSeparator" w:id="0">
    <w:p w14:paraId="175DFF84" w14:textId="77777777" w:rsidR="0049369C" w:rsidRDefault="0049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A353" w14:textId="77777777" w:rsidR="0049369C" w:rsidRDefault="0049369C">
      <w:r>
        <w:separator/>
      </w:r>
    </w:p>
  </w:footnote>
  <w:footnote w:type="continuationSeparator" w:id="0">
    <w:p w14:paraId="56112F23" w14:textId="77777777" w:rsidR="0049369C" w:rsidRDefault="0049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340A51"/>
    <w:multiLevelType w:val="hybridMultilevel"/>
    <w:tmpl w:val="FA5E8534"/>
    <w:lvl w:ilvl="0" w:tplc="04090011">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3534AC"/>
    <w:multiLevelType w:val="hybridMultilevel"/>
    <w:tmpl w:val="73562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182DD5"/>
    <w:multiLevelType w:val="multilevel"/>
    <w:tmpl w:val="FA5E8534"/>
    <w:styleLink w:val="CurrentList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210848172">
    <w:abstractNumId w:val="23"/>
  </w:num>
  <w:num w:numId="2" w16cid:durableId="1150713182">
    <w:abstractNumId w:val="34"/>
  </w:num>
  <w:num w:numId="3" w16cid:durableId="1004281444">
    <w:abstractNumId w:val="25"/>
  </w:num>
  <w:num w:numId="4" w16cid:durableId="665210930">
    <w:abstractNumId w:val="11"/>
  </w:num>
  <w:num w:numId="5" w16cid:durableId="1701011335">
    <w:abstractNumId w:val="27"/>
  </w:num>
  <w:num w:numId="6" w16cid:durableId="976452108">
    <w:abstractNumId w:val="16"/>
  </w:num>
  <w:num w:numId="7" w16cid:durableId="1096368205">
    <w:abstractNumId w:val="3"/>
  </w:num>
  <w:num w:numId="8" w16cid:durableId="561983486">
    <w:abstractNumId w:val="18"/>
  </w:num>
  <w:num w:numId="9" w16cid:durableId="1547988617">
    <w:abstractNumId w:val="4"/>
  </w:num>
  <w:num w:numId="10" w16cid:durableId="812255771">
    <w:abstractNumId w:val="1"/>
  </w:num>
  <w:num w:numId="11" w16cid:durableId="1296641899">
    <w:abstractNumId w:val="13"/>
  </w:num>
  <w:num w:numId="12" w16cid:durableId="522859706">
    <w:abstractNumId w:val="30"/>
  </w:num>
  <w:num w:numId="13" w16cid:durableId="1718507136">
    <w:abstractNumId w:val="32"/>
  </w:num>
  <w:num w:numId="14" w16cid:durableId="945698945">
    <w:abstractNumId w:val="22"/>
  </w:num>
  <w:num w:numId="15" w16cid:durableId="382488068">
    <w:abstractNumId w:val="8"/>
  </w:num>
  <w:num w:numId="16" w16cid:durableId="479811120">
    <w:abstractNumId w:val="0"/>
  </w:num>
  <w:num w:numId="17" w16cid:durableId="1872838003">
    <w:abstractNumId w:val="29"/>
  </w:num>
  <w:num w:numId="18" w16cid:durableId="1267275408">
    <w:abstractNumId w:val="9"/>
  </w:num>
  <w:num w:numId="19" w16cid:durableId="1483228792">
    <w:abstractNumId w:val="21"/>
  </w:num>
  <w:num w:numId="20" w16cid:durableId="1998917930">
    <w:abstractNumId w:val="5"/>
  </w:num>
  <w:num w:numId="21" w16cid:durableId="1845783920">
    <w:abstractNumId w:val="28"/>
  </w:num>
  <w:num w:numId="22" w16cid:durableId="248660080">
    <w:abstractNumId w:val="24"/>
  </w:num>
  <w:num w:numId="23" w16cid:durableId="1157959553">
    <w:abstractNumId w:val="19"/>
  </w:num>
  <w:num w:numId="24" w16cid:durableId="1058237275">
    <w:abstractNumId w:val="7"/>
  </w:num>
  <w:num w:numId="25" w16cid:durableId="1537696293">
    <w:abstractNumId w:val="17"/>
  </w:num>
  <w:num w:numId="26" w16cid:durableId="159932156">
    <w:abstractNumId w:val="12"/>
  </w:num>
  <w:num w:numId="27" w16cid:durableId="1732801569">
    <w:abstractNumId w:val="10"/>
  </w:num>
  <w:num w:numId="28" w16cid:durableId="1356929725">
    <w:abstractNumId w:val="20"/>
  </w:num>
  <w:num w:numId="29" w16cid:durableId="84589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3363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8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727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5731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7590312">
    <w:abstractNumId w:val="2"/>
  </w:num>
  <w:num w:numId="35" w16cid:durableId="225990532">
    <w:abstractNumId w:val="15"/>
  </w:num>
  <w:num w:numId="36" w16cid:durableId="1841847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0B3E"/>
    <w:rsid w:val="00033604"/>
    <w:rsid w:val="0003674D"/>
    <w:rsid w:val="00036939"/>
    <w:rsid w:val="0004555B"/>
    <w:rsid w:val="0005390B"/>
    <w:rsid w:val="00063BFD"/>
    <w:rsid w:val="0007189F"/>
    <w:rsid w:val="00074A5B"/>
    <w:rsid w:val="00077294"/>
    <w:rsid w:val="000875C6"/>
    <w:rsid w:val="00091AC2"/>
    <w:rsid w:val="00091BF0"/>
    <w:rsid w:val="000A2B89"/>
    <w:rsid w:val="000A6F03"/>
    <w:rsid w:val="000B4560"/>
    <w:rsid w:val="000C7660"/>
    <w:rsid w:val="000D210E"/>
    <w:rsid w:val="000D34F2"/>
    <w:rsid w:val="000D5600"/>
    <w:rsid w:val="000E2860"/>
    <w:rsid w:val="000E42EE"/>
    <w:rsid w:val="000E7AF7"/>
    <w:rsid w:val="000F183C"/>
    <w:rsid w:val="000F2385"/>
    <w:rsid w:val="000F49D6"/>
    <w:rsid w:val="00103AE3"/>
    <w:rsid w:val="00106F64"/>
    <w:rsid w:val="00115798"/>
    <w:rsid w:val="00117F5F"/>
    <w:rsid w:val="001205D6"/>
    <w:rsid w:val="0012364C"/>
    <w:rsid w:val="0013487C"/>
    <w:rsid w:val="001456CB"/>
    <w:rsid w:val="001537CC"/>
    <w:rsid w:val="00153DB2"/>
    <w:rsid w:val="0015615C"/>
    <w:rsid w:val="00160B6A"/>
    <w:rsid w:val="00166EE7"/>
    <w:rsid w:val="001676BA"/>
    <w:rsid w:val="00183B60"/>
    <w:rsid w:val="00186C4F"/>
    <w:rsid w:val="00194332"/>
    <w:rsid w:val="00196A2E"/>
    <w:rsid w:val="001A46C3"/>
    <w:rsid w:val="001A6D59"/>
    <w:rsid w:val="001B0523"/>
    <w:rsid w:val="001B7B09"/>
    <w:rsid w:val="001C4360"/>
    <w:rsid w:val="001D3313"/>
    <w:rsid w:val="001E3384"/>
    <w:rsid w:val="0020144A"/>
    <w:rsid w:val="002028A9"/>
    <w:rsid w:val="0021192F"/>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2B39"/>
    <w:rsid w:val="00317F0A"/>
    <w:rsid w:val="00321971"/>
    <w:rsid w:val="003328B0"/>
    <w:rsid w:val="00335FB9"/>
    <w:rsid w:val="003376D0"/>
    <w:rsid w:val="00356299"/>
    <w:rsid w:val="003577DB"/>
    <w:rsid w:val="00360493"/>
    <w:rsid w:val="00380489"/>
    <w:rsid w:val="00381096"/>
    <w:rsid w:val="00384E88"/>
    <w:rsid w:val="00386C90"/>
    <w:rsid w:val="003956EF"/>
    <w:rsid w:val="00396E4C"/>
    <w:rsid w:val="003A3957"/>
    <w:rsid w:val="003A6DE8"/>
    <w:rsid w:val="003B488C"/>
    <w:rsid w:val="003C37C3"/>
    <w:rsid w:val="003D0C10"/>
    <w:rsid w:val="003D3D66"/>
    <w:rsid w:val="003D558F"/>
    <w:rsid w:val="003E552B"/>
    <w:rsid w:val="00401FD2"/>
    <w:rsid w:val="00404D7F"/>
    <w:rsid w:val="00410560"/>
    <w:rsid w:val="00411C0A"/>
    <w:rsid w:val="004153DE"/>
    <w:rsid w:val="00415EFC"/>
    <w:rsid w:val="0043060F"/>
    <w:rsid w:val="00434A3D"/>
    <w:rsid w:val="00440385"/>
    <w:rsid w:val="00440E30"/>
    <w:rsid w:val="00440ED0"/>
    <w:rsid w:val="00443DF5"/>
    <w:rsid w:val="004454D0"/>
    <w:rsid w:val="00447412"/>
    <w:rsid w:val="00455C6D"/>
    <w:rsid w:val="00456419"/>
    <w:rsid w:val="00460258"/>
    <w:rsid w:val="004614D4"/>
    <w:rsid w:val="00463217"/>
    <w:rsid w:val="00476858"/>
    <w:rsid w:val="00483FC0"/>
    <w:rsid w:val="00485B7C"/>
    <w:rsid w:val="0049369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487"/>
    <w:rsid w:val="005167F0"/>
    <w:rsid w:val="00520DCB"/>
    <w:rsid w:val="005245DD"/>
    <w:rsid w:val="00530EF5"/>
    <w:rsid w:val="00535992"/>
    <w:rsid w:val="005417E4"/>
    <w:rsid w:val="005455F8"/>
    <w:rsid w:val="0055573E"/>
    <w:rsid w:val="00562D63"/>
    <w:rsid w:val="00570A1B"/>
    <w:rsid w:val="00570E41"/>
    <w:rsid w:val="00576638"/>
    <w:rsid w:val="00576B41"/>
    <w:rsid w:val="005849E6"/>
    <w:rsid w:val="00585F8E"/>
    <w:rsid w:val="005871D9"/>
    <w:rsid w:val="00590218"/>
    <w:rsid w:val="005957ED"/>
    <w:rsid w:val="005A10DB"/>
    <w:rsid w:val="005A5A1D"/>
    <w:rsid w:val="005A5C51"/>
    <w:rsid w:val="005B284C"/>
    <w:rsid w:val="005B744E"/>
    <w:rsid w:val="005C677D"/>
    <w:rsid w:val="005D622D"/>
    <w:rsid w:val="005E7C37"/>
    <w:rsid w:val="005F283E"/>
    <w:rsid w:val="0060068B"/>
    <w:rsid w:val="0060785C"/>
    <w:rsid w:val="006157AA"/>
    <w:rsid w:val="0062655E"/>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4EFA"/>
    <w:rsid w:val="00695B64"/>
    <w:rsid w:val="00695D3E"/>
    <w:rsid w:val="006A07AD"/>
    <w:rsid w:val="006A7352"/>
    <w:rsid w:val="006B5A71"/>
    <w:rsid w:val="006D0D94"/>
    <w:rsid w:val="006D37D7"/>
    <w:rsid w:val="006D5B97"/>
    <w:rsid w:val="006E1141"/>
    <w:rsid w:val="006E6CC3"/>
    <w:rsid w:val="006F4B15"/>
    <w:rsid w:val="006F790C"/>
    <w:rsid w:val="00706443"/>
    <w:rsid w:val="007114F8"/>
    <w:rsid w:val="00711F29"/>
    <w:rsid w:val="00712363"/>
    <w:rsid w:val="00712EFD"/>
    <w:rsid w:val="00716886"/>
    <w:rsid w:val="00716D30"/>
    <w:rsid w:val="007210F6"/>
    <w:rsid w:val="00723438"/>
    <w:rsid w:val="00724E8F"/>
    <w:rsid w:val="00733660"/>
    <w:rsid w:val="00741EBC"/>
    <w:rsid w:val="007432E5"/>
    <w:rsid w:val="007450E8"/>
    <w:rsid w:val="00756E9B"/>
    <w:rsid w:val="00757806"/>
    <w:rsid w:val="007625BA"/>
    <w:rsid w:val="00776BDB"/>
    <w:rsid w:val="007877AB"/>
    <w:rsid w:val="00790C76"/>
    <w:rsid w:val="00790CBE"/>
    <w:rsid w:val="0079503A"/>
    <w:rsid w:val="00795469"/>
    <w:rsid w:val="00796729"/>
    <w:rsid w:val="00797214"/>
    <w:rsid w:val="007A4975"/>
    <w:rsid w:val="007B01A6"/>
    <w:rsid w:val="007B5929"/>
    <w:rsid w:val="007C190E"/>
    <w:rsid w:val="007C1B7D"/>
    <w:rsid w:val="007C3027"/>
    <w:rsid w:val="007C4483"/>
    <w:rsid w:val="007C4A8E"/>
    <w:rsid w:val="007C5369"/>
    <w:rsid w:val="007D1657"/>
    <w:rsid w:val="007D47FE"/>
    <w:rsid w:val="007D78F9"/>
    <w:rsid w:val="007E39E1"/>
    <w:rsid w:val="007F7DA3"/>
    <w:rsid w:val="00807D4D"/>
    <w:rsid w:val="0081788D"/>
    <w:rsid w:val="00837BFC"/>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21ED"/>
    <w:rsid w:val="008B33E8"/>
    <w:rsid w:val="008B4DD7"/>
    <w:rsid w:val="008B4F3E"/>
    <w:rsid w:val="008B6B53"/>
    <w:rsid w:val="008C2924"/>
    <w:rsid w:val="008C60C0"/>
    <w:rsid w:val="008D1A3C"/>
    <w:rsid w:val="008D3B8A"/>
    <w:rsid w:val="008E0B63"/>
    <w:rsid w:val="008E46C1"/>
    <w:rsid w:val="008E4F76"/>
    <w:rsid w:val="008F3473"/>
    <w:rsid w:val="009066BC"/>
    <w:rsid w:val="00907243"/>
    <w:rsid w:val="009208DF"/>
    <w:rsid w:val="009240B2"/>
    <w:rsid w:val="00925A9D"/>
    <w:rsid w:val="00925FD9"/>
    <w:rsid w:val="009337F5"/>
    <w:rsid w:val="009358CD"/>
    <w:rsid w:val="00944040"/>
    <w:rsid w:val="00944E25"/>
    <w:rsid w:val="00945265"/>
    <w:rsid w:val="009469B5"/>
    <w:rsid w:val="00946B6F"/>
    <w:rsid w:val="00947EC1"/>
    <w:rsid w:val="00951601"/>
    <w:rsid w:val="0096233E"/>
    <w:rsid w:val="009658A9"/>
    <w:rsid w:val="00967AE9"/>
    <w:rsid w:val="00977C96"/>
    <w:rsid w:val="00982FCF"/>
    <w:rsid w:val="00983FB8"/>
    <w:rsid w:val="0098565E"/>
    <w:rsid w:val="00986237"/>
    <w:rsid w:val="00987912"/>
    <w:rsid w:val="00995313"/>
    <w:rsid w:val="00997618"/>
    <w:rsid w:val="009A2849"/>
    <w:rsid w:val="009B21AD"/>
    <w:rsid w:val="009B459A"/>
    <w:rsid w:val="009C72D8"/>
    <w:rsid w:val="009D76A9"/>
    <w:rsid w:val="009E00AF"/>
    <w:rsid w:val="009F18EC"/>
    <w:rsid w:val="009F2043"/>
    <w:rsid w:val="00A00A6E"/>
    <w:rsid w:val="00A01741"/>
    <w:rsid w:val="00A06803"/>
    <w:rsid w:val="00A153DB"/>
    <w:rsid w:val="00A21EF1"/>
    <w:rsid w:val="00A2631E"/>
    <w:rsid w:val="00A317A7"/>
    <w:rsid w:val="00A34DA7"/>
    <w:rsid w:val="00A364CF"/>
    <w:rsid w:val="00A3751E"/>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5136"/>
    <w:rsid w:val="00AB58AD"/>
    <w:rsid w:val="00AB763F"/>
    <w:rsid w:val="00AC015D"/>
    <w:rsid w:val="00AC4430"/>
    <w:rsid w:val="00AC50E4"/>
    <w:rsid w:val="00AD1796"/>
    <w:rsid w:val="00AD4CA9"/>
    <w:rsid w:val="00AD75DC"/>
    <w:rsid w:val="00AE2231"/>
    <w:rsid w:val="00AE3819"/>
    <w:rsid w:val="00AE69A2"/>
    <w:rsid w:val="00AE796C"/>
    <w:rsid w:val="00AF291B"/>
    <w:rsid w:val="00AF3626"/>
    <w:rsid w:val="00AF73D0"/>
    <w:rsid w:val="00B04529"/>
    <w:rsid w:val="00B06CBA"/>
    <w:rsid w:val="00B10799"/>
    <w:rsid w:val="00B13589"/>
    <w:rsid w:val="00B14752"/>
    <w:rsid w:val="00B234F6"/>
    <w:rsid w:val="00B246B4"/>
    <w:rsid w:val="00B2618C"/>
    <w:rsid w:val="00B30EA6"/>
    <w:rsid w:val="00B31236"/>
    <w:rsid w:val="00B36494"/>
    <w:rsid w:val="00B41AEA"/>
    <w:rsid w:val="00B42B30"/>
    <w:rsid w:val="00B43D96"/>
    <w:rsid w:val="00B4534B"/>
    <w:rsid w:val="00B458F6"/>
    <w:rsid w:val="00B54DD5"/>
    <w:rsid w:val="00B61545"/>
    <w:rsid w:val="00B659B3"/>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07EE"/>
    <w:rsid w:val="00C234D8"/>
    <w:rsid w:val="00C23DDD"/>
    <w:rsid w:val="00C30506"/>
    <w:rsid w:val="00C35851"/>
    <w:rsid w:val="00C376C3"/>
    <w:rsid w:val="00C37FC5"/>
    <w:rsid w:val="00C427D7"/>
    <w:rsid w:val="00C50365"/>
    <w:rsid w:val="00C50D09"/>
    <w:rsid w:val="00C56B9F"/>
    <w:rsid w:val="00C6141D"/>
    <w:rsid w:val="00C64254"/>
    <w:rsid w:val="00C707EA"/>
    <w:rsid w:val="00C73CD7"/>
    <w:rsid w:val="00C74811"/>
    <w:rsid w:val="00C772EF"/>
    <w:rsid w:val="00C82CCE"/>
    <w:rsid w:val="00C82EE1"/>
    <w:rsid w:val="00C91085"/>
    <w:rsid w:val="00CA65D2"/>
    <w:rsid w:val="00CB1C6E"/>
    <w:rsid w:val="00CB643F"/>
    <w:rsid w:val="00CC5BEF"/>
    <w:rsid w:val="00CC5F99"/>
    <w:rsid w:val="00CD63DC"/>
    <w:rsid w:val="00CD67FB"/>
    <w:rsid w:val="00CE3298"/>
    <w:rsid w:val="00CE6A0E"/>
    <w:rsid w:val="00CF5A41"/>
    <w:rsid w:val="00D00DDC"/>
    <w:rsid w:val="00D018B1"/>
    <w:rsid w:val="00D02D31"/>
    <w:rsid w:val="00D02F61"/>
    <w:rsid w:val="00D075E5"/>
    <w:rsid w:val="00D1125E"/>
    <w:rsid w:val="00D115F7"/>
    <w:rsid w:val="00D129FA"/>
    <w:rsid w:val="00D16D56"/>
    <w:rsid w:val="00D2162F"/>
    <w:rsid w:val="00D230B7"/>
    <w:rsid w:val="00D32E5B"/>
    <w:rsid w:val="00D337A9"/>
    <w:rsid w:val="00D3608E"/>
    <w:rsid w:val="00D36635"/>
    <w:rsid w:val="00D4007B"/>
    <w:rsid w:val="00D458A1"/>
    <w:rsid w:val="00D4635B"/>
    <w:rsid w:val="00D5082F"/>
    <w:rsid w:val="00D67524"/>
    <w:rsid w:val="00D70178"/>
    <w:rsid w:val="00D82BE4"/>
    <w:rsid w:val="00D84C7E"/>
    <w:rsid w:val="00D95A3B"/>
    <w:rsid w:val="00D963DD"/>
    <w:rsid w:val="00D968C8"/>
    <w:rsid w:val="00DA5F69"/>
    <w:rsid w:val="00DA5FC2"/>
    <w:rsid w:val="00DB007B"/>
    <w:rsid w:val="00DB33A4"/>
    <w:rsid w:val="00DB415F"/>
    <w:rsid w:val="00DB5055"/>
    <w:rsid w:val="00DB5616"/>
    <w:rsid w:val="00DC0CA6"/>
    <w:rsid w:val="00DC4141"/>
    <w:rsid w:val="00DD1946"/>
    <w:rsid w:val="00DD4909"/>
    <w:rsid w:val="00DD6F30"/>
    <w:rsid w:val="00DE0B44"/>
    <w:rsid w:val="00DE5C84"/>
    <w:rsid w:val="00DE7B08"/>
    <w:rsid w:val="00E066E1"/>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4ECB"/>
    <w:rsid w:val="00EA6B3E"/>
    <w:rsid w:val="00EA71A2"/>
    <w:rsid w:val="00EB2578"/>
    <w:rsid w:val="00EB4CDE"/>
    <w:rsid w:val="00EC123F"/>
    <w:rsid w:val="00EC3E83"/>
    <w:rsid w:val="00EC6F64"/>
    <w:rsid w:val="00EE0A7C"/>
    <w:rsid w:val="00EE5BA8"/>
    <w:rsid w:val="00EE6765"/>
    <w:rsid w:val="00EF0B0D"/>
    <w:rsid w:val="00EF2930"/>
    <w:rsid w:val="00F006B5"/>
    <w:rsid w:val="00F0710E"/>
    <w:rsid w:val="00F07C8F"/>
    <w:rsid w:val="00F1229C"/>
    <w:rsid w:val="00F130B3"/>
    <w:rsid w:val="00F14740"/>
    <w:rsid w:val="00F161EC"/>
    <w:rsid w:val="00F20138"/>
    <w:rsid w:val="00F357FD"/>
    <w:rsid w:val="00F44EA7"/>
    <w:rsid w:val="00F47B64"/>
    <w:rsid w:val="00F611C6"/>
    <w:rsid w:val="00F62027"/>
    <w:rsid w:val="00F6733B"/>
    <w:rsid w:val="00F80A14"/>
    <w:rsid w:val="00F80D28"/>
    <w:rsid w:val="00F927D4"/>
    <w:rsid w:val="00FA61F7"/>
    <w:rsid w:val="00FA6C42"/>
    <w:rsid w:val="00FB1650"/>
    <w:rsid w:val="00FB1CDA"/>
    <w:rsid w:val="00FB1F74"/>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numbering" w:customStyle="1" w:styleId="CurrentList1">
    <w:name w:val="Current List1"/>
    <w:uiPriority w:val="99"/>
    <w:rsid w:val="00EA4EC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sana.org/advocacy/letters-from-the-board/2021/03/31/mesa-board-statement-regarding-the-ihra-working-definition-of-antisemitism-and-contemporary-examples" TargetMode="External"/><Relationship Id="rId18" Type="http://schemas.openxmlformats.org/officeDocument/2006/relationships/hyperlink" Target="mailto:hrc-sr-education@un.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aup.org/report/1940-statement-principles-academic-freedom-and-tenure" TargetMode="External"/><Relationship Id="rId17" Type="http://schemas.openxmlformats.org/officeDocument/2006/relationships/hyperlink" Target="https://mesana.org/advocacy/committee-on-academic-freedom/2023/12/08/letter-to-the-president-of-the-university-of-arizona-expressing-concern-about-the-college-of-educations-treatment-of-two-faculty-members" TargetMode="External"/><Relationship Id="rId2" Type="http://schemas.openxmlformats.org/officeDocument/2006/relationships/customXml" Target="../customXml/item2.xml"/><Relationship Id="rId16" Type="http://schemas.openxmlformats.org/officeDocument/2006/relationships/hyperlink" Target="https://mesana.org/advocacy/committee-on-academic-freedom/2023/12/13/letter-to-albany-law-school-regarding-professor-nina-far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iticalissues.umd.edu/sites/criticalissues.umd.edu/files/November%202023%20MESB%20Result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sana.org/advocacy/committee-on-academic-freedom/2023/12/18/letter-to-california-state-university-san-bernadino-regarding-professor-ahlam-muhtase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eblog.org/2023/12/18/nyu-aaup-statement-on-academic-freedom-in-the-current-crisi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MESA_Middle East Studies Association of North America</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22EA3-89CE-40FC-B8F6-3B4096F800A3}">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customXml/itemProps4.xml><?xml version="1.0" encoding="utf-8"?>
<ds:datastoreItem xmlns:ds="http://schemas.openxmlformats.org/officeDocument/2006/customXml" ds:itemID="{0DB3F0BF-693E-488C-9187-3F6FE60F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3066</Words>
  <Characters>17478</Characters>
  <Application>Microsoft Office Word</Application>
  <DocSecurity>0</DocSecurity>
  <Lines>145</Lines>
  <Paragraphs>41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2024-02-01T16:19:00Z</dcterms:created>
  <dcterms:modified xsi:type="dcterms:W3CDTF">2024-05-01T07:14:00Z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