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48FD" w14:textId="1B552487" w:rsidR="00FE0A46" w:rsidRDefault="00FE0A46" w:rsidP="00FE0A46">
      <w:pPr>
        <w:jc w:val="center"/>
        <w:rPr>
          <w:rFonts w:ascii="Sylfaen" w:hAnsi="Sylfaen"/>
          <w:b/>
          <w:bCs/>
          <w:sz w:val="28"/>
          <w:szCs w:val="28"/>
        </w:rPr>
      </w:pPr>
      <w:r w:rsidRPr="00FE0A46">
        <w:rPr>
          <w:rFonts w:ascii="Sylfaen" w:hAnsi="Sylfaen"/>
          <w:b/>
          <w:bCs/>
          <w:sz w:val="28"/>
          <w:szCs w:val="28"/>
        </w:rPr>
        <w:t>Submission for the t</w:t>
      </w:r>
      <w:r w:rsidRPr="00FE0A46">
        <w:rPr>
          <w:rFonts w:ascii="Sylfaen" w:hAnsi="Sylfaen"/>
          <w:b/>
          <w:bCs/>
          <w:sz w:val="28"/>
          <w:szCs w:val="28"/>
        </w:rPr>
        <w:t>hematic report</w:t>
      </w:r>
      <w:r w:rsidRPr="00FE0A46">
        <w:rPr>
          <w:rFonts w:ascii="Sylfaen" w:hAnsi="Sylfaen"/>
          <w:b/>
          <w:bCs/>
          <w:sz w:val="28"/>
          <w:szCs w:val="28"/>
        </w:rPr>
        <w:t xml:space="preserve"> of the UN </w:t>
      </w:r>
      <w:r w:rsidRPr="00FE0A46">
        <w:rPr>
          <w:rFonts w:ascii="Sylfaen" w:hAnsi="Sylfaen"/>
          <w:b/>
          <w:bCs/>
          <w:sz w:val="28"/>
          <w:szCs w:val="28"/>
        </w:rPr>
        <w:t>Special Rapporteur on the right to education on</w:t>
      </w:r>
      <w:r w:rsidRPr="00FE0A46">
        <w:rPr>
          <w:rFonts w:ascii="Sylfaen" w:hAnsi="Sylfaen"/>
          <w:b/>
          <w:bCs/>
          <w:sz w:val="28"/>
          <w:szCs w:val="28"/>
        </w:rPr>
        <w:t xml:space="preserve"> </w:t>
      </w:r>
      <w:r w:rsidRPr="00FE0A46">
        <w:rPr>
          <w:rFonts w:ascii="Sylfaen" w:hAnsi="Sylfaen"/>
          <w:b/>
          <w:bCs/>
          <w:sz w:val="28"/>
          <w:szCs w:val="28"/>
        </w:rPr>
        <w:t>academic freedom and freedom of expression in educational institutions</w:t>
      </w:r>
    </w:p>
    <w:p w14:paraId="52E740BC" w14:textId="77777777" w:rsidR="00FE0A46" w:rsidRDefault="00FE0A46" w:rsidP="00FE0A46">
      <w:pPr>
        <w:jc w:val="center"/>
        <w:rPr>
          <w:rFonts w:ascii="Sylfaen" w:hAnsi="Sylfaen"/>
          <w:b/>
          <w:bCs/>
          <w:sz w:val="28"/>
          <w:szCs w:val="28"/>
        </w:rPr>
      </w:pPr>
    </w:p>
    <w:p w14:paraId="23A587C2" w14:textId="24CB0395" w:rsidR="00FE0A46" w:rsidRPr="00FE0A46" w:rsidRDefault="00FE0A46" w:rsidP="00FE0A46">
      <w:pPr>
        <w:jc w:val="center"/>
        <w:rPr>
          <w:rFonts w:ascii="Sylfaen" w:hAnsi="Sylfaen"/>
          <w:b/>
          <w:bCs/>
          <w:sz w:val="24"/>
          <w:szCs w:val="24"/>
        </w:rPr>
      </w:pPr>
      <w:r w:rsidRPr="00FE0A46">
        <w:rPr>
          <w:rFonts w:ascii="Sylfaen" w:hAnsi="Sylfaen"/>
          <w:b/>
          <w:bCs/>
          <w:sz w:val="24"/>
          <w:szCs w:val="24"/>
        </w:rPr>
        <w:t>Office of the Public Defender (Ombudsman) of Georgia</w:t>
      </w:r>
    </w:p>
    <w:p w14:paraId="3786DCD2" w14:textId="77777777" w:rsidR="00FE0A46" w:rsidRDefault="00FE0A46">
      <w:pPr>
        <w:rPr>
          <w:rFonts w:ascii="Sylfaen" w:hAnsi="Sylfaen"/>
        </w:rPr>
      </w:pPr>
    </w:p>
    <w:p w14:paraId="5A2F2A93" w14:textId="77777777" w:rsidR="00FE0A46" w:rsidRDefault="00FE0A46">
      <w:pPr>
        <w:rPr>
          <w:rFonts w:ascii="Sylfaen" w:hAnsi="Sylfaen"/>
        </w:rPr>
      </w:pPr>
    </w:p>
    <w:p w14:paraId="1BC18CBB" w14:textId="77777777" w:rsidR="00FE0A46" w:rsidRDefault="00FE0A46">
      <w:pPr>
        <w:rPr>
          <w:rFonts w:ascii="Sylfaen" w:hAnsi="Sylfaen"/>
        </w:rPr>
      </w:pPr>
    </w:p>
    <w:p w14:paraId="2B3D05F3" w14:textId="77777777" w:rsidR="00FE0A46" w:rsidRDefault="00FE0A46">
      <w:pPr>
        <w:rPr>
          <w:rFonts w:ascii="Sylfaen" w:hAnsi="Sylfaen"/>
        </w:rPr>
      </w:pPr>
    </w:p>
    <w:p w14:paraId="06EDEE78" w14:textId="77777777" w:rsidR="00FE0A46" w:rsidRDefault="00FE0A46">
      <w:pPr>
        <w:rPr>
          <w:rFonts w:ascii="Sylfaen" w:hAnsi="Sylfaen"/>
        </w:rPr>
      </w:pPr>
    </w:p>
    <w:p w14:paraId="31109A0E" w14:textId="77777777" w:rsidR="00FE0A46" w:rsidRDefault="00FE0A46">
      <w:pPr>
        <w:rPr>
          <w:rFonts w:ascii="Sylfaen" w:hAnsi="Sylfaen"/>
        </w:rPr>
      </w:pPr>
    </w:p>
    <w:p w14:paraId="51FDCF88" w14:textId="77777777" w:rsidR="00FE0A46" w:rsidRDefault="00FE0A46">
      <w:pPr>
        <w:rPr>
          <w:rFonts w:ascii="Sylfaen" w:hAnsi="Sylfaen"/>
        </w:rPr>
      </w:pPr>
    </w:p>
    <w:p w14:paraId="1A106106" w14:textId="77777777" w:rsidR="00FE0A46" w:rsidRDefault="00FE0A46">
      <w:pPr>
        <w:rPr>
          <w:rFonts w:ascii="Sylfaen" w:hAnsi="Sylfaen"/>
        </w:rPr>
      </w:pPr>
    </w:p>
    <w:p w14:paraId="63C99FBB" w14:textId="77777777" w:rsidR="00FE0A46" w:rsidRDefault="00FE0A46">
      <w:pPr>
        <w:rPr>
          <w:rFonts w:ascii="Sylfaen" w:hAnsi="Sylfaen"/>
        </w:rPr>
      </w:pPr>
    </w:p>
    <w:p w14:paraId="6420E5C3" w14:textId="77777777" w:rsidR="00FE0A46" w:rsidRDefault="00FE0A46">
      <w:pPr>
        <w:rPr>
          <w:rFonts w:ascii="Sylfaen" w:hAnsi="Sylfaen"/>
        </w:rPr>
      </w:pPr>
    </w:p>
    <w:p w14:paraId="7EF3E2D9" w14:textId="77777777" w:rsidR="00FE0A46" w:rsidRDefault="00FE0A46">
      <w:pPr>
        <w:rPr>
          <w:rFonts w:ascii="Sylfaen" w:hAnsi="Sylfaen"/>
        </w:rPr>
      </w:pPr>
    </w:p>
    <w:p w14:paraId="1375A792" w14:textId="77777777" w:rsidR="00FE0A46" w:rsidRDefault="00FE0A46">
      <w:pPr>
        <w:rPr>
          <w:rFonts w:ascii="Sylfaen" w:hAnsi="Sylfaen"/>
        </w:rPr>
      </w:pPr>
    </w:p>
    <w:p w14:paraId="584A5A7B" w14:textId="77777777" w:rsidR="00FE0A46" w:rsidRDefault="00FE0A46">
      <w:pPr>
        <w:rPr>
          <w:rFonts w:ascii="Sylfaen" w:hAnsi="Sylfaen"/>
        </w:rPr>
      </w:pPr>
    </w:p>
    <w:p w14:paraId="7A9E4EB5" w14:textId="77777777" w:rsidR="00FE0A46" w:rsidRDefault="00FE0A46">
      <w:pPr>
        <w:rPr>
          <w:rFonts w:ascii="Sylfaen" w:hAnsi="Sylfaen"/>
        </w:rPr>
      </w:pPr>
    </w:p>
    <w:p w14:paraId="41CAB195" w14:textId="77777777" w:rsidR="00FE0A46" w:rsidRDefault="00FE0A46">
      <w:pPr>
        <w:rPr>
          <w:rFonts w:ascii="Sylfaen" w:hAnsi="Sylfaen"/>
        </w:rPr>
      </w:pPr>
    </w:p>
    <w:p w14:paraId="461A5A31" w14:textId="263E5EE1" w:rsidR="00FE0A46" w:rsidRDefault="00FE0A46">
      <w:pPr>
        <w:rPr>
          <w:rFonts w:ascii="Sylfaen" w:hAnsi="Sylfaen"/>
        </w:rPr>
      </w:pPr>
      <w:r>
        <w:rPr>
          <w:rFonts w:ascii="Sylfaen" w:hAnsi="Sylfaen"/>
        </w:rPr>
        <w:t>Contact Person:</w:t>
      </w:r>
    </w:p>
    <w:p w14:paraId="452090C4" w14:textId="77777777" w:rsidR="00FE0A46" w:rsidRDefault="00FE0A46" w:rsidP="00FE0A46">
      <w:pPr>
        <w:spacing w:after="0"/>
        <w:rPr>
          <w:rFonts w:ascii="Sylfaen" w:hAnsi="Sylfaen"/>
        </w:rPr>
      </w:pPr>
      <w:r>
        <w:rPr>
          <w:rFonts w:ascii="Sylfaen" w:hAnsi="Sylfaen"/>
        </w:rPr>
        <w:t>Ms. Mariam Tavdgiridze</w:t>
      </w:r>
    </w:p>
    <w:p w14:paraId="6C5CB691" w14:textId="77777777" w:rsidR="00FE0A46" w:rsidRDefault="00FE0A46" w:rsidP="00FE0A46">
      <w:pPr>
        <w:spacing w:after="0"/>
        <w:rPr>
          <w:rFonts w:ascii="Sylfaen" w:hAnsi="Sylfaen"/>
        </w:rPr>
      </w:pPr>
      <w:r>
        <w:rPr>
          <w:rFonts w:ascii="Sylfaen" w:hAnsi="Sylfaen"/>
        </w:rPr>
        <w:t>Head of International Relations Division</w:t>
      </w:r>
    </w:p>
    <w:p w14:paraId="12E33532" w14:textId="2A599B78" w:rsidR="00FE0A46" w:rsidRDefault="00FE0A46">
      <w:pPr>
        <w:rPr>
          <w:rFonts w:ascii="Sylfaen" w:hAnsi="Sylfaen"/>
        </w:rPr>
      </w:pPr>
      <w:hyperlink r:id="rId7" w:history="1">
        <w:r w:rsidRPr="007C1007">
          <w:rPr>
            <w:rStyle w:val="Hyperlink"/>
            <w:rFonts w:ascii="Sylfaen" w:hAnsi="Sylfaen"/>
          </w:rPr>
          <w:t>mtavdgiridze@ombudsman.ge</w:t>
        </w:r>
      </w:hyperlink>
    </w:p>
    <w:p w14:paraId="31915007" w14:textId="77777777" w:rsidR="00FE0A46" w:rsidRDefault="00FE0A46">
      <w:pPr>
        <w:rPr>
          <w:rFonts w:ascii="Sylfaen" w:hAnsi="Sylfaen"/>
        </w:rPr>
      </w:pPr>
    </w:p>
    <w:p w14:paraId="62FAF931" w14:textId="77777777" w:rsidR="00FE0A46" w:rsidRDefault="00FE0A46">
      <w:pPr>
        <w:rPr>
          <w:rFonts w:ascii="Sylfaen" w:hAnsi="Sylfaen"/>
        </w:rPr>
      </w:pPr>
    </w:p>
    <w:p w14:paraId="3E0A550B" w14:textId="77777777" w:rsidR="00FE0A46" w:rsidRDefault="00FE0A46">
      <w:pPr>
        <w:rPr>
          <w:rFonts w:ascii="Sylfaen" w:hAnsi="Sylfaen"/>
        </w:rPr>
      </w:pPr>
    </w:p>
    <w:p w14:paraId="4C251939" w14:textId="2D127733" w:rsidR="00FE0A46" w:rsidRPr="00FE0A46" w:rsidRDefault="00FE0A46" w:rsidP="00FE0A46">
      <w:pPr>
        <w:jc w:val="center"/>
        <w:rPr>
          <w:rFonts w:ascii="Sylfaen" w:hAnsi="Sylfaen"/>
          <w:b/>
          <w:bCs/>
          <w:sz w:val="24"/>
          <w:szCs w:val="24"/>
        </w:rPr>
      </w:pPr>
      <w:r w:rsidRPr="00FE0A46">
        <w:rPr>
          <w:rFonts w:ascii="Sylfaen" w:hAnsi="Sylfaen"/>
          <w:b/>
          <w:bCs/>
          <w:sz w:val="24"/>
          <w:szCs w:val="24"/>
        </w:rPr>
        <w:t>February, 2024</w:t>
      </w:r>
      <w:r w:rsidRPr="00FE0A46">
        <w:rPr>
          <w:rFonts w:ascii="Sylfaen" w:hAnsi="Sylfaen"/>
          <w:b/>
          <w:bCs/>
          <w:i/>
          <w:iCs/>
          <w:sz w:val="24"/>
          <w:szCs w:val="24"/>
        </w:rPr>
        <w:br w:type="page"/>
      </w:r>
    </w:p>
    <w:p w14:paraId="1DD3653D" w14:textId="1EC8D838" w:rsidR="003C2806" w:rsidRPr="003C2806" w:rsidRDefault="003C2806" w:rsidP="00FE0A46">
      <w:pPr>
        <w:jc w:val="both"/>
        <w:rPr>
          <w:rFonts w:ascii="Sylfaen" w:hAnsi="Sylfaen"/>
          <w:b/>
          <w:bCs/>
          <w:sz w:val="24"/>
          <w:szCs w:val="24"/>
        </w:rPr>
      </w:pPr>
      <w:r w:rsidRPr="003C2806">
        <w:rPr>
          <w:rFonts w:ascii="Sylfaen" w:hAnsi="Sylfaen"/>
          <w:b/>
          <w:bCs/>
          <w:sz w:val="24"/>
          <w:szCs w:val="24"/>
        </w:rPr>
        <w:lastRenderedPageBreak/>
        <w:t>Academic Freedom</w:t>
      </w:r>
    </w:p>
    <w:p w14:paraId="406C8B5D" w14:textId="31D6F074" w:rsidR="00B33120" w:rsidRPr="00FE0A46" w:rsidRDefault="00B33120" w:rsidP="00FE0A46">
      <w:pPr>
        <w:jc w:val="both"/>
        <w:rPr>
          <w:rFonts w:ascii="Sylfaen" w:hAnsi="Sylfaen"/>
          <w:b/>
          <w:bCs/>
          <w:sz w:val="24"/>
          <w:szCs w:val="24"/>
        </w:rPr>
      </w:pPr>
      <w:r w:rsidRPr="00FE0A46">
        <w:rPr>
          <w:rFonts w:ascii="Sylfaen" w:hAnsi="Sylfaen"/>
          <w:i/>
          <w:iCs/>
          <w:sz w:val="24"/>
          <w:szCs w:val="24"/>
        </w:rPr>
        <w:t xml:space="preserve">Higher Education Institutions </w:t>
      </w:r>
    </w:p>
    <w:p w14:paraId="45432115" w14:textId="10DE7DF0" w:rsidR="00DC08AB" w:rsidRPr="00FE0A46" w:rsidRDefault="00B352EE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Article 27 </w:t>
      </w:r>
      <w:r w:rsidR="00697F56" w:rsidRPr="00FE0A46">
        <w:rPr>
          <w:rFonts w:ascii="Sylfaen" w:hAnsi="Sylfaen"/>
          <w:sz w:val="24"/>
          <w:szCs w:val="24"/>
        </w:rPr>
        <w:t xml:space="preserve">of the Constitution of Georgia </w:t>
      </w:r>
      <w:r w:rsidRPr="00FE0A46">
        <w:rPr>
          <w:rFonts w:ascii="Sylfaen" w:hAnsi="Sylfaen"/>
          <w:sz w:val="24"/>
          <w:szCs w:val="24"/>
        </w:rPr>
        <w:t>expressly guarantees academic freedom as a component of the right to education.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1"/>
      </w:r>
      <w:r w:rsidRPr="00FE0A46">
        <w:rPr>
          <w:rFonts w:ascii="Sylfaen" w:hAnsi="Sylfaen"/>
          <w:sz w:val="24"/>
          <w:szCs w:val="24"/>
        </w:rPr>
        <w:t xml:space="preserve"> </w:t>
      </w:r>
      <w:r w:rsidR="00BC2485" w:rsidRPr="00FE0A46">
        <w:rPr>
          <w:rFonts w:ascii="Sylfaen" w:hAnsi="Sylfaen"/>
          <w:sz w:val="24"/>
          <w:szCs w:val="24"/>
        </w:rPr>
        <w:t xml:space="preserve">Neither the </w:t>
      </w:r>
      <w:r w:rsidR="00DC08AB" w:rsidRPr="00FE0A46">
        <w:rPr>
          <w:rFonts w:ascii="Sylfaen" w:hAnsi="Sylfaen"/>
          <w:sz w:val="24"/>
          <w:szCs w:val="24"/>
        </w:rPr>
        <w:t xml:space="preserve">Constitutional Court nor </w:t>
      </w:r>
      <w:r w:rsidR="00BC2485" w:rsidRPr="00FE0A46">
        <w:rPr>
          <w:rFonts w:ascii="Sylfaen" w:hAnsi="Sylfaen"/>
          <w:sz w:val="24"/>
          <w:szCs w:val="24"/>
        </w:rPr>
        <w:t xml:space="preserve">the </w:t>
      </w:r>
      <w:r w:rsidR="00DC08AB" w:rsidRPr="00FE0A46">
        <w:rPr>
          <w:rFonts w:ascii="Sylfaen" w:hAnsi="Sylfaen"/>
          <w:sz w:val="24"/>
          <w:szCs w:val="24"/>
        </w:rPr>
        <w:t>common courts provid</w:t>
      </w:r>
      <w:r w:rsidR="00FE0A46">
        <w:rPr>
          <w:rFonts w:ascii="Sylfaen" w:hAnsi="Sylfaen"/>
          <w:sz w:val="24"/>
          <w:szCs w:val="24"/>
        </w:rPr>
        <w:t>e</w:t>
      </w:r>
      <w:r w:rsidR="00DC08AB" w:rsidRPr="00FE0A46">
        <w:rPr>
          <w:rFonts w:ascii="Sylfaen" w:hAnsi="Sylfaen"/>
          <w:sz w:val="24"/>
          <w:szCs w:val="24"/>
        </w:rPr>
        <w:t xml:space="preserve"> any judicial interpretation of</w:t>
      </w:r>
      <w:r w:rsidR="00FE0A46">
        <w:rPr>
          <w:rFonts w:ascii="Sylfaen" w:hAnsi="Sylfaen"/>
          <w:sz w:val="24"/>
          <w:szCs w:val="24"/>
        </w:rPr>
        <w:t xml:space="preserve"> the concept of</w:t>
      </w:r>
      <w:r w:rsidR="00DC08AB" w:rsidRPr="00FE0A46">
        <w:rPr>
          <w:rFonts w:ascii="Sylfaen" w:hAnsi="Sylfaen"/>
          <w:sz w:val="24"/>
          <w:szCs w:val="24"/>
        </w:rPr>
        <w:t xml:space="preserve"> academic freedom. </w:t>
      </w:r>
    </w:p>
    <w:p w14:paraId="58F85F71" w14:textId="6BEB30D7" w:rsidR="00B352EE" w:rsidRPr="00FE0A46" w:rsidRDefault="00BC2485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The </w:t>
      </w:r>
      <w:r w:rsidR="00DC08AB" w:rsidRPr="00FE0A46">
        <w:rPr>
          <w:rFonts w:ascii="Sylfaen" w:hAnsi="Sylfaen"/>
          <w:sz w:val="24"/>
          <w:szCs w:val="24"/>
        </w:rPr>
        <w:t xml:space="preserve">Higher Education Act defines academic freedom as “the right of academic personnel, scientific personnel and students </w:t>
      </w:r>
      <w:r w:rsidR="009F506A" w:rsidRPr="00FE0A46">
        <w:rPr>
          <w:rFonts w:ascii="Sylfaen" w:hAnsi="Sylfaen"/>
          <w:sz w:val="24"/>
          <w:szCs w:val="24"/>
        </w:rPr>
        <w:t xml:space="preserve">to </w:t>
      </w:r>
      <w:r w:rsidR="004B1B69">
        <w:rPr>
          <w:rFonts w:ascii="Sylfaen" w:hAnsi="Sylfaen"/>
          <w:sz w:val="24"/>
          <w:szCs w:val="24"/>
        </w:rPr>
        <w:t xml:space="preserve">independently </w:t>
      </w:r>
      <w:r w:rsidR="009F506A" w:rsidRPr="00FE0A46">
        <w:rPr>
          <w:rFonts w:ascii="Sylfaen" w:hAnsi="Sylfaen"/>
          <w:sz w:val="24"/>
          <w:szCs w:val="24"/>
        </w:rPr>
        <w:t>carry out teaching activities</w:t>
      </w:r>
      <w:r w:rsidR="00DC08AB" w:rsidRPr="00FE0A46">
        <w:rPr>
          <w:rFonts w:ascii="Sylfaen" w:hAnsi="Sylfaen"/>
          <w:sz w:val="24"/>
          <w:szCs w:val="24"/>
        </w:rPr>
        <w:t>, scientific work and study.”</w:t>
      </w:r>
      <w:r w:rsidR="00DC08AB" w:rsidRPr="00FE0A46">
        <w:rPr>
          <w:rStyle w:val="FootnoteReference"/>
          <w:rFonts w:ascii="Sylfaen" w:hAnsi="Sylfaen"/>
          <w:sz w:val="24"/>
          <w:szCs w:val="24"/>
        </w:rPr>
        <w:footnoteReference w:id="2"/>
      </w:r>
      <w:r w:rsidR="00DC08AB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DC08AB" w:rsidRPr="00FE0A46">
        <w:rPr>
          <w:rFonts w:ascii="Sylfaen" w:hAnsi="Sylfaen"/>
          <w:sz w:val="24"/>
          <w:szCs w:val="24"/>
        </w:rPr>
        <w:t xml:space="preserve">The </w:t>
      </w:r>
      <w:r w:rsidR="003C7100" w:rsidRPr="00FE0A46">
        <w:rPr>
          <w:rFonts w:ascii="Sylfaen" w:hAnsi="Sylfaen"/>
          <w:sz w:val="24"/>
          <w:szCs w:val="24"/>
        </w:rPr>
        <w:t>Act</w:t>
      </w:r>
      <w:r w:rsidR="00DC08AB" w:rsidRPr="00FE0A46">
        <w:rPr>
          <w:rFonts w:ascii="Sylfaen" w:hAnsi="Sylfaen"/>
          <w:sz w:val="24"/>
          <w:szCs w:val="24"/>
        </w:rPr>
        <w:t xml:space="preserve"> also provides that this freedom may be </w:t>
      </w:r>
      <w:r w:rsidR="00E04356" w:rsidRPr="00FE0A46">
        <w:rPr>
          <w:rFonts w:ascii="Sylfaen" w:hAnsi="Sylfaen"/>
          <w:sz w:val="24"/>
          <w:szCs w:val="24"/>
        </w:rPr>
        <w:t xml:space="preserve">restricted in </w:t>
      </w:r>
      <w:r w:rsidR="009F506A" w:rsidRPr="00FE0A46">
        <w:rPr>
          <w:rFonts w:ascii="Sylfaen" w:hAnsi="Sylfaen"/>
          <w:sz w:val="24"/>
          <w:szCs w:val="24"/>
        </w:rPr>
        <w:t>very limited, expressly enumerated circumstances</w:t>
      </w:r>
      <w:r w:rsidR="00E04356" w:rsidRPr="00FE0A46">
        <w:rPr>
          <w:rFonts w:ascii="Sylfaen" w:hAnsi="Sylfaen"/>
          <w:sz w:val="24"/>
          <w:szCs w:val="24"/>
        </w:rPr>
        <w:t>.</w:t>
      </w:r>
      <w:r w:rsidR="00E04356" w:rsidRPr="00FE0A46">
        <w:rPr>
          <w:rStyle w:val="FootnoteReference"/>
          <w:rFonts w:ascii="Sylfaen" w:hAnsi="Sylfaen"/>
          <w:sz w:val="24"/>
          <w:szCs w:val="24"/>
        </w:rPr>
        <w:footnoteReference w:id="3"/>
      </w:r>
      <w:r w:rsidR="00DC08AB" w:rsidRPr="00FE0A46">
        <w:rPr>
          <w:rFonts w:ascii="Sylfaen" w:hAnsi="Sylfaen"/>
          <w:sz w:val="24"/>
          <w:szCs w:val="24"/>
        </w:rPr>
        <w:t xml:space="preserve"> </w:t>
      </w:r>
      <w:r w:rsidR="003C7100" w:rsidRPr="00FE0A46">
        <w:rPr>
          <w:rFonts w:ascii="Sylfaen" w:hAnsi="Sylfaen"/>
          <w:sz w:val="24"/>
          <w:szCs w:val="24"/>
        </w:rPr>
        <w:t>It also provides students, academic, and scientific personnel with corresponding rights to enforce their academic freedom.</w:t>
      </w:r>
      <w:r w:rsidR="003C7100" w:rsidRPr="00FE0A46">
        <w:rPr>
          <w:rStyle w:val="FootnoteReference"/>
          <w:rFonts w:ascii="Sylfaen" w:hAnsi="Sylfaen"/>
          <w:sz w:val="24"/>
          <w:szCs w:val="24"/>
        </w:rPr>
        <w:footnoteReference w:id="4"/>
      </w:r>
      <w:r w:rsidR="003C7100" w:rsidRPr="00FE0A46">
        <w:rPr>
          <w:rFonts w:ascii="Sylfaen" w:hAnsi="Sylfaen"/>
          <w:sz w:val="24"/>
          <w:szCs w:val="24"/>
          <w:lang w:val="ka-GE"/>
        </w:rPr>
        <w:t xml:space="preserve"> </w:t>
      </w:r>
    </w:p>
    <w:p w14:paraId="5BE30AB1" w14:textId="1F18C2F1" w:rsidR="003C7100" w:rsidRPr="00FE0A46" w:rsidRDefault="00BC2485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>S</w:t>
      </w:r>
      <w:r w:rsidR="003C7100" w:rsidRPr="00FE0A46">
        <w:rPr>
          <w:rFonts w:ascii="Sylfaen" w:hAnsi="Sylfaen"/>
          <w:sz w:val="24"/>
          <w:szCs w:val="24"/>
        </w:rPr>
        <w:t xml:space="preserve">tudents have </w:t>
      </w:r>
      <w:r w:rsidR="00F81201" w:rsidRPr="00FE0A46">
        <w:rPr>
          <w:rFonts w:ascii="Sylfaen" w:hAnsi="Sylfaen"/>
          <w:sz w:val="24"/>
          <w:szCs w:val="24"/>
        </w:rPr>
        <w:t>freedom</w:t>
      </w:r>
      <w:r w:rsidR="003C7100" w:rsidRPr="00FE0A46">
        <w:rPr>
          <w:rFonts w:ascii="Sylfaen" w:hAnsi="Sylfaen"/>
          <w:sz w:val="24"/>
          <w:szCs w:val="24"/>
        </w:rPr>
        <w:t xml:space="preserve"> of expression and</w:t>
      </w:r>
      <w:r w:rsidR="00946454" w:rsidRPr="00FE0A46">
        <w:rPr>
          <w:rFonts w:ascii="Sylfaen" w:hAnsi="Sylfaen"/>
          <w:sz w:val="24"/>
          <w:szCs w:val="24"/>
        </w:rPr>
        <w:t xml:space="preserve"> are free not to</w:t>
      </w:r>
      <w:r w:rsidR="003C7100" w:rsidRPr="00FE0A46">
        <w:rPr>
          <w:rFonts w:ascii="Sylfaen" w:hAnsi="Sylfaen"/>
          <w:sz w:val="24"/>
          <w:szCs w:val="24"/>
        </w:rPr>
        <w:t xml:space="preserve"> </w:t>
      </w:r>
      <w:r w:rsidRPr="00FE0A46">
        <w:rPr>
          <w:rFonts w:ascii="Sylfaen" w:hAnsi="Sylfaen"/>
          <w:sz w:val="24"/>
          <w:szCs w:val="24"/>
        </w:rPr>
        <w:t>agree with the</w:t>
      </w:r>
      <w:r w:rsidR="003C7100" w:rsidRPr="00FE0A46">
        <w:rPr>
          <w:rFonts w:ascii="Sylfaen" w:hAnsi="Sylfaen"/>
          <w:sz w:val="24"/>
          <w:szCs w:val="24"/>
        </w:rPr>
        <w:t xml:space="preserve"> ideas that they are offered. They also are entitled to use educational materials available in libraries and elsewhere across the educational establishment.</w:t>
      </w:r>
      <w:r w:rsidR="003C7100" w:rsidRPr="00FE0A46">
        <w:rPr>
          <w:rStyle w:val="FootnoteReference"/>
          <w:rFonts w:ascii="Sylfaen" w:hAnsi="Sylfaen"/>
          <w:sz w:val="24"/>
          <w:szCs w:val="24"/>
        </w:rPr>
        <w:footnoteReference w:id="5"/>
      </w:r>
      <w:r w:rsidR="003C7100" w:rsidRPr="00FE0A46">
        <w:rPr>
          <w:rFonts w:ascii="Sylfaen" w:hAnsi="Sylfaen"/>
          <w:sz w:val="24"/>
          <w:szCs w:val="24"/>
        </w:rPr>
        <w:t xml:space="preserve"> </w:t>
      </w:r>
      <w:r w:rsidR="003C7100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3C7100" w:rsidRPr="00FE0A46">
        <w:rPr>
          <w:rFonts w:ascii="Sylfaen" w:hAnsi="Sylfaen"/>
          <w:sz w:val="24"/>
          <w:szCs w:val="24"/>
        </w:rPr>
        <w:t xml:space="preserve">However, these rights, forming part of academic freedom, may be restricted in military educational </w:t>
      </w:r>
      <w:r w:rsidR="009F506A" w:rsidRPr="00FE0A46">
        <w:rPr>
          <w:rFonts w:ascii="Sylfaen" w:hAnsi="Sylfaen"/>
          <w:sz w:val="24"/>
          <w:szCs w:val="24"/>
        </w:rPr>
        <w:t>facilities</w:t>
      </w:r>
      <w:r w:rsidR="003C7100" w:rsidRPr="00FE0A46">
        <w:rPr>
          <w:rFonts w:ascii="Sylfaen" w:hAnsi="Sylfaen"/>
          <w:sz w:val="24"/>
          <w:szCs w:val="24"/>
        </w:rPr>
        <w:t>.</w:t>
      </w:r>
      <w:r w:rsidR="003C7100" w:rsidRPr="00FE0A46">
        <w:rPr>
          <w:rStyle w:val="FootnoteReference"/>
          <w:rFonts w:ascii="Sylfaen" w:hAnsi="Sylfaen"/>
          <w:sz w:val="24"/>
          <w:szCs w:val="24"/>
        </w:rPr>
        <w:footnoteReference w:id="6"/>
      </w:r>
    </w:p>
    <w:p w14:paraId="6A649EF7" w14:textId="1EB17D34" w:rsidR="00BC2485" w:rsidRPr="00FE0A46" w:rsidRDefault="00B74E8C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As regards teaching/academic personnel they are entitled to teach and conduct research without interference, </w:t>
      </w:r>
      <w:r w:rsidR="009F506A" w:rsidRPr="00FE0A46">
        <w:rPr>
          <w:rFonts w:ascii="Sylfaen" w:hAnsi="Sylfaen"/>
          <w:sz w:val="24"/>
          <w:szCs w:val="24"/>
        </w:rPr>
        <w:t xml:space="preserve">and </w:t>
      </w:r>
      <w:r w:rsidRPr="00FE0A46">
        <w:rPr>
          <w:rFonts w:ascii="Sylfaen" w:hAnsi="Sylfaen"/>
          <w:sz w:val="24"/>
          <w:szCs w:val="24"/>
        </w:rPr>
        <w:t xml:space="preserve">independently determine </w:t>
      </w:r>
      <w:r w:rsidR="009F506A" w:rsidRPr="00FE0A46">
        <w:rPr>
          <w:rFonts w:ascii="Sylfaen" w:hAnsi="Sylfaen"/>
          <w:sz w:val="24"/>
          <w:szCs w:val="24"/>
        </w:rPr>
        <w:t xml:space="preserve">the </w:t>
      </w:r>
      <w:r w:rsidRPr="00FE0A46">
        <w:rPr>
          <w:rFonts w:ascii="Sylfaen" w:hAnsi="Sylfaen"/>
          <w:sz w:val="24"/>
          <w:szCs w:val="24"/>
        </w:rPr>
        <w:t>contents of syllabi</w:t>
      </w:r>
      <w:r w:rsidR="002C4FA2" w:rsidRPr="00FE0A46">
        <w:rPr>
          <w:rFonts w:ascii="Sylfaen" w:hAnsi="Sylfaen"/>
          <w:sz w:val="24"/>
          <w:szCs w:val="24"/>
        </w:rPr>
        <w:t xml:space="preserve"> and </w:t>
      </w:r>
      <w:r w:rsidRPr="00FE0A46">
        <w:rPr>
          <w:rFonts w:ascii="Sylfaen" w:hAnsi="Sylfaen"/>
          <w:sz w:val="24"/>
          <w:szCs w:val="24"/>
        </w:rPr>
        <w:t>teaching methods</w:t>
      </w:r>
      <w:r w:rsidR="002C4FA2" w:rsidRPr="00FE0A46">
        <w:rPr>
          <w:rFonts w:ascii="Sylfaen" w:hAnsi="Sylfaen"/>
          <w:sz w:val="24"/>
          <w:szCs w:val="24"/>
        </w:rPr>
        <w:t xml:space="preserve"> within the scope of educational programs.</w:t>
      </w:r>
      <w:r w:rsidR="002C4FA2" w:rsidRPr="00FE0A46">
        <w:rPr>
          <w:rStyle w:val="FootnoteReference"/>
          <w:rFonts w:ascii="Sylfaen" w:hAnsi="Sylfaen"/>
          <w:sz w:val="24"/>
          <w:szCs w:val="24"/>
        </w:rPr>
        <w:footnoteReference w:id="7"/>
      </w:r>
      <w:r w:rsidRPr="00FE0A46">
        <w:rPr>
          <w:rFonts w:ascii="Sylfaen" w:hAnsi="Sylfaen"/>
          <w:sz w:val="24"/>
          <w:szCs w:val="24"/>
        </w:rPr>
        <w:t xml:space="preserve"> </w:t>
      </w:r>
      <w:r w:rsidR="00BC2485" w:rsidRPr="00FE0A46">
        <w:rPr>
          <w:rFonts w:ascii="Sylfaen" w:hAnsi="Sylfaen"/>
          <w:sz w:val="24"/>
          <w:szCs w:val="24"/>
        </w:rPr>
        <w:t>The academic</w:t>
      </w:r>
      <w:r w:rsidR="002C4FA2" w:rsidRPr="00FE0A46">
        <w:rPr>
          <w:rFonts w:ascii="Sylfaen" w:hAnsi="Sylfaen"/>
          <w:sz w:val="24"/>
          <w:szCs w:val="24"/>
        </w:rPr>
        <w:t xml:space="preserve"> </w:t>
      </w:r>
      <w:r w:rsidR="009F506A" w:rsidRPr="00FE0A46">
        <w:rPr>
          <w:rFonts w:ascii="Sylfaen" w:hAnsi="Sylfaen"/>
          <w:sz w:val="24"/>
          <w:szCs w:val="24"/>
        </w:rPr>
        <w:t>personnel</w:t>
      </w:r>
      <w:r w:rsidR="002C4FA2" w:rsidRPr="00FE0A46">
        <w:rPr>
          <w:rFonts w:ascii="Sylfaen" w:hAnsi="Sylfaen"/>
          <w:sz w:val="24"/>
          <w:szCs w:val="24"/>
        </w:rPr>
        <w:t xml:space="preserve"> also </w:t>
      </w:r>
      <w:r w:rsidR="009F506A" w:rsidRPr="00FE0A46">
        <w:rPr>
          <w:rFonts w:ascii="Sylfaen" w:hAnsi="Sylfaen"/>
          <w:sz w:val="24"/>
          <w:szCs w:val="24"/>
        </w:rPr>
        <w:t>enjoy</w:t>
      </w:r>
      <w:r w:rsidR="002C4FA2" w:rsidRPr="00FE0A46">
        <w:rPr>
          <w:rFonts w:ascii="Sylfaen" w:hAnsi="Sylfaen"/>
          <w:sz w:val="24"/>
          <w:szCs w:val="24"/>
        </w:rPr>
        <w:t xml:space="preserve"> similar guarantees but their freedom </w:t>
      </w:r>
      <w:r w:rsidR="009F506A" w:rsidRPr="00FE0A46">
        <w:rPr>
          <w:rFonts w:ascii="Sylfaen" w:hAnsi="Sylfaen"/>
          <w:sz w:val="24"/>
          <w:szCs w:val="24"/>
        </w:rPr>
        <w:t>to publish</w:t>
      </w:r>
      <w:r w:rsidR="002C4FA2" w:rsidRPr="00FE0A46">
        <w:rPr>
          <w:rFonts w:ascii="Sylfaen" w:hAnsi="Sylfaen"/>
          <w:sz w:val="24"/>
          <w:szCs w:val="24"/>
        </w:rPr>
        <w:t xml:space="preserve"> </w:t>
      </w:r>
      <w:r w:rsidR="00306B7B" w:rsidRPr="00FE0A46">
        <w:rPr>
          <w:rFonts w:ascii="Sylfaen" w:hAnsi="Sylfaen"/>
          <w:sz w:val="24"/>
          <w:szCs w:val="24"/>
        </w:rPr>
        <w:t>research</w:t>
      </w:r>
      <w:r w:rsidR="002C4FA2" w:rsidRPr="00FE0A46">
        <w:rPr>
          <w:rFonts w:ascii="Sylfaen" w:hAnsi="Sylfaen"/>
          <w:sz w:val="24"/>
          <w:szCs w:val="24"/>
        </w:rPr>
        <w:t xml:space="preserve"> may be restricted if it contains state </w:t>
      </w:r>
      <w:r w:rsidR="009F506A" w:rsidRPr="00FE0A46">
        <w:rPr>
          <w:rFonts w:ascii="Sylfaen" w:hAnsi="Sylfaen"/>
          <w:sz w:val="24"/>
          <w:szCs w:val="24"/>
        </w:rPr>
        <w:t>secrets</w:t>
      </w:r>
      <w:r w:rsidR="00306B7B" w:rsidRPr="00FE0A46">
        <w:rPr>
          <w:rFonts w:ascii="Sylfaen" w:hAnsi="Sylfaen"/>
          <w:sz w:val="24"/>
          <w:szCs w:val="24"/>
        </w:rPr>
        <w:t>,</w:t>
      </w:r>
      <w:r w:rsidR="002C4FA2" w:rsidRPr="00FE0A46">
        <w:rPr>
          <w:rFonts w:ascii="Sylfaen" w:hAnsi="Sylfaen"/>
          <w:sz w:val="24"/>
          <w:szCs w:val="24"/>
        </w:rPr>
        <w:t xml:space="preserve"> or such restriction is envisaged under the terms of the employment contract.</w:t>
      </w:r>
      <w:r w:rsidR="002C4FA2" w:rsidRPr="00FE0A46">
        <w:rPr>
          <w:rStyle w:val="FootnoteReference"/>
          <w:rFonts w:ascii="Sylfaen" w:hAnsi="Sylfaen"/>
          <w:sz w:val="24"/>
          <w:szCs w:val="24"/>
        </w:rPr>
        <w:footnoteReference w:id="8"/>
      </w:r>
    </w:p>
    <w:p w14:paraId="3EDF66E2" w14:textId="4859C0FD" w:rsidR="00306B7B" w:rsidRPr="00FE0A46" w:rsidRDefault="00BC2485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Lectures that spread discriminatory </w:t>
      </w:r>
      <w:r w:rsidR="009F506A" w:rsidRPr="00FE0A46">
        <w:rPr>
          <w:rFonts w:ascii="Sylfaen" w:hAnsi="Sylfaen"/>
          <w:sz w:val="24"/>
          <w:szCs w:val="24"/>
        </w:rPr>
        <w:t>approaches</w:t>
      </w:r>
      <w:r w:rsidRPr="00FE0A46">
        <w:rPr>
          <w:rFonts w:ascii="Sylfaen" w:hAnsi="Sylfaen"/>
          <w:sz w:val="24"/>
          <w:szCs w:val="24"/>
        </w:rPr>
        <w:t xml:space="preserve"> </w:t>
      </w:r>
      <w:r w:rsidR="009F506A" w:rsidRPr="00FE0A46">
        <w:rPr>
          <w:rFonts w:ascii="Sylfaen" w:hAnsi="Sylfaen"/>
          <w:sz w:val="24"/>
          <w:szCs w:val="24"/>
        </w:rPr>
        <w:t>are</w:t>
      </w:r>
      <w:r w:rsidR="00306B7B" w:rsidRPr="00FE0A46">
        <w:rPr>
          <w:rFonts w:ascii="Sylfaen" w:hAnsi="Sylfaen"/>
          <w:sz w:val="24"/>
          <w:szCs w:val="24"/>
        </w:rPr>
        <w:t xml:space="preserve"> beyond the scope of academic freedom as guaranteed by the Higher Education Act.</w:t>
      </w:r>
      <w:r w:rsidR="00306B7B" w:rsidRPr="00FE0A46">
        <w:rPr>
          <w:rStyle w:val="FootnoteReference"/>
          <w:rFonts w:ascii="Sylfaen" w:hAnsi="Sylfaen"/>
          <w:sz w:val="24"/>
          <w:szCs w:val="24"/>
        </w:rPr>
        <w:footnoteReference w:id="9"/>
      </w:r>
      <w:r w:rsidR="00306B7B" w:rsidRPr="00FE0A46">
        <w:rPr>
          <w:rFonts w:ascii="Sylfaen" w:hAnsi="Sylfaen"/>
          <w:sz w:val="24"/>
          <w:szCs w:val="24"/>
        </w:rPr>
        <w:t xml:space="preserve"> </w:t>
      </w:r>
      <w:r w:rsidR="00776111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Pr="00FE0A46">
        <w:rPr>
          <w:rFonts w:ascii="Sylfaen" w:hAnsi="Sylfaen"/>
          <w:sz w:val="24"/>
          <w:szCs w:val="24"/>
        </w:rPr>
        <w:t>The HEI</w:t>
      </w:r>
      <w:r w:rsidR="00776111" w:rsidRPr="00FE0A46">
        <w:rPr>
          <w:rFonts w:ascii="Sylfaen" w:hAnsi="Sylfaen"/>
          <w:sz w:val="24"/>
          <w:szCs w:val="24"/>
        </w:rPr>
        <w:t xml:space="preserve"> programs are also subject to state accreditation which may entail the analysis of contents of materials used during the teaching </w:t>
      </w:r>
      <w:r w:rsidR="00776111" w:rsidRPr="00FE0A46">
        <w:rPr>
          <w:rFonts w:ascii="Sylfaen" w:hAnsi="Sylfaen"/>
          <w:sz w:val="24"/>
          <w:szCs w:val="24"/>
        </w:rPr>
        <w:lastRenderedPageBreak/>
        <w:t>process to understand whether they can contribute to the learning outcomes of the program concerned.</w:t>
      </w:r>
      <w:r w:rsidR="00776111" w:rsidRPr="00FE0A46">
        <w:rPr>
          <w:rStyle w:val="FootnoteReference"/>
          <w:rFonts w:ascii="Sylfaen" w:hAnsi="Sylfaen"/>
          <w:sz w:val="24"/>
          <w:szCs w:val="24"/>
        </w:rPr>
        <w:footnoteReference w:id="10"/>
      </w:r>
    </w:p>
    <w:p w14:paraId="206FC249" w14:textId="2818DA77" w:rsidR="00C8655B" w:rsidRPr="00FE0A46" w:rsidRDefault="00BC2485" w:rsidP="003C7100">
      <w:pPr>
        <w:jc w:val="both"/>
        <w:rPr>
          <w:rFonts w:ascii="Sylfaen" w:hAnsi="Sylfaen"/>
          <w:i/>
          <w:iCs/>
          <w:sz w:val="24"/>
          <w:szCs w:val="24"/>
        </w:rPr>
      </w:pPr>
      <w:r w:rsidRPr="00FE0A46">
        <w:rPr>
          <w:rFonts w:ascii="Sylfaen" w:hAnsi="Sylfaen"/>
          <w:i/>
          <w:iCs/>
          <w:sz w:val="24"/>
          <w:szCs w:val="24"/>
        </w:rPr>
        <w:t>V</w:t>
      </w:r>
      <w:r w:rsidR="00C8655B" w:rsidRPr="00FE0A46">
        <w:rPr>
          <w:rFonts w:ascii="Sylfaen" w:hAnsi="Sylfaen"/>
          <w:i/>
          <w:iCs/>
          <w:sz w:val="24"/>
          <w:szCs w:val="24"/>
        </w:rPr>
        <w:t xml:space="preserve">ocational Education </w:t>
      </w:r>
      <w:r w:rsidR="00B33120" w:rsidRPr="00FE0A46">
        <w:rPr>
          <w:rFonts w:ascii="Sylfaen" w:hAnsi="Sylfaen"/>
          <w:i/>
          <w:iCs/>
          <w:sz w:val="24"/>
          <w:szCs w:val="24"/>
        </w:rPr>
        <w:t xml:space="preserve">Institutions/Programs </w:t>
      </w:r>
    </w:p>
    <w:p w14:paraId="3B1B5542" w14:textId="34729EED" w:rsidR="00C8655B" w:rsidRPr="00FE0A46" w:rsidRDefault="00C8655B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>Vocational Education Act envisage</w:t>
      </w:r>
      <w:r w:rsidR="004B1B69">
        <w:rPr>
          <w:rFonts w:ascii="Sylfaen" w:hAnsi="Sylfaen"/>
          <w:sz w:val="24"/>
          <w:szCs w:val="24"/>
        </w:rPr>
        <w:t>s</w:t>
      </w:r>
      <w:r w:rsidRPr="00FE0A46">
        <w:rPr>
          <w:rFonts w:ascii="Sylfaen" w:hAnsi="Sylfaen"/>
          <w:sz w:val="24"/>
          <w:szCs w:val="24"/>
        </w:rPr>
        <w:t xml:space="preserve"> neither a notion of academic freedom nor grounds for its restriction.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11"/>
      </w:r>
      <w:r w:rsidR="000D35AA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0D35AA" w:rsidRPr="00FE0A46">
        <w:rPr>
          <w:rFonts w:ascii="Sylfaen" w:hAnsi="Sylfaen"/>
          <w:sz w:val="24"/>
          <w:szCs w:val="24"/>
        </w:rPr>
        <w:t xml:space="preserve">However, </w:t>
      </w:r>
      <w:r w:rsidR="009F506A" w:rsidRPr="00FE0A46">
        <w:rPr>
          <w:rFonts w:ascii="Sylfaen" w:hAnsi="Sylfaen"/>
          <w:sz w:val="24"/>
          <w:szCs w:val="24"/>
        </w:rPr>
        <w:t xml:space="preserve">the </w:t>
      </w:r>
      <w:r w:rsidR="000D35AA" w:rsidRPr="00FE0A46">
        <w:rPr>
          <w:rFonts w:ascii="Sylfaen" w:hAnsi="Sylfaen"/>
          <w:sz w:val="24"/>
          <w:szCs w:val="24"/>
        </w:rPr>
        <w:t xml:space="preserve">constitutional guarantee </w:t>
      </w:r>
      <w:r w:rsidR="009F506A" w:rsidRPr="00FE0A46">
        <w:rPr>
          <w:rFonts w:ascii="Sylfaen" w:hAnsi="Sylfaen"/>
          <w:sz w:val="24"/>
          <w:szCs w:val="24"/>
        </w:rPr>
        <w:t>of</w:t>
      </w:r>
      <w:r w:rsidR="000D35AA" w:rsidRPr="00FE0A46">
        <w:rPr>
          <w:rFonts w:ascii="Sylfaen" w:hAnsi="Sylfaen"/>
          <w:sz w:val="24"/>
          <w:szCs w:val="24"/>
        </w:rPr>
        <w:t xml:space="preserve"> academic freedom applies to </w:t>
      </w:r>
      <w:r w:rsidR="009F506A" w:rsidRPr="00FE0A46">
        <w:rPr>
          <w:rFonts w:ascii="Sylfaen" w:hAnsi="Sylfaen"/>
          <w:sz w:val="24"/>
          <w:szCs w:val="24"/>
        </w:rPr>
        <w:t>students,</w:t>
      </w:r>
      <w:r w:rsidR="000D35AA" w:rsidRPr="00FE0A46">
        <w:rPr>
          <w:rFonts w:ascii="Sylfaen" w:hAnsi="Sylfaen"/>
          <w:sz w:val="24"/>
          <w:szCs w:val="24"/>
        </w:rPr>
        <w:t xml:space="preserve"> and </w:t>
      </w:r>
      <w:r w:rsidR="004B1B69">
        <w:rPr>
          <w:rFonts w:ascii="Sylfaen" w:hAnsi="Sylfaen"/>
          <w:sz w:val="24"/>
          <w:szCs w:val="24"/>
        </w:rPr>
        <w:t>they are</w:t>
      </w:r>
      <w:r w:rsidR="000D35AA" w:rsidRPr="00FE0A46">
        <w:rPr>
          <w:rFonts w:ascii="Sylfaen" w:hAnsi="Sylfaen"/>
          <w:sz w:val="24"/>
          <w:szCs w:val="24"/>
        </w:rPr>
        <w:t xml:space="preserve"> entitled to exercise rights as granted by the Higher Education Act as well as the right to use material-technical resources, including the library materials of the educational institution.</w:t>
      </w:r>
      <w:r w:rsidR="000D35AA" w:rsidRPr="00FE0A46">
        <w:rPr>
          <w:rStyle w:val="FootnoteReference"/>
          <w:rFonts w:ascii="Sylfaen" w:hAnsi="Sylfaen"/>
          <w:sz w:val="24"/>
          <w:szCs w:val="24"/>
        </w:rPr>
        <w:footnoteReference w:id="12"/>
      </w:r>
    </w:p>
    <w:p w14:paraId="4865A54A" w14:textId="42E2C7F6" w:rsidR="000D35AA" w:rsidRPr="00FE0A46" w:rsidRDefault="00BC2485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>T</w:t>
      </w:r>
      <w:r w:rsidR="009A3793" w:rsidRPr="00FE0A46">
        <w:rPr>
          <w:rFonts w:ascii="Sylfaen" w:hAnsi="Sylfaen"/>
          <w:sz w:val="24"/>
          <w:szCs w:val="24"/>
        </w:rPr>
        <w:t>he professional colleges are authorized to create professional programs within the framework of the mentioned standards.</w:t>
      </w:r>
      <w:r w:rsidRPr="00FE0A46">
        <w:rPr>
          <w:rStyle w:val="FootnoteReference"/>
          <w:rFonts w:ascii="Sylfaen" w:hAnsi="Sylfaen"/>
          <w:sz w:val="24"/>
          <w:szCs w:val="24"/>
        </w:rPr>
        <w:t xml:space="preserve"> 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13"/>
      </w:r>
      <w:r w:rsidRPr="00FE0A46">
        <w:rPr>
          <w:rFonts w:ascii="Sylfaen" w:hAnsi="Sylfaen"/>
          <w:sz w:val="24"/>
          <w:szCs w:val="24"/>
        </w:rPr>
        <w:t xml:space="preserve"> </w:t>
      </w:r>
      <w:r w:rsidR="009A3793" w:rsidRPr="00FE0A46">
        <w:rPr>
          <w:rStyle w:val="FootnoteReference"/>
          <w:rFonts w:ascii="Sylfaen" w:hAnsi="Sylfaen"/>
          <w:sz w:val="24"/>
          <w:szCs w:val="24"/>
        </w:rPr>
        <w:footnoteReference w:id="14"/>
      </w:r>
      <w:r w:rsidR="009A3793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Pr="00FE0A46">
        <w:rPr>
          <w:rFonts w:ascii="Sylfaen" w:hAnsi="Sylfaen"/>
          <w:sz w:val="24"/>
          <w:szCs w:val="24"/>
        </w:rPr>
        <w:t>T</w:t>
      </w:r>
      <w:r w:rsidR="009A3793" w:rsidRPr="00FE0A46">
        <w:rPr>
          <w:rFonts w:ascii="Sylfaen" w:hAnsi="Sylfaen"/>
          <w:sz w:val="24"/>
          <w:szCs w:val="24"/>
        </w:rPr>
        <w:t xml:space="preserve">eachers </w:t>
      </w:r>
      <w:r w:rsidR="006366B3" w:rsidRPr="00FE0A46">
        <w:rPr>
          <w:rFonts w:ascii="Sylfaen" w:hAnsi="Sylfaen"/>
          <w:sz w:val="24"/>
          <w:szCs w:val="24"/>
        </w:rPr>
        <w:t>can</w:t>
      </w:r>
      <w:r w:rsidR="009A3793" w:rsidRPr="00FE0A46">
        <w:rPr>
          <w:rFonts w:ascii="Sylfaen" w:hAnsi="Sylfaen"/>
          <w:sz w:val="24"/>
          <w:szCs w:val="24"/>
        </w:rPr>
        <w:t xml:space="preserve"> freely choose educational resources as long as they pertain to the learning outcomes.</w:t>
      </w:r>
      <w:r w:rsidR="006366B3" w:rsidRPr="00FE0A46">
        <w:rPr>
          <w:rStyle w:val="FootnoteReference"/>
          <w:rFonts w:ascii="Sylfaen" w:hAnsi="Sylfaen"/>
          <w:sz w:val="24"/>
          <w:szCs w:val="24"/>
        </w:rPr>
        <w:footnoteReference w:id="15"/>
      </w:r>
      <w:r w:rsidRPr="00FE0A46">
        <w:rPr>
          <w:rFonts w:ascii="Sylfaen" w:hAnsi="Sylfaen"/>
          <w:sz w:val="24"/>
          <w:szCs w:val="24"/>
        </w:rPr>
        <w:t xml:space="preserve"> T</w:t>
      </w:r>
      <w:r w:rsidR="00F81201" w:rsidRPr="00FE0A46">
        <w:rPr>
          <w:rFonts w:ascii="Sylfaen" w:hAnsi="Sylfaen"/>
          <w:sz w:val="24"/>
          <w:szCs w:val="24"/>
        </w:rPr>
        <w:t>he Act does not expressly provide any limitation on teachers’ speech while teaching.</w:t>
      </w:r>
      <w:r w:rsidR="00F81201" w:rsidRPr="00FE0A46">
        <w:rPr>
          <w:rStyle w:val="FootnoteReference"/>
          <w:rFonts w:ascii="Sylfaen" w:hAnsi="Sylfaen"/>
          <w:sz w:val="24"/>
          <w:szCs w:val="24"/>
        </w:rPr>
        <w:footnoteReference w:id="16"/>
      </w:r>
    </w:p>
    <w:p w14:paraId="4247D3AE" w14:textId="2445C761" w:rsidR="00B33120" w:rsidRPr="00FE0A46" w:rsidRDefault="006366B3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>Some programs are based on framework documents approved by the state.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17"/>
      </w:r>
      <w:r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BC2485" w:rsidRPr="00FE0A46">
        <w:rPr>
          <w:rFonts w:ascii="Sylfaen" w:hAnsi="Sylfaen"/>
          <w:sz w:val="24"/>
          <w:szCs w:val="24"/>
        </w:rPr>
        <w:t>A</w:t>
      </w:r>
      <w:r w:rsidRPr="00FE0A46">
        <w:rPr>
          <w:rFonts w:ascii="Sylfaen" w:hAnsi="Sylfaen"/>
          <w:sz w:val="24"/>
          <w:szCs w:val="24"/>
        </w:rPr>
        <w:t>lmost all the components of the program except literature are approved by the government and not by the institution itself.</w:t>
      </w:r>
      <w:r w:rsidR="003E739F" w:rsidRPr="00FE0A46">
        <w:rPr>
          <w:rStyle w:val="FootnoteReference"/>
          <w:rFonts w:ascii="Sylfaen" w:hAnsi="Sylfaen"/>
          <w:sz w:val="24"/>
          <w:szCs w:val="24"/>
        </w:rPr>
        <w:footnoteReference w:id="18"/>
      </w:r>
      <w:r w:rsidRPr="00FE0A46">
        <w:rPr>
          <w:rFonts w:ascii="Sylfaen" w:hAnsi="Sylfaen"/>
          <w:sz w:val="24"/>
          <w:szCs w:val="24"/>
        </w:rPr>
        <w:t xml:space="preserve"> </w:t>
      </w:r>
    </w:p>
    <w:p w14:paraId="201744BF" w14:textId="58908E0E" w:rsidR="00E72C36" w:rsidRPr="00FE0A46" w:rsidRDefault="00E72C36" w:rsidP="003C7100">
      <w:pPr>
        <w:jc w:val="both"/>
        <w:rPr>
          <w:rFonts w:ascii="Sylfaen" w:hAnsi="Sylfaen"/>
          <w:i/>
          <w:iCs/>
          <w:sz w:val="24"/>
          <w:szCs w:val="24"/>
        </w:rPr>
      </w:pPr>
      <w:r w:rsidRPr="00FE0A46">
        <w:rPr>
          <w:rFonts w:ascii="Sylfaen" w:hAnsi="Sylfaen"/>
          <w:i/>
          <w:iCs/>
          <w:sz w:val="24"/>
          <w:szCs w:val="24"/>
        </w:rPr>
        <w:t>General Education System</w:t>
      </w:r>
    </w:p>
    <w:p w14:paraId="52726818" w14:textId="77777777" w:rsidR="004B1B69" w:rsidRDefault="00D51C76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In contrast to the higher education system where academic freedom is seen as an independent guarantee, </w:t>
      </w:r>
      <w:r w:rsidR="009F506A" w:rsidRPr="00FE0A46">
        <w:rPr>
          <w:rFonts w:ascii="Sylfaen" w:hAnsi="Sylfaen"/>
          <w:sz w:val="24"/>
          <w:szCs w:val="24"/>
        </w:rPr>
        <w:t xml:space="preserve">the </w:t>
      </w:r>
      <w:r w:rsidRPr="00FE0A46">
        <w:rPr>
          <w:rFonts w:ascii="Sylfaen" w:hAnsi="Sylfaen"/>
          <w:sz w:val="24"/>
          <w:szCs w:val="24"/>
        </w:rPr>
        <w:t>General Education Act envisages it within the realm of freedom of expression</w:t>
      </w:r>
      <w:r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BC2485" w:rsidRPr="00FE0A46">
        <w:rPr>
          <w:rFonts w:ascii="Sylfaen" w:hAnsi="Sylfaen"/>
          <w:sz w:val="24"/>
          <w:szCs w:val="24"/>
        </w:rPr>
        <w:t>“</w:t>
      </w:r>
      <w:r w:rsidRPr="00FE0A46">
        <w:rPr>
          <w:rFonts w:ascii="Sylfaen" w:hAnsi="Sylfaen"/>
          <w:sz w:val="24"/>
          <w:szCs w:val="24"/>
        </w:rPr>
        <w:t>as long as [academic freedom] does not contravene the aims of National Curriculum.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19"/>
      </w:r>
      <w:r w:rsidRPr="00FE0A46">
        <w:rPr>
          <w:rFonts w:ascii="Sylfaen" w:hAnsi="Sylfaen"/>
          <w:sz w:val="24"/>
          <w:szCs w:val="24"/>
        </w:rPr>
        <w:t xml:space="preserve"> </w:t>
      </w:r>
    </w:p>
    <w:p w14:paraId="50EA36F6" w14:textId="583A5F99" w:rsidR="00AB7951" w:rsidRPr="00FE0A46" w:rsidRDefault="00BC2485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lastRenderedPageBreak/>
        <w:t>S</w:t>
      </w:r>
      <w:r w:rsidR="00AB7951" w:rsidRPr="00FE0A46">
        <w:rPr>
          <w:rFonts w:ascii="Sylfaen" w:hAnsi="Sylfaen"/>
          <w:sz w:val="24"/>
          <w:szCs w:val="24"/>
        </w:rPr>
        <w:t xml:space="preserve">chool </w:t>
      </w:r>
      <w:r w:rsidR="00007632" w:rsidRPr="00FE0A46">
        <w:rPr>
          <w:rFonts w:ascii="Sylfaen" w:hAnsi="Sylfaen"/>
          <w:sz w:val="24"/>
          <w:szCs w:val="24"/>
        </w:rPr>
        <w:t xml:space="preserve">textbooks </w:t>
      </w:r>
      <w:r w:rsidR="00AB7951" w:rsidRPr="00FE0A46">
        <w:rPr>
          <w:rFonts w:ascii="Sylfaen" w:hAnsi="Sylfaen"/>
          <w:sz w:val="24"/>
          <w:szCs w:val="24"/>
        </w:rPr>
        <w:t>should be approved by the Ministry of Education of Georgia.</w:t>
      </w:r>
      <w:r w:rsidR="00AB7951" w:rsidRPr="00FE0A46">
        <w:rPr>
          <w:rStyle w:val="FootnoteReference"/>
          <w:rFonts w:ascii="Sylfaen" w:hAnsi="Sylfaen"/>
          <w:sz w:val="24"/>
          <w:szCs w:val="24"/>
        </w:rPr>
        <w:footnoteReference w:id="20"/>
      </w:r>
      <w:r w:rsidR="00007632" w:rsidRPr="00FE0A46">
        <w:rPr>
          <w:rFonts w:ascii="Sylfaen" w:hAnsi="Sylfaen"/>
          <w:sz w:val="24"/>
          <w:szCs w:val="24"/>
        </w:rPr>
        <w:t xml:space="preserve"> And the process of approval is strictly regulated.</w:t>
      </w:r>
      <w:r w:rsidR="00007632" w:rsidRPr="00FE0A46">
        <w:rPr>
          <w:rStyle w:val="FootnoteReference"/>
          <w:rFonts w:ascii="Sylfaen" w:hAnsi="Sylfaen"/>
          <w:sz w:val="24"/>
          <w:szCs w:val="24"/>
        </w:rPr>
        <w:footnoteReference w:id="21"/>
      </w:r>
      <w:r w:rsidR="00007632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007632" w:rsidRPr="00FE0A46">
        <w:rPr>
          <w:rFonts w:ascii="Sylfaen" w:hAnsi="Sylfaen"/>
          <w:sz w:val="24"/>
          <w:szCs w:val="24"/>
        </w:rPr>
        <w:t xml:space="preserve">Teachers’ Council, </w:t>
      </w:r>
      <w:r w:rsidR="009F506A" w:rsidRPr="00FE0A46">
        <w:rPr>
          <w:rFonts w:ascii="Sylfaen" w:hAnsi="Sylfaen"/>
          <w:sz w:val="24"/>
          <w:szCs w:val="24"/>
        </w:rPr>
        <w:t xml:space="preserve">a </w:t>
      </w:r>
      <w:r w:rsidR="00007632" w:rsidRPr="00FE0A46">
        <w:rPr>
          <w:rFonts w:ascii="Sylfaen" w:hAnsi="Sylfaen"/>
          <w:sz w:val="24"/>
          <w:szCs w:val="24"/>
        </w:rPr>
        <w:t xml:space="preserve">self-governing body </w:t>
      </w:r>
      <w:r w:rsidR="009F506A" w:rsidRPr="00FE0A46">
        <w:rPr>
          <w:rFonts w:ascii="Sylfaen" w:hAnsi="Sylfaen"/>
          <w:sz w:val="24"/>
          <w:szCs w:val="24"/>
        </w:rPr>
        <w:t xml:space="preserve">that </w:t>
      </w:r>
      <w:r w:rsidR="00007632" w:rsidRPr="00FE0A46">
        <w:rPr>
          <w:rFonts w:ascii="Sylfaen" w:hAnsi="Sylfaen"/>
          <w:sz w:val="24"/>
          <w:szCs w:val="24"/>
        </w:rPr>
        <w:t>exists at schools, only has the authority to select textbooks pre-approved by the Ministry.</w:t>
      </w:r>
      <w:r w:rsidR="00007632" w:rsidRPr="00FE0A46">
        <w:rPr>
          <w:rStyle w:val="FootnoteReference"/>
          <w:rFonts w:ascii="Sylfaen" w:hAnsi="Sylfaen"/>
          <w:sz w:val="24"/>
          <w:szCs w:val="24"/>
        </w:rPr>
        <w:footnoteReference w:id="22"/>
      </w:r>
    </w:p>
    <w:p w14:paraId="1FD03444" w14:textId="586F2675" w:rsidR="00BA628C" w:rsidRPr="00FE0A46" w:rsidRDefault="00007632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Furthermore, </w:t>
      </w:r>
      <w:r w:rsidR="009F506A" w:rsidRPr="00FE0A46">
        <w:rPr>
          <w:rFonts w:ascii="Sylfaen" w:hAnsi="Sylfaen"/>
          <w:sz w:val="24"/>
          <w:szCs w:val="24"/>
        </w:rPr>
        <w:t xml:space="preserve">the </w:t>
      </w:r>
      <w:r w:rsidRPr="00FE0A46">
        <w:rPr>
          <w:rFonts w:ascii="Sylfaen" w:hAnsi="Sylfaen"/>
          <w:sz w:val="24"/>
          <w:szCs w:val="24"/>
        </w:rPr>
        <w:t xml:space="preserve">school is authorized to prohibit books in the library if it protects minors from </w:t>
      </w:r>
      <w:r w:rsidR="00BA628C" w:rsidRPr="00FE0A46">
        <w:rPr>
          <w:rFonts w:ascii="Sylfaen" w:hAnsi="Sylfaen"/>
          <w:sz w:val="24"/>
          <w:szCs w:val="24"/>
        </w:rPr>
        <w:t>age-inappropriate literature.</w:t>
      </w:r>
      <w:r w:rsidR="00BA628C" w:rsidRPr="00FE0A46">
        <w:rPr>
          <w:rStyle w:val="FootnoteReference"/>
          <w:rFonts w:ascii="Sylfaen" w:hAnsi="Sylfaen"/>
          <w:sz w:val="24"/>
          <w:szCs w:val="24"/>
        </w:rPr>
        <w:footnoteReference w:id="23"/>
      </w:r>
      <w:r w:rsidR="00BA628C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BA628C" w:rsidRPr="00FE0A46">
        <w:rPr>
          <w:rFonts w:ascii="Sylfaen" w:hAnsi="Sylfaen"/>
          <w:sz w:val="24"/>
          <w:szCs w:val="24"/>
        </w:rPr>
        <w:t xml:space="preserve">Even though censorship of library materials is prohibited the vagueness of the mentioned provision allows schools to restrict academic freedom. </w:t>
      </w:r>
      <w:r w:rsidR="00971A5C" w:rsidRPr="00FE0A46">
        <w:rPr>
          <w:rFonts w:ascii="Sylfaen" w:hAnsi="Sylfaen"/>
          <w:sz w:val="24"/>
          <w:szCs w:val="24"/>
        </w:rPr>
        <w:t xml:space="preserve">The Office has no data on whether any material has ever been prohibited in school libraries. </w:t>
      </w:r>
    </w:p>
    <w:p w14:paraId="5F52C12A" w14:textId="52CB5191" w:rsidR="00B33120" w:rsidRPr="00FE0A46" w:rsidRDefault="00BA628C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Similarly, schools are allowed to restrict teachers’ speech because </w:t>
      </w:r>
      <w:r w:rsidR="00EF2A00" w:rsidRPr="00FE0A46">
        <w:rPr>
          <w:rFonts w:ascii="Sylfaen" w:hAnsi="Sylfaen"/>
          <w:sz w:val="24"/>
          <w:szCs w:val="24"/>
        </w:rPr>
        <w:t xml:space="preserve">the Act prohibits </w:t>
      </w:r>
      <w:r w:rsidR="009F506A" w:rsidRPr="00FE0A46">
        <w:rPr>
          <w:rFonts w:ascii="Sylfaen" w:hAnsi="Sylfaen"/>
          <w:sz w:val="24"/>
          <w:szCs w:val="24"/>
        </w:rPr>
        <w:t xml:space="preserve">the </w:t>
      </w:r>
      <w:r w:rsidRPr="00FE0A46">
        <w:rPr>
          <w:rFonts w:ascii="Sylfaen" w:hAnsi="Sylfaen"/>
          <w:sz w:val="24"/>
          <w:szCs w:val="24"/>
        </w:rPr>
        <w:t xml:space="preserve">teaching process </w:t>
      </w:r>
      <w:r w:rsidR="00EF2A00" w:rsidRPr="00FE0A46">
        <w:rPr>
          <w:rFonts w:ascii="Sylfaen" w:hAnsi="Sylfaen"/>
          <w:sz w:val="24"/>
          <w:szCs w:val="24"/>
        </w:rPr>
        <w:t>to</w:t>
      </w:r>
      <w:r w:rsidRPr="00FE0A46">
        <w:rPr>
          <w:rFonts w:ascii="Sylfaen" w:hAnsi="Sylfaen"/>
          <w:sz w:val="24"/>
          <w:szCs w:val="24"/>
        </w:rPr>
        <w:t xml:space="preserve"> be used for proselytism</w:t>
      </w:r>
      <w:r w:rsidR="00EF2A00" w:rsidRPr="00FE0A46">
        <w:rPr>
          <w:rFonts w:ascii="Sylfaen" w:hAnsi="Sylfaen"/>
          <w:sz w:val="24"/>
          <w:szCs w:val="24"/>
        </w:rPr>
        <w:t>, political or religious indoctrination.</w:t>
      </w:r>
      <w:r w:rsidR="00EF2A00" w:rsidRPr="00FE0A46">
        <w:rPr>
          <w:rStyle w:val="FootnoteReference"/>
          <w:rFonts w:ascii="Sylfaen" w:hAnsi="Sylfaen"/>
          <w:sz w:val="24"/>
          <w:szCs w:val="24"/>
        </w:rPr>
        <w:footnoteReference w:id="24"/>
      </w:r>
      <w:r w:rsidR="00EF2A00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EF2A00" w:rsidRPr="00FE0A46">
        <w:rPr>
          <w:rFonts w:ascii="Sylfaen" w:hAnsi="Sylfaen"/>
          <w:sz w:val="24"/>
          <w:szCs w:val="24"/>
        </w:rPr>
        <w:t>Schools are also allowed to introduce neutral, non-discriminatory restrictions during school time or on the premises if there is an imminent threat of spreading obscenity, incitement</w:t>
      </w:r>
      <w:r w:rsidR="00EF2A00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EF2A00" w:rsidRPr="00FE0A46">
        <w:rPr>
          <w:rFonts w:ascii="Sylfaen" w:hAnsi="Sylfaen"/>
          <w:sz w:val="24"/>
          <w:szCs w:val="24"/>
        </w:rPr>
        <w:t>to ethnic or religious hatred or violence.</w:t>
      </w:r>
      <w:r w:rsidR="00EF2A00" w:rsidRPr="00FE0A46">
        <w:rPr>
          <w:rStyle w:val="FootnoteReference"/>
          <w:rFonts w:ascii="Sylfaen" w:hAnsi="Sylfaen"/>
          <w:sz w:val="24"/>
          <w:szCs w:val="24"/>
        </w:rPr>
        <w:footnoteReference w:id="25"/>
      </w:r>
    </w:p>
    <w:p w14:paraId="31427590" w14:textId="2DD81720" w:rsidR="00EF2A00" w:rsidRPr="00FE0A46" w:rsidRDefault="00F81201" w:rsidP="003C7100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FE0A46">
        <w:rPr>
          <w:rFonts w:ascii="Sylfaen" w:hAnsi="Sylfaen"/>
          <w:b/>
          <w:bCs/>
          <w:sz w:val="24"/>
          <w:szCs w:val="24"/>
          <w:lang w:val="ka-GE"/>
        </w:rPr>
        <w:t xml:space="preserve">Autonomy of </w:t>
      </w:r>
      <w:r w:rsidR="00C1649B" w:rsidRPr="00FE0A46">
        <w:rPr>
          <w:rFonts w:ascii="Sylfaen" w:hAnsi="Sylfaen"/>
          <w:b/>
          <w:bCs/>
          <w:sz w:val="24"/>
          <w:szCs w:val="24"/>
        </w:rPr>
        <w:t>E</w:t>
      </w:r>
      <w:r w:rsidRPr="00FE0A46">
        <w:rPr>
          <w:rFonts w:ascii="Sylfaen" w:hAnsi="Sylfaen"/>
          <w:b/>
          <w:bCs/>
          <w:sz w:val="24"/>
          <w:szCs w:val="24"/>
          <w:lang w:val="ka-GE"/>
        </w:rPr>
        <w:t xml:space="preserve">ducational </w:t>
      </w:r>
      <w:r w:rsidR="00C1649B" w:rsidRPr="00FE0A46">
        <w:rPr>
          <w:rFonts w:ascii="Sylfaen" w:hAnsi="Sylfaen"/>
          <w:b/>
          <w:bCs/>
          <w:sz w:val="24"/>
          <w:szCs w:val="24"/>
        </w:rPr>
        <w:t>I</w:t>
      </w:r>
      <w:r w:rsidRPr="00FE0A46">
        <w:rPr>
          <w:rFonts w:ascii="Sylfaen" w:hAnsi="Sylfaen"/>
          <w:b/>
          <w:bCs/>
          <w:sz w:val="24"/>
          <w:szCs w:val="24"/>
          <w:lang w:val="ka-GE"/>
        </w:rPr>
        <w:t>nstitutions</w:t>
      </w:r>
    </w:p>
    <w:p w14:paraId="4184B2BB" w14:textId="77777777" w:rsidR="00697F56" w:rsidRPr="00FE0A46" w:rsidRDefault="00F81201" w:rsidP="003C7100">
      <w:pPr>
        <w:jc w:val="both"/>
        <w:rPr>
          <w:rFonts w:ascii="Sylfaen" w:hAnsi="Sylfaen"/>
          <w:i/>
          <w:iCs/>
          <w:sz w:val="24"/>
          <w:szCs w:val="24"/>
        </w:rPr>
      </w:pPr>
      <w:r w:rsidRPr="00FE0A46">
        <w:rPr>
          <w:rFonts w:ascii="Sylfaen" w:hAnsi="Sylfaen"/>
          <w:i/>
          <w:iCs/>
          <w:sz w:val="24"/>
          <w:szCs w:val="24"/>
        </w:rPr>
        <w:t>Higher Education Institutions</w:t>
      </w:r>
    </w:p>
    <w:p w14:paraId="5E1CB78F" w14:textId="11BC7D70" w:rsidR="00F81201" w:rsidRPr="00FE0A46" w:rsidRDefault="00697F56" w:rsidP="007B6CEF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>Article 27 of the Constitution provides autonomy as a guarantee only for higher education institutions.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26"/>
      </w:r>
      <w:r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Pr="00FE0A46">
        <w:rPr>
          <w:rFonts w:ascii="Sylfaen" w:hAnsi="Sylfaen"/>
          <w:sz w:val="24"/>
          <w:szCs w:val="24"/>
        </w:rPr>
        <w:t>However, the document does not provide its definition.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27"/>
      </w:r>
      <w:r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3C2806" w:rsidRPr="00FE0A46">
        <w:rPr>
          <w:rFonts w:ascii="Sylfaen" w:hAnsi="Sylfaen"/>
          <w:sz w:val="24"/>
          <w:szCs w:val="24"/>
        </w:rPr>
        <w:t>On the other hand</w:t>
      </w:r>
      <w:r w:rsidRPr="00FE0A46">
        <w:rPr>
          <w:rFonts w:ascii="Sylfaen" w:hAnsi="Sylfaen"/>
          <w:sz w:val="24"/>
          <w:szCs w:val="24"/>
        </w:rPr>
        <w:t xml:space="preserve">, the Higher Education Act states that autonomy is the right of the institutions and their main educational units to independently </w:t>
      </w:r>
      <w:r w:rsidR="00BC2485" w:rsidRPr="00FE0A46">
        <w:rPr>
          <w:rFonts w:ascii="Sylfaen" w:hAnsi="Sylfaen"/>
          <w:sz w:val="24"/>
          <w:szCs w:val="24"/>
        </w:rPr>
        <w:t>“</w:t>
      </w:r>
      <w:r w:rsidR="007B6CEF" w:rsidRPr="00FE0A46">
        <w:rPr>
          <w:rFonts w:ascii="Sylfaen" w:hAnsi="Sylfaen"/>
          <w:sz w:val="24"/>
          <w:szCs w:val="24"/>
        </w:rPr>
        <w:t>determine and carry out academic, financial, economic and administrative activities…”</w:t>
      </w:r>
      <w:r w:rsidR="007B6CEF" w:rsidRPr="00FE0A46">
        <w:rPr>
          <w:rStyle w:val="FootnoteReference"/>
          <w:rFonts w:ascii="Sylfaen" w:hAnsi="Sylfaen"/>
          <w:sz w:val="24"/>
          <w:szCs w:val="24"/>
        </w:rPr>
        <w:footnoteReference w:id="28"/>
      </w:r>
    </w:p>
    <w:p w14:paraId="642D3A97" w14:textId="035C674C" w:rsidR="007B6CEF" w:rsidRPr="00FE0A46" w:rsidRDefault="007B6CEF" w:rsidP="007B6CEF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>This provision guarantees the right of academic institutions to form their governing bodies, hire administrative and academic personnel coupled with creating educational programs</w:t>
      </w:r>
      <w:r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Pr="00FE0A46">
        <w:rPr>
          <w:rFonts w:ascii="Sylfaen" w:hAnsi="Sylfaen"/>
          <w:sz w:val="24"/>
          <w:szCs w:val="24"/>
        </w:rPr>
        <w:t>without interference from the state.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29"/>
      </w:r>
      <w:r w:rsidRPr="00FE0A46">
        <w:rPr>
          <w:rFonts w:ascii="Sylfaen" w:hAnsi="Sylfaen"/>
          <w:sz w:val="24"/>
          <w:szCs w:val="24"/>
        </w:rPr>
        <w:t xml:space="preserve"> However, academic </w:t>
      </w:r>
      <w:r w:rsidR="003024CB" w:rsidRPr="00FE0A46">
        <w:rPr>
          <w:rFonts w:ascii="Sylfaen" w:hAnsi="Sylfaen"/>
          <w:sz w:val="24"/>
          <w:szCs w:val="24"/>
        </w:rPr>
        <w:t xml:space="preserve">programs, created by the institutions, should be submitted to the state to </w:t>
      </w:r>
      <w:r w:rsidR="00BC2485" w:rsidRPr="00FE0A46">
        <w:rPr>
          <w:rFonts w:ascii="Sylfaen" w:hAnsi="Sylfaen"/>
          <w:sz w:val="24"/>
          <w:szCs w:val="24"/>
        </w:rPr>
        <w:t>evaluate</w:t>
      </w:r>
      <w:r w:rsidR="003024CB" w:rsidRPr="00FE0A46">
        <w:rPr>
          <w:rFonts w:ascii="Sylfaen" w:hAnsi="Sylfaen"/>
          <w:sz w:val="24"/>
          <w:szCs w:val="24"/>
        </w:rPr>
        <w:t xml:space="preserve"> their compliance with the </w:t>
      </w:r>
      <w:r w:rsidR="003024CB" w:rsidRPr="00FE0A46">
        <w:rPr>
          <w:rFonts w:ascii="Sylfaen" w:hAnsi="Sylfaen"/>
          <w:sz w:val="24"/>
          <w:szCs w:val="24"/>
        </w:rPr>
        <w:lastRenderedPageBreak/>
        <w:t xml:space="preserve">accreditation standards.  </w:t>
      </w:r>
      <w:r w:rsidR="009F506A" w:rsidRPr="00FE0A46">
        <w:rPr>
          <w:rFonts w:ascii="Sylfaen" w:hAnsi="Sylfaen"/>
          <w:sz w:val="24"/>
          <w:szCs w:val="24"/>
        </w:rPr>
        <w:t>Students'</w:t>
      </w:r>
      <w:r w:rsidR="003024CB" w:rsidRPr="00FE0A46">
        <w:rPr>
          <w:rFonts w:ascii="Sylfaen" w:hAnsi="Sylfaen"/>
          <w:sz w:val="24"/>
          <w:szCs w:val="24"/>
        </w:rPr>
        <w:t xml:space="preserve"> participation in the governing process is also </w:t>
      </w:r>
      <w:r w:rsidR="009B6062" w:rsidRPr="00FE0A46">
        <w:rPr>
          <w:rFonts w:ascii="Sylfaen" w:hAnsi="Sylfaen"/>
          <w:sz w:val="24"/>
          <w:szCs w:val="24"/>
        </w:rPr>
        <w:t>ensured,</w:t>
      </w:r>
      <w:r w:rsidR="003024CB" w:rsidRPr="00FE0A46">
        <w:rPr>
          <w:rFonts w:ascii="Sylfaen" w:hAnsi="Sylfaen"/>
          <w:sz w:val="24"/>
          <w:szCs w:val="24"/>
        </w:rPr>
        <w:t xml:space="preserve"> and they also </w:t>
      </w:r>
      <w:r w:rsidR="00BC2485" w:rsidRPr="00FE0A46">
        <w:rPr>
          <w:rFonts w:ascii="Sylfaen" w:hAnsi="Sylfaen"/>
          <w:sz w:val="24"/>
          <w:szCs w:val="24"/>
        </w:rPr>
        <w:t>may establish</w:t>
      </w:r>
      <w:r w:rsidR="003024CB" w:rsidRPr="00FE0A46">
        <w:rPr>
          <w:rFonts w:ascii="Sylfaen" w:hAnsi="Sylfaen"/>
          <w:sz w:val="24"/>
          <w:szCs w:val="24"/>
        </w:rPr>
        <w:t xml:space="preserve"> students’ self-governing bod</w:t>
      </w:r>
      <w:r w:rsidR="00BC2485" w:rsidRPr="00FE0A46">
        <w:rPr>
          <w:rFonts w:ascii="Sylfaen" w:hAnsi="Sylfaen"/>
          <w:sz w:val="24"/>
          <w:szCs w:val="24"/>
        </w:rPr>
        <w:t>ies</w:t>
      </w:r>
      <w:r w:rsidR="003024CB" w:rsidRPr="00FE0A46">
        <w:rPr>
          <w:rFonts w:ascii="Sylfaen" w:hAnsi="Sylfaen"/>
          <w:sz w:val="24"/>
          <w:szCs w:val="24"/>
        </w:rPr>
        <w:t>.</w:t>
      </w:r>
      <w:r w:rsidR="003024CB" w:rsidRPr="00FE0A46">
        <w:rPr>
          <w:rStyle w:val="FootnoteReference"/>
          <w:rFonts w:ascii="Sylfaen" w:hAnsi="Sylfaen"/>
          <w:sz w:val="24"/>
          <w:szCs w:val="24"/>
        </w:rPr>
        <w:footnoteReference w:id="30"/>
      </w:r>
    </w:p>
    <w:p w14:paraId="19FA12BF" w14:textId="0226AC91" w:rsidR="00F81201" w:rsidRPr="00FE0A46" w:rsidRDefault="00BC2485" w:rsidP="003C7100">
      <w:pPr>
        <w:jc w:val="both"/>
        <w:rPr>
          <w:rFonts w:ascii="Sylfaen" w:hAnsi="Sylfaen"/>
          <w:i/>
          <w:iCs/>
          <w:sz w:val="24"/>
          <w:szCs w:val="24"/>
        </w:rPr>
      </w:pPr>
      <w:r w:rsidRPr="00FE0A46">
        <w:rPr>
          <w:rFonts w:ascii="Sylfaen" w:hAnsi="Sylfaen"/>
          <w:i/>
          <w:iCs/>
          <w:sz w:val="24"/>
          <w:szCs w:val="24"/>
        </w:rPr>
        <w:t>G</w:t>
      </w:r>
      <w:r w:rsidR="00F81201" w:rsidRPr="00FE0A46">
        <w:rPr>
          <w:rFonts w:ascii="Sylfaen" w:hAnsi="Sylfaen"/>
          <w:i/>
          <w:iCs/>
          <w:sz w:val="24"/>
          <w:szCs w:val="24"/>
        </w:rPr>
        <w:t>eneral Education Institutions</w:t>
      </w:r>
    </w:p>
    <w:p w14:paraId="462D1A28" w14:textId="3E5E9961" w:rsidR="009B6062" w:rsidRPr="00FE0A46" w:rsidRDefault="00632490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General Education Act also enshrines </w:t>
      </w:r>
      <w:r w:rsidR="009F506A" w:rsidRPr="00FE0A46">
        <w:rPr>
          <w:rFonts w:ascii="Sylfaen" w:hAnsi="Sylfaen"/>
          <w:sz w:val="24"/>
          <w:szCs w:val="24"/>
        </w:rPr>
        <w:t xml:space="preserve">the </w:t>
      </w:r>
      <w:r w:rsidRPr="00FE0A46">
        <w:rPr>
          <w:rFonts w:ascii="Sylfaen" w:hAnsi="Sylfaen"/>
          <w:sz w:val="24"/>
          <w:szCs w:val="24"/>
        </w:rPr>
        <w:t>principle of autonomy for schools.</w:t>
      </w:r>
      <w:r w:rsidRPr="00FE0A46">
        <w:rPr>
          <w:rStyle w:val="FootnoteReference"/>
          <w:rFonts w:ascii="Sylfaen" w:hAnsi="Sylfaen"/>
          <w:sz w:val="24"/>
          <w:szCs w:val="24"/>
        </w:rPr>
        <w:footnoteReference w:id="31"/>
      </w:r>
      <w:r w:rsidR="009B6062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BC2485" w:rsidRPr="00FE0A46">
        <w:rPr>
          <w:rFonts w:ascii="Sylfaen" w:hAnsi="Sylfaen"/>
          <w:sz w:val="24"/>
          <w:szCs w:val="24"/>
        </w:rPr>
        <w:t>S</w:t>
      </w:r>
      <w:r w:rsidR="009B6062" w:rsidRPr="00FE0A46">
        <w:rPr>
          <w:rFonts w:ascii="Sylfaen" w:hAnsi="Sylfaen"/>
          <w:sz w:val="24"/>
          <w:szCs w:val="24"/>
        </w:rPr>
        <w:t xml:space="preserve">chools are self-governing entities that are governed by </w:t>
      </w:r>
      <w:r w:rsidR="009F506A" w:rsidRPr="00FE0A46">
        <w:rPr>
          <w:rFonts w:ascii="Sylfaen" w:hAnsi="Sylfaen"/>
          <w:sz w:val="24"/>
          <w:szCs w:val="24"/>
        </w:rPr>
        <w:t xml:space="preserve">a </w:t>
      </w:r>
      <w:r w:rsidR="009B6062" w:rsidRPr="00FE0A46">
        <w:rPr>
          <w:rFonts w:ascii="Sylfaen" w:hAnsi="Sylfaen"/>
          <w:sz w:val="24"/>
          <w:szCs w:val="24"/>
        </w:rPr>
        <w:t>Board of Trustees.</w:t>
      </w:r>
      <w:r w:rsidR="009B6062" w:rsidRPr="00FE0A46">
        <w:rPr>
          <w:rStyle w:val="FootnoteReference"/>
          <w:rFonts w:ascii="Sylfaen" w:hAnsi="Sylfaen"/>
          <w:sz w:val="24"/>
          <w:szCs w:val="24"/>
        </w:rPr>
        <w:footnoteReference w:id="32"/>
      </w:r>
      <w:r w:rsidR="00BC2485" w:rsidRPr="00FE0A46">
        <w:rPr>
          <w:rFonts w:ascii="Sylfaen" w:hAnsi="Sylfaen"/>
          <w:sz w:val="24"/>
          <w:szCs w:val="24"/>
        </w:rPr>
        <w:t xml:space="preserve"> </w:t>
      </w:r>
      <w:r w:rsidR="009B6062" w:rsidRPr="00FE0A46">
        <w:rPr>
          <w:rFonts w:ascii="Sylfaen" w:hAnsi="Sylfaen"/>
          <w:sz w:val="24"/>
          <w:szCs w:val="24"/>
        </w:rPr>
        <w:t xml:space="preserve">The Board is composed </w:t>
      </w:r>
      <w:r w:rsidR="009F506A" w:rsidRPr="00FE0A46">
        <w:rPr>
          <w:rFonts w:ascii="Sylfaen" w:hAnsi="Sylfaen"/>
          <w:sz w:val="24"/>
          <w:szCs w:val="24"/>
        </w:rPr>
        <w:t>of</w:t>
      </w:r>
      <w:r w:rsidR="009B6062" w:rsidRPr="00FE0A46">
        <w:rPr>
          <w:rFonts w:ascii="Sylfaen" w:hAnsi="Sylfaen"/>
          <w:sz w:val="24"/>
          <w:szCs w:val="24"/>
        </w:rPr>
        <w:t xml:space="preserve"> teachers, parents, pupils, and a representative of the Ministry of Education</w:t>
      </w:r>
      <w:r w:rsidR="009B6062" w:rsidRPr="00FE0A46">
        <w:rPr>
          <w:rFonts w:ascii="Sylfaen" w:hAnsi="Sylfaen"/>
          <w:sz w:val="24"/>
          <w:szCs w:val="24"/>
          <w:lang w:val="ka-GE"/>
        </w:rPr>
        <w:t>.</w:t>
      </w:r>
      <w:r w:rsidR="009B6062" w:rsidRPr="00FE0A46">
        <w:rPr>
          <w:rStyle w:val="FootnoteReference"/>
          <w:rFonts w:ascii="Sylfaen" w:hAnsi="Sylfaen"/>
          <w:sz w:val="24"/>
          <w:szCs w:val="24"/>
          <w:lang w:val="ka-GE"/>
        </w:rPr>
        <w:footnoteReference w:id="33"/>
      </w:r>
      <w:r w:rsidR="009B6062" w:rsidRPr="00FE0A46">
        <w:rPr>
          <w:rFonts w:ascii="Sylfaen" w:hAnsi="Sylfaen"/>
          <w:sz w:val="24"/>
          <w:szCs w:val="24"/>
        </w:rPr>
        <w:t xml:space="preserve"> The local self-governing body is also allowed to have a member </w:t>
      </w:r>
      <w:r w:rsidR="009F506A" w:rsidRPr="00FE0A46">
        <w:rPr>
          <w:rFonts w:ascii="Sylfaen" w:hAnsi="Sylfaen"/>
          <w:sz w:val="24"/>
          <w:szCs w:val="24"/>
        </w:rPr>
        <w:t>of</w:t>
      </w:r>
      <w:r w:rsidR="009B6062" w:rsidRPr="00FE0A46">
        <w:rPr>
          <w:rFonts w:ascii="Sylfaen" w:hAnsi="Sylfaen"/>
          <w:sz w:val="24"/>
          <w:szCs w:val="24"/>
        </w:rPr>
        <w:t xml:space="preserve"> the Board.</w:t>
      </w:r>
      <w:r w:rsidR="009B6062" w:rsidRPr="00FE0A46">
        <w:rPr>
          <w:rStyle w:val="FootnoteReference"/>
          <w:rFonts w:ascii="Sylfaen" w:hAnsi="Sylfaen"/>
          <w:sz w:val="24"/>
          <w:szCs w:val="24"/>
        </w:rPr>
        <w:footnoteReference w:id="34"/>
      </w:r>
      <w:r w:rsidR="009B6062" w:rsidRPr="00FE0A46">
        <w:rPr>
          <w:rFonts w:ascii="Sylfaen" w:hAnsi="Sylfaen"/>
          <w:sz w:val="24"/>
          <w:szCs w:val="24"/>
        </w:rPr>
        <w:t xml:space="preserve"> </w:t>
      </w:r>
    </w:p>
    <w:p w14:paraId="49279D76" w14:textId="262B209D" w:rsidR="009B6062" w:rsidRPr="00FE0A46" w:rsidRDefault="009B6062" w:rsidP="003C7100">
      <w:pPr>
        <w:jc w:val="both"/>
        <w:rPr>
          <w:rFonts w:ascii="Sylfaen" w:hAnsi="Sylfaen"/>
          <w:sz w:val="24"/>
          <w:szCs w:val="24"/>
        </w:rPr>
      </w:pPr>
      <w:r w:rsidRPr="00FE0A46">
        <w:rPr>
          <w:rFonts w:ascii="Sylfaen" w:hAnsi="Sylfaen"/>
          <w:sz w:val="24"/>
          <w:szCs w:val="24"/>
        </w:rPr>
        <w:t xml:space="preserve">The Board has </w:t>
      </w:r>
      <w:r w:rsidR="00763C4D" w:rsidRPr="00FE0A46">
        <w:rPr>
          <w:rFonts w:ascii="Sylfaen" w:hAnsi="Sylfaen"/>
          <w:sz w:val="24"/>
          <w:szCs w:val="24"/>
        </w:rPr>
        <w:t xml:space="preserve">wide-ranging powers </w:t>
      </w:r>
      <w:r w:rsidR="00BC2485" w:rsidRPr="00FE0A46">
        <w:rPr>
          <w:rFonts w:ascii="Sylfaen" w:hAnsi="Sylfaen"/>
          <w:sz w:val="24"/>
          <w:szCs w:val="24"/>
        </w:rPr>
        <w:t xml:space="preserve">including </w:t>
      </w:r>
      <w:r w:rsidR="00763C4D" w:rsidRPr="00FE0A46">
        <w:rPr>
          <w:rFonts w:ascii="Sylfaen" w:hAnsi="Sylfaen"/>
          <w:sz w:val="24"/>
          <w:szCs w:val="24"/>
        </w:rPr>
        <w:t xml:space="preserve">approving the school’s budget, its curriculum and teaching materials, hiring teachers, and even electing </w:t>
      </w:r>
      <w:r w:rsidR="009F506A" w:rsidRPr="00FE0A46">
        <w:rPr>
          <w:rFonts w:ascii="Sylfaen" w:hAnsi="Sylfaen"/>
          <w:sz w:val="24"/>
          <w:szCs w:val="24"/>
        </w:rPr>
        <w:t xml:space="preserve">the </w:t>
      </w:r>
      <w:r w:rsidR="00763C4D" w:rsidRPr="00FE0A46">
        <w:rPr>
          <w:rFonts w:ascii="Sylfaen" w:hAnsi="Sylfaen"/>
          <w:sz w:val="24"/>
          <w:szCs w:val="24"/>
        </w:rPr>
        <w:t>school principal.</w:t>
      </w:r>
      <w:r w:rsidR="00763C4D" w:rsidRPr="00FE0A46">
        <w:rPr>
          <w:rStyle w:val="FootnoteReference"/>
          <w:rFonts w:ascii="Sylfaen" w:hAnsi="Sylfaen"/>
          <w:sz w:val="24"/>
          <w:szCs w:val="24"/>
        </w:rPr>
        <w:footnoteReference w:id="35"/>
      </w:r>
      <w:r w:rsidR="00763C4D" w:rsidRPr="00FE0A46">
        <w:rPr>
          <w:rFonts w:ascii="Sylfaen" w:hAnsi="Sylfaen"/>
          <w:sz w:val="24"/>
          <w:szCs w:val="24"/>
          <w:lang w:val="ka-GE"/>
        </w:rPr>
        <w:t xml:space="preserve"> </w:t>
      </w:r>
      <w:r w:rsidR="00763C4D" w:rsidRPr="00FE0A46">
        <w:rPr>
          <w:rFonts w:ascii="Sylfaen" w:hAnsi="Sylfaen"/>
          <w:sz w:val="24"/>
          <w:szCs w:val="24"/>
        </w:rPr>
        <w:t xml:space="preserve">Although the Act provides that </w:t>
      </w:r>
      <w:r w:rsidR="00BC2485" w:rsidRPr="00FE0A46">
        <w:rPr>
          <w:rFonts w:ascii="Sylfaen" w:hAnsi="Sylfaen"/>
          <w:sz w:val="24"/>
          <w:szCs w:val="24"/>
        </w:rPr>
        <w:t xml:space="preserve">School Principals should </w:t>
      </w:r>
      <w:r w:rsidR="00763C4D" w:rsidRPr="00FE0A46">
        <w:rPr>
          <w:rFonts w:ascii="Sylfaen" w:hAnsi="Sylfaen"/>
          <w:sz w:val="24"/>
          <w:szCs w:val="24"/>
        </w:rPr>
        <w:t xml:space="preserve">be elected by </w:t>
      </w:r>
      <w:r w:rsidR="00BC2485" w:rsidRPr="00FE0A46">
        <w:rPr>
          <w:rFonts w:ascii="Sylfaen" w:hAnsi="Sylfaen"/>
          <w:sz w:val="24"/>
          <w:szCs w:val="24"/>
        </w:rPr>
        <w:t>the Board</w:t>
      </w:r>
      <w:r w:rsidR="00763C4D" w:rsidRPr="00FE0A46">
        <w:rPr>
          <w:rFonts w:ascii="Sylfaen" w:hAnsi="Sylfaen"/>
          <w:sz w:val="24"/>
          <w:szCs w:val="24"/>
        </w:rPr>
        <w:t xml:space="preserve">, in practice, people wishing to become </w:t>
      </w:r>
      <w:r w:rsidR="009F506A" w:rsidRPr="00FE0A46">
        <w:rPr>
          <w:rFonts w:ascii="Sylfaen" w:hAnsi="Sylfaen"/>
          <w:sz w:val="24"/>
          <w:szCs w:val="24"/>
        </w:rPr>
        <w:t>school Principals</w:t>
      </w:r>
      <w:r w:rsidR="00763C4D" w:rsidRPr="00FE0A46">
        <w:rPr>
          <w:rFonts w:ascii="Sylfaen" w:hAnsi="Sylfaen"/>
          <w:sz w:val="24"/>
          <w:szCs w:val="24"/>
        </w:rPr>
        <w:t xml:space="preserve"> should go through exams and an interview before the Ministry of Education.</w:t>
      </w:r>
      <w:r w:rsidR="00763C4D" w:rsidRPr="00FE0A46">
        <w:rPr>
          <w:rStyle w:val="FootnoteReference"/>
          <w:rFonts w:ascii="Sylfaen" w:hAnsi="Sylfaen"/>
          <w:sz w:val="24"/>
          <w:szCs w:val="24"/>
        </w:rPr>
        <w:footnoteReference w:id="36"/>
      </w:r>
      <w:r w:rsidR="00763C4D" w:rsidRPr="00FE0A46">
        <w:rPr>
          <w:rFonts w:ascii="Sylfaen" w:hAnsi="Sylfaen"/>
          <w:sz w:val="24"/>
          <w:szCs w:val="24"/>
          <w:lang w:val="ka-GE"/>
        </w:rPr>
        <w:t xml:space="preserve"> </w:t>
      </w:r>
    </w:p>
    <w:p w14:paraId="65988959" w14:textId="7C477734" w:rsidR="00F81201" w:rsidRPr="00BC2485" w:rsidRDefault="00BC2485" w:rsidP="003C7100">
      <w:pPr>
        <w:jc w:val="both"/>
        <w:rPr>
          <w:rFonts w:ascii="Sylfaen" w:hAnsi="Sylfaen"/>
        </w:rPr>
      </w:pPr>
      <w:r w:rsidRPr="00FE0A46">
        <w:rPr>
          <w:rFonts w:ascii="Sylfaen" w:hAnsi="Sylfaen"/>
          <w:sz w:val="24"/>
          <w:szCs w:val="24"/>
        </w:rPr>
        <w:t>B</w:t>
      </w:r>
      <w:r w:rsidR="005C154F" w:rsidRPr="00FE0A46">
        <w:rPr>
          <w:rFonts w:ascii="Sylfaen" w:hAnsi="Sylfaen"/>
          <w:sz w:val="24"/>
          <w:szCs w:val="24"/>
        </w:rPr>
        <w:t xml:space="preserve">oth teachers and students have their separate self-governing bodies at school- </w:t>
      </w:r>
      <w:r w:rsidR="00467DE5" w:rsidRPr="00FE0A46">
        <w:rPr>
          <w:rFonts w:ascii="Sylfaen" w:hAnsi="Sylfaen"/>
          <w:sz w:val="24"/>
          <w:szCs w:val="24"/>
          <w:lang w:val="ka-GE"/>
        </w:rPr>
        <w:t>t</w:t>
      </w:r>
      <w:r w:rsidR="009F506A" w:rsidRPr="00FE0A46">
        <w:rPr>
          <w:rFonts w:ascii="Sylfaen" w:hAnsi="Sylfaen"/>
          <w:sz w:val="24"/>
          <w:szCs w:val="24"/>
        </w:rPr>
        <w:t>he teachers’</w:t>
      </w:r>
      <w:r w:rsidR="005C154F" w:rsidRPr="00FE0A46">
        <w:rPr>
          <w:rFonts w:ascii="Sylfaen" w:hAnsi="Sylfaen"/>
          <w:sz w:val="24"/>
          <w:szCs w:val="24"/>
        </w:rPr>
        <w:t xml:space="preserve"> Council and </w:t>
      </w:r>
      <w:r w:rsidR="00467DE5" w:rsidRPr="00FE0A46">
        <w:rPr>
          <w:rFonts w:ascii="Sylfaen" w:hAnsi="Sylfaen"/>
          <w:sz w:val="24"/>
          <w:szCs w:val="24"/>
        </w:rPr>
        <w:t>s</w:t>
      </w:r>
      <w:r w:rsidR="005C154F" w:rsidRPr="00FE0A46">
        <w:rPr>
          <w:rFonts w:ascii="Sylfaen" w:hAnsi="Sylfaen"/>
          <w:sz w:val="24"/>
          <w:szCs w:val="24"/>
        </w:rPr>
        <w:t>tudents’ Council respectively.</w:t>
      </w:r>
      <w:r w:rsidR="005C154F" w:rsidRPr="00FE0A46">
        <w:rPr>
          <w:rStyle w:val="FootnoteReference"/>
          <w:rFonts w:ascii="Sylfaen" w:hAnsi="Sylfaen"/>
          <w:sz w:val="24"/>
          <w:szCs w:val="24"/>
        </w:rPr>
        <w:footnoteReference w:id="37"/>
      </w:r>
      <w:r w:rsidRPr="00FE0A46">
        <w:rPr>
          <w:rFonts w:ascii="Sylfaen" w:hAnsi="Sylfaen"/>
          <w:sz w:val="24"/>
          <w:szCs w:val="24"/>
        </w:rPr>
        <w:t xml:space="preserve"> </w:t>
      </w:r>
      <w:r w:rsidR="005C154F" w:rsidRPr="00FE0A46">
        <w:rPr>
          <w:rFonts w:ascii="Sylfaen" w:hAnsi="Sylfaen"/>
          <w:sz w:val="24"/>
          <w:szCs w:val="24"/>
        </w:rPr>
        <w:t xml:space="preserve">While the former is primarily tasked with selecting approved textbooks and establishing </w:t>
      </w:r>
      <w:r w:rsidR="009F506A" w:rsidRPr="00FE0A46">
        <w:rPr>
          <w:rFonts w:ascii="Sylfaen" w:hAnsi="Sylfaen"/>
          <w:sz w:val="24"/>
          <w:szCs w:val="24"/>
        </w:rPr>
        <w:t xml:space="preserve">a </w:t>
      </w:r>
      <w:r w:rsidR="005C154F" w:rsidRPr="00FE0A46">
        <w:rPr>
          <w:rFonts w:ascii="Sylfaen" w:hAnsi="Sylfaen"/>
          <w:sz w:val="24"/>
          <w:szCs w:val="24"/>
        </w:rPr>
        <w:t>schedule of lessons the latter is authorized to issue recommendations to the Board of Trustees about the schools’ development.</w:t>
      </w:r>
      <w:r w:rsidR="005C154F" w:rsidRPr="00FE0A46">
        <w:rPr>
          <w:rStyle w:val="FootnoteReference"/>
          <w:rFonts w:ascii="Sylfaen" w:hAnsi="Sylfaen"/>
          <w:sz w:val="24"/>
          <w:szCs w:val="24"/>
        </w:rPr>
        <w:footnoteReference w:id="38"/>
      </w:r>
      <w:r w:rsidR="00D76A19" w:rsidRPr="00B33120">
        <w:rPr>
          <w:rFonts w:ascii="Sylfaen" w:hAnsi="Sylfaen"/>
          <w:lang w:val="ka-GE"/>
        </w:rPr>
        <w:t xml:space="preserve"> </w:t>
      </w:r>
    </w:p>
    <w:sectPr w:rsidR="00F81201" w:rsidRPr="00BC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6905" w14:textId="77777777" w:rsidR="008A63EC" w:rsidRDefault="008A63EC" w:rsidP="00B352EE">
      <w:pPr>
        <w:spacing w:after="0" w:line="240" w:lineRule="auto"/>
      </w:pPr>
      <w:r>
        <w:separator/>
      </w:r>
    </w:p>
  </w:endnote>
  <w:endnote w:type="continuationSeparator" w:id="0">
    <w:p w14:paraId="03E9BE2F" w14:textId="77777777" w:rsidR="008A63EC" w:rsidRDefault="008A63EC" w:rsidP="00B3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7CB" w14:textId="77777777" w:rsidR="008A63EC" w:rsidRDefault="008A63EC" w:rsidP="00B352EE">
      <w:pPr>
        <w:spacing w:after="0" w:line="240" w:lineRule="auto"/>
      </w:pPr>
      <w:r>
        <w:separator/>
      </w:r>
    </w:p>
  </w:footnote>
  <w:footnote w:type="continuationSeparator" w:id="0">
    <w:p w14:paraId="2CD5F417" w14:textId="77777777" w:rsidR="008A63EC" w:rsidRDefault="008A63EC" w:rsidP="00B352EE">
      <w:pPr>
        <w:spacing w:after="0" w:line="240" w:lineRule="auto"/>
      </w:pPr>
      <w:r>
        <w:continuationSeparator/>
      </w:r>
    </w:p>
  </w:footnote>
  <w:footnote w:id="1">
    <w:p w14:paraId="308E0020" w14:textId="2BEFA689" w:rsidR="00B352EE" w:rsidRPr="00B33120" w:rsidRDefault="00B352EE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220694" w:rsidRPr="00B33120">
        <w:rPr>
          <w:rFonts w:ascii="Sylfaen" w:hAnsi="Sylfaen"/>
        </w:rPr>
        <w:t>Constitution of Georgia adopted on August 24</w:t>
      </w:r>
      <w:proofErr w:type="gramStart"/>
      <w:r w:rsidR="00220694" w:rsidRPr="00B33120">
        <w:rPr>
          <w:rFonts w:ascii="Sylfaen" w:hAnsi="Sylfaen"/>
        </w:rPr>
        <w:t xml:space="preserve"> 1995</w:t>
      </w:r>
      <w:proofErr w:type="gramEnd"/>
      <w:r w:rsidR="00220694" w:rsidRPr="00B33120">
        <w:rPr>
          <w:rFonts w:ascii="Sylfaen" w:hAnsi="Sylfaen"/>
        </w:rPr>
        <w:t xml:space="preserve"> Article 27 para. 3. </w:t>
      </w:r>
    </w:p>
  </w:footnote>
  <w:footnote w:id="2">
    <w:p w14:paraId="2738D0F6" w14:textId="7092E162" w:rsidR="00DC08AB" w:rsidRPr="00B33120" w:rsidRDefault="00DC08AB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220694" w:rsidRPr="00B33120">
        <w:rPr>
          <w:rFonts w:ascii="Sylfaen" w:hAnsi="Sylfaen"/>
        </w:rPr>
        <w:t>Higher Education Act adopted on December 21</w:t>
      </w:r>
      <w:proofErr w:type="gramStart"/>
      <w:r w:rsidR="00220694" w:rsidRPr="00B33120">
        <w:rPr>
          <w:rFonts w:ascii="Sylfaen" w:hAnsi="Sylfaen"/>
        </w:rPr>
        <w:t xml:space="preserve"> 2004</w:t>
      </w:r>
      <w:proofErr w:type="gramEnd"/>
      <w:r w:rsidR="00220694" w:rsidRPr="00B33120">
        <w:rPr>
          <w:rFonts w:ascii="Sylfaen" w:hAnsi="Sylfaen"/>
        </w:rPr>
        <w:t xml:space="preserve"> Article 2 para. c. </w:t>
      </w:r>
    </w:p>
  </w:footnote>
  <w:footnote w:id="3">
    <w:p w14:paraId="2A45C7B3" w14:textId="686D8135" w:rsidR="00E04356" w:rsidRPr="00B33120" w:rsidRDefault="00E04356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ibid, Article 3, para. 4. Circumstances in which the academic freedom may be restricted are the following: “…determining organisational issues and priorities in order to achieve freedom of scientific research; b) resolving organizational issues regarding the study process, and the issues concerning the approval of the timetable of lectures and the curricula, in order to achieve freedom of teaching; c) organising the study process and ensuring high quality studies in order to achieve freedom of learning. d) in the cases when implementation of a scientific research and publication of its results is restricted under a labour agreement, or when the results contain a state secret. </w:t>
      </w:r>
    </w:p>
  </w:footnote>
  <w:footnote w:id="4">
    <w:p w14:paraId="1A044A61" w14:textId="180CBD17" w:rsidR="003C7100" w:rsidRPr="00B33120" w:rsidRDefault="003C7100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C956F2" w:rsidRPr="00B33120">
        <w:rPr>
          <w:rFonts w:ascii="Sylfaen" w:hAnsi="Sylfaen"/>
        </w:rPr>
        <w:t xml:space="preserve">ibid, Article 37, Article </w:t>
      </w:r>
      <w:proofErr w:type="gramStart"/>
      <w:r w:rsidR="00C956F2" w:rsidRPr="00B33120">
        <w:rPr>
          <w:rFonts w:ascii="Sylfaen" w:hAnsi="Sylfaen"/>
        </w:rPr>
        <w:t>37</w:t>
      </w:r>
      <w:r w:rsidR="00C956F2" w:rsidRPr="00B33120">
        <w:rPr>
          <w:rFonts w:ascii="Sylfaen" w:hAnsi="Sylfaen"/>
          <w:vertAlign w:val="superscript"/>
        </w:rPr>
        <w:t>4</w:t>
      </w:r>
      <w:r w:rsidRPr="00B33120">
        <w:rPr>
          <w:rFonts w:ascii="Sylfaen" w:hAnsi="Sylfaen"/>
          <w:vertAlign w:val="superscript"/>
          <w:lang w:val="ka-GE"/>
        </w:rPr>
        <w:t xml:space="preserve"> </w:t>
      </w:r>
      <w:r w:rsidR="00C956F2" w:rsidRPr="00B33120">
        <w:rPr>
          <w:rFonts w:ascii="Sylfaen" w:hAnsi="Sylfaen"/>
        </w:rPr>
        <w:t>,</w:t>
      </w:r>
      <w:proofErr w:type="gramEnd"/>
      <w:r w:rsidR="00C956F2" w:rsidRPr="00B33120">
        <w:rPr>
          <w:rFonts w:ascii="Sylfaen" w:hAnsi="Sylfaen"/>
          <w:lang w:val="ka-GE"/>
        </w:rPr>
        <w:t xml:space="preserve"> </w:t>
      </w:r>
      <w:r w:rsidR="00C956F2" w:rsidRPr="00B33120">
        <w:rPr>
          <w:rFonts w:ascii="Sylfaen" w:hAnsi="Sylfaen"/>
        </w:rPr>
        <w:t>Article 43.</w:t>
      </w:r>
    </w:p>
  </w:footnote>
  <w:footnote w:id="5">
    <w:p w14:paraId="7A752881" w14:textId="35ABEDA9" w:rsidR="003C7100" w:rsidRPr="00B33120" w:rsidRDefault="003C7100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C956F2" w:rsidRPr="00B33120">
        <w:rPr>
          <w:rFonts w:ascii="Sylfaen" w:hAnsi="Sylfaen"/>
        </w:rPr>
        <w:t xml:space="preserve">ibid, Article 43 para.1 (c). </w:t>
      </w:r>
    </w:p>
  </w:footnote>
  <w:footnote w:id="6">
    <w:p w14:paraId="1BA080E7" w14:textId="4790921C" w:rsidR="003C7100" w:rsidRPr="00B33120" w:rsidRDefault="003C7100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946454" w:rsidRPr="00B33120">
        <w:rPr>
          <w:rFonts w:ascii="Sylfaen" w:hAnsi="Sylfaen"/>
        </w:rPr>
        <w:t xml:space="preserve">ibid, Article </w:t>
      </w:r>
      <w:proofErr w:type="gramStart"/>
      <w:r w:rsidR="00946454" w:rsidRPr="00B33120">
        <w:rPr>
          <w:rFonts w:ascii="Sylfaen" w:hAnsi="Sylfaen"/>
        </w:rPr>
        <w:t>8</w:t>
      </w:r>
      <w:r w:rsidR="00946454" w:rsidRPr="00B33120">
        <w:rPr>
          <w:rFonts w:ascii="Sylfaen" w:hAnsi="Sylfaen"/>
          <w:vertAlign w:val="superscript"/>
        </w:rPr>
        <w:t xml:space="preserve">1  </w:t>
      </w:r>
      <w:r w:rsidR="00946454" w:rsidRPr="00B33120">
        <w:rPr>
          <w:rFonts w:ascii="Sylfaen" w:hAnsi="Sylfaen"/>
        </w:rPr>
        <w:t>para</w:t>
      </w:r>
      <w:proofErr w:type="gramEnd"/>
      <w:r w:rsidR="00946454" w:rsidRPr="00B33120">
        <w:rPr>
          <w:rFonts w:ascii="Sylfaen" w:hAnsi="Sylfaen"/>
        </w:rPr>
        <w:t>.3</w:t>
      </w:r>
    </w:p>
  </w:footnote>
  <w:footnote w:id="7">
    <w:p w14:paraId="26C9AEC9" w14:textId="1F945A75" w:rsidR="002C4FA2" w:rsidRPr="00B33120" w:rsidRDefault="002C4FA2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946454" w:rsidRPr="00B33120">
        <w:rPr>
          <w:rFonts w:ascii="Sylfaen" w:hAnsi="Sylfaen"/>
        </w:rPr>
        <w:t xml:space="preserve">ibid, Article 37 para. 1 b and c. </w:t>
      </w:r>
    </w:p>
  </w:footnote>
  <w:footnote w:id="8">
    <w:p w14:paraId="21AF6D85" w14:textId="26ACA05B" w:rsidR="002C4FA2" w:rsidRPr="00B33120" w:rsidRDefault="002C4FA2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952F0F" w:rsidRPr="00B33120">
        <w:rPr>
          <w:rFonts w:ascii="Sylfaen" w:hAnsi="Sylfaen"/>
        </w:rPr>
        <w:t xml:space="preserve">ibid, Article </w:t>
      </w:r>
      <w:proofErr w:type="gramStart"/>
      <w:r w:rsidR="00952F0F" w:rsidRPr="00B33120">
        <w:rPr>
          <w:rFonts w:ascii="Sylfaen" w:hAnsi="Sylfaen"/>
        </w:rPr>
        <w:t>37</w:t>
      </w:r>
      <w:r w:rsidR="00952F0F" w:rsidRPr="00B33120">
        <w:rPr>
          <w:rFonts w:ascii="Sylfaen" w:hAnsi="Sylfaen"/>
          <w:vertAlign w:val="superscript"/>
        </w:rPr>
        <w:t xml:space="preserve">4 </w:t>
      </w:r>
      <w:r w:rsidR="00952F0F" w:rsidRPr="00B33120">
        <w:rPr>
          <w:rFonts w:ascii="Sylfaen" w:hAnsi="Sylfaen"/>
        </w:rPr>
        <w:t xml:space="preserve"> para</w:t>
      </w:r>
      <w:proofErr w:type="gramEnd"/>
      <w:r w:rsidR="00952F0F" w:rsidRPr="00B33120">
        <w:rPr>
          <w:rFonts w:ascii="Sylfaen" w:hAnsi="Sylfaen"/>
        </w:rPr>
        <w:t xml:space="preserve">.2. a. </w:t>
      </w:r>
    </w:p>
  </w:footnote>
  <w:footnote w:id="9">
    <w:p w14:paraId="3E21F7A0" w14:textId="5E3B47E1" w:rsidR="00306B7B" w:rsidRPr="00B33120" w:rsidRDefault="00306B7B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952F0F" w:rsidRPr="00B33120">
        <w:rPr>
          <w:rFonts w:ascii="Sylfaen" w:hAnsi="Sylfaen"/>
        </w:rPr>
        <w:t xml:space="preserve">General Proposal of Public Defender 2016 </w:t>
      </w:r>
      <w:hyperlink r:id="rId1" w:history="1">
        <w:r w:rsidR="002979AA" w:rsidRPr="00B33120">
          <w:rPr>
            <w:rStyle w:val="Hyperlink"/>
            <w:rFonts w:ascii="Sylfaen" w:hAnsi="Sylfaen"/>
          </w:rPr>
          <w:t>https://rb.gy/ce1tra</w:t>
        </w:r>
      </w:hyperlink>
      <w:r w:rsidR="002979AA" w:rsidRPr="00B33120">
        <w:rPr>
          <w:rFonts w:ascii="Sylfaen" w:hAnsi="Sylfaen"/>
        </w:rPr>
        <w:t xml:space="preserve"> [05/01/2024]; Higher Education Act </w:t>
      </w:r>
      <w:proofErr w:type="gramStart"/>
      <w:r w:rsidR="002979AA" w:rsidRPr="00B33120">
        <w:rPr>
          <w:rFonts w:ascii="Sylfaen" w:hAnsi="Sylfaen"/>
        </w:rPr>
        <w:t xml:space="preserve">Article  </w:t>
      </w:r>
      <w:r w:rsidR="002979AA" w:rsidRPr="00B33120">
        <w:rPr>
          <w:rFonts w:ascii="Sylfaen" w:hAnsi="Sylfaen"/>
          <w:lang w:val="ka-GE"/>
        </w:rPr>
        <w:t>3</w:t>
      </w:r>
      <w:proofErr w:type="gramEnd"/>
      <w:r w:rsidR="002979AA" w:rsidRPr="00B33120">
        <w:rPr>
          <w:rFonts w:ascii="Sylfaen" w:hAnsi="Sylfaen"/>
          <w:lang w:val="ka-GE"/>
        </w:rPr>
        <w:t xml:space="preserve">, </w:t>
      </w:r>
      <w:r w:rsidR="002979AA" w:rsidRPr="00B33120">
        <w:rPr>
          <w:rFonts w:ascii="Sylfaen" w:hAnsi="Sylfaen"/>
        </w:rPr>
        <w:t xml:space="preserve">para. 2. h. 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10">
    <w:p w14:paraId="3E935AA6" w14:textId="2E704931" w:rsidR="00776111" w:rsidRPr="00B33120" w:rsidRDefault="00776111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525634" w:rsidRPr="00B33120">
        <w:rPr>
          <w:rFonts w:ascii="Sylfaen" w:hAnsi="Sylfaen"/>
        </w:rPr>
        <w:t>Order 65/</w:t>
      </w:r>
      <w:r w:rsidR="00525634" w:rsidRPr="00B33120">
        <w:rPr>
          <w:rFonts w:ascii="Sylfaen" w:hAnsi="Sylfaen"/>
          <w:lang w:val="ka-GE"/>
        </w:rPr>
        <w:t xml:space="preserve">ნ </w:t>
      </w:r>
      <w:r w:rsidR="00525634" w:rsidRPr="00B33120">
        <w:rPr>
          <w:rFonts w:ascii="Sylfaen" w:hAnsi="Sylfaen"/>
        </w:rPr>
        <w:t>adopted on May 4</w:t>
      </w:r>
      <w:proofErr w:type="gramStart"/>
      <w:r w:rsidR="00525634" w:rsidRPr="00B33120">
        <w:rPr>
          <w:rFonts w:ascii="Sylfaen" w:hAnsi="Sylfaen"/>
        </w:rPr>
        <w:t xml:space="preserve"> 2011</w:t>
      </w:r>
      <w:proofErr w:type="gramEnd"/>
      <w:r w:rsidR="00525634" w:rsidRPr="00B33120">
        <w:rPr>
          <w:rFonts w:ascii="Sylfaen" w:hAnsi="Sylfaen"/>
        </w:rPr>
        <w:t xml:space="preserve"> by the Minister of Education Article 2, para.2 </w:t>
      </w:r>
      <w:hyperlink r:id="rId2" w:history="1">
        <w:r w:rsidR="00525634" w:rsidRPr="00B33120">
          <w:rPr>
            <w:rStyle w:val="Hyperlink"/>
            <w:rFonts w:ascii="Sylfaen" w:hAnsi="Sylfaen"/>
          </w:rPr>
          <w:t>https://shorturl.at/cpFTZ</w:t>
        </w:r>
      </w:hyperlink>
      <w:r w:rsidR="00525634" w:rsidRPr="00B33120">
        <w:rPr>
          <w:rFonts w:ascii="Sylfaen" w:hAnsi="Sylfaen"/>
        </w:rPr>
        <w:t xml:space="preserve"> [available only in Georgian]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11">
    <w:p w14:paraId="5BCB21A9" w14:textId="7A41F645" w:rsidR="00C8655B" w:rsidRPr="00B33120" w:rsidRDefault="00C8655B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525634" w:rsidRPr="00B33120">
        <w:rPr>
          <w:rFonts w:ascii="Sylfaen" w:hAnsi="Sylfaen"/>
        </w:rPr>
        <w:t>Vocational Education Act adopted on September 20, 2018.</w:t>
      </w:r>
    </w:p>
  </w:footnote>
  <w:footnote w:id="12">
    <w:p w14:paraId="621A958B" w14:textId="6FB4E129" w:rsidR="000D35AA" w:rsidRPr="00B33120" w:rsidRDefault="000D35AA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525634" w:rsidRPr="00B33120">
        <w:rPr>
          <w:rFonts w:ascii="Sylfaen" w:hAnsi="Sylfaen"/>
        </w:rPr>
        <w:t>ibid, Article 29 par.1 (b)</w:t>
      </w:r>
    </w:p>
  </w:footnote>
  <w:footnote w:id="13">
    <w:p w14:paraId="27CF6AAF" w14:textId="77777777" w:rsidR="00BC2485" w:rsidRPr="00B33120" w:rsidRDefault="00BC2485" w:rsidP="00BC2485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Order 80</w:t>
      </w:r>
      <w:r w:rsidRPr="00B33120">
        <w:rPr>
          <w:rFonts w:ascii="Sylfaen" w:hAnsi="Sylfaen"/>
          <w:lang w:val="ka-GE"/>
        </w:rPr>
        <w:t xml:space="preserve">/ნ </w:t>
      </w:r>
      <w:r w:rsidRPr="00B33120">
        <w:rPr>
          <w:rFonts w:ascii="Sylfaen" w:hAnsi="Sylfaen"/>
        </w:rPr>
        <w:t>Adopted on August 23</w:t>
      </w:r>
      <w:proofErr w:type="gramStart"/>
      <w:r w:rsidRPr="00B33120">
        <w:rPr>
          <w:rFonts w:ascii="Sylfaen" w:hAnsi="Sylfaen"/>
        </w:rPr>
        <w:t xml:space="preserve"> 2023</w:t>
      </w:r>
      <w:proofErr w:type="gramEnd"/>
      <w:r w:rsidRPr="00B33120">
        <w:rPr>
          <w:rFonts w:ascii="Sylfaen" w:hAnsi="Sylfaen"/>
        </w:rPr>
        <w:t xml:space="preserve"> Article 4 para. 1.</w:t>
      </w:r>
    </w:p>
  </w:footnote>
  <w:footnote w:id="14">
    <w:p w14:paraId="25625073" w14:textId="58F07723" w:rsidR="009A3793" w:rsidRPr="00B33120" w:rsidRDefault="009A3793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EE3B1D" w:rsidRPr="00B33120">
        <w:rPr>
          <w:rFonts w:ascii="Sylfaen" w:hAnsi="Sylfaen"/>
          <w:lang w:val="ka-GE"/>
        </w:rPr>
        <w:t>Vocational Education Act adopted on September 20, 2018</w:t>
      </w:r>
      <w:r w:rsidR="00EE3B1D" w:rsidRPr="00B33120">
        <w:rPr>
          <w:rFonts w:ascii="Sylfaen" w:hAnsi="Sylfaen"/>
        </w:rPr>
        <w:t xml:space="preserve"> Article </w:t>
      </w:r>
      <w:r w:rsidR="00EE3B1D" w:rsidRPr="00B33120">
        <w:rPr>
          <w:rFonts w:ascii="Sylfaen" w:hAnsi="Sylfaen"/>
          <w:lang w:val="ka-GE"/>
        </w:rPr>
        <w:t xml:space="preserve">9 </w:t>
      </w:r>
      <w:r w:rsidR="00EE3B1D" w:rsidRPr="00B33120">
        <w:rPr>
          <w:rFonts w:ascii="Sylfaen" w:hAnsi="Sylfaen"/>
        </w:rPr>
        <w:t>para. 1</w:t>
      </w:r>
    </w:p>
  </w:footnote>
  <w:footnote w:id="15">
    <w:p w14:paraId="699F48DD" w14:textId="06261D79" w:rsidR="006366B3" w:rsidRPr="00B33120" w:rsidRDefault="006366B3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EE3B1D" w:rsidRPr="00B33120">
        <w:rPr>
          <w:rFonts w:ascii="Sylfaen" w:hAnsi="Sylfaen"/>
        </w:rPr>
        <w:t xml:space="preserve">ibid, Article 28 para. 1 </w:t>
      </w:r>
    </w:p>
  </w:footnote>
  <w:footnote w:id="16">
    <w:p w14:paraId="36B04AEF" w14:textId="657CD54F" w:rsidR="00F81201" w:rsidRPr="00B33120" w:rsidRDefault="00F81201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16175C" w:rsidRPr="00B33120">
        <w:rPr>
          <w:rFonts w:ascii="Sylfaen" w:hAnsi="Sylfaen"/>
        </w:rPr>
        <w:t>i</w:t>
      </w:r>
      <w:r w:rsidR="00EE3B1D" w:rsidRPr="00B33120">
        <w:rPr>
          <w:rFonts w:ascii="Sylfaen" w:hAnsi="Sylfaen"/>
        </w:rPr>
        <w:t xml:space="preserve">bid. 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17">
    <w:p w14:paraId="42F8428D" w14:textId="34398F97" w:rsidR="006366B3" w:rsidRPr="00B33120" w:rsidRDefault="006366B3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16175C" w:rsidRPr="00B33120">
        <w:rPr>
          <w:rFonts w:ascii="Sylfaen" w:hAnsi="Sylfaen"/>
        </w:rPr>
        <w:t xml:space="preserve">For instance, see the Framework Document for Pre-School Caregivers Adopted by the Order </w:t>
      </w:r>
      <w:r w:rsidR="0016175C" w:rsidRPr="00B33120">
        <w:rPr>
          <w:rFonts w:ascii="Sylfaen" w:hAnsi="Sylfaen"/>
          <w:lang w:val="ka-GE"/>
        </w:rPr>
        <w:t xml:space="preserve">192/ნ </w:t>
      </w:r>
      <w:r w:rsidR="0016175C" w:rsidRPr="00B33120">
        <w:rPr>
          <w:rFonts w:ascii="Sylfaen" w:hAnsi="Sylfaen"/>
        </w:rPr>
        <w:t>of the Minister of Education on December 12</w:t>
      </w:r>
      <w:proofErr w:type="gramStart"/>
      <w:r w:rsidR="0016175C" w:rsidRPr="00B33120">
        <w:rPr>
          <w:rFonts w:ascii="Sylfaen" w:hAnsi="Sylfaen"/>
        </w:rPr>
        <w:t xml:space="preserve"> 2017</w:t>
      </w:r>
      <w:proofErr w:type="gramEnd"/>
      <w:r w:rsidR="0016175C" w:rsidRPr="00B33120">
        <w:rPr>
          <w:rFonts w:ascii="Sylfaen" w:hAnsi="Sylfaen"/>
        </w:rPr>
        <w:t xml:space="preserve">. </w:t>
      </w:r>
    </w:p>
  </w:footnote>
  <w:footnote w:id="18">
    <w:p w14:paraId="358C0EAD" w14:textId="3624C166" w:rsidR="003E739F" w:rsidRPr="00B33120" w:rsidRDefault="003E739F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16175C" w:rsidRPr="00B33120">
        <w:rPr>
          <w:rFonts w:ascii="Sylfaen" w:hAnsi="Sylfaen"/>
        </w:rPr>
        <w:t xml:space="preserve">ibid. </w:t>
      </w:r>
    </w:p>
  </w:footnote>
  <w:footnote w:id="19">
    <w:p w14:paraId="5219D022" w14:textId="47B3ED55" w:rsidR="00D51C76" w:rsidRPr="00B33120" w:rsidRDefault="00D51C76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16175C" w:rsidRPr="00B33120">
        <w:rPr>
          <w:rFonts w:ascii="Sylfaen" w:hAnsi="Sylfaen"/>
        </w:rPr>
        <w:t>General Education Act, Article 15 par. 5</w:t>
      </w:r>
      <w:r w:rsidR="00AB7951" w:rsidRPr="00B33120">
        <w:rPr>
          <w:rFonts w:ascii="Sylfaen" w:hAnsi="Sylfaen"/>
          <w:lang w:val="ka-GE"/>
        </w:rPr>
        <w:t>.</w:t>
      </w:r>
    </w:p>
  </w:footnote>
  <w:footnote w:id="20">
    <w:p w14:paraId="6CBE7174" w14:textId="6E8EAB9C" w:rsidR="00AB7951" w:rsidRPr="00B33120" w:rsidRDefault="00AB7951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FE778E" w:rsidRPr="00B33120">
        <w:rPr>
          <w:rFonts w:ascii="Sylfaen" w:hAnsi="Sylfaen"/>
          <w:sz w:val="18"/>
          <w:szCs w:val="18"/>
        </w:rPr>
        <w:t>i</w:t>
      </w:r>
      <w:r w:rsidR="0016175C" w:rsidRPr="00B33120">
        <w:rPr>
          <w:rFonts w:ascii="Sylfaen" w:hAnsi="Sylfaen"/>
          <w:sz w:val="18"/>
          <w:szCs w:val="18"/>
        </w:rPr>
        <w:t>bid, Article</w:t>
      </w:r>
      <w:r w:rsidRPr="00B33120">
        <w:rPr>
          <w:rFonts w:ascii="Sylfaen" w:hAnsi="Sylfaen"/>
          <w:sz w:val="18"/>
          <w:szCs w:val="18"/>
          <w:lang w:val="ka-GE"/>
        </w:rPr>
        <w:t xml:space="preserve"> 33</w:t>
      </w:r>
      <w:r w:rsidR="0016175C" w:rsidRPr="00B33120">
        <w:rPr>
          <w:rFonts w:ascii="Sylfaen" w:hAnsi="Sylfaen"/>
          <w:sz w:val="18"/>
          <w:szCs w:val="18"/>
        </w:rPr>
        <w:t xml:space="preserve"> para 1. d</w:t>
      </w:r>
      <w:r w:rsidRPr="00B33120">
        <w:rPr>
          <w:rFonts w:ascii="Sylfaen" w:hAnsi="Sylfaen"/>
          <w:sz w:val="18"/>
          <w:szCs w:val="18"/>
          <w:lang w:val="ka-GE"/>
        </w:rPr>
        <w:t xml:space="preserve">.  </w:t>
      </w:r>
    </w:p>
  </w:footnote>
  <w:footnote w:id="21">
    <w:p w14:paraId="3064C330" w14:textId="38DE627C" w:rsidR="00007632" w:rsidRPr="00B33120" w:rsidRDefault="00007632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FE778E" w:rsidRPr="00B33120">
        <w:rPr>
          <w:rFonts w:ascii="Sylfaen" w:hAnsi="Sylfaen"/>
        </w:rPr>
        <w:t xml:space="preserve">See Rules about Approval of School textbooks as adopted by Orders N </w:t>
      </w:r>
      <w:r w:rsidR="00FE778E" w:rsidRPr="00B33120">
        <w:rPr>
          <w:rFonts w:ascii="Sylfaen" w:hAnsi="Sylfaen"/>
          <w:lang w:val="ka-GE"/>
        </w:rPr>
        <w:t>28/ნ</w:t>
      </w:r>
      <w:r w:rsidR="00FE778E" w:rsidRPr="00B33120">
        <w:rPr>
          <w:rFonts w:ascii="Sylfaen" w:hAnsi="Sylfaen"/>
        </w:rPr>
        <w:t>, MES 0 23 0001573130</w:t>
      </w:r>
      <w:r w:rsidR="00FE778E" w:rsidRPr="00B33120">
        <w:rPr>
          <w:rFonts w:ascii="Sylfaen" w:hAnsi="Sylfaen"/>
          <w:lang w:val="ka-GE"/>
        </w:rPr>
        <w:t xml:space="preserve">, </w:t>
      </w:r>
      <w:r w:rsidR="00FE778E" w:rsidRPr="00B33120">
        <w:rPr>
          <w:rFonts w:ascii="Sylfaen" w:hAnsi="Sylfaen"/>
        </w:rPr>
        <w:t>and MES 6 23 0000032029</w:t>
      </w:r>
      <w:r w:rsidRPr="00B33120">
        <w:rPr>
          <w:rFonts w:ascii="Sylfaen" w:hAnsi="Sylfaen"/>
          <w:lang w:val="ka-GE"/>
        </w:rPr>
        <w:t>.</w:t>
      </w:r>
    </w:p>
  </w:footnote>
  <w:footnote w:id="22">
    <w:p w14:paraId="7D9CF2D7" w14:textId="7FB9A074" w:rsidR="00007632" w:rsidRPr="00B33120" w:rsidRDefault="00007632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FE778E" w:rsidRPr="00B33120">
        <w:rPr>
          <w:rFonts w:ascii="Sylfaen" w:hAnsi="Sylfaen"/>
        </w:rPr>
        <w:t>General Education Act</w:t>
      </w:r>
      <w:r w:rsidR="00FE778E" w:rsidRPr="00B33120">
        <w:rPr>
          <w:rFonts w:ascii="Sylfaen" w:hAnsi="Sylfaen"/>
          <w:lang w:val="ka-GE"/>
        </w:rPr>
        <w:t xml:space="preserve"> </w:t>
      </w:r>
      <w:r w:rsidR="00FE778E" w:rsidRPr="00B33120">
        <w:rPr>
          <w:rFonts w:ascii="Sylfaen" w:hAnsi="Sylfaen"/>
        </w:rPr>
        <w:t xml:space="preserve">Article </w:t>
      </w:r>
      <w:r w:rsidR="00FE778E" w:rsidRPr="00B33120">
        <w:rPr>
          <w:rFonts w:ascii="Sylfaen" w:hAnsi="Sylfaen"/>
          <w:lang w:val="ka-GE"/>
        </w:rPr>
        <w:t xml:space="preserve">46 </w:t>
      </w:r>
      <w:r w:rsidR="00FE778E" w:rsidRPr="00B33120">
        <w:rPr>
          <w:rFonts w:ascii="Sylfaen" w:hAnsi="Sylfaen"/>
        </w:rPr>
        <w:t>para. b.</w:t>
      </w:r>
    </w:p>
  </w:footnote>
  <w:footnote w:id="23">
    <w:p w14:paraId="286D05C0" w14:textId="4A1E7B98" w:rsidR="00BA628C" w:rsidRPr="00BC2485" w:rsidRDefault="00BA628C">
      <w:pPr>
        <w:pStyle w:val="FootnoteText"/>
        <w:rPr>
          <w:rFonts w:ascii="Sylfaen" w:hAnsi="Sylfaen"/>
          <w:lang w:val="es-ES"/>
        </w:rPr>
      </w:pPr>
      <w:r w:rsidRPr="00B33120">
        <w:rPr>
          <w:rStyle w:val="FootnoteReference"/>
          <w:rFonts w:ascii="Sylfaen" w:hAnsi="Sylfaen"/>
        </w:rPr>
        <w:footnoteRef/>
      </w:r>
      <w:r w:rsidRPr="00BC2485">
        <w:rPr>
          <w:rFonts w:ascii="Sylfaen" w:hAnsi="Sylfaen"/>
          <w:lang w:val="es-ES"/>
        </w:rPr>
        <w:t xml:space="preserve"> </w:t>
      </w:r>
      <w:proofErr w:type="spellStart"/>
      <w:r w:rsidR="00FE778E" w:rsidRPr="00BC2485">
        <w:rPr>
          <w:rFonts w:ascii="Sylfaen" w:hAnsi="Sylfaen"/>
          <w:lang w:val="es-ES"/>
        </w:rPr>
        <w:t>ibid</w:t>
      </w:r>
      <w:proofErr w:type="spellEnd"/>
      <w:r w:rsidR="00FE778E" w:rsidRPr="00BC2485">
        <w:rPr>
          <w:rFonts w:ascii="Sylfaen" w:hAnsi="Sylfaen"/>
          <w:lang w:val="es-ES"/>
        </w:rPr>
        <w:t xml:space="preserve">, </w:t>
      </w:r>
      <w:proofErr w:type="spellStart"/>
      <w:r w:rsidR="00FE778E" w:rsidRPr="00BC2485">
        <w:rPr>
          <w:rFonts w:ascii="Sylfaen" w:hAnsi="Sylfaen"/>
          <w:lang w:val="es-ES"/>
        </w:rPr>
        <w:t>Article</w:t>
      </w:r>
      <w:proofErr w:type="spellEnd"/>
      <w:r w:rsidR="00FE778E" w:rsidRPr="00BC2485">
        <w:rPr>
          <w:rFonts w:ascii="Sylfaen" w:hAnsi="Sylfaen"/>
          <w:lang w:val="es-ES"/>
        </w:rPr>
        <w:t xml:space="preserve"> 14, para. 3.</w:t>
      </w:r>
    </w:p>
  </w:footnote>
  <w:footnote w:id="24">
    <w:p w14:paraId="52A329E1" w14:textId="480F9B2B" w:rsidR="00EF2A00" w:rsidRPr="00B33120" w:rsidRDefault="00EF2A00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C2485">
        <w:rPr>
          <w:rFonts w:ascii="Sylfaen" w:hAnsi="Sylfaen"/>
          <w:lang w:val="es-ES"/>
        </w:rPr>
        <w:t xml:space="preserve"> </w:t>
      </w:r>
      <w:proofErr w:type="spellStart"/>
      <w:r w:rsidR="00FE778E" w:rsidRPr="00BC2485">
        <w:rPr>
          <w:rFonts w:ascii="Sylfaen" w:hAnsi="Sylfaen"/>
          <w:lang w:val="es-ES"/>
        </w:rPr>
        <w:t>ibid</w:t>
      </w:r>
      <w:proofErr w:type="spellEnd"/>
      <w:r w:rsidR="00FE778E" w:rsidRPr="00BC2485">
        <w:rPr>
          <w:rFonts w:ascii="Sylfaen" w:hAnsi="Sylfaen"/>
          <w:lang w:val="es-ES"/>
        </w:rPr>
        <w:t xml:space="preserve">, </w:t>
      </w:r>
      <w:proofErr w:type="spellStart"/>
      <w:r w:rsidR="00FE778E" w:rsidRPr="00BC2485">
        <w:rPr>
          <w:rFonts w:ascii="Sylfaen" w:hAnsi="Sylfaen"/>
          <w:lang w:val="es-ES"/>
        </w:rPr>
        <w:t>Article</w:t>
      </w:r>
      <w:proofErr w:type="spellEnd"/>
      <w:r w:rsidR="00FE778E" w:rsidRPr="00BC2485">
        <w:rPr>
          <w:rFonts w:ascii="Sylfaen" w:hAnsi="Sylfaen"/>
          <w:lang w:val="es-ES"/>
        </w:rPr>
        <w:t xml:space="preserve"> 13 para. </w:t>
      </w:r>
      <w:r w:rsidR="00FE778E" w:rsidRPr="00B33120">
        <w:rPr>
          <w:rFonts w:ascii="Sylfaen" w:hAnsi="Sylfaen"/>
        </w:rPr>
        <w:t xml:space="preserve">2. 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25">
    <w:p w14:paraId="681D642E" w14:textId="49813960" w:rsidR="00EF2A00" w:rsidRPr="00B33120" w:rsidRDefault="00EF2A00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D76A19" w:rsidRPr="00B33120">
        <w:rPr>
          <w:rFonts w:ascii="Sylfaen" w:hAnsi="Sylfaen"/>
        </w:rPr>
        <w:t xml:space="preserve">ibid, Article 8 par. 3. (c) 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26">
    <w:p w14:paraId="505DA43E" w14:textId="679083B1" w:rsidR="00697F56" w:rsidRPr="00B33120" w:rsidRDefault="00697F56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D76A19" w:rsidRPr="00B33120">
        <w:rPr>
          <w:rFonts w:ascii="Sylfaen" w:hAnsi="Sylfaen"/>
          <w:lang w:val="ka-GE"/>
        </w:rPr>
        <w:t>Constitution of Georgia adopted on August 24 1995 Article 27 para. 3.</w:t>
      </w:r>
    </w:p>
  </w:footnote>
  <w:footnote w:id="27">
    <w:p w14:paraId="45D0A33A" w14:textId="7B0CA1A0" w:rsidR="00697F56" w:rsidRPr="00B33120" w:rsidRDefault="00697F56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D76A19" w:rsidRPr="00B33120">
        <w:rPr>
          <w:rFonts w:ascii="Sylfaen" w:hAnsi="Sylfaen"/>
        </w:rPr>
        <w:t>ibid.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28">
    <w:p w14:paraId="774D7037" w14:textId="7EE17608" w:rsidR="007B6CEF" w:rsidRPr="00B33120" w:rsidRDefault="007B6CEF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D76A19" w:rsidRPr="00B33120">
        <w:rPr>
          <w:rFonts w:ascii="Sylfaen" w:hAnsi="Sylfaen"/>
          <w:lang w:val="ka-GE"/>
        </w:rPr>
        <w:t xml:space="preserve">Higher Education Act adopted on December 21 2004 Article 2 </w:t>
      </w:r>
      <w:r w:rsidR="00D76A19" w:rsidRPr="00B33120">
        <w:rPr>
          <w:rFonts w:ascii="Sylfaen" w:hAnsi="Sylfaen"/>
        </w:rPr>
        <w:t xml:space="preserve">paragraph b. </w:t>
      </w:r>
    </w:p>
  </w:footnote>
  <w:footnote w:id="29">
    <w:p w14:paraId="35E7036D" w14:textId="54A5FF63" w:rsidR="007B6CEF" w:rsidRPr="00B33120" w:rsidRDefault="007B6CEF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D76A19" w:rsidRPr="00B33120">
        <w:rPr>
          <w:rFonts w:ascii="Sylfaen" w:hAnsi="Sylfaen"/>
        </w:rPr>
        <w:t xml:space="preserve">ibid, Article 10 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30">
    <w:p w14:paraId="6EE6DF91" w14:textId="45A98783" w:rsidR="003024CB" w:rsidRPr="00B33120" w:rsidRDefault="003024CB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D76A19" w:rsidRPr="00B33120">
        <w:rPr>
          <w:rFonts w:ascii="Sylfaen" w:hAnsi="Sylfaen"/>
        </w:rPr>
        <w:t>ibid, Article 45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31">
    <w:p w14:paraId="1DB8ECF3" w14:textId="1D61195A" w:rsidR="00632490" w:rsidRPr="00B33120" w:rsidRDefault="00632490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B554D4" w:rsidRPr="00B33120">
        <w:rPr>
          <w:rFonts w:ascii="Sylfaen" w:hAnsi="Sylfaen"/>
        </w:rPr>
        <w:t>General Education Act Article 2 para. r</w:t>
      </w:r>
    </w:p>
  </w:footnote>
  <w:footnote w:id="32">
    <w:p w14:paraId="54CE0CDF" w14:textId="59E86C1D" w:rsidR="009B6062" w:rsidRPr="00BC2485" w:rsidRDefault="009B6062">
      <w:pPr>
        <w:pStyle w:val="FootnoteText"/>
        <w:rPr>
          <w:rFonts w:ascii="Sylfaen" w:hAnsi="Sylfaen"/>
          <w:lang w:val="es-ES"/>
        </w:rPr>
      </w:pPr>
      <w:r w:rsidRPr="00B33120">
        <w:rPr>
          <w:rStyle w:val="FootnoteReference"/>
          <w:rFonts w:ascii="Sylfaen" w:hAnsi="Sylfaen"/>
        </w:rPr>
        <w:footnoteRef/>
      </w:r>
      <w:r w:rsidRPr="00BC2485">
        <w:rPr>
          <w:rFonts w:ascii="Sylfaen" w:hAnsi="Sylfaen"/>
          <w:lang w:val="es-ES"/>
        </w:rPr>
        <w:t xml:space="preserve"> </w:t>
      </w:r>
      <w:proofErr w:type="spellStart"/>
      <w:r w:rsidR="00B554D4" w:rsidRPr="00BC2485">
        <w:rPr>
          <w:rFonts w:ascii="Sylfaen" w:hAnsi="Sylfaen"/>
          <w:lang w:val="es-ES"/>
        </w:rPr>
        <w:t>ibid</w:t>
      </w:r>
      <w:proofErr w:type="spellEnd"/>
      <w:r w:rsidR="00B554D4" w:rsidRPr="00BC2485">
        <w:rPr>
          <w:rFonts w:ascii="Sylfaen" w:hAnsi="Sylfaen"/>
          <w:lang w:val="es-ES"/>
        </w:rPr>
        <w:t xml:space="preserve">, </w:t>
      </w:r>
      <w:proofErr w:type="spellStart"/>
      <w:r w:rsidR="00B554D4" w:rsidRPr="00BC2485">
        <w:rPr>
          <w:rFonts w:ascii="Sylfaen" w:hAnsi="Sylfaen"/>
          <w:lang w:val="es-ES"/>
        </w:rPr>
        <w:t>Article</w:t>
      </w:r>
      <w:proofErr w:type="spellEnd"/>
      <w:r w:rsidR="00B554D4" w:rsidRPr="00BC2485">
        <w:rPr>
          <w:rFonts w:ascii="Sylfaen" w:hAnsi="Sylfaen"/>
          <w:lang w:val="es-ES"/>
        </w:rPr>
        <w:t xml:space="preserve"> 2, para. h</w:t>
      </w:r>
      <w:r w:rsidR="00B554D4" w:rsidRPr="00BC2485">
        <w:rPr>
          <w:rFonts w:ascii="Sylfaen" w:hAnsi="Sylfaen"/>
          <w:vertAlign w:val="superscript"/>
          <w:lang w:val="es-ES"/>
        </w:rPr>
        <w:t>2</w:t>
      </w:r>
    </w:p>
  </w:footnote>
  <w:footnote w:id="33">
    <w:p w14:paraId="31C51942" w14:textId="28705E41" w:rsidR="009B6062" w:rsidRPr="00BC2485" w:rsidRDefault="009B6062">
      <w:pPr>
        <w:pStyle w:val="FootnoteText"/>
        <w:rPr>
          <w:rFonts w:ascii="Sylfaen" w:hAnsi="Sylfaen"/>
          <w:lang w:val="es-ES"/>
        </w:rPr>
      </w:pPr>
      <w:r w:rsidRPr="00B33120">
        <w:rPr>
          <w:rStyle w:val="FootnoteReference"/>
          <w:rFonts w:ascii="Sylfaen" w:hAnsi="Sylfaen"/>
        </w:rPr>
        <w:footnoteRef/>
      </w:r>
      <w:r w:rsidRPr="00BC2485">
        <w:rPr>
          <w:rFonts w:ascii="Sylfaen" w:hAnsi="Sylfaen"/>
          <w:lang w:val="es-ES"/>
        </w:rPr>
        <w:t xml:space="preserve"> </w:t>
      </w:r>
      <w:proofErr w:type="spellStart"/>
      <w:r w:rsidR="00B554D4" w:rsidRPr="00BC2485">
        <w:rPr>
          <w:rFonts w:ascii="Sylfaen" w:hAnsi="Sylfaen"/>
          <w:lang w:val="es-ES"/>
        </w:rPr>
        <w:t>ibid</w:t>
      </w:r>
      <w:proofErr w:type="spellEnd"/>
      <w:r w:rsidR="00B554D4" w:rsidRPr="00BC2485">
        <w:rPr>
          <w:rFonts w:ascii="Sylfaen" w:hAnsi="Sylfaen"/>
          <w:lang w:val="es-ES"/>
        </w:rPr>
        <w:t xml:space="preserve">, </w:t>
      </w:r>
      <w:proofErr w:type="spellStart"/>
      <w:r w:rsidR="00B554D4" w:rsidRPr="00BC2485">
        <w:rPr>
          <w:rFonts w:ascii="Sylfaen" w:hAnsi="Sylfaen"/>
          <w:lang w:val="es-ES"/>
        </w:rPr>
        <w:t>Article</w:t>
      </w:r>
      <w:proofErr w:type="spellEnd"/>
      <w:r w:rsidR="00B554D4" w:rsidRPr="00BC2485">
        <w:rPr>
          <w:rFonts w:ascii="Sylfaen" w:hAnsi="Sylfaen"/>
          <w:lang w:val="es-ES"/>
        </w:rPr>
        <w:t xml:space="preserve"> 37 para.1 </w:t>
      </w:r>
    </w:p>
  </w:footnote>
  <w:footnote w:id="34">
    <w:p w14:paraId="0B04946C" w14:textId="73453742" w:rsidR="009B6062" w:rsidRPr="00B33120" w:rsidRDefault="009B6062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B554D4" w:rsidRPr="00B33120">
        <w:rPr>
          <w:rFonts w:ascii="Sylfaen" w:hAnsi="Sylfaen"/>
        </w:rPr>
        <w:t>ibid.</w:t>
      </w:r>
    </w:p>
  </w:footnote>
  <w:footnote w:id="35">
    <w:p w14:paraId="4CFCD032" w14:textId="3D2B199F" w:rsidR="00763C4D" w:rsidRPr="00B33120" w:rsidRDefault="00763C4D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B554D4" w:rsidRPr="00B33120">
        <w:rPr>
          <w:rFonts w:ascii="Sylfaen" w:hAnsi="Sylfaen"/>
        </w:rPr>
        <w:t>ibid, Article 38.</w:t>
      </w:r>
    </w:p>
  </w:footnote>
  <w:footnote w:id="36">
    <w:p w14:paraId="6D1FA08C" w14:textId="06928CC2" w:rsidR="00763C4D" w:rsidRPr="00B33120" w:rsidRDefault="00763C4D">
      <w:pPr>
        <w:pStyle w:val="FootnoteText"/>
        <w:rPr>
          <w:rFonts w:ascii="Sylfaen" w:hAnsi="Sylfaen"/>
        </w:rPr>
      </w:pPr>
      <w:r w:rsidRPr="00B33120">
        <w:rPr>
          <w:rStyle w:val="FootnoteReference"/>
          <w:rFonts w:ascii="Sylfaen" w:hAnsi="Sylfaen"/>
        </w:rPr>
        <w:footnoteRef/>
      </w:r>
      <w:r w:rsidRPr="00B33120">
        <w:rPr>
          <w:rFonts w:ascii="Sylfaen" w:hAnsi="Sylfaen"/>
        </w:rPr>
        <w:t xml:space="preserve"> </w:t>
      </w:r>
      <w:r w:rsidR="00B554D4" w:rsidRPr="00B33120">
        <w:rPr>
          <w:rFonts w:ascii="Sylfaen" w:hAnsi="Sylfaen"/>
        </w:rPr>
        <w:t>Order 25/</w:t>
      </w:r>
      <w:r w:rsidR="00420EAB">
        <w:rPr>
          <w:rFonts w:ascii="Sylfaen" w:hAnsi="Sylfaen"/>
          <w:lang w:val="ka-GE"/>
        </w:rPr>
        <w:t>N</w:t>
      </w:r>
      <w:r w:rsidR="00B554D4" w:rsidRPr="00B33120">
        <w:rPr>
          <w:rFonts w:ascii="Sylfaen" w:hAnsi="Sylfaen"/>
          <w:lang w:val="ka-GE"/>
        </w:rPr>
        <w:t xml:space="preserve"> </w:t>
      </w:r>
      <w:r w:rsidR="00B554D4" w:rsidRPr="00B33120">
        <w:rPr>
          <w:rFonts w:ascii="Sylfaen" w:hAnsi="Sylfaen"/>
        </w:rPr>
        <w:t>adopted by the Minister of Education on February 24</w:t>
      </w:r>
      <w:r w:rsidR="00B554D4" w:rsidRPr="00B33120">
        <w:rPr>
          <w:rFonts w:ascii="Sylfaen" w:hAnsi="Sylfaen"/>
          <w:vertAlign w:val="superscript"/>
        </w:rPr>
        <w:t>th</w:t>
      </w:r>
      <w:proofErr w:type="gramStart"/>
      <w:r w:rsidR="00B554D4" w:rsidRPr="00B33120">
        <w:rPr>
          <w:rFonts w:ascii="Sylfaen" w:hAnsi="Sylfaen"/>
        </w:rPr>
        <w:t xml:space="preserve"> 2011</w:t>
      </w:r>
      <w:proofErr w:type="gramEnd"/>
      <w:r w:rsidR="00B554D4" w:rsidRPr="00B33120">
        <w:rPr>
          <w:rFonts w:ascii="Sylfaen" w:hAnsi="Sylfaen"/>
        </w:rPr>
        <w:t xml:space="preserve"> Article </w:t>
      </w:r>
      <w:r w:rsidR="00B554D4" w:rsidRPr="00B33120">
        <w:rPr>
          <w:rFonts w:ascii="Sylfaen" w:hAnsi="Sylfaen"/>
          <w:lang w:val="ka-GE"/>
        </w:rPr>
        <w:t xml:space="preserve">20, </w:t>
      </w:r>
      <w:r w:rsidR="00B554D4" w:rsidRPr="00B33120">
        <w:rPr>
          <w:rFonts w:ascii="Sylfaen" w:hAnsi="Sylfaen"/>
        </w:rPr>
        <w:t>Article 20</w:t>
      </w:r>
      <w:r w:rsidR="00B554D4" w:rsidRPr="00B33120">
        <w:rPr>
          <w:rFonts w:ascii="Sylfaen" w:hAnsi="Sylfaen"/>
          <w:vertAlign w:val="superscript"/>
        </w:rPr>
        <w:t>1</w:t>
      </w:r>
      <w:r w:rsidR="00C1649B" w:rsidRPr="00B33120">
        <w:rPr>
          <w:rFonts w:ascii="Sylfaen" w:hAnsi="Sylfaen"/>
        </w:rPr>
        <w:t>, Article 21.</w:t>
      </w:r>
    </w:p>
  </w:footnote>
  <w:footnote w:id="37">
    <w:p w14:paraId="37729544" w14:textId="0B78278A" w:rsidR="005C154F" w:rsidRPr="00B33120" w:rsidRDefault="005C154F">
      <w:pPr>
        <w:pStyle w:val="FootnoteText"/>
        <w:rPr>
          <w:rFonts w:ascii="Sylfaen" w:hAnsi="Sylfaen"/>
          <w:lang w:val="ka-GE"/>
        </w:rPr>
      </w:pPr>
      <w:r w:rsidRPr="00B33120">
        <w:rPr>
          <w:rStyle w:val="FootnoteReference"/>
          <w:rFonts w:ascii="Sylfaen" w:hAnsi="Sylfaen"/>
        </w:rPr>
        <w:footnoteRef/>
      </w:r>
      <w:r w:rsidRPr="00BC2485">
        <w:rPr>
          <w:rFonts w:ascii="Sylfaen" w:hAnsi="Sylfaen"/>
          <w:lang w:val="es-ES"/>
        </w:rPr>
        <w:t xml:space="preserve"> </w:t>
      </w:r>
      <w:proofErr w:type="spellStart"/>
      <w:r w:rsidR="00C1649B" w:rsidRPr="00BC2485">
        <w:rPr>
          <w:rFonts w:ascii="Sylfaen" w:hAnsi="Sylfaen"/>
          <w:lang w:val="es-ES"/>
        </w:rPr>
        <w:t>ibid</w:t>
      </w:r>
      <w:proofErr w:type="spellEnd"/>
      <w:r w:rsidR="00C1649B" w:rsidRPr="00BC2485">
        <w:rPr>
          <w:rFonts w:ascii="Sylfaen" w:hAnsi="Sylfaen"/>
          <w:lang w:val="es-ES"/>
        </w:rPr>
        <w:t xml:space="preserve">, </w:t>
      </w:r>
      <w:proofErr w:type="spellStart"/>
      <w:r w:rsidR="00C1649B" w:rsidRPr="00BC2485">
        <w:rPr>
          <w:rFonts w:ascii="Sylfaen" w:hAnsi="Sylfaen"/>
          <w:lang w:val="es-ES"/>
        </w:rPr>
        <w:t>Article</w:t>
      </w:r>
      <w:proofErr w:type="spellEnd"/>
      <w:r w:rsidR="00C1649B" w:rsidRPr="00BC2485">
        <w:rPr>
          <w:rFonts w:ascii="Sylfaen" w:hAnsi="Sylfaen"/>
          <w:lang w:val="es-ES"/>
        </w:rPr>
        <w:t xml:space="preserve"> 45, 46</w:t>
      </w:r>
      <w:r w:rsidR="00C1649B" w:rsidRPr="00B33120">
        <w:rPr>
          <w:rFonts w:ascii="Sylfaen" w:hAnsi="Sylfaen"/>
          <w:lang w:val="ka-GE"/>
        </w:rPr>
        <w:t>,47</w:t>
      </w:r>
      <w:r w:rsidRPr="00B33120">
        <w:rPr>
          <w:rFonts w:ascii="Sylfaen" w:hAnsi="Sylfaen"/>
          <w:lang w:val="ka-GE"/>
        </w:rPr>
        <w:t xml:space="preserve"> </w:t>
      </w:r>
    </w:p>
  </w:footnote>
  <w:footnote w:id="38">
    <w:p w14:paraId="77A3106C" w14:textId="316785C7" w:rsidR="005C154F" w:rsidRPr="00BC2485" w:rsidRDefault="005C154F">
      <w:pPr>
        <w:pStyle w:val="FootnoteText"/>
        <w:rPr>
          <w:rFonts w:ascii="Sylfaen" w:hAnsi="Sylfaen"/>
          <w:lang w:val="es-ES"/>
        </w:rPr>
      </w:pPr>
      <w:r w:rsidRPr="00B33120">
        <w:rPr>
          <w:rStyle w:val="FootnoteReference"/>
          <w:rFonts w:ascii="Sylfaen" w:hAnsi="Sylfaen"/>
        </w:rPr>
        <w:footnoteRef/>
      </w:r>
      <w:r w:rsidRPr="00BC2485">
        <w:rPr>
          <w:rFonts w:ascii="Sylfaen" w:hAnsi="Sylfaen"/>
          <w:lang w:val="es-ES"/>
        </w:rPr>
        <w:t xml:space="preserve"> </w:t>
      </w:r>
      <w:r w:rsidR="00C1649B" w:rsidRPr="00BC2485">
        <w:rPr>
          <w:rFonts w:ascii="Sylfaen" w:hAnsi="Sylfaen"/>
          <w:lang w:val="es-ES"/>
        </w:rPr>
        <w:t xml:space="preserve">ibid.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4F"/>
    <w:rsid w:val="00007632"/>
    <w:rsid w:val="000D35AA"/>
    <w:rsid w:val="00130DF3"/>
    <w:rsid w:val="0016175C"/>
    <w:rsid w:val="00220694"/>
    <w:rsid w:val="00273019"/>
    <w:rsid w:val="002979AA"/>
    <w:rsid w:val="002B1BFE"/>
    <w:rsid w:val="002C4FA2"/>
    <w:rsid w:val="003024CB"/>
    <w:rsid w:val="00306B7B"/>
    <w:rsid w:val="003229BD"/>
    <w:rsid w:val="0032726B"/>
    <w:rsid w:val="003C2806"/>
    <w:rsid w:val="003C44CC"/>
    <w:rsid w:val="003C7100"/>
    <w:rsid w:val="003E739F"/>
    <w:rsid w:val="00420EAB"/>
    <w:rsid w:val="00467DE5"/>
    <w:rsid w:val="004B1B69"/>
    <w:rsid w:val="00525634"/>
    <w:rsid w:val="00571A19"/>
    <w:rsid w:val="005C154F"/>
    <w:rsid w:val="006134A1"/>
    <w:rsid w:val="00632490"/>
    <w:rsid w:val="006366B3"/>
    <w:rsid w:val="00697F56"/>
    <w:rsid w:val="00763C4D"/>
    <w:rsid w:val="00765A85"/>
    <w:rsid w:val="00776111"/>
    <w:rsid w:val="007B6CEF"/>
    <w:rsid w:val="008A63EC"/>
    <w:rsid w:val="00946454"/>
    <w:rsid w:val="00952F0F"/>
    <w:rsid w:val="00971A5C"/>
    <w:rsid w:val="009A1885"/>
    <w:rsid w:val="009A3793"/>
    <w:rsid w:val="009A5E45"/>
    <w:rsid w:val="009B6062"/>
    <w:rsid w:val="009F506A"/>
    <w:rsid w:val="00A92A1A"/>
    <w:rsid w:val="00A9628C"/>
    <w:rsid w:val="00AB4D4F"/>
    <w:rsid w:val="00AB7951"/>
    <w:rsid w:val="00B33120"/>
    <w:rsid w:val="00B352EE"/>
    <w:rsid w:val="00B554D4"/>
    <w:rsid w:val="00B74E8C"/>
    <w:rsid w:val="00B852EE"/>
    <w:rsid w:val="00BA628C"/>
    <w:rsid w:val="00BC2485"/>
    <w:rsid w:val="00C1649B"/>
    <w:rsid w:val="00C34442"/>
    <w:rsid w:val="00C70E6C"/>
    <w:rsid w:val="00C8655B"/>
    <w:rsid w:val="00C956F2"/>
    <w:rsid w:val="00D51C76"/>
    <w:rsid w:val="00D76A19"/>
    <w:rsid w:val="00DC08AB"/>
    <w:rsid w:val="00DC29BA"/>
    <w:rsid w:val="00E006CC"/>
    <w:rsid w:val="00E04356"/>
    <w:rsid w:val="00E72C36"/>
    <w:rsid w:val="00EE3B1D"/>
    <w:rsid w:val="00EF2A00"/>
    <w:rsid w:val="00F81201"/>
    <w:rsid w:val="00F85339"/>
    <w:rsid w:val="00FA7861"/>
    <w:rsid w:val="00FE0A46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0C10B"/>
  <w15:chartTrackingRefBased/>
  <w15:docId w15:val="{1F3DB646-AB0B-4D19-8A66-20C12792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uxlixml">
    <w:name w:val="muxlixml"/>
    <w:basedOn w:val="Normal"/>
    <w:rsid w:val="00B8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852EE"/>
    <w:rPr>
      <w:color w:val="0000FF"/>
      <w:u w:val="single"/>
    </w:rPr>
  </w:style>
  <w:style w:type="paragraph" w:customStyle="1" w:styleId="abzacixml">
    <w:name w:val="abzacixml"/>
    <w:basedOn w:val="Normal"/>
    <w:rsid w:val="00B8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2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2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2E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9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vdgiridze@ombudsman.ge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horturl.at/cpFTZ" TargetMode="External"/><Relationship Id="rId1" Type="http://schemas.openxmlformats.org/officeDocument/2006/relationships/hyperlink" Target="https://rb.gy/ce1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Public Defender of Georgia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715371FA-9D95-4EA7-8E59-D44CFE4A6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65677-D53A-4BE6-87AB-8238023C55F1}"/>
</file>

<file path=customXml/itemProps3.xml><?xml version="1.0" encoding="utf-8"?>
<ds:datastoreItem xmlns:ds="http://schemas.openxmlformats.org/officeDocument/2006/customXml" ds:itemID="{07236EC1-B699-4E6C-8F25-CE76DFD2A89C}"/>
</file>

<file path=customXml/itemProps4.xml><?xml version="1.0" encoding="utf-8"?>
<ds:datastoreItem xmlns:ds="http://schemas.openxmlformats.org/officeDocument/2006/customXml" ds:itemID="{653BF307-937A-45F3-B003-D2A12DAD7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Kvirikashvili</dc:creator>
  <cp:keywords/>
  <dc:description/>
  <cp:lastModifiedBy>Nino Berishvili</cp:lastModifiedBy>
  <cp:revision>8</cp:revision>
  <dcterms:created xsi:type="dcterms:W3CDTF">2024-01-17T13:12:00Z</dcterms:created>
  <dcterms:modified xsi:type="dcterms:W3CDTF">2024-02-01T08:55:00Z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dad1dc11a4d9de1dc712bfdaa9133d3534c0799b339f72c29aa0a1a89f2bb6d9</vt:lpwstr>
  </property>
  <property fmtid="{D5CDD505-2E9C-101B-9397-08002B2CF9AE}" pid="3" name="ContentTypeId">
    <vt:lpwstr>0x0101009D953D6983EF5F4EB0B6A5354F975E96</vt:lpwstr>
  </property>
</Properties>
</file>