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EBB" w:rsidRPr="00313EBB" w:rsidRDefault="00313EBB" w:rsidP="00313EBB">
      <w:pPr>
        <w:pStyle w:val="NoSpacing"/>
        <w:spacing w:after="240"/>
        <w:rPr>
          <w:rFonts w:ascii="Sakkal Majalla" w:hAnsi="Sakkal Majalla" w:cs="Sakkal Majalla"/>
          <w:b/>
          <w:bCs/>
          <w:color w:val="FF0000"/>
          <w:sz w:val="28"/>
          <w:szCs w:val="28"/>
          <w:rtl/>
        </w:rPr>
      </w:pPr>
      <w:bookmarkStart w:id="0" w:name="_GoBack"/>
      <w:bookmarkEnd w:id="0"/>
      <w:r w:rsidRPr="00313EBB">
        <w:rPr>
          <w:rFonts w:ascii="Sakkal Majalla" w:hAnsi="Sakkal Majalla" w:cs="Sakkal Majalla" w:hint="cs"/>
          <w:b/>
          <w:bCs/>
          <w:color w:val="FF0000"/>
          <w:sz w:val="28"/>
          <w:szCs w:val="28"/>
          <w:rtl/>
        </w:rPr>
        <w:t xml:space="preserve">ملاحظة: الإجابات اسفل الصفحات </w:t>
      </w:r>
    </w:p>
    <w:p w:rsidR="00313EBB" w:rsidRDefault="00313EBB" w:rsidP="006B233D">
      <w:pPr>
        <w:pStyle w:val="NoSpacing"/>
        <w:spacing w:after="240"/>
        <w:jc w:val="center"/>
        <w:rPr>
          <w:rFonts w:ascii="Sakkal Majalla" w:hAnsi="Sakkal Majalla" w:cs="Sakkal Majalla"/>
          <w:sz w:val="34"/>
          <w:szCs w:val="34"/>
          <w:rtl/>
        </w:rPr>
      </w:pPr>
    </w:p>
    <w:p w:rsidR="006B233D" w:rsidRDefault="006B233D" w:rsidP="006B233D">
      <w:pPr>
        <w:pStyle w:val="NoSpacing"/>
        <w:spacing w:after="240"/>
        <w:jc w:val="center"/>
        <w:rPr>
          <w:rFonts w:ascii="Sakkal Majalla" w:hAnsi="Sakkal Majalla" w:cs="Sakkal Majalla"/>
          <w:sz w:val="34"/>
          <w:szCs w:val="34"/>
          <w:rtl/>
        </w:rPr>
      </w:pPr>
      <w:r>
        <w:rPr>
          <w:rFonts w:ascii="Sakkal Majalla" w:hAnsi="Sakkal Majalla" w:cs="Sakkal Majalla" w:hint="cs"/>
          <w:sz w:val="34"/>
          <w:szCs w:val="34"/>
          <w:rtl/>
        </w:rPr>
        <w:t>استبيان</w:t>
      </w:r>
    </w:p>
    <w:p w:rsidR="006B233D" w:rsidRDefault="006B233D" w:rsidP="006B233D">
      <w:pPr>
        <w:pStyle w:val="NoSpacing"/>
        <w:spacing w:after="240"/>
        <w:jc w:val="center"/>
        <w:rPr>
          <w:rFonts w:ascii="Sakkal Majalla" w:hAnsi="Sakkal Majalla" w:cs="Sakkal Majalla"/>
          <w:sz w:val="34"/>
          <w:szCs w:val="34"/>
          <w:rtl/>
        </w:rPr>
      </w:pPr>
      <w:r>
        <w:rPr>
          <w:rFonts w:ascii="Sakkal Majalla" w:hAnsi="Sakkal Majalla" w:cs="Sakkal Majalla" w:hint="cs"/>
          <w:sz w:val="34"/>
          <w:szCs w:val="34"/>
          <w:rtl/>
        </w:rPr>
        <w:t>(ترجمة غير رسمية)</w:t>
      </w:r>
    </w:p>
    <w:p w:rsidR="006B233D" w:rsidRDefault="006B233D" w:rsidP="006B233D">
      <w:pPr>
        <w:pStyle w:val="NoSpacing"/>
        <w:spacing w:after="240"/>
        <w:jc w:val="center"/>
        <w:rPr>
          <w:rFonts w:ascii="Sakkal Majalla" w:hAnsi="Sakkal Majalla" w:cs="Sakkal Majalla"/>
          <w:sz w:val="34"/>
          <w:szCs w:val="34"/>
          <w:rtl/>
        </w:rPr>
      </w:pPr>
    </w:p>
    <w:p w:rsidR="006B233D" w:rsidRDefault="006B233D" w:rsidP="006B233D">
      <w:pPr>
        <w:pStyle w:val="NoSpacing"/>
        <w:spacing w:after="240"/>
        <w:jc w:val="both"/>
        <w:rPr>
          <w:rFonts w:ascii="Sakkal Majalla" w:hAnsi="Sakkal Majalla" w:cs="Sakkal Majalla"/>
          <w:sz w:val="34"/>
          <w:szCs w:val="34"/>
        </w:rPr>
      </w:pPr>
      <w:r>
        <w:rPr>
          <w:rFonts w:ascii="Sakkal Majalla" w:hAnsi="Sakkal Majalla" w:cs="Sakkal Majalla"/>
          <w:sz w:val="34"/>
          <w:szCs w:val="34"/>
          <w:rtl/>
        </w:rPr>
        <w:t xml:space="preserve">حسبما ورد في المذكرة، </w:t>
      </w:r>
      <w:r>
        <w:rPr>
          <w:rFonts w:ascii="Sakkal Majalla" w:hAnsi="Sakkal Majalla" w:cs="Sakkal Majalla"/>
          <w:sz w:val="34"/>
          <w:szCs w:val="34"/>
          <w:rtl/>
          <w:lang w:bidi="ar-AE"/>
        </w:rPr>
        <w:t>ي</w:t>
      </w:r>
      <w:r>
        <w:rPr>
          <w:rFonts w:ascii="Sakkal Majalla" w:hAnsi="Sakkal Majalla" w:cs="Sakkal Majalla"/>
          <w:sz w:val="34"/>
          <w:szCs w:val="34"/>
          <w:rtl/>
        </w:rPr>
        <w:t>رجو السيد ديفيد بويد من الدول الرد على الأسئلة التالية الواردة في الاستبيان:</w:t>
      </w:r>
    </w:p>
    <w:p w:rsidR="0076709A" w:rsidRPr="00D4519E" w:rsidRDefault="006B233D" w:rsidP="00D4519E">
      <w:pPr>
        <w:pStyle w:val="NoSpacing"/>
        <w:numPr>
          <w:ilvl w:val="0"/>
          <w:numId w:val="2"/>
        </w:numPr>
        <w:spacing w:after="240"/>
        <w:jc w:val="both"/>
        <w:rPr>
          <w:rFonts w:ascii="Sakkal Majalla" w:hAnsi="Sakkal Majalla" w:cs="Sakkal Majalla"/>
          <w:sz w:val="34"/>
          <w:szCs w:val="34"/>
        </w:rPr>
      </w:pPr>
      <w:r>
        <w:rPr>
          <w:rFonts w:ascii="Sakkal Majalla" w:hAnsi="Sakkal Majalla" w:cs="Sakkal Majalla"/>
          <w:sz w:val="34"/>
          <w:szCs w:val="34"/>
          <w:rtl/>
        </w:rPr>
        <w:t>يرجى تحديد الإجراءات المُفضية إلى التحول التي يتعين اتخاذها، في ضوء السياق الوطني للدولة، لتحقيق أهداف التنمية المستدامة المرتبطة مباشرة بالاستدامة البيئية (أهداف التنمية المستدامة 2 و6 و7 و11 و12 و13 و14 و15). يمكن فهم الإجراءات التحويلية على أنها "</w:t>
      </w:r>
      <w:r>
        <w:rPr>
          <w:rFonts w:ascii="Sakkal Majalla" w:hAnsi="Sakkal Majalla" w:cs="Sakkal Majalla"/>
          <w:sz w:val="34"/>
          <w:szCs w:val="34"/>
          <w:rtl/>
          <w:lang w:bidi="ar-AE"/>
        </w:rPr>
        <w:t>ال</w:t>
      </w:r>
      <w:r>
        <w:rPr>
          <w:rFonts w:ascii="Sakkal Majalla" w:hAnsi="Sakkal Majalla" w:cs="Sakkal Majalla"/>
          <w:sz w:val="34"/>
          <w:szCs w:val="34"/>
          <w:rtl/>
        </w:rPr>
        <w:t>خطوات الجريئة المُفضية إلى التحول التي تلزم بصورة ملحة للانتقال بالعالم نحو مسار قوامه الاستدامة والقدرة على الصمود".</w:t>
      </w:r>
    </w:p>
    <w:p w:rsidR="00B81CF1" w:rsidRPr="00D4519E" w:rsidRDefault="006B233D" w:rsidP="00D4519E">
      <w:pPr>
        <w:pStyle w:val="NoSpacing"/>
        <w:numPr>
          <w:ilvl w:val="0"/>
          <w:numId w:val="2"/>
        </w:numPr>
        <w:spacing w:after="240"/>
        <w:jc w:val="both"/>
        <w:rPr>
          <w:rFonts w:ascii="Sakkal Majalla" w:hAnsi="Sakkal Majalla" w:cs="Sakkal Majalla"/>
          <w:sz w:val="34"/>
          <w:szCs w:val="34"/>
          <w:rtl/>
        </w:rPr>
      </w:pPr>
      <w:r>
        <w:rPr>
          <w:rFonts w:ascii="Sakkal Majalla" w:hAnsi="Sakkal Majalla" w:cs="Sakkal Majalla"/>
          <w:sz w:val="34"/>
          <w:szCs w:val="34"/>
          <w:rtl/>
        </w:rPr>
        <w:t>يرجى تحديد الخطوات التي اتخذتها الدولة لتسريع التقدم نحو تحقيق أهداف التنمية المستدامة الثمانية التي لها أكثر الروابط البيئية المباشرة (أهداف التنمية المستدامة 2 و6 و7 و11 و12 و13 و14 و15).</w:t>
      </w:r>
    </w:p>
    <w:p w:rsidR="006B233D" w:rsidRDefault="006B233D" w:rsidP="006B233D">
      <w:pPr>
        <w:pStyle w:val="NoSpacing"/>
        <w:numPr>
          <w:ilvl w:val="0"/>
          <w:numId w:val="2"/>
        </w:numPr>
        <w:spacing w:after="240"/>
        <w:jc w:val="both"/>
        <w:rPr>
          <w:rFonts w:ascii="Sakkal Majalla" w:hAnsi="Sakkal Majalla" w:cs="Sakkal Majalla"/>
          <w:sz w:val="34"/>
          <w:szCs w:val="34"/>
        </w:rPr>
      </w:pPr>
      <w:r>
        <w:rPr>
          <w:rFonts w:ascii="Sakkal Majalla" w:hAnsi="Sakkal Majalla" w:cs="Sakkal Majalla"/>
          <w:sz w:val="34"/>
          <w:szCs w:val="34"/>
          <w:rtl/>
        </w:rPr>
        <w:t xml:space="preserve">يرجى تحديد الإجراءات المحددة التي تتخذها الدولة للوفاء بالتزاماتها بـ "عدم ترك أي أحد خلف الركب" وتحديد أولويات العمل اللازم "للوصول أولا إلى من هم أشد تخلفا عن الركب" من حيث تحقيق أهداف التنمية المستدامة 2 و6 و7 و11 و12 و13 و14 و15. </w:t>
      </w:r>
    </w:p>
    <w:p w:rsidR="006B233D" w:rsidRDefault="006B233D" w:rsidP="006B233D">
      <w:pPr>
        <w:pStyle w:val="NoSpacing"/>
        <w:numPr>
          <w:ilvl w:val="0"/>
          <w:numId w:val="2"/>
        </w:numPr>
        <w:spacing w:after="240"/>
        <w:jc w:val="both"/>
        <w:rPr>
          <w:rFonts w:ascii="Sakkal Majalla" w:hAnsi="Sakkal Majalla" w:cs="Sakkal Majalla"/>
          <w:sz w:val="34"/>
          <w:szCs w:val="34"/>
        </w:rPr>
      </w:pPr>
      <w:r>
        <w:rPr>
          <w:rFonts w:ascii="Sakkal Majalla" w:hAnsi="Sakkal Majalla" w:cs="Sakkal Majalla"/>
          <w:sz w:val="34"/>
          <w:szCs w:val="34"/>
          <w:rtl/>
        </w:rPr>
        <w:t>يرجى تقديم أمثلة محددة لأي ممارسات جيدة تودون إبرازها.</w:t>
      </w:r>
    </w:p>
    <w:p w:rsidR="004506BE" w:rsidRDefault="004506BE" w:rsidP="004506BE">
      <w:pPr>
        <w:pStyle w:val="NoSpacing"/>
        <w:bidi w:val="0"/>
        <w:spacing w:after="240"/>
        <w:ind w:left="720"/>
        <w:jc w:val="both"/>
        <w:rPr>
          <w:rFonts w:ascii="Sakkal Majalla" w:hAnsi="Sakkal Majalla" w:cs="Sakkal Majalla"/>
          <w:sz w:val="34"/>
          <w:szCs w:val="34"/>
        </w:rPr>
      </w:pPr>
    </w:p>
    <w:p w:rsidR="006B233D" w:rsidRDefault="006B233D" w:rsidP="006B233D">
      <w:pPr>
        <w:pStyle w:val="NoSpacing"/>
        <w:numPr>
          <w:ilvl w:val="0"/>
          <w:numId w:val="2"/>
        </w:numPr>
        <w:spacing w:after="240"/>
        <w:jc w:val="both"/>
        <w:rPr>
          <w:rFonts w:ascii="Sakkal Majalla" w:hAnsi="Sakkal Majalla" w:cs="Sakkal Majalla"/>
          <w:sz w:val="34"/>
          <w:szCs w:val="34"/>
        </w:rPr>
      </w:pPr>
      <w:r>
        <w:rPr>
          <w:rFonts w:ascii="Sakkal Majalla" w:hAnsi="Sakkal Majalla" w:cs="Sakkal Majalla"/>
          <w:sz w:val="34"/>
          <w:szCs w:val="34"/>
          <w:rtl/>
        </w:rPr>
        <w:lastRenderedPageBreak/>
        <w:t>يرجى تحديد مقدار الميزانية التي استثمرتها الدولة، منذ عام 2015، في الإجراءات اللازمة لتحقيق أهداف التنمية المستدامة الثمانية التي لها أكثر الروابط البيئية المباشرة (أهداف التنمية المستدامة 2 و6 و7 و11 و12 و13 و14 و15).</w:t>
      </w:r>
    </w:p>
    <w:p w:rsidR="006B233D" w:rsidRDefault="006B233D" w:rsidP="006B233D">
      <w:pPr>
        <w:pStyle w:val="NoSpacing"/>
        <w:numPr>
          <w:ilvl w:val="0"/>
          <w:numId w:val="2"/>
        </w:numPr>
        <w:spacing w:after="240"/>
        <w:jc w:val="both"/>
        <w:rPr>
          <w:rFonts w:ascii="Sakkal Majalla" w:hAnsi="Sakkal Majalla" w:cs="Sakkal Majalla"/>
          <w:sz w:val="34"/>
          <w:szCs w:val="34"/>
        </w:rPr>
      </w:pPr>
      <w:r>
        <w:rPr>
          <w:rFonts w:ascii="Sakkal Majalla" w:hAnsi="Sakkal Majalla" w:cs="Sakkal Majalla"/>
          <w:sz w:val="34"/>
          <w:szCs w:val="34"/>
          <w:rtl/>
        </w:rPr>
        <w:t xml:space="preserve">يرجى تحديد العوائق الرئيسية التي تحول دون إحراز تقدم نحو تحقيق أهداف التنمية المستدامة ذات الصلة. </w:t>
      </w:r>
    </w:p>
    <w:p w:rsidR="00F00E36" w:rsidRPr="00D4519E" w:rsidRDefault="009C0EF6" w:rsidP="00D4519E">
      <w:pPr>
        <w:pStyle w:val="NoSpacing"/>
        <w:numPr>
          <w:ilvl w:val="0"/>
          <w:numId w:val="2"/>
        </w:numPr>
        <w:spacing w:after="240"/>
        <w:jc w:val="both"/>
        <w:rPr>
          <w:rFonts w:ascii="Sakkal Majalla" w:hAnsi="Sakkal Majalla" w:cs="Sakkal Majalla"/>
          <w:sz w:val="34"/>
          <w:szCs w:val="34"/>
        </w:rPr>
      </w:pPr>
      <w:r>
        <w:rPr>
          <w:rFonts w:ascii="Sakkal Majalla" w:hAnsi="Sakkal Majalla" w:cs="Sakkal Majalla"/>
          <w:sz w:val="34"/>
          <w:szCs w:val="34"/>
          <w:rtl/>
        </w:rPr>
        <w:t xml:space="preserve">يرجى توضيح كيف يمكن أن تكون الخطوات التي تتخذها الدولة لتنفيذ حق الإنسان في بيئة نظيفة وصحية ومستدامة (المعترف به في قرار مجلس حقوق الإنسان 48/13 </w:t>
      </w:r>
      <w:r>
        <w:rPr>
          <w:rFonts w:ascii="Sakkal Majalla" w:hAnsi="Sakkal Majalla" w:cs="Sakkal Majalla"/>
          <w:sz w:val="34"/>
          <w:szCs w:val="34"/>
        </w:rPr>
        <w:t>A/HRC/RES/48/13</w:t>
      </w:r>
      <w:r>
        <w:rPr>
          <w:rFonts w:ascii="Sakkal Majalla" w:hAnsi="Sakkal Majalla" w:cs="Sakkal Majalla"/>
          <w:sz w:val="34"/>
          <w:szCs w:val="34"/>
          <w:rtl/>
        </w:rPr>
        <w:t>) حافزاً لإحراز تقدم أسرع نحو تحقيق أهداف التنمية المستدامة 2 و6 و7 و11 و12 و13 و14 و15.</w:t>
      </w:r>
    </w:p>
    <w:p w:rsidR="009C0EF6" w:rsidRDefault="009C0EF6" w:rsidP="009C0EF6">
      <w:pPr>
        <w:pStyle w:val="NoSpacing"/>
        <w:numPr>
          <w:ilvl w:val="0"/>
          <w:numId w:val="2"/>
        </w:numPr>
        <w:spacing w:after="240"/>
        <w:jc w:val="both"/>
        <w:rPr>
          <w:rFonts w:ascii="Sakkal Majalla" w:hAnsi="Sakkal Majalla" w:cs="Sakkal Majalla"/>
          <w:sz w:val="34"/>
          <w:szCs w:val="34"/>
        </w:rPr>
      </w:pPr>
      <w:r>
        <w:rPr>
          <w:rFonts w:ascii="Sakkal Majalla" w:hAnsi="Sakkal Majalla" w:cs="Sakkal Majalla"/>
          <w:sz w:val="34"/>
          <w:szCs w:val="34"/>
          <w:rtl/>
        </w:rPr>
        <w:t>يرجى توضيح كيفية إسهام زيادة المساواة بين الجنسين في إحراز تقدم أسرع نحو تحقيق أهداف التنمية المستدامة 2 و6 و7 و11 و12 و13 و14 و15.</w:t>
      </w:r>
    </w:p>
    <w:p w:rsidR="009C0EF6" w:rsidRDefault="009C0EF6" w:rsidP="009C0EF6">
      <w:pPr>
        <w:pStyle w:val="NoSpacing"/>
        <w:numPr>
          <w:ilvl w:val="0"/>
          <w:numId w:val="2"/>
        </w:numPr>
        <w:spacing w:after="240"/>
        <w:jc w:val="both"/>
        <w:rPr>
          <w:rFonts w:ascii="Sakkal Majalla" w:hAnsi="Sakkal Majalla" w:cs="Sakkal Majalla"/>
          <w:sz w:val="34"/>
          <w:szCs w:val="34"/>
        </w:rPr>
      </w:pPr>
      <w:r>
        <w:rPr>
          <w:rFonts w:ascii="Sakkal Majalla" w:hAnsi="Sakkal Majalla" w:cs="Sakkal Majalla"/>
          <w:sz w:val="34"/>
          <w:szCs w:val="34"/>
          <w:rtl/>
        </w:rPr>
        <w:t>يرجى توضيح كيفية إسهام الشركات في الإجراءات المُفضية إلى التحول وتسريع إحراز تقدم نحو تحقيق أهداف التنمية المستدامة 2 و6 و7 و11 و12 و13 و14 و15.</w:t>
      </w:r>
    </w:p>
    <w:p w:rsidR="00C97245" w:rsidRDefault="00C97245" w:rsidP="008D5967">
      <w:pPr>
        <w:pStyle w:val="NoSpacing"/>
        <w:spacing w:after="240"/>
        <w:jc w:val="both"/>
        <w:rPr>
          <w:rFonts w:ascii="Sakkal Majalla" w:hAnsi="Sakkal Majalla" w:cs="Sakkal Majalla"/>
          <w:sz w:val="34"/>
          <w:szCs w:val="34"/>
          <w:rtl/>
          <w:lang w:bidi="ar-AE"/>
        </w:rPr>
      </w:pPr>
      <w:r>
        <w:rPr>
          <w:rFonts w:ascii="Sakkal Majalla" w:hAnsi="Sakkal Majalla" w:cs="Sakkal Majalla"/>
          <w:sz w:val="34"/>
          <w:szCs w:val="34"/>
          <w:rtl/>
          <w:lang w:bidi="ar-AE"/>
        </w:rPr>
        <w:t xml:space="preserve">وفي هذا السياق، </w:t>
      </w:r>
      <w:r>
        <w:rPr>
          <w:rFonts w:ascii="Sakkal Majalla" w:hAnsi="Sakkal Majalla" w:cs="Sakkal Majalla"/>
          <w:sz w:val="34"/>
          <w:szCs w:val="34"/>
          <w:rtl/>
        </w:rPr>
        <w:t xml:space="preserve">يرجو المقرر الخاص المذكور من الدول الرد على الأسئلة الواردة في الاستبيان تم ترجمته إلى اللغة العربية، كما يرجو من الدول إرسال ردودها </w:t>
      </w:r>
      <w:r>
        <w:rPr>
          <w:rFonts w:ascii="Sakkal Majalla" w:hAnsi="Sakkal Majalla" w:cs="Sakkal Majalla"/>
          <w:b/>
          <w:bCs/>
          <w:sz w:val="34"/>
          <w:szCs w:val="34"/>
          <w:u w:val="single"/>
          <w:rtl/>
        </w:rPr>
        <w:t>باللغة الانجليزية</w:t>
      </w:r>
      <w:r>
        <w:rPr>
          <w:rFonts w:ascii="Sakkal Majalla" w:hAnsi="Sakkal Majalla" w:cs="Sakkal Majalla"/>
          <w:sz w:val="34"/>
          <w:szCs w:val="34"/>
          <w:u w:val="single"/>
          <w:rtl/>
        </w:rPr>
        <w:t xml:space="preserve"> </w:t>
      </w:r>
      <w:r>
        <w:rPr>
          <w:rFonts w:ascii="Sakkal Majalla" w:hAnsi="Sakkal Majalla" w:cs="Sakkal Majalla"/>
          <w:b/>
          <w:bCs/>
          <w:sz w:val="34"/>
          <w:szCs w:val="34"/>
          <w:u w:val="single"/>
          <w:rtl/>
        </w:rPr>
        <w:t xml:space="preserve">وفي شكل وثيقة </w:t>
      </w:r>
      <w:r>
        <w:rPr>
          <w:rFonts w:ascii="Sakkal Majalla" w:hAnsi="Sakkal Majalla" w:cs="Sakkal Majalla"/>
          <w:b/>
          <w:bCs/>
          <w:sz w:val="34"/>
          <w:szCs w:val="34"/>
          <w:u w:val="single"/>
        </w:rPr>
        <w:t>WORD</w:t>
      </w:r>
      <w:r>
        <w:rPr>
          <w:rFonts w:ascii="Sakkal Majalla" w:hAnsi="Sakkal Majalla" w:cs="Sakkal Majalla"/>
          <w:b/>
          <w:bCs/>
          <w:sz w:val="34"/>
          <w:szCs w:val="34"/>
          <w:u w:val="single"/>
          <w:rtl/>
          <w:lang w:bidi="ar-AE"/>
        </w:rPr>
        <w:t xml:space="preserve"> </w:t>
      </w:r>
      <w:r>
        <w:rPr>
          <w:rFonts w:ascii="Sakkal Majalla" w:hAnsi="Sakkal Majalla" w:cs="Sakkal Majalla" w:hint="cs"/>
          <w:b/>
          <w:bCs/>
          <w:sz w:val="34"/>
          <w:szCs w:val="34"/>
          <w:u w:val="single"/>
          <w:rtl/>
          <w:lang w:bidi="ar-AE"/>
        </w:rPr>
        <w:t>لا تتعدى</w:t>
      </w:r>
      <w:r>
        <w:rPr>
          <w:rFonts w:ascii="Sakkal Majalla" w:hAnsi="Sakkal Majalla" w:cs="Sakkal Majalla"/>
          <w:b/>
          <w:bCs/>
          <w:sz w:val="34"/>
          <w:szCs w:val="34"/>
          <w:u w:val="single"/>
          <w:rtl/>
          <w:lang w:bidi="ar-AE"/>
        </w:rPr>
        <w:t xml:space="preserve"> </w:t>
      </w:r>
      <w:r>
        <w:rPr>
          <w:rFonts w:ascii="Sakkal Majalla" w:hAnsi="Sakkal Majalla" w:cs="Sakkal Majalla"/>
          <w:b/>
          <w:bCs/>
          <w:sz w:val="34"/>
          <w:szCs w:val="34"/>
          <w:u w:val="single"/>
          <w:rtl/>
        </w:rPr>
        <w:t xml:space="preserve">خمس (05) صفحات (أو 2000 كلمة) في </w:t>
      </w:r>
      <w:r>
        <w:rPr>
          <w:rFonts w:ascii="Sakkal Majalla" w:hAnsi="Sakkal Majalla" w:cs="Sakkal Majalla"/>
          <w:b/>
          <w:bCs/>
          <w:sz w:val="34"/>
          <w:szCs w:val="34"/>
          <w:u w:val="single"/>
          <w:rtl/>
          <w:lang w:bidi="ar-AE"/>
        </w:rPr>
        <w:t>موعـد أقصـاه 15/05/2022</w:t>
      </w:r>
      <w:r>
        <w:rPr>
          <w:rFonts w:ascii="Sakkal Majalla" w:hAnsi="Sakkal Majalla" w:cs="Sakkal Majalla"/>
          <w:b/>
          <w:bCs/>
          <w:sz w:val="34"/>
          <w:szCs w:val="34"/>
          <w:rtl/>
          <w:lang w:bidi="ar-AE"/>
        </w:rPr>
        <w:t xml:space="preserve"> </w:t>
      </w:r>
      <w:r>
        <w:rPr>
          <w:rFonts w:ascii="Sakkal Majalla" w:hAnsi="Sakkal Majalla" w:cs="Sakkal Majalla"/>
          <w:sz w:val="34"/>
          <w:szCs w:val="34"/>
          <w:rtl/>
        </w:rPr>
        <w:t xml:space="preserve">، </w:t>
      </w:r>
      <w:r>
        <w:rPr>
          <w:rFonts w:ascii="Sakkal Majalla" w:hAnsi="Sakkal Majalla" w:cs="Sakkal Majalla"/>
          <w:sz w:val="34"/>
          <w:szCs w:val="34"/>
          <w:rtl/>
          <w:lang w:bidi="ar-AE"/>
        </w:rPr>
        <w:t xml:space="preserve">مع </w:t>
      </w:r>
      <w:r>
        <w:rPr>
          <w:rFonts w:ascii="Sakkal Majalla" w:hAnsi="Sakkal Majalla" w:cs="Sakkal Majalla"/>
          <w:sz w:val="34"/>
          <w:szCs w:val="34"/>
          <w:rtl/>
        </w:rPr>
        <w:t xml:space="preserve">تضمين الروابط والملاحق والمرفقات، كلما أمكن ذلك. هذا ويرجو المقرر الخاص من الدول </w:t>
      </w:r>
      <w:r>
        <w:rPr>
          <w:rFonts w:ascii="Sakkal Majalla" w:hAnsi="Sakkal Majalla" w:cs="Sakkal Majalla"/>
          <w:sz w:val="34"/>
          <w:szCs w:val="34"/>
          <w:rtl/>
          <w:lang w:bidi="ar-AE"/>
        </w:rPr>
        <w:t xml:space="preserve">توضيح ما إذا كان هناك </w:t>
      </w:r>
      <w:r>
        <w:rPr>
          <w:rFonts w:ascii="Sakkal Majalla" w:hAnsi="Sakkal Majalla" w:cs="Sakkal Majalla"/>
          <w:b/>
          <w:bCs/>
          <w:sz w:val="34"/>
          <w:szCs w:val="34"/>
          <w:u w:val="single"/>
          <w:rtl/>
          <w:lang w:bidi="ar-AE"/>
        </w:rPr>
        <w:t>مانعٌ من نشر ردودها على موقع المفوضية الالكتروني</w:t>
      </w:r>
      <w:r>
        <w:rPr>
          <w:rFonts w:ascii="Sakkal Majalla" w:hAnsi="Sakkal Majalla" w:cs="Sakkal Majalla"/>
          <w:sz w:val="34"/>
          <w:szCs w:val="34"/>
          <w:rtl/>
          <w:lang w:bidi="ar-AE"/>
        </w:rPr>
        <w:t>.</w:t>
      </w:r>
    </w:p>
    <w:p w:rsidR="00C97245" w:rsidRDefault="00C97245" w:rsidP="00C97245">
      <w:pPr>
        <w:pStyle w:val="NoSpacing"/>
        <w:spacing w:after="240"/>
        <w:ind w:left="360"/>
        <w:jc w:val="both"/>
        <w:rPr>
          <w:rFonts w:ascii="Sakkal Majalla" w:hAnsi="Sakkal Majalla" w:cs="Sakkal Majalla"/>
          <w:sz w:val="34"/>
          <w:szCs w:val="34"/>
          <w:lang w:bidi="ar-AE"/>
        </w:rPr>
      </w:pPr>
    </w:p>
    <w:p w:rsidR="00D4519E" w:rsidRDefault="00D4519E" w:rsidP="00D4519E">
      <w:pPr>
        <w:bidi/>
        <w:rPr>
          <w:rtl/>
        </w:rPr>
      </w:pPr>
    </w:p>
    <w:p w:rsidR="00B0575E" w:rsidRDefault="00B0575E" w:rsidP="00B0575E">
      <w:pPr>
        <w:bidi/>
      </w:pPr>
    </w:p>
    <w:p w:rsidR="00D4519E" w:rsidRDefault="00D4519E" w:rsidP="00D4519E">
      <w:pPr>
        <w:bidi/>
      </w:pPr>
    </w:p>
    <w:p w:rsidR="00D4519E" w:rsidRDefault="00D4519E" w:rsidP="00D4519E">
      <w:pPr>
        <w:bidi/>
      </w:pPr>
    </w:p>
    <w:p w:rsidR="00D4519E" w:rsidRDefault="00D4519E" w:rsidP="00D4519E">
      <w:pPr>
        <w:bidi/>
      </w:pPr>
    </w:p>
    <w:p w:rsidR="00D4519E" w:rsidRDefault="00D4519E" w:rsidP="00D4519E">
      <w:pPr>
        <w:bidi/>
      </w:pPr>
    </w:p>
    <w:p w:rsidR="00D4519E" w:rsidRPr="00B0575E" w:rsidRDefault="00D4519E" w:rsidP="00D4519E">
      <w:pPr>
        <w:bidi/>
        <w:rPr>
          <w:rFonts w:asciiTheme="majorBidi" w:hAnsiTheme="majorBidi" w:cstheme="majorBidi"/>
          <w:b/>
          <w:bCs/>
        </w:rPr>
      </w:pPr>
    </w:p>
    <w:p w:rsidR="00D4519E" w:rsidRPr="00B0575E" w:rsidRDefault="00D4519E" w:rsidP="00D4519E">
      <w:pPr>
        <w:bidi/>
        <w:rPr>
          <w:rFonts w:asciiTheme="majorBidi" w:hAnsiTheme="majorBidi" w:cstheme="majorBidi"/>
          <w:b/>
          <w:bCs/>
        </w:rPr>
      </w:pPr>
    </w:p>
    <w:p w:rsidR="00D4519E" w:rsidRPr="00B0575E" w:rsidRDefault="00D4519E" w:rsidP="00D4519E">
      <w:pPr>
        <w:pStyle w:val="ListParagraph"/>
        <w:numPr>
          <w:ilvl w:val="0"/>
          <w:numId w:val="2"/>
        </w:numPr>
        <w:jc w:val="both"/>
        <w:rPr>
          <w:rFonts w:asciiTheme="majorBidi" w:hAnsiTheme="majorBidi" w:cstheme="majorBidi"/>
          <w:b/>
          <w:bCs/>
        </w:rPr>
      </w:pPr>
      <w:r w:rsidRPr="00B0575E">
        <w:rPr>
          <w:rFonts w:asciiTheme="majorBidi" w:hAnsiTheme="majorBidi" w:cstheme="majorBidi"/>
          <w:b/>
          <w:bCs/>
          <w:sz w:val="34"/>
          <w:szCs w:val="34"/>
        </w:rPr>
        <w:t>SDG11: (11.6.2)</w:t>
      </w:r>
    </w:p>
    <w:p w:rsidR="00D4519E" w:rsidRPr="00B0575E" w:rsidRDefault="00D4519E" w:rsidP="00D4519E">
      <w:pPr>
        <w:pStyle w:val="NoSpacing"/>
        <w:numPr>
          <w:ilvl w:val="1"/>
          <w:numId w:val="2"/>
        </w:numPr>
        <w:bidi w:val="0"/>
        <w:spacing w:after="240" w:line="276" w:lineRule="auto"/>
        <w:jc w:val="both"/>
        <w:rPr>
          <w:rFonts w:asciiTheme="majorBidi" w:hAnsiTheme="majorBidi" w:cstheme="majorBidi"/>
          <w:b/>
          <w:bCs/>
          <w:color w:val="1F4E79" w:themeColor="accent1" w:themeShade="80"/>
        </w:rPr>
      </w:pPr>
      <w:r w:rsidRPr="00B0575E">
        <w:rPr>
          <w:rFonts w:asciiTheme="majorBidi" w:hAnsiTheme="majorBidi" w:cstheme="majorBidi"/>
          <w:b/>
          <w:bCs/>
          <w:color w:val="1F4E79" w:themeColor="accent1" w:themeShade="80"/>
        </w:rPr>
        <w:t xml:space="preserve">create a regional committee that look after the transboundary air pollution issue, identify the hotspots, create a mitigation plan and implement it to reduce the effects of the transboundary pollution that affects the countries. </w:t>
      </w:r>
    </w:p>
    <w:p w:rsidR="00D4519E" w:rsidRPr="00B0575E" w:rsidRDefault="00D4519E" w:rsidP="00D4519E">
      <w:pPr>
        <w:pStyle w:val="NoSpacing"/>
        <w:numPr>
          <w:ilvl w:val="0"/>
          <w:numId w:val="5"/>
        </w:numPr>
        <w:bidi w:val="0"/>
        <w:spacing w:after="240" w:line="276" w:lineRule="auto"/>
        <w:jc w:val="both"/>
        <w:rPr>
          <w:rFonts w:asciiTheme="majorBidi" w:hAnsiTheme="majorBidi" w:cstheme="majorBidi"/>
          <w:b/>
          <w:bCs/>
          <w:sz w:val="34"/>
          <w:szCs w:val="34"/>
          <w:lang w:val="en-GB"/>
        </w:rPr>
      </w:pPr>
      <w:r w:rsidRPr="00B0575E">
        <w:rPr>
          <w:rFonts w:asciiTheme="majorBidi" w:hAnsiTheme="majorBidi" w:cstheme="majorBidi"/>
          <w:b/>
          <w:bCs/>
          <w:sz w:val="34"/>
          <w:szCs w:val="34"/>
          <w:lang w:val="en-GB"/>
        </w:rPr>
        <w:t xml:space="preserve">SDG 12: </w:t>
      </w:r>
    </w:p>
    <w:p w:rsidR="00D4519E" w:rsidRPr="00B0575E" w:rsidRDefault="00D4519E" w:rsidP="00D4519E">
      <w:pPr>
        <w:pStyle w:val="NoSpacing"/>
        <w:numPr>
          <w:ilvl w:val="1"/>
          <w:numId w:val="5"/>
        </w:numPr>
        <w:bidi w:val="0"/>
        <w:spacing w:after="240" w:line="276" w:lineRule="auto"/>
        <w:jc w:val="both"/>
        <w:rPr>
          <w:rFonts w:asciiTheme="majorBidi" w:hAnsiTheme="majorBidi" w:cstheme="majorBidi"/>
          <w:b/>
          <w:bCs/>
          <w:color w:val="1F4E79" w:themeColor="accent1" w:themeShade="80"/>
          <w:sz w:val="34"/>
          <w:szCs w:val="34"/>
          <w:lang w:val="en-GB"/>
        </w:rPr>
      </w:pPr>
      <w:r w:rsidRPr="00B0575E">
        <w:rPr>
          <w:rFonts w:asciiTheme="majorBidi" w:hAnsiTheme="majorBidi" w:cstheme="majorBidi"/>
          <w:b/>
          <w:bCs/>
          <w:color w:val="1F4E79" w:themeColor="accent1" w:themeShade="80"/>
        </w:rPr>
        <w:t>In 2017, the concept of "Sustainable Consumption and Production" has been chosen as the main theme for the National Environment Day from year 2017 until 2019. In 2019, the Ministry of Climate Change and Environment developed a National Plan for Sustainable Consumption and Production with its strategic partners from the public and private sectors as part of the implementation of the UAE's Green Agenda 2030. The Seventeen Sustainable Development Goals, adopted by all Countries in September 2015, provide for "ensuring sustainable consumption and production patterns" as the twelfth goal to guide future actions and policies towards sustainable consumption and production.</w:t>
      </w:r>
      <w:r w:rsidRPr="00B0575E">
        <w:rPr>
          <w:rFonts w:asciiTheme="majorBidi" w:hAnsiTheme="majorBidi" w:cstheme="majorBidi"/>
          <w:b/>
          <w:bCs/>
          <w:color w:val="1F4E79" w:themeColor="accent1" w:themeShade="80"/>
          <w:sz w:val="34"/>
          <w:szCs w:val="34"/>
        </w:rPr>
        <w:t xml:space="preserve"> </w:t>
      </w:r>
    </w:p>
    <w:p w:rsidR="00D4519E" w:rsidRPr="00B0575E" w:rsidRDefault="00D4519E" w:rsidP="00D4519E">
      <w:pPr>
        <w:pStyle w:val="ListParagraph"/>
        <w:numPr>
          <w:ilvl w:val="0"/>
          <w:numId w:val="5"/>
        </w:numPr>
        <w:spacing w:line="276" w:lineRule="auto"/>
        <w:jc w:val="both"/>
        <w:rPr>
          <w:rFonts w:asciiTheme="majorBidi" w:hAnsiTheme="majorBidi" w:cstheme="majorBidi"/>
          <w:b/>
          <w:bCs/>
        </w:rPr>
      </w:pPr>
      <w:r w:rsidRPr="00B0575E">
        <w:rPr>
          <w:rFonts w:asciiTheme="majorBidi" w:hAnsiTheme="majorBidi" w:cstheme="majorBidi"/>
          <w:b/>
          <w:bCs/>
          <w:sz w:val="34"/>
          <w:szCs w:val="34"/>
        </w:rPr>
        <w:t>SDG11: (11.6.2)</w:t>
      </w:r>
    </w:p>
    <w:p w:rsidR="00D4519E" w:rsidRPr="00B0575E" w:rsidRDefault="00D4519E" w:rsidP="00D4519E">
      <w:pPr>
        <w:pStyle w:val="ListParagraph"/>
        <w:numPr>
          <w:ilvl w:val="1"/>
          <w:numId w:val="5"/>
        </w:numPr>
        <w:spacing w:line="276" w:lineRule="auto"/>
        <w:jc w:val="both"/>
        <w:rPr>
          <w:rFonts w:asciiTheme="majorBidi" w:hAnsiTheme="majorBidi" w:cstheme="majorBidi"/>
          <w:b/>
          <w:bCs/>
          <w:color w:val="1F4E79" w:themeColor="accent1" w:themeShade="80"/>
        </w:rPr>
      </w:pPr>
      <w:r w:rsidRPr="00B0575E">
        <w:rPr>
          <w:rFonts w:asciiTheme="majorBidi" w:hAnsiTheme="majorBidi" w:cstheme="majorBidi"/>
          <w:b/>
          <w:bCs/>
          <w:color w:val="1F4E79" w:themeColor="accent1" w:themeShade="80"/>
        </w:rPr>
        <w:t>In November 2020, the UAE launched its Environment Policy – a broad-ranging policy which transform the existing work to serve as a road map that ensures the country's leadership in all environmental fields at the national and global levels and Upgrading the current and future environmental situation, as the policy aims to enhance air quality and support the achievement of the Sustainable Development Goals 2030</w:t>
      </w:r>
    </w:p>
    <w:p w:rsidR="00D4519E" w:rsidRPr="00B0575E" w:rsidRDefault="00D4519E" w:rsidP="00D4519E">
      <w:pPr>
        <w:pStyle w:val="ListParagraph"/>
        <w:numPr>
          <w:ilvl w:val="1"/>
          <w:numId w:val="5"/>
        </w:numPr>
        <w:spacing w:line="276" w:lineRule="auto"/>
        <w:jc w:val="both"/>
        <w:rPr>
          <w:rFonts w:asciiTheme="majorBidi" w:hAnsiTheme="majorBidi" w:cstheme="majorBidi"/>
          <w:b/>
          <w:bCs/>
          <w:color w:val="1F4E79" w:themeColor="accent1" w:themeShade="80"/>
        </w:rPr>
      </w:pPr>
      <w:r w:rsidRPr="00B0575E">
        <w:rPr>
          <w:rFonts w:asciiTheme="majorBidi" w:hAnsiTheme="majorBidi" w:cstheme="majorBidi"/>
          <w:b/>
          <w:bCs/>
          <w:color w:val="1F4E79" w:themeColor="accent1" w:themeShade="80"/>
        </w:rPr>
        <w:t xml:space="preserve">The UAE government seeks to enhance the environment through various initiatives that are mentioned in details in the state of environment reports 2020: </w:t>
      </w:r>
      <w:hyperlink r:id="rId8" w:history="1">
        <w:r w:rsidRPr="00B0575E">
          <w:rPr>
            <w:rStyle w:val="Hyperlink"/>
            <w:rFonts w:asciiTheme="majorBidi" w:hAnsiTheme="majorBidi" w:cstheme="majorBidi"/>
            <w:b/>
            <w:bCs/>
            <w:color w:val="1F4E79" w:themeColor="accent1" w:themeShade="80"/>
          </w:rPr>
          <w:t>https://www.moccae.gov.ae/assets/618f27aa/uae-state-of-environment-report-2019.aspx</w:t>
        </w:r>
      </w:hyperlink>
    </w:p>
    <w:p w:rsidR="00D4519E" w:rsidRPr="00B0575E" w:rsidRDefault="00D4519E" w:rsidP="00D4519E">
      <w:pPr>
        <w:pStyle w:val="NormalWeb"/>
        <w:numPr>
          <w:ilvl w:val="1"/>
          <w:numId w:val="5"/>
        </w:numPr>
        <w:shd w:val="clear" w:color="auto" w:fill="FFFFFF"/>
        <w:spacing w:before="0" w:beforeAutospacing="0" w:after="0" w:afterAutospacing="0" w:line="276" w:lineRule="auto"/>
        <w:jc w:val="both"/>
        <w:rPr>
          <w:rFonts w:asciiTheme="majorBidi" w:eastAsiaTheme="minorHAnsi" w:hAnsiTheme="majorBidi" w:cstheme="majorBidi"/>
          <w:b/>
          <w:bCs/>
          <w:color w:val="1F4E79" w:themeColor="accent1" w:themeShade="80"/>
          <w:sz w:val="22"/>
          <w:szCs w:val="22"/>
          <w:lang w:val="en-GB"/>
        </w:rPr>
      </w:pPr>
      <w:r w:rsidRPr="00B0575E">
        <w:rPr>
          <w:rFonts w:asciiTheme="majorBidi" w:eastAsiaTheme="minorHAnsi" w:hAnsiTheme="majorBidi" w:cstheme="majorBidi"/>
          <w:b/>
          <w:bCs/>
          <w:color w:val="1F4E79" w:themeColor="accent1" w:themeShade="80"/>
          <w:sz w:val="22"/>
          <w:szCs w:val="22"/>
          <w:lang w:val="en-GB"/>
        </w:rPr>
        <w:t>Among the challenges that faced the indicator was the lack of a measurement of particulate matter pollutants with a diameter of less than 2.5 microns, and some monitoring devices were inconsistent with international standards, in addition to the low coverage of the monitored data received from ambient air quality monitoring stations, which gives an incorrect perception of air quality.</w:t>
      </w:r>
    </w:p>
    <w:p w:rsidR="00D4519E" w:rsidRPr="00B0575E" w:rsidRDefault="00D4519E" w:rsidP="00D4519E">
      <w:pPr>
        <w:pStyle w:val="NormalWeb"/>
        <w:shd w:val="clear" w:color="auto" w:fill="FFFFFF"/>
        <w:spacing w:before="0" w:beforeAutospacing="0" w:after="0" w:afterAutospacing="0" w:line="276" w:lineRule="auto"/>
        <w:ind w:left="1440"/>
        <w:jc w:val="both"/>
        <w:rPr>
          <w:rFonts w:asciiTheme="majorBidi" w:eastAsiaTheme="minorHAnsi" w:hAnsiTheme="majorBidi" w:cstheme="majorBidi"/>
          <w:b/>
          <w:bCs/>
          <w:color w:val="1F4E79" w:themeColor="accent1" w:themeShade="80"/>
          <w:sz w:val="22"/>
          <w:szCs w:val="22"/>
          <w:lang w:val="en-GB"/>
        </w:rPr>
      </w:pPr>
      <w:r w:rsidRPr="00B0575E">
        <w:rPr>
          <w:rFonts w:asciiTheme="majorBidi" w:eastAsiaTheme="minorHAnsi" w:hAnsiTheme="majorBidi" w:cstheme="majorBidi"/>
          <w:b/>
          <w:bCs/>
          <w:color w:val="1F4E79" w:themeColor="accent1" w:themeShade="80"/>
          <w:sz w:val="22"/>
          <w:szCs w:val="22"/>
          <w:lang w:val="en-GB"/>
        </w:rPr>
        <w:t xml:space="preserve">During the past years, the Ministry, in cooperation with the competent authorities, has replaced unapproved air quality monitoring and control devices with devices compatible with US environmental protection standards, expanded the monitoring network, and added stations, bringing the total number of stations in 2020 (54 </w:t>
      </w:r>
      <w:r w:rsidRPr="00B0575E">
        <w:rPr>
          <w:rFonts w:asciiTheme="majorBidi" w:eastAsiaTheme="minorHAnsi" w:hAnsiTheme="majorBidi" w:cstheme="majorBidi"/>
          <w:b/>
          <w:bCs/>
          <w:color w:val="1F4E79" w:themeColor="accent1" w:themeShade="80"/>
          <w:sz w:val="22"/>
          <w:szCs w:val="22"/>
          <w:lang w:val="en-GB"/>
        </w:rPr>
        <w:lastRenderedPageBreak/>
        <w:t>stations). The stations have also been upgraded, PM2.5 sensors have been included in 45 stations out of 54, and the percentage of monitored data in all state stations has improved to more than 75%, with most stations achieving 100% coverage. In addition, several joint initiatives have been undertaken to improve air quality and reduce emissions.</w:t>
      </w:r>
    </w:p>
    <w:p w:rsidR="00D4519E" w:rsidRPr="00B0575E" w:rsidRDefault="00D4519E" w:rsidP="00D4519E">
      <w:pPr>
        <w:pStyle w:val="ListParagraph"/>
        <w:spacing w:line="276" w:lineRule="auto"/>
        <w:ind w:left="1440"/>
        <w:jc w:val="both"/>
        <w:rPr>
          <w:rFonts w:asciiTheme="majorBidi" w:hAnsiTheme="majorBidi" w:cstheme="majorBidi"/>
          <w:b/>
          <w:bCs/>
        </w:rPr>
      </w:pPr>
    </w:p>
    <w:p w:rsidR="00D4519E" w:rsidRPr="00B0575E" w:rsidRDefault="00D4519E" w:rsidP="00D4519E">
      <w:pPr>
        <w:pStyle w:val="ListParagraph"/>
        <w:numPr>
          <w:ilvl w:val="0"/>
          <w:numId w:val="5"/>
        </w:numPr>
        <w:spacing w:line="276" w:lineRule="auto"/>
        <w:jc w:val="both"/>
        <w:rPr>
          <w:rFonts w:asciiTheme="majorBidi" w:hAnsiTheme="majorBidi" w:cstheme="majorBidi"/>
          <w:b/>
          <w:bCs/>
        </w:rPr>
      </w:pPr>
      <w:r w:rsidRPr="00B0575E">
        <w:rPr>
          <w:rFonts w:asciiTheme="majorBidi" w:hAnsiTheme="majorBidi" w:cstheme="majorBidi"/>
          <w:b/>
          <w:bCs/>
          <w:sz w:val="34"/>
          <w:szCs w:val="34"/>
        </w:rPr>
        <w:t>SDG 12:</w:t>
      </w:r>
    </w:p>
    <w:p w:rsidR="00D4519E" w:rsidRPr="00B0575E" w:rsidRDefault="00D4519E" w:rsidP="00D4519E">
      <w:pPr>
        <w:pStyle w:val="ListParagraph"/>
        <w:numPr>
          <w:ilvl w:val="1"/>
          <w:numId w:val="5"/>
        </w:numPr>
        <w:spacing w:line="276" w:lineRule="auto"/>
        <w:jc w:val="both"/>
        <w:rPr>
          <w:rFonts w:asciiTheme="majorBidi" w:hAnsiTheme="majorBidi" w:cstheme="majorBidi"/>
          <w:b/>
          <w:bCs/>
          <w:color w:val="1F4E79" w:themeColor="accent1" w:themeShade="80"/>
        </w:rPr>
      </w:pPr>
      <w:r w:rsidRPr="00B0575E">
        <w:rPr>
          <w:rFonts w:asciiTheme="majorBidi" w:hAnsiTheme="majorBidi" w:cstheme="majorBidi"/>
          <w:b/>
          <w:bCs/>
          <w:sz w:val="34"/>
          <w:szCs w:val="34"/>
        </w:rPr>
        <w:t xml:space="preserve"> </w:t>
      </w:r>
      <w:r w:rsidRPr="00B0575E">
        <w:rPr>
          <w:rFonts w:asciiTheme="majorBidi" w:hAnsiTheme="majorBidi" w:cstheme="majorBidi"/>
          <w:b/>
          <w:bCs/>
          <w:color w:val="1F4E79" w:themeColor="accent1" w:themeShade="80"/>
        </w:rPr>
        <w:t xml:space="preserve">The UAE has shown strong commitment to achieving more sustainable consumption and production patterns through the adoption of numerous policies, initiatives and targets that explicitly and implicitly aim to reduce or eliminate the wasteful consumption and use of resources in all sectors of the UAE economy.  The UAE is committed to transforming from a linear economy where resources are too often wasted and nature is damaged towards a more efficient, less wasteful, more sustainable regenerative circular economy where both society and nature thrives. In January 2021, the UAE launched its Circular Economy Policy – an ambitious policy which strives to ensure sustainable consumption and production patterns are mainstreamed in the UAE through the elimination or minimisation of waste and pollution, the efficient and effective use of resources and the regeneration of the environment.   </w:t>
      </w:r>
    </w:p>
    <w:p w:rsidR="00D4519E" w:rsidRPr="00B0575E" w:rsidRDefault="00D4519E" w:rsidP="00D4519E">
      <w:pPr>
        <w:pStyle w:val="ListParagraph"/>
        <w:numPr>
          <w:ilvl w:val="1"/>
          <w:numId w:val="5"/>
        </w:numPr>
        <w:spacing w:line="276" w:lineRule="auto"/>
        <w:rPr>
          <w:rFonts w:asciiTheme="majorBidi" w:hAnsiTheme="majorBidi" w:cstheme="majorBidi"/>
          <w:b/>
          <w:bCs/>
          <w:color w:val="1F4E79" w:themeColor="accent1" w:themeShade="80"/>
        </w:rPr>
      </w:pPr>
      <w:r w:rsidRPr="00B0575E">
        <w:rPr>
          <w:rFonts w:asciiTheme="majorBidi" w:hAnsiTheme="majorBidi" w:cstheme="majorBidi"/>
          <w:b/>
          <w:bCs/>
          <w:color w:val="1F4E79" w:themeColor="accent1" w:themeShade="80"/>
        </w:rPr>
        <w:t xml:space="preserve">In November 2019, the UAE became the first signatory to the Scale 360° Initiative – a World Economic Forum initiative, affiliated with the Platform for Accelerating the Circular Economy (PACE) that aims to harness the potential of technology innovations to fast-track a more circular economy. </w:t>
      </w:r>
    </w:p>
    <w:p w:rsidR="00D4519E" w:rsidRPr="00B0575E" w:rsidRDefault="00D4519E" w:rsidP="00D4519E">
      <w:pPr>
        <w:pStyle w:val="ListParagraph"/>
        <w:numPr>
          <w:ilvl w:val="1"/>
          <w:numId w:val="5"/>
        </w:numPr>
        <w:spacing w:line="276" w:lineRule="auto"/>
        <w:jc w:val="both"/>
        <w:rPr>
          <w:rFonts w:asciiTheme="majorBidi" w:hAnsiTheme="majorBidi" w:cstheme="majorBidi"/>
          <w:b/>
          <w:bCs/>
          <w:color w:val="1F4E79" w:themeColor="accent1" w:themeShade="80"/>
        </w:rPr>
      </w:pPr>
      <w:bookmarkStart w:id="1" w:name="_Hlk101430092"/>
      <w:r w:rsidRPr="00B0575E">
        <w:rPr>
          <w:rFonts w:asciiTheme="majorBidi" w:hAnsiTheme="majorBidi" w:cstheme="majorBidi"/>
          <w:b/>
          <w:bCs/>
          <w:color w:val="1F4E79" w:themeColor="accent1" w:themeShade="80"/>
        </w:rPr>
        <w:t>In November 2020, the UAE launched its Environment Policy – a broad-ranging policy which confirms the UAE’s firm commitment to protect and sustain the environment and includes commitments to preserve the natural environment and to promote the environmentally sound management of chemicals and waste.</w:t>
      </w:r>
    </w:p>
    <w:bookmarkEnd w:id="1"/>
    <w:p w:rsidR="00D4519E" w:rsidRPr="00B0575E" w:rsidRDefault="00D4519E" w:rsidP="00D4519E">
      <w:pPr>
        <w:pStyle w:val="ListParagraph"/>
        <w:numPr>
          <w:ilvl w:val="0"/>
          <w:numId w:val="5"/>
        </w:numPr>
        <w:spacing w:line="276" w:lineRule="auto"/>
        <w:jc w:val="both"/>
        <w:rPr>
          <w:rFonts w:asciiTheme="majorBidi" w:hAnsiTheme="majorBidi" w:cstheme="majorBidi"/>
          <w:b/>
          <w:bCs/>
          <w:sz w:val="34"/>
          <w:szCs w:val="34"/>
        </w:rPr>
      </w:pPr>
      <w:r w:rsidRPr="00B0575E">
        <w:rPr>
          <w:rFonts w:asciiTheme="majorBidi" w:hAnsiTheme="majorBidi" w:cstheme="majorBidi"/>
          <w:b/>
          <w:bCs/>
          <w:sz w:val="34"/>
          <w:szCs w:val="34"/>
        </w:rPr>
        <w:t xml:space="preserve">SDG11: (11.6.2) </w:t>
      </w:r>
    </w:p>
    <w:p w:rsidR="00D4519E" w:rsidRPr="00B0575E" w:rsidRDefault="00D4519E" w:rsidP="00D4519E">
      <w:pPr>
        <w:pStyle w:val="NoSpacing"/>
        <w:numPr>
          <w:ilvl w:val="1"/>
          <w:numId w:val="5"/>
        </w:numPr>
        <w:bidi w:val="0"/>
        <w:spacing w:after="240" w:line="276" w:lineRule="auto"/>
        <w:jc w:val="both"/>
        <w:rPr>
          <w:rFonts w:asciiTheme="majorBidi" w:hAnsiTheme="majorBidi" w:cstheme="majorBidi"/>
          <w:b/>
          <w:bCs/>
          <w:color w:val="1F4E79" w:themeColor="accent1" w:themeShade="80"/>
          <w:lang w:val="en-GB"/>
        </w:rPr>
      </w:pPr>
      <w:r w:rsidRPr="00B0575E">
        <w:rPr>
          <w:rFonts w:asciiTheme="majorBidi" w:hAnsiTheme="majorBidi" w:cstheme="majorBidi"/>
          <w:b/>
          <w:bCs/>
          <w:color w:val="1F4E79" w:themeColor="accent1" w:themeShade="80"/>
          <w:lang w:val="en-GB"/>
        </w:rPr>
        <w:t>The geographical location of the country greatly affects the ambient air, as the country is characterized by a dry desert climate, with high temperatures, humidity and dust storms. In addition to that, the country is highly affected by the transboundary pollutants that we receive from neighboring countries. The UAE is one of the countries affected by dust storms originated outside the country. Therefore, controlling this type of emissions is one of the challenges facing air quality in the country.</w:t>
      </w:r>
    </w:p>
    <w:p w:rsidR="00D4519E" w:rsidRPr="00B0575E" w:rsidRDefault="00D4519E" w:rsidP="00D4519E">
      <w:pPr>
        <w:spacing w:line="276" w:lineRule="auto"/>
        <w:rPr>
          <w:rFonts w:asciiTheme="majorBidi" w:hAnsiTheme="majorBidi" w:cstheme="majorBidi"/>
          <w:b/>
          <w:bCs/>
        </w:rPr>
      </w:pPr>
    </w:p>
    <w:p w:rsidR="00D4519E" w:rsidRPr="00B0575E" w:rsidRDefault="00D4519E" w:rsidP="00D4519E">
      <w:pPr>
        <w:pStyle w:val="ListParagraph"/>
        <w:numPr>
          <w:ilvl w:val="0"/>
          <w:numId w:val="5"/>
        </w:numPr>
        <w:spacing w:line="276" w:lineRule="auto"/>
        <w:jc w:val="both"/>
        <w:rPr>
          <w:rFonts w:asciiTheme="majorBidi" w:hAnsiTheme="majorBidi" w:cstheme="majorBidi"/>
          <w:b/>
          <w:bCs/>
          <w:sz w:val="34"/>
          <w:szCs w:val="34"/>
        </w:rPr>
      </w:pPr>
      <w:r w:rsidRPr="00B0575E">
        <w:rPr>
          <w:rFonts w:asciiTheme="majorBidi" w:hAnsiTheme="majorBidi" w:cstheme="majorBidi"/>
          <w:b/>
          <w:bCs/>
          <w:sz w:val="34"/>
          <w:szCs w:val="34"/>
        </w:rPr>
        <w:t>SDG11: (11.6.2)</w:t>
      </w:r>
    </w:p>
    <w:p w:rsidR="00D4519E" w:rsidRPr="00B0575E" w:rsidRDefault="00D4519E" w:rsidP="00D4519E">
      <w:pPr>
        <w:pStyle w:val="ListParagraph"/>
        <w:numPr>
          <w:ilvl w:val="1"/>
          <w:numId w:val="2"/>
        </w:numPr>
        <w:spacing w:line="276" w:lineRule="auto"/>
        <w:jc w:val="both"/>
        <w:rPr>
          <w:rFonts w:asciiTheme="majorBidi" w:hAnsiTheme="majorBidi" w:cstheme="majorBidi"/>
          <w:b/>
          <w:bCs/>
          <w:color w:val="1F4E79" w:themeColor="accent1" w:themeShade="80"/>
        </w:rPr>
      </w:pPr>
      <w:r w:rsidRPr="00B0575E">
        <w:rPr>
          <w:rFonts w:asciiTheme="majorBidi" w:hAnsiTheme="majorBidi" w:cstheme="majorBidi"/>
          <w:b/>
          <w:bCs/>
          <w:color w:val="1F4E79" w:themeColor="accent1" w:themeShade="80"/>
        </w:rPr>
        <w:t xml:space="preserve">From air quality perspective the UAE monitors the Air quality through 54 air quality monitoring stations deployed across the country. Those stations provide up-to-date data in regards to the concentrations of PM10, PM2.5, NO2, SO2, O3 and CO. UAE displays that information in the UAE air quality platform that reports AQI which </w:t>
      </w:r>
      <w:r w:rsidRPr="00B0575E">
        <w:rPr>
          <w:rFonts w:asciiTheme="majorBidi" w:hAnsiTheme="majorBidi" w:cstheme="majorBidi"/>
          <w:b/>
          <w:bCs/>
          <w:color w:val="1F4E79" w:themeColor="accent1" w:themeShade="80"/>
        </w:rPr>
        <w:lastRenderedPageBreak/>
        <w:t xml:space="preserve">shows the community members air quality in specific area, it tells them how clean or polluted the air is, and what health effects are associated with it. </w:t>
      </w:r>
    </w:p>
    <w:p w:rsidR="00D4519E" w:rsidRPr="00B0575E" w:rsidRDefault="00D4519E" w:rsidP="00D4519E">
      <w:pPr>
        <w:pStyle w:val="ListParagraph"/>
        <w:spacing w:line="276" w:lineRule="auto"/>
        <w:ind w:left="1440"/>
        <w:jc w:val="both"/>
        <w:rPr>
          <w:rFonts w:asciiTheme="majorBidi" w:hAnsiTheme="majorBidi" w:cstheme="majorBidi"/>
          <w:b/>
          <w:bCs/>
          <w:color w:val="1F4E79" w:themeColor="accent1" w:themeShade="80"/>
        </w:rPr>
      </w:pPr>
      <w:r w:rsidRPr="00B0575E">
        <w:rPr>
          <w:rFonts w:asciiTheme="majorBidi" w:hAnsiTheme="majorBidi" w:cstheme="majorBidi"/>
          <w:b/>
          <w:bCs/>
          <w:color w:val="1F4E79" w:themeColor="accent1" w:themeShade="80"/>
        </w:rPr>
        <w:t>Also, the UAE established the Dust Forecast Model which is a quantitative estimate value of dust in the atmosphere, defined as the extinction coefficient of solar light at the wavelength 550nm due to absorption and scattering. The dust forecast model act as a warning system to the community generally and vulnerable people in particular.</w:t>
      </w:r>
    </w:p>
    <w:p w:rsidR="00D4519E" w:rsidRPr="00B0575E" w:rsidRDefault="00D4519E" w:rsidP="00D4519E">
      <w:pPr>
        <w:pStyle w:val="ListParagraph"/>
        <w:numPr>
          <w:ilvl w:val="1"/>
          <w:numId w:val="2"/>
        </w:numPr>
        <w:spacing w:line="276" w:lineRule="auto"/>
        <w:jc w:val="both"/>
        <w:rPr>
          <w:rFonts w:asciiTheme="majorBidi" w:hAnsiTheme="majorBidi" w:cstheme="majorBidi"/>
          <w:b/>
          <w:bCs/>
          <w:color w:val="1F4E79" w:themeColor="accent1" w:themeShade="80"/>
        </w:rPr>
      </w:pPr>
      <w:r w:rsidRPr="00B0575E">
        <w:rPr>
          <w:rFonts w:asciiTheme="majorBidi" w:hAnsiTheme="majorBidi" w:cstheme="majorBidi"/>
          <w:b/>
          <w:bCs/>
          <w:color w:val="1F4E79" w:themeColor="accent1" w:themeShade="80"/>
        </w:rPr>
        <w:t>UAE is conducting a periodical National air emission inventory that aims to identify the source of emissions in the country and provide real estimation in order to design effective plans and programs that can reduce pollution from main sectors affecting the country air quality. As well as track changes in the emissions.</w:t>
      </w:r>
    </w:p>
    <w:p w:rsidR="00D4519E" w:rsidRPr="00B0575E" w:rsidRDefault="00D4519E" w:rsidP="00D4519E">
      <w:pPr>
        <w:bidi/>
        <w:spacing w:line="276" w:lineRule="auto"/>
        <w:rPr>
          <w:rFonts w:asciiTheme="majorBidi" w:hAnsiTheme="majorBidi" w:cstheme="majorBidi"/>
          <w:b/>
          <w:bCs/>
          <w:color w:val="1F4E79" w:themeColor="accent1" w:themeShade="80"/>
          <w:sz w:val="6"/>
          <w:szCs w:val="6"/>
          <w:lang w:val="en-US"/>
        </w:rPr>
      </w:pPr>
    </w:p>
    <w:p w:rsidR="00D4519E" w:rsidRPr="00B0575E" w:rsidRDefault="00D4519E" w:rsidP="00D4519E">
      <w:pPr>
        <w:pStyle w:val="ListParagraph"/>
        <w:numPr>
          <w:ilvl w:val="0"/>
          <w:numId w:val="5"/>
        </w:numPr>
        <w:spacing w:line="276" w:lineRule="auto"/>
        <w:jc w:val="both"/>
        <w:rPr>
          <w:rFonts w:asciiTheme="majorBidi" w:hAnsiTheme="majorBidi" w:cstheme="majorBidi"/>
          <w:b/>
          <w:bCs/>
          <w:sz w:val="34"/>
          <w:szCs w:val="34"/>
        </w:rPr>
      </w:pPr>
      <w:r w:rsidRPr="00B0575E">
        <w:rPr>
          <w:rFonts w:asciiTheme="majorBidi" w:hAnsiTheme="majorBidi" w:cstheme="majorBidi"/>
          <w:b/>
          <w:bCs/>
          <w:sz w:val="34"/>
          <w:szCs w:val="34"/>
        </w:rPr>
        <w:t>SDG14:</w:t>
      </w:r>
    </w:p>
    <w:p w:rsidR="00D4519E" w:rsidRPr="00B0575E" w:rsidRDefault="00D4519E" w:rsidP="00D4519E">
      <w:pPr>
        <w:pStyle w:val="ListParagraph"/>
        <w:numPr>
          <w:ilvl w:val="0"/>
          <w:numId w:val="2"/>
        </w:numPr>
        <w:spacing w:after="60" w:line="276" w:lineRule="auto"/>
        <w:contextualSpacing w:val="0"/>
        <w:jc w:val="lowKashida"/>
        <w:rPr>
          <w:rFonts w:asciiTheme="majorBidi" w:hAnsiTheme="majorBidi" w:cstheme="majorBidi"/>
          <w:b/>
          <w:bCs/>
          <w:color w:val="1F4E79" w:themeColor="accent1" w:themeShade="80"/>
          <w:sz w:val="24"/>
          <w:szCs w:val="24"/>
          <w:rtl/>
        </w:rPr>
      </w:pPr>
      <w:r w:rsidRPr="00B0575E">
        <w:rPr>
          <w:rFonts w:asciiTheme="majorBidi" w:hAnsiTheme="majorBidi" w:cstheme="majorBidi"/>
          <w:b/>
          <w:bCs/>
          <w:color w:val="1F4E79" w:themeColor="accent1" w:themeShade="80"/>
          <w:sz w:val="24"/>
          <w:szCs w:val="24"/>
        </w:rPr>
        <w:t>The country has taken upon itself a broader understanding of the sustainable development goals</w:t>
      </w:r>
      <w:r w:rsidRPr="00B0575E">
        <w:rPr>
          <w:rFonts w:asciiTheme="majorBidi" w:hAnsiTheme="majorBidi" w:cstheme="majorBidi"/>
          <w:b/>
          <w:bCs/>
          <w:color w:val="1F4E79" w:themeColor="accent1" w:themeShade="80"/>
          <w:sz w:val="24"/>
          <w:szCs w:val="24"/>
          <w:rtl/>
        </w:rPr>
        <w:t xml:space="preserve"> </w:t>
      </w:r>
      <w:r w:rsidRPr="00B0575E">
        <w:rPr>
          <w:rFonts w:asciiTheme="majorBidi" w:hAnsiTheme="majorBidi" w:cstheme="majorBidi"/>
          <w:b/>
          <w:bCs/>
          <w:color w:val="1F4E79" w:themeColor="accent1" w:themeShade="80"/>
          <w:sz w:val="24"/>
          <w:szCs w:val="24"/>
        </w:rPr>
        <w:t xml:space="preserve"> which is that sustainable fisheries and marine water quality can be defined as meeting the balance between environmental, economic and social objectives, whilst allowing marine sources, habaitats , species and fish stocks to recover. </w:t>
      </w:r>
    </w:p>
    <w:p w:rsidR="00D4519E" w:rsidRPr="00B0575E" w:rsidRDefault="00D4519E" w:rsidP="00D4519E">
      <w:pPr>
        <w:pStyle w:val="ListParagraph"/>
        <w:numPr>
          <w:ilvl w:val="0"/>
          <w:numId w:val="2"/>
        </w:numPr>
        <w:spacing w:after="60" w:line="276" w:lineRule="auto"/>
        <w:contextualSpacing w:val="0"/>
        <w:jc w:val="lowKashida"/>
        <w:rPr>
          <w:rFonts w:asciiTheme="majorBidi" w:hAnsiTheme="majorBidi" w:cstheme="majorBidi"/>
          <w:b/>
          <w:bCs/>
          <w:color w:val="1F4E79" w:themeColor="accent1" w:themeShade="80"/>
          <w:sz w:val="24"/>
          <w:szCs w:val="24"/>
          <w:rtl/>
        </w:rPr>
      </w:pPr>
      <w:r w:rsidRPr="00B0575E">
        <w:rPr>
          <w:rFonts w:asciiTheme="majorBidi" w:hAnsiTheme="majorBidi" w:cstheme="majorBidi"/>
          <w:b/>
          <w:bCs/>
          <w:color w:val="1F4E79" w:themeColor="accent1" w:themeShade="80"/>
          <w:sz w:val="24"/>
          <w:szCs w:val="24"/>
        </w:rPr>
        <w:t xml:space="preserve">The steps taken by the country to achieve sustainable development goals are represented in: Reduce pressure on the fishery, develop aquaculture research and programs to support fish stock assessment and enhance fish stocks- coral transplanting, artificial reefs deployment, mangrove planting, water quality monitoring </w:t>
      </w:r>
    </w:p>
    <w:p w:rsidR="00D4519E" w:rsidRPr="00B0575E" w:rsidRDefault="00D4519E" w:rsidP="00D4519E">
      <w:pPr>
        <w:pStyle w:val="ListParagraph"/>
        <w:numPr>
          <w:ilvl w:val="0"/>
          <w:numId w:val="2"/>
        </w:numPr>
        <w:spacing w:after="60" w:line="276" w:lineRule="auto"/>
        <w:contextualSpacing w:val="0"/>
        <w:jc w:val="lowKashida"/>
        <w:rPr>
          <w:rFonts w:asciiTheme="majorBidi" w:hAnsiTheme="majorBidi" w:cstheme="majorBidi"/>
          <w:b/>
          <w:bCs/>
          <w:color w:val="1F4E79" w:themeColor="accent1" w:themeShade="80"/>
          <w:sz w:val="24"/>
          <w:szCs w:val="24"/>
          <w:rtl/>
        </w:rPr>
      </w:pPr>
      <w:r w:rsidRPr="00B0575E">
        <w:rPr>
          <w:rFonts w:asciiTheme="majorBidi" w:hAnsiTheme="majorBidi" w:cstheme="majorBidi"/>
          <w:b/>
          <w:bCs/>
          <w:color w:val="1F4E79" w:themeColor="accent1" w:themeShade="80"/>
          <w:sz w:val="24"/>
          <w:szCs w:val="24"/>
        </w:rPr>
        <w:t xml:space="preserve">The Ministry covered all areas regarding to and achieving the sustainability in different areas related to the indicator 14.4.1 and represented in  Environmental objective: Understand the current state of fish-stocks, re-build strategic fish-stocks above the 30% sustainable threshold, retain existing stock levels for other fish-stocks, preserve the ecosystem, and reduce risks of future overexploitation. Economic objective: Retain a commercial element to the fishery at a level which does not undermine environmental sustainability. As fish-stocks recover, focus can move to maximizing economic value from allowable catch and ensuring a level of catch that is in line with protein needs and food security. Social/Cultural objective: Preserving the inherent cultural elements (heritage) of fisheries activities, while not contradicting environmental sustainability needs. </w:t>
      </w:r>
    </w:p>
    <w:p w:rsidR="00D4519E" w:rsidRPr="00B0575E" w:rsidRDefault="00D4519E" w:rsidP="00D4519E">
      <w:pPr>
        <w:pStyle w:val="ListParagraph"/>
        <w:numPr>
          <w:ilvl w:val="0"/>
          <w:numId w:val="2"/>
        </w:numPr>
        <w:spacing w:after="60" w:line="276" w:lineRule="auto"/>
        <w:contextualSpacing w:val="0"/>
        <w:jc w:val="lowKashida"/>
        <w:rPr>
          <w:rFonts w:asciiTheme="majorBidi" w:hAnsiTheme="majorBidi" w:cstheme="majorBidi"/>
          <w:b/>
          <w:bCs/>
          <w:color w:val="1F4E79" w:themeColor="accent1" w:themeShade="80"/>
          <w:sz w:val="23"/>
          <w:szCs w:val="23"/>
          <w:rtl/>
        </w:rPr>
      </w:pPr>
      <w:r w:rsidRPr="00B0575E">
        <w:rPr>
          <w:rFonts w:asciiTheme="majorBidi" w:hAnsiTheme="majorBidi" w:cstheme="majorBidi"/>
          <w:b/>
          <w:bCs/>
          <w:color w:val="1F4E79" w:themeColor="accent1" w:themeShade="80"/>
          <w:sz w:val="24"/>
          <w:szCs w:val="24"/>
        </w:rPr>
        <w:t xml:space="preserve">An internationally benchmarked suit of management measures have been implemented such as: </w:t>
      </w:r>
      <w:r w:rsidRPr="00B0575E">
        <w:rPr>
          <w:rFonts w:asciiTheme="majorBidi" w:hAnsiTheme="majorBidi" w:cstheme="majorBidi"/>
          <w:b/>
          <w:bCs/>
          <w:color w:val="1F4E79" w:themeColor="accent1" w:themeShade="80"/>
          <w:sz w:val="23"/>
          <w:szCs w:val="23"/>
        </w:rPr>
        <w:t xml:space="preserve">The updating of Federal Law No. (23) of 1999 and its Executive Bylaw in response to changes and new challenges such as the regulation of vice-captain eligibility; Established a representative network of marine protected areas with no take zones where fishing is prohibited; Established season bans to protect fish during their reproductive season </w:t>
      </w:r>
    </w:p>
    <w:p w:rsidR="00D4519E" w:rsidRPr="00B0575E" w:rsidRDefault="00D4519E" w:rsidP="00D4519E">
      <w:pPr>
        <w:pStyle w:val="ListParagraph"/>
        <w:numPr>
          <w:ilvl w:val="0"/>
          <w:numId w:val="2"/>
        </w:numPr>
        <w:spacing w:after="60" w:line="276" w:lineRule="auto"/>
        <w:contextualSpacing w:val="0"/>
        <w:jc w:val="lowKashida"/>
        <w:rPr>
          <w:rFonts w:asciiTheme="majorBidi" w:hAnsiTheme="majorBidi" w:cstheme="majorBidi"/>
          <w:b/>
          <w:bCs/>
          <w:color w:val="1F4E79" w:themeColor="accent1" w:themeShade="80"/>
          <w:sz w:val="23"/>
          <w:szCs w:val="23"/>
          <w:rtl/>
        </w:rPr>
      </w:pPr>
      <w:r w:rsidRPr="00B0575E">
        <w:rPr>
          <w:rFonts w:asciiTheme="majorBidi" w:hAnsiTheme="majorBidi" w:cstheme="majorBidi"/>
          <w:b/>
          <w:bCs/>
          <w:color w:val="1F4E79" w:themeColor="accent1" w:themeShade="80"/>
          <w:sz w:val="23"/>
          <w:szCs w:val="23"/>
        </w:rPr>
        <w:t>Budget</w:t>
      </w:r>
    </w:p>
    <w:p w:rsidR="00D4519E" w:rsidRPr="00B0575E" w:rsidRDefault="00D4519E" w:rsidP="001436B8">
      <w:pPr>
        <w:pStyle w:val="ListParagraph"/>
        <w:spacing w:after="60" w:line="276" w:lineRule="auto"/>
        <w:contextualSpacing w:val="0"/>
        <w:jc w:val="lowKashida"/>
        <w:rPr>
          <w:rFonts w:asciiTheme="majorBidi" w:hAnsiTheme="majorBidi" w:cstheme="majorBidi"/>
          <w:b/>
          <w:bCs/>
          <w:color w:val="1F4E79" w:themeColor="accent1" w:themeShade="80"/>
          <w:sz w:val="23"/>
          <w:szCs w:val="23"/>
        </w:rPr>
      </w:pPr>
    </w:p>
    <w:p w:rsidR="001436B8" w:rsidRPr="00B0575E" w:rsidRDefault="001436B8" w:rsidP="001436B8">
      <w:pPr>
        <w:pStyle w:val="ListParagraph"/>
        <w:numPr>
          <w:ilvl w:val="0"/>
          <w:numId w:val="2"/>
        </w:numPr>
        <w:rPr>
          <w:rFonts w:asciiTheme="majorBidi" w:hAnsiTheme="majorBidi" w:cstheme="majorBidi"/>
          <w:b/>
          <w:bCs/>
          <w:color w:val="1F4E79" w:themeColor="accent1" w:themeShade="80"/>
          <w:sz w:val="23"/>
          <w:szCs w:val="23"/>
          <w:rtl/>
        </w:rPr>
      </w:pPr>
      <w:r w:rsidRPr="00B0575E">
        <w:rPr>
          <w:rFonts w:asciiTheme="majorBidi" w:hAnsiTheme="majorBidi" w:cstheme="majorBidi"/>
          <w:b/>
          <w:bCs/>
          <w:color w:val="1F4E79" w:themeColor="accent1" w:themeShade="80"/>
          <w:sz w:val="23"/>
          <w:szCs w:val="23"/>
        </w:rPr>
        <w:t xml:space="preserve"> The overfishing of some important species is one of the challenges facing the sustainability of fisheries. The sustainability limit of fish is 30% of the adult stock. Studies have indicated a decrease in the size of the stock to less than 30% for some species.</w:t>
      </w:r>
    </w:p>
    <w:p w:rsidR="00D4519E" w:rsidRPr="00B0575E" w:rsidRDefault="00D4519E" w:rsidP="00D4519E">
      <w:pPr>
        <w:pStyle w:val="ListParagraph"/>
        <w:numPr>
          <w:ilvl w:val="0"/>
          <w:numId w:val="2"/>
        </w:numPr>
        <w:spacing w:after="60" w:line="276" w:lineRule="auto"/>
        <w:contextualSpacing w:val="0"/>
        <w:jc w:val="lowKashida"/>
        <w:rPr>
          <w:rFonts w:asciiTheme="majorBidi" w:hAnsiTheme="majorBidi" w:cstheme="majorBidi"/>
          <w:b/>
          <w:bCs/>
          <w:color w:val="1F4E79" w:themeColor="accent1" w:themeShade="80"/>
          <w:sz w:val="23"/>
          <w:szCs w:val="23"/>
        </w:rPr>
      </w:pPr>
      <w:r w:rsidRPr="00B0575E">
        <w:rPr>
          <w:rFonts w:asciiTheme="majorBidi" w:hAnsiTheme="majorBidi" w:cstheme="majorBidi"/>
          <w:b/>
          <w:bCs/>
          <w:color w:val="1F4E79" w:themeColor="accent1" w:themeShade="80"/>
          <w:sz w:val="23"/>
          <w:szCs w:val="23"/>
        </w:rPr>
        <w:t>UAE takes many steps to implement the human right to clean, healthy and sustainable environment by issuing number of laws to manage, regulate and protect the marine resources, biodiversity and marine activities</w:t>
      </w:r>
    </w:p>
    <w:p w:rsidR="00D4519E" w:rsidRPr="00B0575E" w:rsidRDefault="00D4519E" w:rsidP="00D4519E">
      <w:pPr>
        <w:pStyle w:val="ListParagraph"/>
        <w:numPr>
          <w:ilvl w:val="0"/>
          <w:numId w:val="2"/>
        </w:numPr>
        <w:spacing w:after="60" w:line="276" w:lineRule="auto"/>
        <w:contextualSpacing w:val="0"/>
        <w:jc w:val="lowKashida"/>
        <w:rPr>
          <w:rFonts w:asciiTheme="majorBidi" w:hAnsiTheme="majorBidi" w:cstheme="majorBidi"/>
          <w:b/>
          <w:bCs/>
          <w:color w:val="1F4E79" w:themeColor="accent1" w:themeShade="80"/>
          <w:sz w:val="23"/>
          <w:szCs w:val="23"/>
        </w:rPr>
      </w:pPr>
      <w:r w:rsidRPr="00B0575E">
        <w:rPr>
          <w:rFonts w:asciiTheme="majorBidi" w:hAnsiTheme="majorBidi" w:cstheme="majorBidi"/>
          <w:b/>
          <w:bCs/>
          <w:color w:val="1F4E79" w:themeColor="accent1" w:themeShade="80"/>
          <w:sz w:val="23"/>
          <w:szCs w:val="23"/>
        </w:rPr>
        <w:t>UAE encourage and promote of participation and contribution high gender equality in all sectorial of marine environment, maritime, fisheries and aquaculture</w:t>
      </w:r>
    </w:p>
    <w:p w:rsidR="00D4519E" w:rsidRPr="00B0575E" w:rsidRDefault="00D4519E" w:rsidP="00D4519E">
      <w:pPr>
        <w:pStyle w:val="ListParagraph"/>
        <w:numPr>
          <w:ilvl w:val="0"/>
          <w:numId w:val="2"/>
        </w:numPr>
        <w:spacing w:after="60" w:line="276" w:lineRule="auto"/>
        <w:contextualSpacing w:val="0"/>
        <w:jc w:val="lowKashida"/>
        <w:rPr>
          <w:rFonts w:asciiTheme="majorBidi" w:hAnsiTheme="majorBidi" w:cstheme="majorBidi"/>
          <w:b/>
          <w:bCs/>
          <w:color w:val="1F4E79" w:themeColor="accent1" w:themeShade="80"/>
          <w:sz w:val="24"/>
          <w:szCs w:val="24"/>
        </w:rPr>
      </w:pPr>
      <w:r w:rsidRPr="00B0575E">
        <w:rPr>
          <w:rFonts w:asciiTheme="majorBidi" w:hAnsiTheme="majorBidi" w:cstheme="majorBidi"/>
          <w:b/>
          <w:bCs/>
          <w:color w:val="1F4E79" w:themeColor="accent1" w:themeShade="80"/>
          <w:sz w:val="23"/>
          <w:szCs w:val="23"/>
        </w:rPr>
        <w:t xml:space="preserve">The businesses contribution to transformative actions to achieve SDGs by contributing and participation in marine biodiversity ( species and habitat) restoration and adaption of sustainable food production system model and practices </w:t>
      </w:r>
    </w:p>
    <w:p w:rsidR="00D4519E" w:rsidRPr="00B0575E" w:rsidRDefault="00D4519E" w:rsidP="00D4519E">
      <w:pPr>
        <w:bidi/>
        <w:rPr>
          <w:rFonts w:asciiTheme="majorBidi" w:hAnsiTheme="majorBidi" w:cstheme="majorBidi"/>
          <w:b/>
          <w:bCs/>
        </w:rPr>
      </w:pPr>
    </w:p>
    <w:p w:rsidR="00D4519E" w:rsidRPr="00B0575E" w:rsidRDefault="00D4519E" w:rsidP="00D4519E">
      <w:pPr>
        <w:pStyle w:val="wordsection1"/>
        <w:bidi/>
        <w:spacing w:after="60"/>
        <w:rPr>
          <w:rFonts w:asciiTheme="majorBidi" w:hAnsiTheme="majorBidi" w:cstheme="majorBidi"/>
          <w:b/>
          <w:bCs/>
          <w:color w:val="1F4E79" w:themeColor="accent1" w:themeShade="80"/>
          <w:sz w:val="28"/>
          <w:szCs w:val="28"/>
          <w:u w:val="single"/>
        </w:rPr>
      </w:pPr>
      <w:r w:rsidRPr="00B0575E">
        <w:rPr>
          <w:rFonts w:asciiTheme="majorBidi" w:hAnsiTheme="majorBidi" w:cstheme="majorBidi"/>
          <w:b/>
          <w:bCs/>
          <w:color w:val="1F4E79" w:themeColor="accent1" w:themeShade="80"/>
          <w:sz w:val="28"/>
          <w:szCs w:val="28"/>
          <w:u w:val="single"/>
          <w:rtl/>
        </w:rPr>
        <w:t xml:space="preserve">أولا: الإجراءات المفضية إلى التحول بخصوص الهدف 12.4: </w:t>
      </w:r>
    </w:p>
    <w:p w:rsidR="00D4519E" w:rsidRPr="00B0575E" w:rsidRDefault="00D4519E" w:rsidP="00D4519E">
      <w:pPr>
        <w:pStyle w:val="wordsection1"/>
        <w:bidi/>
        <w:spacing w:after="60"/>
        <w:rPr>
          <w:rFonts w:asciiTheme="majorBidi" w:hAnsiTheme="majorBidi" w:cstheme="majorBidi"/>
          <w:b/>
          <w:bCs/>
          <w:color w:val="1F4E79" w:themeColor="accent1" w:themeShade="80"/>
          <w:sz w:val="28"/>
          <w:szCs w:val="28"/>
          <w:rtl/>
        </w:rPr>
      </w:pPr>
      <w:r w:rsidRPr="00B0575E">
        <w:rPr>
          <w:rFonts w:asciiTheme="majorBidi" w:hAnsiTheme="majorBidi" w:cstheme="majorBidi"/>
          <w:b/>
          <w:bCs/>
          <w:color w:val="1F4E79" w:themeColor="accent1" w:themeShade="80"/>
          <w:sz w:val="28"/>
          <w:szCs w:val="28"/>
          <w:rtl/>
        </w:rPr>
        <w:t xml:space="preserve">عملنا على الأهداف الفرعية المرتبطة بأهداف الأمم المتحدة للتنمية المستدامة للهدف 12 الخاص بالاستهلاك والإنتاج المسؤولان،  و ذلك لمؤشر 12.4 تحقيق الإدارة السليمة بيئيا للمواد الكيميائية وجميع النفايات طوال دورة عمرها، وفقا للأطر الدولية المتفق عليها، والحد كثيرا من إطلاقها في الهواء والماء والتربة من أجل التقليل إلى أدنى حد من آثارها الضارة على صحة الإنسان والبيئة، بحلول عام 2020، وذلك من خلال: </w:t>
      </w:r>
    </w:p>
    <w:p w:rsidR="00D4519E" w:rsidRPr="00B0575E" w:rsidRDefault="00D4519E" w:rsidP="00D4519E">
      <w:pPr>
        <w:pStyle w:val="wordsection1"/>
        <w:numPr>
          <w:ilvl w:val="0"/>
          <w:numId w:val="7"/>
        </w:numPr>
        <w:bidi/>
        <w:spacing w:after="60"/>
        <w:rPr>
          <w:rFonts w:asciiTheme="majorBidi" w:hAnsiTheme="majorBidi" w:cstheme="majorBidi"/>
          <w:b/>
          <w:bCs/>
          <w:color w:val="1F4E79" w:themeColor="accent1" w:themeShade="80"/>
          <w:sz w:val="28"/>
          <w:szCs w:val="28"/>
          <w:rtl/>
        </w:rPr>
      </w:pPr>
      <w:r w:rsidRPr="00B0575E">
        <w:rPr>
          <w:rFonts w:asciiTheme="majorBidi" w:hAnsiTheme="majorBidi" w:cstheme="majorBidi"/>
          <w:b/>
          <w:bCs/>
          <w:color w:val="1F4E79" w:themeColor="accent1" w:themeShade="80"/>
          <w:sz w:val="28"/>
          <w:szCs w:val="28"/>
          <w:rtl/>
        </w:rPr>
        <w:t>المبادرة الذاتية للانضمام إلى جميع الاتفاقيات البيئية الدولية المتعددة الأطراف بشأن المواد الكيميائية والنفايات الخطرة.</w:t>
      </w:r>
    </w:p>
    <w:p w:rsidR="00D4519E" w:rsidRPr="00B0575E" w:rsidRDefault="00D4519E" w:rsidP="00D4519E">
      <w:pPr>
        <w:pStyle w:val="wordsection1"/>
        <w:numPr>
          <w:ilvl w:val="0"/>
          <w:numId w:val="7"/>
        </w:numPr>
        <w:bidi/>
        <w:spacing w:after="60"/>
        <w:rPr>
          <w:rFonts w:asciiTheme="majorBidi" w:hAnsiTheme="majorBidi" w:cstheme="majorBidi"/>
          <w:b/>
          <w:bCs/>
          <w:color w:val="1F4E79" w:themeColor="accent1" w:themeShade="80"/>
          <w:sz w:val="28"/>
          <w:szCs w:val="28"/>
          <w:rtl/>
        </w:rPr>
      </w:pPr>
      <w:r w:rsidRPr="00B0575E">
        <w:rPr>
          <w:rFonts w:asciiTheme="majorBidi" w:hAnsiTheme="majorBidi" w:cstheme="majorBidi"/>
          <w:b/>
          <w:bCs/>
          <w:color w:val="1F4E79" w:themeColor="accent1" w:themeShade="80"/>
          <w:sz w:val="28"/>
          <w:szCs w:val="28"/>
          <w:rtl/>
        </w:rPr>
        <w:t> الالتزام بالإيفاء بالالتزامات الصادرة عن الهدف والاتفاقيات الدولية من خلال إصدار التشريعات والأنظمة الممكنة في الدولة ومنها قانون حمية البيئة وقانون الإدارة المتكامل للنفايات، والأنظمة واللوائح التنفيذية وأهمها نظام تداول المواد الخطرة والنفايات الخطرة والنفايات الطبية .</w:t>
      </w:r>
    </w:p>
    <w:p w:rsidR="00D4519E" w:rsidRPr="00B0575E" w:rsidRDefault="00D4519E" w:rsidP="00D4519E">
      <w:pPr>
        <w:pStyle w:val="wordsection1"/>
        <w:numPr>
          <w:ilvl w:val="0"/>
          <w:numId w:val="7"/>
        </w:numPr>
        <w:bidi/>
        <w:spacing w:after="60"/>
        <w:rPr>
          <w:rFonts w:asciiTheme="majorBidi" w:hAnsiTheme="majorBidi" w:cstheme="majorBidi"/>
          <w:b/>
          <w:bCs/>
          <w:color w:val="1F4E79" w:themeColor="accent1" w:themeShade="80"/>
          <w:sz w:val="28"/>
          <w:szCs w:val="28"/>
          <w:rtl/>
        </w:rPr>
      </w:pPr>
      <w:r w:rsidRPr="00B0575E">
        <w:rPr>
          <w:rFonts w:asciiTheme="majorBidi" w:hAnsiTheme="majorBidi" w:cstheme="majorBidi"/>
          <w:b/>
          <w:bCs/>
          <w:color w:val="1F4E79" w:themeColor="accent1" w:themeShade="80"/>
          <w:sz w:val="28"/>
          <w:szCs w:val="28"/>
          <w:rtl/>
        </w:rPr>
        <w:t xml:space="preserve">توفير الأنظمة والأدوات الإلكترونية والرقابة على عمليات الاستيراد والتصدير والنقل والتخزين والتخلص الآمن ورفع التقارير خلال مرحلة سلسلة التوريد. </w:t>
      </w:r>
    </w:p>
    <w:p w:rsidR="00D4519E" w:rsidRPr="00B0575E" w:rsidRDefault="00D4519E" w:rsidP="00D4519E">
      <w:pPr>
        <w:pStyle w:val="wordsection1"/>
        <w:bidi/>
        <w:spacing w:after="60"/>
        <w:rPr>
          <w:rFonts w:asciiTheme="majorBidi" w:hAnsiTheme="majorBidi" w:cstheme="majorBidi"/>
          <w:b/>
          <w:bCs/>
          <w:color w:val="1F4E79" w:themeColor="accent1" w:themeShade="80"/>
          <w:sz w:val="28"/>
          <w:szCs w:val="28"/>
          <w:u w:val="single"/>
        </w:rPr>
      </w:pPr>
      <w:r w:rsidRPr="00B0575E">
        <w:rPr>
          <w:rFonts w:asciiTheme="majorBidi" w:hAnsiTheme="majorBidi" w:cstheme="majorBidi"/>
          <w:b/>
          <w:bCs/>
          <w:color w:val="1F4E79" w:themeColor="accent1" w:themeShade="80"/>
          <w:sz w:val="28"/>
          <w:szCs w:val="28"/>
          <w:u w:val="single"/>
          <w:rtl/>
        </w:rPr>
        <w:t xml:space="preserve">ثانيا: التعاون الدولي: </w:t>
      </w:r>
    </w:p>
    <w:p w:rsidR="00D4519E" w:rsidRPr="00B0575E" w:rsidRDefault="00D4519E" w:rsidP="00D4519E">
      <w:pPr>
        <w:pStyle w:val="wordsection1"/>
        <w:bidi/>
        <w:spacing w:after="60"/>
        <w:rPr>
          <w:rFonts w:asciiTheme="majorBidi" w:hAnsiTheme="majorBidi" w:cstheme="majorBidi"/>
          <w:b/>
          <w:bCs/>
          <w:color w:val="1F4E79" w:themeColor="accent1" w:themeShade="80"/>
          <w:sz w:val="28"/>
          <w:szCs w:val="28"/>
        </w:rPr>
      </w:pPr>
      <w:r w:rsidRPr="00B0575E">
        <w:rPr>
          <w:rFonts w:asciiTheme="majorBidi" w:hAnsiTheme="majorBidi" w:cstheme="majorBidi"/>
          <w:b/>
          <w:bCs/>
          <w:color w:val="1F4E79" w:themeColor="accent1" w:themeShade="80"/>
          <w:sz w:val="28"/>
          <w:szCs w:val="28"/>
          <w:rtl/>
        </w:rPr>
        <w:t>وقد تجلى من خلال:</w:t>
      </w:r>
    </w:p>
    <w:p w:rsidR="00D4519E" w:rsidRPr="00B0575E" w:rsidRDefault="00D4519E" w:rsidP="00D4519E">
      <w:pPr>
        <w:pStyle w:val="wordsection1"/>
        <w:numPr>
          <w:ilvl w:val="0"/>
          <w:numId w:val="8"/>
        </w:numPr>
        <w:bidi/>
        <w:spacing w:after="60"/>
        <w:rPr>
          <w:rFonts w:asciiTheme="majorBidi" w:hAnsiTheme="majorBidi" w:cstheme="majorBidi"/>
          <w:b/>
          <w:bCs/>
          <w:color w:val="1F4E79" w:themeColor="accent1" w:themeShade="80"/>
          <w:sz w:val="28"/>
          <w:szCs w:val="28"/>
        </w:rPr>
      </w:pPr>
      <w:r w:rsidRPr="00B0575E">
        <w:rPr>
          <w:rFonts w:asciiTheme="majorBidi" w:hAnsiTheme="majorBidi" w:cstheme="majorBidi"/>
          <w:b/>
          <w:bCs/>
          <w:color w:val="1F4E79" w:themeColor="accent1" w:themeShade="80"/>
          <w:sz w:val="28"/>
          <w:szCs w:val="28"/>
          <w:rtl/>
        </w:rPr>
        <w:t xml:space="preserve"> المشاركة في اللقاءات الإقليمية والدولية ذات العلاقة بالبيئة، </w:t>
      </w:r>
    </w:p>
    <w:p w:rsidR="00D4519E" w:rsidRPr="00B0575E" w:rsidRDefault="00D4519E" w:rsidP="00D4519E">
      <w:pPr>
        <w:pStyle w:val="wordsection1"/>
        <w:numPr>
          <w:ilvl w:val="0"/>
          <w:numId w:val="8"/>
        </w:numPr>
        <w:bidi/>
        <w:spacing w:after="60"/>
        <w:rPr>
          <w:rFonts w:asciiTheme="majorBidi" w:hAnsiTheme="majorBidi" w:cstheme="majorBidi"/>
          <w:b/>
          <w:bCs/>
          <w:color w:val="1F4E79" w:themeColor="accent1" w:themeShade="80"/>
          <w:sz w:val="28"/>
          <w:szCs w:val="28"/>
          <w:rtl/>
        </w:rPr>
      </w:pPr>
      <w:r w:rsidRPr="00B0575E">
        <w:rPr>
          <w:rFonts w:asciiTheme="majorBidi" w:hAnsiTheme="majorBidi" w:cstheme="majorBidi"/>
          <w:b/>
          <w:bCs/>
          <w:color w:val="1F4E79" w:themeColor="accent1" w:themeShade="80"/>
          <w:sz w:val="28"/>
          <w:szCs w:val="28"/>
          <w:rtl/>
        </w:rPr>
        <w:t>العلاقات الوثيقة التي تمتلكها الدولة مع المنظمات الإقليمية والدولية ذات الصلة مثل : برنامج الأمم المتحدة للبيئة (</w:t>
      </w:r>
      <w:r w:rsidRPr="00B0575E">
        <w:rPr>
          <w:rFonts w:asciiTheme="majorBidi" w:hAnsiTheme="majorBidi" w:cstheme="majorBidi"/>
          <w:b/>
          <w:bCs/>
          <w:color w:val="1F4E79" w:themeColor="accent1" w:themeShade="80"/>
          <w:sz w:val="28"/>
          <w:szCs w:val="28"/>
        </w:rPr>
        <w:t>UNEP</w:t>
      </w:r>
      <w:r w:rsidRPr="00B0575E">
        <w:rPr>
          <w:rFonts w:asciiTheme="majorBidi" w:hAnsiTheme="majorBidi" w:cstheme="majorBidi"/>
          <w:b/>
          <w:bCs/>
          <w:color w:val="1F4E79" w:themeColor="accent1" w:themeShade="80"/>
          <w:sz w:val="28"/>
          <w:szCs w:val="28"/>
          <w:rtl/>
        </w:rPr>
        <w:t>) ، ، ومنظمة الأغذية والزراعة (</w:t>
      </w:r>
      <w:r w:rsidRPr="00B0575E">
        <w:rPr>
          <w:rFonts w:asciiTheme="majorBidi" w:hAnsiTheme="majorBidi" w:cstheme="majorBidi"/>
          <w:b/>
          <w:bCs/>
          <w:color w:val="1F4E79" w:themeColor="accent1" w:themeShade="80"/>
          <w:sz w:val="28"/>
          <w:szCs w:val="28"/>
        </w:rPr>
        <w:t>FAO</w:t>
      </w:r>
      <w:r w:rsidRPr="00B0575E">
        <w:rPr>
          <w:rFonts w:asciiTheme="majorBidi" w:hAnsiTheme="majorBidi" w:cstheme="majorBidi"/>
          <w:b/>
          <w:bCs/>
          <w:color w:val="1F4E79" w:themeColor="accent1" w:themeShade="80"/>
          <w:sz w:val="28"/>
          <w:szCs w:val="28"/>
          <w:rtl/>
        </w:rPr>
        <w:t xml:space="preserve">) ،. </w:t>
      </w:r>
    </w:p>
    <w:p w:rsidR="00D4519E" w:rsidRPr="00B0575E" w:rsidRDefault="00D4519E" w:rsidP="00D4519E">
      <w:pPr>
        <w:pStyle w:val="wordsection1"/>
        <w:numPr>
          <w:ilvl w:val="0"/>
          <w:numId w:val="8"/>
        </w:numPr>
        <w:bidi/>
        <w:spacing w:after="60"/>
        <w:rPr>
          <w:rFonts w:asciiTheme="majorBidi" w:hAnsiTheme="majorBidi" w:cstheme="majorBidi"/>
          <w:b/>
          <w:bCs/>
          <w:color w:val="1F4E79" w:themeColor="accent1" w:themeShade="80"/>
          <w:sz w:val="28"/>
          <w:szCs w:val="28"/>
          <w:rtl/>
        </w:rPr>
      </w:pPr>
      <w:r w:rsidRPr="00B0575E">
        <w:rPr>
          <w:rFonts w:asciiTheme="majorBidi" w:hAnsiTheme="majorBidi" w:cstheme="majorBidi"/>
          <w:b/>
          <w:bCs/>
          <w:color w:val="1F4E79" w:themeColor="accent1" w:themeShade="80"/>
          <w:sz w:val="28"/>
          <w:szCs w:val="28"/>
          <w:rtl/>
        </w:rPr>
        <w:t>الحرص على تنفيذ التزاماتها تجاه الاتفاقيات والمعاهدات الموقعة على المستوى العربي والإقليمي والدولي، و تتابع وزارة التغير المناخي و البيئة الاتفاقيات الدولية متعددة الأطراف البيئية والخاصة بالنفايات الخطرة و المواد الكيميائية.</w:t>
      </w:r>
    </w:p>
    <w:p w:rsidR="00D4519E" w:rsidRPr="00B0575E" w:rsidRDefault="00D4519E" w:rsidP="00D4519E">
      <w:pPr>
        <w:pStyle w:val="wordsection1"/>
        <w:bidi/>
        <w:spacing w:after="60"/>
        <w:rPr>
          <w:rFonts w:asciiTheme="majorBidi" w:hAnsiTheme="majorBidi" w:cstheme="majorBidi"/>
          <w:b/>
          <w:bCs/>
          <w:color w:val="1F4E79" w:themeColor="accent1" w:themeShade="80"/>
          <w:sz w:val="28"/>
          <w:szCs w:val="28"/>
          <w:u w:val="single"/>
        </w:rPr>
      </w:pPr>
      <w:r w:rsidRPr="00B0575E">
        <w:rPr>
          <w:rFonts w:asciiTheme="majorBidi" w:hAnsiTheme="majorBidi" w:cstheme="majorBidi"/>
          <w:b/>
          <w:bCs/>
          <w:color w:val="1F4E79" w:themeColor="accent1" w:themeShade="80"/>
          <w:sz w:val="28"/>
          <w:szCs w:val="28"/>
          <w:u w:val="single"/>
          <w:rtl/>
        </w:rPr>
        <w:t xml:space="preserve">ثالثا: الموارد: </w:t>
      </w:r>
    </w:p>
    <w:p w:rsidR="00D4519E" w:rsidRPr="00B0575E" w:rsidRDefault="00D4519E" w:rsidP="00D4519E">
      <w:pPr>
        <w:pStyle w:val="wordsection1"/>
        <w:bidi/>
        <w:spacing w:after="60"/>
        <w:rPr>
          <w:rFonts w:asciiTheme="majorBidi" w:hAnsiTheme="majorBidi" w:cstheme="majorBidi"/>
          <w:b/>
          <w:bCs/>
          <w:color w:val="1F4E79" w:themeColor="accent1" w:themeShade="80"/>
          <w:sz w:val="28"/>
          <w:szCs w:val="28"/>
        </w:rPr>
      </w:pPr>
      <w:r w:rsidRPr="00B0575E">
        <w:rPr>
          <w:rFonts w:asciiTheme="majorBidi" w:hAnsiTheme="majorBidi" w:cstheme="majorBidi"/>
          <w:b/>
          <w:bCs/>
          <w:color w:val="1F4E79" w:themeColor="accent1" w:themeShade="80"/>
          <w:sz w:val="28"/>
          <w:szCs w:val="28"/>
          <w:rtl/>
        </w:rPr>
        <w:t xml:space="preserve">تتمثل أهم الموارد المتاحة وفق التالي: </w:t>
      </w:r>
    </w:p>
    <w:p w:rsidR="00D4519E" w:rsidRPr="00B0575E" w:rsidRDefault="00D4519E" w:rsidP="00D4519E">
      <w:pPr>
        <w:pStyle w:val="wordsection1"/>
        <w:numPr>
          <w:ilvl w:val="0"/>
          <w:numId w:val="9"/>
        </w:numPr>
        <w:bidi/>
        <w:spacing w:after="60"/>
        <w:rPr>
          <w:rFonts w:asciiTheme="majorBidi" w:hAnsiTheme="majorBidi" w:cstheme="majorBidi"/>
          <w:b/>
          <w:bCs/>
          <w:color w:val="1F4E79" w:themeColor="accent1" w:themeShade="80"/>
          <w:sz w:val="28"/>
          <w:szCs w:val="28"/>
        </w:rPr>
      </w:pPr>
      <w:r w:rsidRPr="00B0575E">
        <w:rPr>
          <w:rFonts w:asciiTheme="majorBidi" w:hAnsiTheme="majorBidi" w:cstheme="majorBidi"/>
          <w:b/>
          <w:bCs/>
          <w:color w:val="1F4E79" w:themeColor="accent1" w:themeShade="80"/>
          <w:sz w:val="28"/>
          <w:szCs w:val="28"/>
          <w:rtl/>
        </w:rPr>
        <w:lastRenderedPageBreak/>
        <w:t>توفير الموارد البشرية لإدارة عمليات الرقابة والتخلص السليم من النفايات الخطرة والمواد الكيميائية.</w:t>
      </w:r>
    </w:p>
    <w:p w:rsidR="00D4519E" w:rsidRPr="00B0575E" w:rsidRDefault="00D4519E" w:rsidP="00D4519E">
      <w:pPr>
        <w:pStyle w:val="wordsection1"/>
        <w:numPr>
          <w:ilvl w:val="0"/>
          <w:numId w:val="9"/>
        </w:numPr>
        <w:bidi/>
        <w:spacing w:after="60"/>
        <w:rPr>
          <w:rFonts w:asciiTheme="majorBidi" w:hAnsiTheme="majorBidi" w:cstheme="majorBidi"/>
          <w:b/>
          <w:bCs/>
          <w:color w:val="1F4E79" w:themeColor="accent1" w:themeShade="80"/>
          <w:sz w:val="28"/>
          <w:szCs w:val="28"/>
          <w:rtl/>
        </w:rPr>
      </w:pPr>
      <w:r w:rsidRPr="00B0575E">
        <w:rPr>
          <w:rFonts w:asciiTheme="majorBidi" w:hAnsiTheme="majorBidi" w:cstheme="majorBidi"/>
          <w:b/>
          <w:bCs/>
          <w:color w:val="1F4E79" w:themeColor="accent1" w:themeShade="80"/>
          <w:sz w:val="28"/>
          <w:szCs w:val="28"/>
          <w:rtl/>
        </w:rPr>
        <w:t>الأنظمة الإلكترونية المستخدمة في انفاذ التشريعات.</w:t>
      </w:r>
    </w:p>
    <w:p w:rsidR="00D4519E" w:rsidRPr="00B0575E" w:rsidRDefault="00D4519E" w:rsidP="00D4519E">
      <w:pPr>
        <w:pStyle w:val="wordsection1"/>
        <w:numPr>
          <w:ilvl w:val="0"/>
          <w:numId w:val="9"/>
        </w:numPr>
        <w:bidi/>
        <w:spacing w:after="60"/>
        <w:rPr>
          <w:rFonts w:asciiTheme="majorBidi" w:hAnsiTheme="majorBidi" w:cstheme="majorBidi"/>
          <w:b/>
          <w:bCs/>
          <w:color w:val="1F4E79" w:themeColor="accent1" w:themeShade="80"/>
          <w:sz w:val="28"/>
          <w:szCs w:val="28"/>
          <w:rtl/>
        </w:rPr>
      </w:pPr>
      <w:r w:rsidRPr="00B0575E">
        <w:rPr>
          <w:rFonts w:asciiTheme="majorBidi" w:hAnsiTheme="majorBidi" w:cstheme="majorBidi"/>
          <w:b/>
          <w:bCs/>
          <w:color w:val="1F4E79" w:themeColor="accent1" w:themeShade="80"/>
          <w:sz w:val="28"/>
          <w:szCs w:val="28"/>
          <w:rtl/>
        </w:rPr>
        <w:t>توفير البنية التحتية من محطات معالجة وتخلص سليم.</w:t>
      </w:r>
    </w:p>
    <w:p w:rsidR="00D4519E" w:rsidRPr="00B0575E" w:rsidRDefault="00D4519E" w:rsidP="00D4519E">
      <w:pPr>
        <w:pStyle w:val="wordsection1"/>
        <w:bidi/>
        <w:spacing w:after="60"/>
        <w:rPr>
          <w:rFonts w:asciiTheme="majorBidi" w:hAnsiTheme="majorBidi" w:cstheme="majorBidi"/>
          <w:b/>
          <w:bCs/>
          <w:color w:val="1F4E79" w:themeColor="accent1" w:themeShade="80"/>
          <w:sz w:val="28"/>
          <w:szCs w:val="28"/>
          <w:u w:val="single"/>
        </w:rPr>
      </w:pPr>
      <w:r w:rsidRPr="00B0575E">
        <w:rPr>
          <w:rFonts w:asciiTheme="majorBidi" w:hAnsiTheme="majorBidi" w:cstheme="majorBidi"/>
          <w:b/>
          <w:bCs/>
          <w:color w:val="1F4E79" w:themeColor="accent1" w:themeShade="80"/>
          <w:sz w:val="28"/>
          <w:szCs w:val="28"/>
          <w:u w:val="single"/>
          <w:rtl/>
        </w:rPr>
        <w:t>رابعا: الحافز في تحقيق التقدم المحرز للهدف 12.4:  </w:t>
      </w:r>
    </w:p>
    <w:p w:rsidR="00D4519E" w:rsidRPr="00B0575E" w:rsidRDefault="00D4519E" w:rsidP="00D4519E">
      <w:pPr>
        <w:pStyle w:val="wordsection1"/>
        <w:bidi/>
        <w:spacing w:after="60"/>
        <w:rPr>
          <w:rFonts w:asciiTheme="majorBidi" w:hAnsiTheme="majorBidi" w:cstheme="majorBidi"/>
          <w:b/>
          <w:bCs/>
          <w:color w:val="1F4E79" w:themeColor="accent1" w:themeShade="80"/>
          <w:sz w:val="28"/>
          <w:szCs w:val="28"/>
        </w:rPr>
      </w:pPr>
      <w:r w:rsidRPr="00B0575E">
        <w:rPr>
          <w:rFonts w:asciiTheme="majorBidi" w:hAnsiTheme="majorBidi" w:cstheme="majorBidi"/>
          <w:b/>
          <w:bCs/>
          <w:color w:val="1F4E79" w:themeColor="accent1" w:themeShade="80"/>
          <w:sz w:val="28"/>
          <w:szCs w:val="28"/>
          <w:rtl/>
        </w:rPr>
        <w:t>تعتبر المحافظة على البيئة وتنميتها واستدامتها من أهم ركائز العمل الحكومي في دولة الإمارات العربية المتحدة، ويتم متابعتها وقياسها من قبل وزارة التغير المناخي والبيئة ورفع نتائجها إلى مكتب رئاسة مجلس الوزراء وهو ما نتج عنه تطبيق منظومة متكاملة لإدارة الهدف وتقليل المخاطر المرتبطة بها، ما أثر في رفع نتيجة هذا المؤشر من 85.5% عام 2015 إلى 91% عام 2020.</w:t>
      </w:r>
    </w:p>
    <w:p w:rsidR="00D4519E" w:rsidRPr="00B0575E" w:rsidRDefault="00D4519E" w:rsidP="00D4519E">
      <w:pPr>
        <w:pStyle w:val="wordsection1"/>
        <w:bidi/>
        <w:spacing w:after="60"/>
        <w:rPr>
          <w:rFonts w:asciiTheme="majorBidi" w:hAnsiTheme="majorBidi" w:cstheme="majorBidi"/>
          <w:b/>
          <w:bCs/>
          <w:color w:val="1F4E79" w:themeColor="accent1" w:themeShade="80"/>
          <w:sz w:val="28"/>
          <w:szCs w:val="28"/>
          <w:u w:val="single"/>
        </w:rPr>
      </w:pPr>
      <w:r w:rsidRPr="00B0575E">
        <w:rPr>
          <w:rFonts w:asciiTheme="majorBidi" w:hAnsiTheme="majorBidi" w:cstheme="majorBidi"/>
          <w:b/>
          <w:bCs/>
          <w:color w:val="1F4E79" w:themeColor="accent1" w:themeShade="80"/>
          <w:sz w:val="28"/>
          <w:szCs w:val="28"/>
          <w:u w:val="single"/>
          <w:rtl/>
        </w:rPr>
        <w:t>خامسا: المساواة بين الجنسين وتفعيل الشراكات:</w:t>
      </w:r>
    </w:p>
    <w:p w:rsidR="00D4519E" w:rsidRPr="00B0575E" w:rsidRDefault="00D4519E" w:rsidP="00D4519E">
      <w:pPr>
        <w:pStyle w:val="wordsection1"/>
        <w:bidi/>
        <w:spacing w:after="60"/>
        <w:rPr>
          <w:rFonts w:asciiTheme="majorBidi" w:hAnsiTheme="majorBidi" w:cstheme="majorBidi"/>
          <w:b/>
          <w:bCs/>
          <w:color w:val="1F4E79" w:themeColor="accent1" w:themeShade="80"/>
          <w:sz w:val="28"/>
          <w:szCs w:val="28"/>
          <w:rtl/>
        </w:rPr>
      </w:pPr>
      <w:r w:rsidRPr="00B0575E">
        <w:rPr>
          <w:rFonts w:asciiTheme="majorBidi" w:hAnsiTheme="majorBidi" w:cstheme="majorBidi"/>
          <w:b/>
          <w:bCs/>
          <w:color w:val="1F4E79" w:themeColor="accent1" w:themeShade="80"/>
          <w:sz w:val="28"/>
          <w:szCs w:val="28"/>
          <w:rtl/>
        </w:rPr>
        <w:t>تعتبر الشراكات والمساواة بين الجنسين من أهم ممكنات تحقيق التقدم في المؤشر حيث تفضي الشراكات مع القطاع الخاص في تحقيق هذه الأهداف من خلال عملية التشاور في إصدار التشريعات والقوانين بالإضافة إلى توفير الخدمات الحكومية السريعة التي تخدم القطاع الخاص، أما بالنسبة للمساواة بين الجنسين فيعتبر من أهم  ممكنات استقطاب الكفاءات ضمن منظومة الموارد البشرية والتي يزيد عدد الإناث المشاركين في المنظومة التشريعية وتقديم الخدمات عن 80% من إجمالي الموارد البشرية العاملة على هذا الملف في الوزارة.</w:t>
      </w:r>
    </w:p>
    <w:p w:rsidR="00D4519E" w:rsidRPr="00B0575E" w:rsidRDefault="00D4519E" w:rsidP="00D4519E">
      <w:pPr>
        <w:bidi/>
        <w:rPr>
          <w:rFonts w:asciiTheme="majorBidi" w:hAnsiTheme="majorBidi" w:cstheme="majorBidi"/>
          <w:b/>
          <w:bCs/>
        </w:rPr>
      </w:pPr>
    </w:p>
    <w:p w:rsidR="00D4519E" w:rsidRPr="00B0575E" w:rsidRDefault="00D4519E" w:rsidP="00D4519E">
      <w:pPr>
        <w:bidi/>
        <w:rPr>
          <w:rFonts w:asciiTheme="majorBidi" w:hAnsiTheme="majorBidi" w:cstheme="majorBidi"/>
          <w:b/>
          <w:bCs/>
        </w:rPr>
      </w:pPr>
    </w:p>
    <w:p w:rsidR="00D4519E" w:rsidRPr="00B0575E" w:rsidRDefault="00D4519E" w:rsidP="00D4519E">
      <w:pPr>
        <w:bidi/>
        <w:rPr>
          <w:rFonts w:asciiTheme="majorBidi" w:hAnsiTheme="majorBidi" w:cstheme="majorBidi"/>
          <w:b/>
          <w:bCs/>
        </w:rPr>
      </w:pPr>
    </w:p>
    <w:p w:rsidR="00D4519E" w:rsidRPr="00B0575E" w:rsidRDefault="00D4519E" w:rsidP="00D4519E">
      <w:pPr>
        <w:bidi/>
        <w:rPr>
          <w:rFonts w:asciiTheme="majorBidi" w:hAnsiTheme="majorBidi" w:cstheme="majorBidi"/>
          <w:b/>
          <w:bCs/>
        </w:rPr>
      </w:pPr>
    </w:p>
    <w:p w:rsidR="00D4519E" w:rsidRPr="00B0575E" w:rsidRDefault="00D4519E" w:rsidP="00D4519E">
      <w:pPr>
        <w:bidi/>
        <w:rPr>
          <w:rFonts w:asciiTheme="majorBidi" w:hAnsiTheme="majorBidi" w:cstheme="majorBidi"/>
          <w:b/>
          <w:bCs/>
        </w:rPr>
      </w:pPr>
    </w:p>
    <w:p w:rsidR="00D4519E" w:rsidRPr="00B0575E" w:rsidRDefault="00D4519E" w:rsidP="00D4519E">
      <w:pPr>
        <w:bidi/>
        <w:rPr>
          <w:rFonts w:asciiTheme="majorBidi" w:hAnsiTheme="majorBidi" w:cstheme="majorBidi"/>
          <w:b/>
          <w:bCs/>
        </w:rPr>
      </w:pPr>
    </w:p>
    <w:p w:rsidR="00D4519E" w:rsidRPr="006B233D" w:rsidRDefault="00D4519E" w:rsidP="00D4519E">
      <w:pPr>
        <w:bidi/>
      </w:pPr>
    </w:p>
    <w:sectPr w:rsidR="00D4519E" w:rsidRPr="006B2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ACB"/>
    <w:multiLevelType w:val="hybridMultilevel"/>
    <w:tmpl w:val="C804E7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328B2C5D"/>
    <w:multiLevelType w:val="hybridMultilevel"/>
    <w:tmpl w:val="89C6047E"/>
    <w:lvl w:ilvl="0" w:tplc="937C7B7A">
      <w:start w:val="1"/>
      <w:numFmt w:val="decimal"/>
      <w:lvlText w:val="%1-"/>
      <w:lvlJc w:val="left"/>
      <w:pPr>
        <w:ind w:left="720" w:hanging="360"/>
      </w:pPr>
      <w:rPr>
        <w:rFonts w:ascii="Calibri" w:hAnsi="Calibri" w:cs="Calibri"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0A5CD5"/>
    <w:multiLevelType w:val="hybridMultilevel"/>
    <w:tmpl w:val="C7B28084"/>
    <w:lvl w:ilvl="0" w:tplc="F01883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F0445B9"/>
    <w:multiLevelType w:val="hybridMultilevel"/>
    <w:tmpl w:val="1EFC2CFA"/>
    <w:lvl w:ilvl="0" w:tplc="DC683628">
      <w:start w:val="1"/>
      <w:numFmt w:val="decimal"/>
      <w:lvlText w:val="%1-"/>
      <w:lvlJc w:val="left"/>
      <w:pPr>
        <w:ind w:left="720" w:hanging="360"/>
      </w:pPr>
      <w:rPr>
        <w:rFonts w:ascii="Calibri" w:hAnsi="Calibri" w:cs="Calibri"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8E0397C"/>
    <w:multiLevelType w:val="hybridMultilevel"/>
    <w:tmpl w:val="C92C15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69FA0B82">
      <w:numFmt w:val="bullet"/>
      <w:lvlText w:val="•"/>
      <w:lvlJc w:val="left"/>
      <w:pPr>
        <w:ind w:left="2520" w:hanging="720"/>
      </w:pPr>
      <w:rPr>
        <w:rFonts w:ascii="Calibri" w:eastAsiaTheme="minorHAnsi" w:hAnsi="Calibri" w:cs="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E67AF6"/>
    <w:multiLevelType w:val="hybridMultilevel"/>
    <w:tmpl w:val="041ACA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151FE"/>
    <w:multiLevelType w:val="hybridMultilevel"/>
    <w:tmpl w:val="437A24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E6F5D2D"/>
    <w:multiLevelType w:val="hybridMultilevel"/>
    <w:tmpl w:val="D778A59C"/>
    <w:lvl w:ilvl="0" w:tplc="879628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 w:numId="3">
    <w:abstractNumId w:val="4"/>
  </w:num>
  <w:num w:numId="4">
    <w:abstractNumId w:val="4"/>
  </w:num>
  <w:num w:numId="5">
    <w:abstractNumId w:val="5"/>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12"/>
    <w:rsid w:val="00043E98"/>
    <w:rsid w:val="000C390B"/>
    <w:rsid w:val="001056FC"/>
    <w:rsid w:val="001436B8"/>
    <w:rsid w:val="00177512"/>
    <w:rsid w:val="00285680"/>
    <w:rsid w:val="00313EBB"/>
    <w:rsid w:val="004506BE"/>
    <w:rsid w:val="00475F9E"/>
    <w:rsid w:val="005322B7"/>
    <w:rsid w:val="006B233D"/>
    <w:rsid w:val="0074097F"/>
    <w:rsid w:val="007668D5"/>
    <w:rsid w:val="0076709A"/>
    <w:rsid w:val="00770BBA"/>
    <w:rsid w:val="00803ACD"/>
    <w:rsid w:val="00835AA7"/>
    <w:rsid w:val="008D5967"/>
    <w:rsid w:val="00921DE3"/>
    <w:rsid w:val="009235F3"/>
    <w:rsid w:val="009C0EF6"/>
    <w:rsid w:val="00B0575E"/>
    <w:rsid w:val="00B81CF1"/>
    <w:rsid w:val="00B96A5C"/>
    <w:rsid w:val="00C138F0"/>
    <w:rsid w:val="00C97245"/>
    <w:rsid w:val="00D35DB8"/>
    <w:rsid w:val="00D4519E"/>
    <w:rsid w:val="00E4686B"/>
    <w:rsid w:val="00F00E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D3C94-2A1D-425E-9C68-24E9C2C0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09A"/>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512"/>
    <w:pPr>
      <w:bidi/>
      <w:spacing w:after="0" w:line="240" w:lineRule="auto"/>
    </w:pPr>
  </w:style>
  <w:style w:type="character" w:styleId="Hyperlink">
    <w:name w:val="Hyperlink"/>
    <w:basedOn w:val="DefaultParagraphFont"/>
    <w:uiPriority w:val="99"/>
    <w:unhideWhenUsed/>
    <w:rsid w:val="00C97245"/>
    <w:rPr>
      <w:color w:val="0563C1" w:themeColor="hyperlink"/>
      <w:u w:val="single"/>
    </w:rPr>
  </w:style>
  <w:style w:type="paragraph" w:styleId="ListParagraph">
    <w:name w:val="List Paragraph"/>
    <w:basedOn w:val="Normal"/>
    <w:uiPriority w:val="34"/>
    <w:qFormat/>
    <w:rsid w:val="00921DE3"/>
    <w:pPr>
      <w:ind w:left="720"/>
      <w:contextualSpacing/>
    </w:pPr>
  </w:style>
  <w:style w:type="character" w:customStyle="1" w:styleId="UnresolvedMention1">
    <w:name w:val="Unresolved Mention1"/>
    <w:basedOn w:val="DefaultParagraphFont"/>
    <w:uiPriority w:val="99"/>
    <w:semiHidden/>
    <w:unhideWhenUsed/>
    <w:rsid w:val="00F00E36"/>
    <w:rPr>
      <w:color w:val="605E5C"/>
      <w:shd w:val="clear" w:color="auto" w:fill="E1DFDD"/>
    </w:rPr>
  </w:style>
  <w:style w:type="paragraph" w:styleId="NormalWeb">
    <w:name w:val="Normal (Web)"/>
    <w:basedOn w:val="Normal"/>
    <w:uiPriority w:val="99"/>
    <w:semiHidden/>
    <w:unhideWhenUsed/>
    <w:rsid w:val="00F00E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1">
    <w:name w:val="Normal (Web) Char1"/>
    <w:aliases w:val="Normal (Web) Char Char,Normal (Web) Char Char Char1,Normal (Web) Char Char Char Char Char1,Normal (Web) Char Char Char Char Char Char"/>
    <w:basedOn w:val="DefaultParagraphFont"/>
    <w:link w:val="wordsection1"/>
    <w:uiPriority w:val="99"/>
    <w:locked/>
    <w:rsid w:val="00B81CF1"/>
    <w:rPr>
      <w:rFonts w:ascii="Calibri" w:hAnsi="Calibri" w:cs="Calibri"/>
    </w:rPr>
  </w:style>
  <w:style w:type="paragraph" w:customStyle="1" w:styleId="wordsection1">
    <w:name w:val="wordsection1"/>
    <w:basedOn w:val="Normal"/>
    <w:link w:val="NormalWebChar1"/>
    <w:uiPriority w:val="99"/>
    <w:rsid w:val="00B81CF1"/>
    <w:pPr>
      <w:spacing w:after="0"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843803">
      <w:bodyDiv w:val="1"/>
      <w:marLeft w:val="0"/>
      <w:marRight w:val="0"/>
      <w:marTop w:val="0"/>
      <w:marBottom w:val="0"/>
      <w:divBdr>
        <w:top w:val="none" w:sz="0" w:space="0" w:color="auto"/>
        <w:left w:val="none" w:sz="0" w:space="0" w:color="auto"/>
        <w:bottom w:val="none" w:sz="0" w:space="0" w:color="auto"/>
        <w:right w:val="none" w:sz="0" w:space="0" w:color="auto"/>
      </w:divBdr>
    </w:div>
    <w:div w:id="593057777">
      <w:bodyDiv w:val="1"/>
      <w:marLeft w:val="0"/>
      <w:marRight w:val="0"/>
      <w:marTop w:val="0"/>
      <w:marBottom w:val="0"/>
      <w:divBdr>
        <w:top w:val="none" w:sz="0" w:space="0" w:color="auto"/>
        <w:left w:val="none" w:sz="0" w:space="0" w:color="auto"/>
        <w:bottom w:val="none" w:sz="0" w:space="0" w:color="auto"/>
        <w:right w:val="none" w:sz="0" w:space="0" w:color="auto"/>
      </w:divBdr>
    </w:div>
    <w:div w:id="698891620">
      <w:bodyDiv w:val="1"/>
      <w:marLeft w:val="0"/>
      <w:marRight w:val="0"/>
      <w:marTop w:val="0"/>
      <w:marBottom w:val="0"/>
      <w:divBdr>
        <w:top w:val="none" w:sz="0" w:space="0" w:color="auto"/>
        <w:left w:val="none" w:sz="0" w:space="0" w:color="auto"/>
        <w:bottom w:val="none" w:sz="0" w:space="0" w:color="auto"/>
        <w:right w:val="none" w:sz="0" w:space="0" w:color="auto"/>
      </w:divBdr>
    </w:div>
    <w:div w:id="957372783">
      <w:bodyDiv w:val="1"/>
      <w:marLeft w:val="0"/>
      <w:marRight w:val="0"/>
      <w:marTop w:val="0"/>
      <w:marBottom w:val="0"/>
      <w:divBdr>
        <w:top w:val="none" w:sz="0" w:space="0" w:color="auto"/>
        <w:left w:val="none" w:sz="0" w:space="0" w:color="auto"/>
        <w:bottom w:val="none" w:sz="0" w:space="0" w:color="auto"/>
        <w:right w:val="none" w:sz="0" w:space="0" w:color="auto"/>
      </w:divBdr>
    </w:div>
    <w:div w:id="1103382124">
      <w:bodyDiv w:val="1"/>
      <w:marLeft w:val="0"/>
      <w:marRight w:val="0"/>
      <w:marTop w:val="0"/>
      <w:marBottom w:val="0"/>
      <w:divBdr>
        <w:top w:val="none" w:sz="0" w:space="0" w:color="auto"/>
        <w:left w:val="none" w:sz="0" w:space="0" w:color="auto"/>
        <w:bottom w:val="none" w:sz="0" w:space="0" w:color="auto"/>
        <w:right w:val="none" w:sz="0" w:space="0" w:color="auto"/>
      </w:divBdr>
    </w:div>
    <w:div w:id="1643195166">
      <w:bodyDiv w:val="1"/>
      <w:marLeft w:val="0"/>
      <w:marRight w:val="0"/>
      <w:marTop w:val="0"/>
      <w:marBottom w:val="0"/>
      <w:divBdr>
        <w:top w:val="none" w:sz="0" w:space="0" w:color="auto"/>
        <w:left w:val="none" w:sz="0" w:space="0" w:color="auto"/>
        <w:bottom w:val="none" w:sz="0" w:space="0" w:color="auto"/>
        <w:right w:val="none" w:sz="0" w:space="0" w:color="auto"/>
      </w:divBdr>
    </w:div>
    <w:div w:id="1699698391">
      <w:bodyDiv w:val="1"/>
      <w:marLeft w:val="0"/>
      <w:marRight w:val="0"/>
      <w:marTop w:val="0"/>
      <w:marBottom w:val="0"/>
      <w:divBdr>
        <w:top w:val="none" w:sz="0" w:space="0" w:color="auto"/>
        <w:left w:val="none" w:sz="0" w:space="0" w:color="auto"/>
        <w:bottom w:val="none" w:sz="0" w:space="0" w:color="auto"/>
        <w:right w:val="none" w:sz="0" w:space="0" w:color="auto"/>
      </w:divBdr>
    </w:div>
    <w:div w:id="1787580235">
      <w:bodyDiv w:val="1"/>
      <w:marLeft w:val="0"/>
      <w:marRight w:val="0"/>
      <w:marTop w:val="0"/>
      <w:marBottom w:val="0"/>
      <w:divBdr>
        <w:top w:val="none" w:sz="0" w:space="0" w:color="auto"/>
        <w:left w:val="none" w:sz="0" w:space="0" w:color="auto"/>
        <w:bottom w:val="none" w:sz="0" w:space="0" w:color="auto"/>
        <w:right w:val="none" w:sz="0" w:space="0" w:color="auto"/>
      </w:divBdr>
    </w:div>
    <w:div w:id="19557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ccae.gov.ae/assets/618f27aa/uae-state-of-environment-report-2019.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E9C503D5282C4A9214DC99E6351F57" ma:contentTypeVersion="0" ma:contentTypeDescription="Create a new document." ma:contentTypeScope="" ma:versionID="9502f89f41d734ca64752434409bdf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10BE4-3407-4097-B068-26C52DEE55BE}">
  <ds:schemaRefs>
    <ds:schemaRef ds:uri="http://schemas.microsoft.com/sharepoint/v3/contenttype/forms"/>
  </ds:schemaRefs>
</ds:datastoreItem>
</file>

<file path=customXml/itemProps2.xml><?xml version="1.0" encoding="utf-8"?>
<ds:datastoreItem xmlns:ds="http://schemas.openxmlformats.org/officeDocument/2006/customXml" ds:itemID="{9E0120CA-CB24-4CDE-9E8C-BCE8C25F4D86}">
  <ds:schemaRef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85B79D5-7006-49BC-819E-5A42D4DB3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MoFAIC</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Ahmed Mohamed Almheiri</dc:creator>
  <cp:keywords/>
  <dc:description/>
  <cp:lastModifiedBy>Mohammed Saleh Alshamsi</cp:lastModifiedBy>
  <cp:revision>2</cp:revision>
  <dcterms:created xsi:type="dcterms:W3CDTF">2022-06-21T13:55:00Z</dcterms:created>
  <dcterms:modified xsi:type="dcterms:W3CDTF">2022-06-21T13:55:00Z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0x010100AAE9C503D5282C4A9214DC99E6351F57</vt:lpwstr>
  </property>
</Properties>
</file>