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FA2B" w14:textId="77777777" w:rsidR="00C06340" w:rsidRDefault="00C06340" w:rsidP="00DD62D0">
      <w:pPr>
        <w:jc w:val="both"/>
        <w:rPr>
          <w:rFonts w:ascii="Artifex CF" w:hAnsi="Artifex CF"/>
        </w:rPr>
      </w:pPr>
    </w:p>
    <w:p w14:paraId="3C5920D4" w14:textId="655CA3AC" w:rsidR="00DD62D0" w:rsidRPr="00DD62D0" w:rsidRDefault="00DD62D0" w:rsidP="00DD62D0">
      <w:pPr>
        <w:jc w:val="both"/>
        <w:rPr>
          <w:rFonts w:ascii="Artifex CF" w:hAnsi="Artifex CF"/>
        </w:rPr>
      </w:pPr>
      <w:r w:rsidRPr="006901B0">
        <w:rPr>
          <w:rFonts w:ascii="Artifex CF" w:hAnsi="Artifex CF"/>
          <w:b/>
          <w:bCs/>
        </w:rPr>
        <w:t>VPEM-DDHH</w:t>
      </w:r>
      <w:r w:rsidRPr="006901B0">
        <w:rPr>
          <w:rFonts w:ascii="Artifex CF" w:hAnsi="Artifex CF"/>
          <w:b/>
          <w:bCs/>
        </w:rPr>
        <w:tab/>
      </w:r>
      <w:r w:rsidRPr="00DD62D0">
        <w:rPr>
          <w:rFonts w:ascii="Artifex CF" w:hAnsi="Artifex CF"/>
        </w:rPr>
        <w:tab/>
      </w:r>
      <w:r w:rsidRPr="00DD62D0">
        <w:rPr>
          <w:rFonts w:ascii="Artifex CF" w:hAnsi="Artifex CF"/>
        </w:rPr>
        <w:tab/>
      </w:r>
      <w:r w:rsidRPr="00DD62D0">
        <w:rPr>
          <w:rFonts w:ascii="Artifex CF" w:hAnsi="Artifex CF"/>
        </w:rPr>
        <w:tab/>
      </w:r>
      <w:r w:rsidRPr="00DD62D0">
        <w:rPr>
          <w:rFonts w:ascii="Artifex CF" w:hAnsi="Artifex CF"/>
        </w:rPr>
        <w:tab/>
      </w:r>
      <w:r w:rsidRPr="00DD62D0">
        <w:rPr>
          <w:rFonts w:ascii="Artifex CF" w:hAnsi="Artifex CF"/>
        </w:rPr>
        <w:tab/>
      </w:r>
      <w:r w:rsidRPr="006901B0">
        <w:rPr>
          <w:rFonts w:ascii="Artifex CF" w:hAnsi="Artifex CF"/>
          <w:b/>
          <w:bCs/>
        </w:rPr>
        <w:t>Santo Domingo, D.N.</w:t>
      </w:r>
    </w:p>
    <w:p w14:paraId="69803B33" w14:textId="0509D270" w:rsidR="00C06340" w:rsidRPr="006901B0" w:rsidRDefault="00DD62D0" w:rsidP="000E4EF2">
      <w:pPr>
        <w:jc w:val="center"/>
        <w:rPr>
          <w:rFonts w:ascii="Artifex CF" w:hAnsi="Artifex CF"/>
          <w:b/>
          <w:bCs/>
        </w:rPr>
      </w:pPr>
      <w:r w:rsidRPr="00DD62D0">
        <w:rPr>
          <w:rFonts w:ascii="Artifex CF" w:hAnsi="Artifex CF"/>
        </w:rPr>
        <w:t xml:space="preserve">                                                                                                              </w:t>
      </w:r>
      <w:r w:rsidR="006901B0" w:rsidRPr="006901B0">
        <w:rPr>
          <w:rFonts w:ascii="Artifex CF" w:hAnsi="Artifex CF"/>
          <w:b/>
          <w:bCs/>
        </w:rPr>
        <w:t>2</w:t>
      </w:r>
      <w:r w:rsidR="00546E55">
        <w:rPr>
          <w:rFonts w:ascii="Artifex CF" w:hAnsi="Artifex CF"/>
          <w:b/>
          <w:bCs/>
        </w:rPr>
        <w:t>3</w:t>
      </w:r>
      <w:r w:rsidRPr="006901B0">
        <w:rPr>
          <w:rFonts w:ascii="Artifex CF" w:hAnsi="Artifex CF"/>
          <w:b/>
          <w:bCs/>
        </w:rPr>
        <w:t xml:space="preserve"> de enero de 2024.</w:t>
      </w:r>
    </w:p>
    <w:p w14:paraId="132A617E" w14:textId="45DBEF69" w:rsidR="001244C8" w:rsidRPr="006901B0" w:rsidRDefault="006901B0" w:rsidP="008A7A11">
      <w:pPr>
        <w:spacing w:line="276" w:lineRule="auto"/>
        <w:jc w:val="both"/>
        <w:rPr>
          <w:rFonts w:ascii="Artifex CF" w:hAnsi="Artifex CF"/>
          <w:b/>
          <w:bCs/>
        </w:rPr>
      </w:pPr>
      <w:r w:rsidRPr="006901B0">
        <w:rPr>
          <w:rFonts w:ascii="Artifex CF" w:hAnsi="Artifex CF"/>
          <w:b/>
          <w:bCs/>
        </w:rPr>
        <w:t xml:space="preserve">Contribuciones </w:t>
      </w:r>
      <w:r>
        <w:rPr>
          <w:rFonts w:ascii="Artifex CF" w:hAnsi="Artifex CF"/>
          <w:b/>
          <w:bCs/>
        </w:rPr>
        <w:t>para el Relator Especial sobre ejecuciones extrajudiciales, sumarias y arbitrarias.</w:t>
      </w:r>
    </w:p>
    <w:p w14:paraId="07DEB736" w14:textId="52F9C5F0" w:rsidR="00C2462B" w:rsidRDefault="006901B0" w:rsidP="00C2462B">
      <w:pPr>
        <w:pStyle w:val="Prrafodelista"/>
        <w:numPr>
          <w:ilvl w:val="0"/>
          <w:numId w:val="14"/>
        </w:numPr>
        <w:spacing w:line="360" w:lineRule="auto"/>
        <w:jc w:val="both"/>
        <w:rPr>
          <w:rFonts w:ascii="Artifex CF" w:hAnsi="Artifex CF"/>
        </w:rPr>
      </w:pPr>
      <w:r w:rsidRPr="006901B0">
        <w:rPr>
          <w:rFonts w:ascii="Artifex CF" w:hAnsi="Artifex CF"/>
          <w:b/>
          <w:bCs/>
        </w:rPr>
        <w:t>Políticas:</w:t>
      </w:r>
      <w:r w:rsidRPr="006901B0">
        <w:rPr>
          <w:rFonts w:ascii="Artifex CF" w:hAnsi="Artifex CF"/>
        </w:rPr>
        <w:t xml:space="preserve"> Políticas existentes que rigen la protección de las personas muertas y sus restos humanos (por ejemplo, cenizas), incluidas las víctimas de asesinatos potencialmente ilegales. Esto incluye la disposición final de las personas muertas y sus restos humanos y la forma en que se respetan los derechos e intereses de las familias y sus comunidades, incluidas sus sensibilidades religiosas y culturales.</w:t>
      </w:r>
    </w:p>
    <w:p w14:paraId="46394BBA" w14:textId="77777777" w:rsidR="00C2462B" w:rsidRPr="00C2462B" w:rsidRDefault="00C2462B" w:rsidP="00C2462B">
      <w:pPr>
        <w:pStyle w:val="Prrafodelista"/>
        <w:spacing w:line="360" w:lineRule="auto"/>
        <w:ind w:left="360"/>
        <w:jc w:val="both"/>
        <w:rPr>
          <w:rFonts w:ascii="Artifex CF" w:hAnsi="Artifex CF"/>
        </w:rPr>
      </w:pPr>
    </w:p>
    <w:p w14:paraId="40432802" w14:textId="062756F5" w:rsidR="006901B0" w:rsidRPr="00C2462B" w:rsidRDefault="00C2462B" w:rsidP="00C2462B">
      <w:pPr>
        <w:pStyle w:val="Prrafodelista"/>
        <w:spacing w:line="360" w:lineRule="auto"/>
        <w:ind w:left="360"/>
        <w:jc w:val="both"/>
        <w:rPr>
          <w:rFonts w:ascii="Artifex CF" w:hAnsi="Artifex CF"/>
        </w:rPr>
      </w:pPr>
      <w:r w:rsidRPr="00C2462B">
        <w:rPr>
          <w:rFonts w:ascii="Artifex CF" w:hAnsi="Artifex CF"/>
          <w:b/>
          <w:bCs/>
        </w:rPr>
        <w:t>Respuesta:</w:t>
      </w:r>
    </w:p>
    <w:p w14:paraId="63DCA4C8" w14:textId="304C8625" w:rsidR="00025502" w:rsidRDefault="00025502" w:rsidP="00930195">
      <w:pPr>
        <w:pStyle w:val="Prrafodelista"/>
        <w:spacing w:line="360" w:lineRule="auto"/>
        <w:ind w:left="360"/>
        <w:jc w:val="both"/>
        <w:rPr>
          <w:rFonts w:ascii="Artifex CF" w:hAnsi="Artifex CF"/>
        </w:rPr>
      </w:pPr>
      <w:r w:rsidRPr="00025502">
        <w:rPr>
          <w:rFonts w:ascii="Artifex CF" w:hAnsi="Artifex CF"/>
        </w:rPr>
        <w:t xml:space="preserve">República Dominicana trabaja por el cumplimiento de las políticas ligadas a las leyes y normativas que protegen a las personas fallecidas, destacando su participación y ratificación de distintos tratados internacionales que abogan por la protección de estos como el Pacto de Derechos Civiles y Políticos, la Declaración Universal de los Derechos Humanos y los Convenios de Ginebra de 1949 y sus dos Protocolos Adicionales. </w:t>
      </w:r>
    </w:p>
    <w:p w14:paraId="7D5F1D32" w14:textId="77777777" w:rsidR="00930195" w:rsidRPr="00930195" w:rsidRDefault="00930195" w:rsidP="00930195">
      <w:pPr>
        <w:pStyle w:val="Prrafodelista"/>
        <w:spacing w:line="360" w:lineRule="auto"/>
        <w:ind w:left="360"/>
        <w:jc w:val="both"/>
        <w:rPr>
          <w:rFonts w:ascii="Artifex CF" w:hAnsi="Artifex CF"/>
        </w:rPr>
      </w:pPr>
    </w:p>
    <w:p w14:paraId="5437B836" w14:textId="355B8915" w:rsidR="00025502" w:rsidRDefault="00025502" w:rsidP="00930195">
      <w:pPr>
        <w:pStyle w:val="Prrafodelista"/>
        <w:spacing w:line="360" w:lineRule="auto"/>
        <w:ind w:left="360"/>
        <w:jc w:val="both"/>
        <w:rPr>
          <w:rFonts w:ascii="Artifex CF" w:hAnsi="Artifex CF"/>
        </w:rPr>
      </w:pPr>
      <w:r w:rsidRPr="00025502">
        <w:rPr>
          <w:rFonts w:ascii="Artifex CF" w:hAnsi="Artifex CF"/>
        </w:rPr>
        <w:t xml:space="preserve">Los restos humanos están protegidos por el principio de dignidad de la persona, los cuales buscan garantizar el derecho a la imagen, a la intimidad y al honor familiar, lo que es un derecho fundamental consagrado en la Constitución de la República y reconocido por todas las convenciones y tratados internacionales sobre derechos humanos. </w:t>
      </w:r>
    </w:p>
    <w:p w14:paraId="48712639" w14:textId="77777777" w:rsidR="00930195" w:rsidRPr="00930195" w:rsidRDefault="00930195" w:rsidP="00930195">
      <w:pPr>
        <w:pStyle w:val="Prrafodelista"/>
        <w:spacing w:line="360" w:lineRule="auto"/>
        <w:ind w:left="360"/>
        <w:jc w:val="both"/>
        <w:rPr>
          <w:rFonts w:ascii="Artifex CF" w:hAnsi="Artifex CF"/>
        </w:rPr>
      </w:pPr>
    </w:p>
    <w:p w14:paraId="17FAA079" w14:textId="77777777" w:rsidR="00025502" w:rsidRDefault="00025502" w:rsidP="006901B0">
      <w:pPr>
        <w:pStyle w:val="Prrafodelista"/>
        <w:spacing w:line="360" w:lineRule="auto"/>
        <w:ind w:left="360"/>
        <w:jc w:val="both"/>
        <w:rPr>
          <w:rFonts w:ascii="Artifex CF" w:hAnsi="Artifex CF"/>
        </w:rPr>
      </w:pPr>
      <w:r w:rsidRPr="00025502">
        <w:rPr>
          <w:rFonts w:ascii="Artifex CF" w:hAnsi="Artifex CF"/>
        </w:rPr>
        <w:t xml:space="preserve">El derecho a la intimidad y al honor de la familia busca garantizar el respeto y la no injerencia en la vida privada y familiar, estableciendo que toda persona que viole estas disposiciones está obligada a resarcir o reparar el daño causado conforme a la ley. </w:t>
      </w:r>
    </w:p>
    <w:p w14:paraId="37155306" w14:textId="239BB9CC" w:rsidR="00025502" w:rsidRPr="00025502" w:rsidRDefault="00025502" w:rsidP="006901B0">
      <w:pPr>
        <w:pStyle w:val="Prrafodelista"/>
        <w:spacing w:line="360" w:lineRule="auto"/>
        <w:ind w:left="360"/>
        <w:jc w:val="both"/>
        <w:rPr>
          <w:rFonts w:ascii="Artifex CF" w:hAnsi="Artifex CF"/>
        </w:rPr>
      </w:pPr>
      <w:r w:rsidRPr="00025502">
        <w:rPr>
          <w:rFonts w:ascii="Artifex CF" w:hAnsi="Artifex CF"/>
        </w:rPr>
        <w:lastRenderedPageBreak/>
        <w:t>La Constitución</w:t>
      </w:r>
      <w:r w:rsidR="00596771">
        <w:rPr>
          <w:rFonts w:ascii="Artifex CF" w:hAnsi="Artifex CF"/>
        </w:rPr>
        <w:t xml:space="preserve"> dominicana</w:t>
      </w:r>
      <w:r w:rsidRPr="00025502">
        <w:rPr>
          <w:rFonts w:ascii="Artifex CF" w:hAnsi="Artifex CF"/>
        </w:rPr>
        <w:t xml:space="preserve"> dispone</w:t>
      </w:r>
      <w:r w:rsidR="00596771">
        <w:rPr>
          <w:rFonts w:ascii="Artifex CF" w:hAnsi="Artifex CF"/>
        </w:rPr>
        <w:t xml:space="preserve"> </w:t>
      </w:r>
      <w:r w:rsidRPr="00025502">
        <w:rPr>
          <w:rFonts w:ascii="Artifex CF" w:hAnsi="Artifex CF"/>
        </w:rPr>
        <w:t>el respeto al derecho</w:t>
      </w:r>
      <w:r w:rsidR="00596771">
        <w:rPr>
          <w:rFonts w:ascii="Artifex CF" w:hAnsi="Artifex CF"/>
        </w:rPr>
        <w:t xml:space="preserve"> </w:t>
      </w:r>
      <w:r w:rsidRPr="00025502">
        <w:rPr>
          <w:rFonts w:ascii="Artifex CF" w:hAnsi="Artifex CF"/>
        </w:rPr>
        <w:t>al honor</w:t>
      </w:r>
      <w:r w:rsidR="00596771">
        <w:rPr>
          <w:rFonts w:ascii="Artifex CF" w:hAnsi="Artifex CF"/>
        </w:rPr>
        <w:t xml:space="preserve"> y </w:t>
      </w:r>
      <w:r w:rsidRPr="00025502">
        <w:rPr>
          <w:rFonts w:ascii="Artifex CF" w:hAnsi="Artifex CF"/>
        </w:rPr>
        <w:t>a la intimidad</w:t>
      </w:r>
      <w:r w:rsidR="00596771">
        <w:rPr>
          <w:rFonts w:ascii="Artifex CF" w:hAnsi="Artifex CF"/>
        </w:rPr>
        <w:t xml:space="preserve">. </w:t>
      </w:r>
      <w:r w:rsidRPr="00025502">
        <w:rPr>
          <w:rFonts w:ascii="Artifex CF" w:hAnsi="Artifex CF"/>
        </w:rPr>
        <w:t xml:space="preserve"> </w:t>
      </w:r>
      <w:r w:rsidR="00596771">
        <w:rPr>
          <w:rFonts w:ascii="Artifex CF" w:hAnsi="Artifex CF"/>
        </w:rPr>
        <w:t xml:space="preserve">La </w:t>
      </w:r>
      <w:r w:rsidRPr="00025502">
        <w:rPr>
          <w:rFonts w:ascii="Artifex CF" w:hAnsi="Artifex CF"/>
        </w:rPr>
        <w:t>dignidad y la moral de las personas, constituye un límite al ejercicio de las libertades de expresión que el propio precepto reconoce y protege. La intimidad abarca el ámbito privado de la vida de una persona y su familia, en lo que concierne a las informaciones, datos y situaciones que en ese ámbito se generen, las cuales deben gozar igualmente de la protección adecuada ante la injerencia de terceros no autorizados.</w:t>
      </w:r>
    </w:p>
    <w:p w14:paraId="6F450FC3" w14:textId="77777777" w:rsidR="006901B0" w:rsidRPr="006901B0" w:rsidRDefault="006901B0" w:rsidP="006901B0">
      <w:pPr>
        <w:pStyle w:val="Prrafodelista"/>
        <w:spacing w:line="360" w:lineRule="auto"/>
        <w:ind w:left="360"/>
        <w:jc w:val="both"/>
        <w:rPr>
          <w:rFonts w:ascii="Artifex CF" w:hAnsi="Artifex CF"/>
        </w:rPr>
      </w:pPr>
    </w:p>
    <w:p w14:paraId="018B5E85" w14:textId="77777777" w:rsidR="006901B0" w:rsidRDefault="006901B0" w:rsidP="006901B0">
      <w:pPr>
        <w:pStyle w:val="Prrafodelista"/>
        <w:numPr>
          <w:ilvl w:val="0"/>
          <w:numId w:val="14"/>
        </w:numPr>
        <w:spacing w:line="360" w:lineRule="auto"/>
        <w:jc w:val="both"/>
        <w:rPr>
          <w:rFonts w:ascii="Artifex CF" w:hAnsi="Artifex CF"/>
        </w:rPr>
      </w:pPr>
      <w:r w:rsidRPr="006901B0">
        <w:rPr>
          <w:rFonts w:ascii="Artifex CF" w:hAnsi="Artifex CF"/>
          <w:b/>
          <w:bCs/>
        </w:rPr>
        <w:t>Leyes/regulaciones:</w:t>
      </w:r>
      <w:r w:rsidRPr="006901B0">
        <w:rPr>
          <w:rFonts w:ascii="Artifex CF" w:hAnsi="Artifex CF"/>
        </w:rPr>
        <w:t xml:space="preserve"> legal existente y/o regulaciones administrativas y disposiciones, que requieren la protección de las personas muertas y sus restos humanos, incluidas las víctimas de asesinatos potencialmente ilegales.</w:t>
      </w:r>
    </w:p>
    <w:p w14:paraId="092C292E" w14:textId="77777777" w:rsidR="00C2462B" w:rsidRDefault="00C2462B" w:rsidP="00C2462B">
      <w:pPr>
        <w:pStyle w:val="Prrafodelista"/>
        <w:spacing w:line="360" w:lineRule="auto"/>
        <w:ind w:left="360"/>
        <w:jc w:val="both"/>
        <w:rPr>
          <w:rFonts w:ascii="Artifex CF" w:hAnsi="Artifex CF"/>
        </w:rPr>
      </w:pPr>
    </w:p>
    <w:p w14:paraId="71196891" w14:textId="77777777" w:rsidR="000A24C7" w:rsidRDefault="00C2462B" w:rsidP="000A24C7">
      <w:pPr>
        <w:pStyle w:val="Prrafodelista"/>
        <w:spacing w:line="360" w:lineRule="auto"/>
        <w:ind w:left="360"/>
        <w:jc w:val="both"/>
        <w:rPr>
          <w:rFonts w:ascii="Artifex CF" w:hAnsi="Artifex CF"/>
          <w:b/>
          <w:bCs/>
        </w:rPr>
      </w:pPr>
      <w:r w:rsidRPr="00C2462B">
        <w:rPr>
          <w:rFonts w:ascii="Artifex CF" w:hAnsi="Artifex CF"/>
          <w:b/>
          <w:bCs/>
        </w:rPr>
        <w:t>Respuesta:</w:t>
      </w:r>
    </w:p>
    <w:p w14:paraId="64E626FA" w14:textId="4DCAC58B" w:rsidR="00930195" w:rsidRDefault="000A24C7" w:rsidP="00930195">
      <w:pPr>
        <w:pStyle w:val="Prrafodelista"/>
        <w:spacing w:line="360" w:lineRule="auto"/>
        <w:ind w:left="360"/>
        <w:jc w:val="both"/>
        <w:rPr>
          <w:rFonts w:ascii="Artifex CF" w:hAnsi="Artifex CF"/>
          <w:sz w:val="21"/>
          <w:szCs w:val="21"/>
        </w:rPr>
      </w:pPr>
      <w:r w:rsidRPr="000A24C7">
        <w:rPr>
          <w:rFonts w:ascii="Artifex CF" w:hAnsi="Artifex CF"/>
          <w:sz w:val="21"/>
          <w:szCs w:val="21"/>
        </w:rPr>
        <w:t>República Dominicana cuenta con distintas leyes y reglamentos que rigen la protección de las personas muertas y sus restos tanto en el Código Penal como en la Constitución</w:t>
      </w:r>
      <w:r w:rsidRPr="000A24C7">
        <w:rPr>
          <w:rFonts w:ascii="Artifex CF" w:hAnsi="Artifex CF"/>
          <w:sz w:val="21"/>
          <w:szCs w:val="21"/>
        </w:rPr>
        <w:t xml:space="preserve">. </w:t>
      </w:r>
    </w:p>
    <w:p w14:paraId="380940D7" w14:textId="77777777" w:rsidR="00930195" w:rsidRPr="00930195" w:rsidRDefault="00930195" w:rsidP="00930195">
      <w:pPr>
        <w:pStyle w:val="Prrafodelista"/>
        <w:spacing w:line="360" w:lineRule="auto"/>
        <w:ind w:left="360"/>
        <w:jc w:val="both"/>
        <w:rPr>
          <w:rFonts w:ascii="Artifex CF" w:hAnsi="Artifex CF"/>
          <w:sz w:val="21"/>
          <w:szCs w:val="21"/>
        </w:rPr>
      </w:pPr>
    </w:p>
    <w:p w14:paraId="2E69FEA9" w14:textId="713CF99D" w:rsidR="00BD171A" w:rsidRDefault="00EE1D62" w:rsidP="00930195">
      <w:pPr>
        <w:pStyle w:val="Prrafodelista"/>
        <w:spacing w:line="360" w:lineRule="auto"/>
        <w:ind w:left="360"/>
        <w:jc w:val="both"/>
        <w:rPr>
          <w:rFonts w:ascii="Artifex CF" w:hAnsi="Artifex CF"/>
          <w:sz w:val="21"/>
          <w:szCs w:val="21"/>
        </w:rPr>
      </w:pPr>
      <w:r w:rsidRPr="000A24C7">
        <w:rPr>
          <w:rFonts w:ascii="Artifex CF" w:hAnsi="Artifex CF"/>
          <w:sz w:val="21"/>
          <w:szCs w:val="21"/>
        </w:rPr>
        <w:t xml:space="preserve">La Constitución </w:t>
      </w:r>
      <w:r w:rsidRPr="000A24C7">
        <w:rPr>
          <w:rFonts w:ascii="Artifex CF" w:hAnsi="Artifex CF"/>
          <w:sz w:val="21"/>
          <w:szCs w:val="21"/>
        </w:rPr>
        <w:t xml:space="preserve">dominicana, conforme lo establecido en el artículo 5, </w:t>
      </w:r>
      <w:r w:rsidRPr="000A24C7">
        <w:rPr>
          <w:rFonts w:ascii="Artifex CF" w:hAnsi="Artifex CF"/>
          <w:sz w:val="21"/>
          <w:szCs w:val="21"/>
        </w:rPr>
        <w:t>se fundamenta en el respeto a la dignidad humana</w:t>
      </w:r>
      <w:r w:rsidRPr="000A24C7">
        <w:rPr>
          <w:rFonts w:ascii="Artifex CF" w:hAnsi="Artifex CF"/>
          <w:sz w:val="21"/>
          <w:szCs w:val="21"/>
        </w:rPr>
        <w:t xml:space="preserve">. </w:t>
      </w:r>
      <w:r w:rsidR="00BD171A" w:rsidRPr="000A24C7">
        <w:rPr>
          <w:rFonts w:ascii="Artifex CF" w:hAnsi="Artifex CF"/>
          <w:sz w:val="21"/>
          <w:szCs w:val="21"/>
        </w:rPr>
        <w:t xml:space="preserve">El </w:t>
      </w:r>
      <w:r w:rsidRPr="000A24C7">
        <w:rPr>
          <w:rFonts w:ascii="Artifex CF" w:hAnsi="Artifex CF"/>
          <w:sz w:val="21"/>
          <w:szCs w:val="21"/>
        </w:rPr>
        <w:t>mismo texto constitucional en sus artículos 8 y 38 contemplan que es función esencial del Estado dominicano la protección efectiva de los derechos de la persona y el respeto</w:t>
      </w:r>
      <w:r w:rsidR="00BD171A" w:rsidRPr="000A24C7">
        <w:rPr>
          <w:rFonts w:ascii="Artifex CF" w:hAnsi="Artifex CF"/>
          <w:sz w:val="21"/>
          <w:szCs w:val="21"/>
        </w:rPr>
        <w:t xml:space="preserve"> de su dignidad. En ese sentido, es obligatoria la protección real y efectiva de los poderes públicos de los derechos fundamentales que le son inherentes a todas las personas muertas. El respeto a su dignidad es constitucionalmente sagrado, innato e inviolable.  </w:t>
      </w:r>
    </w:p>
    <w:p w14:paraId="1325AF6F" w14:textId="77777777" w:rsidR="00930195" w:rsidRPr="00930195" w:rsidRDefault="00930195" w:rsidP="00930195">
      <w:pPr>
        <w:pStyle w:val="Prrafodelista"/>
        <w:spacing w:line="360" w:lineRule="auto"/>
        <w:ind w:left="360"/>
        <w:jc w:val="both"/>
        <w:rPr>
          <w:rFonts w:ascii="Artifex CF" w:hAnsi="Artifex CF"/>
          <w:sz w:val="21"/>
          <w:szCs w:val="21"/>
        </w:rPr>
      </w:pPr>
    </w:p>
    <w:p w14:paraId="1CED19FA" w14:textId="77777777" w:rsidR="007A4539" w:rsidRDefault="00BD171A" w:rsidP="007A4539">
      <w:pPr>
        <w:pStyle w:val="Prrafodelista"/>
        <w:spacing w:line="360" w:lineRule="auto"/>
        <w:ind w:left="360"/>
        <w:jc w:val="both"/>
        <w:rPr>
          <w:rFonts w:ascii="Artifex CF" w:hAnsi="Artifex CF"/>
          <w:sz w:val="21"/>
          <w:szCs w:val="21"/>
        </w:rPr>
      </w:pPr>
      <w:r>
        <w:rPr>
          <w:rFonts w:ascii="Artifex CF" w:hAnsi="Artifex CF"/>
          <w:sz w:val="21"/>
          <w:szCs w:val="21"/>
        </w:rPr>
        <w:t>Respecto al derecho a la integridad personal</w:t>
      </w:r>
      <w:r w:rsidR="007A4539">
        <w:rPr>
          <w:rFonts w:ascii="Artifex CF" w:hAnsi="Artifex CF"/>
          <w:sz w:val="21"/>
          <w:szCs w:val="21"/>
        </w:rPr>
        <w:t>,</w:t>
      </w:r>
      <w:r>
        <w:rPr>
          <w:rFonts w:ascii="Artifex CF" w:hAnsi="Artifex CF"/>
          <w:sz w:val="21"/>
          <w:szCs w:val="21"/>
        </w:rPr>
        <w:t xml:space="preserve"> al derecho a la intimida</w:t>
      </w:r>
      <w:r w:rsidR="00421607">
        <w:rPr>
          <w:rFonts w:ascii="Artifex CF" w:hAnsi="Artifex CF"/>
          <w:sz w:val="21"/>
          <w:szCs w:val="21"/>
        </w:rPr>
        <w:t>d</w:t>
      </w:r>
      <w:r>
        <w:rPr>
          <w:rFonts w:ascii="Artifex CF" w:hAnsi="Artifex CF"/>
          <w:sz w:val="21"/>
          <w:szCs w:val="21"/>
        </w:rPr>
        <w:t xml:space="preserve"> y el honor persona</w:t>
      </w:r>
      <w:r w:rsidR="00421607">
        <w:rPr>
          <w:rFonts w:ascii="Artifex CF" w:hAnsi="Artifex CF"/>
          <w:sz w:val="21"/>
          <w:szCs w:val="21"/>
        </w:rPr>
        <w:t>l</w:t>
      </w:r>
      <w:r w:rsidR="007A4539">
        <w:rPr>
          <w:rFonts w:ascii="Artifex CF" w:hAnsi="Artifex CF"/>
          <w:sz w:val="21"/>
          <w:szCs w:val="21"/>
        </w:rPr>
        <w:t xml:space="preserve"> y al derecho a la libertad de expresión e información (</w:t>
      </w:r>
      <w:r w:rsidR="00421607">
        <w:rPr>
          <w:rFonts w:ascii="Artifex CF" w:hAnsi="Artifex CF"/>
          <w:sz w:val="21"/>
          <w:szCs w:val="21"/>
        </w:rPr>
        <w:t>arts. 42</w:t>
      </w:r>
      <w:r w:rsidR="007A4539">
        <w:rPr>
          <w:rFonts w:ascii="Artifex CF" w:hAnsi="Artifex CF"/>
          <w:sz w:val="21"/>
          <w:szCs w:val="21"/>
        </w:rPr>
        <w:t>,</w:t>
      </w:r>
      <w:r w:rsidR="00421607">
        <w:rPr>
          <w:rFonts w:ascii="Artifex CF" w:hAnsi="Artifex CF"/>
          <w:sz w:val="21"/>
          <w:szCs w:val="21"/>
        </w:rPr>
        <w:t xml:space="preserve"> 44</w:t>
      </w:r>
      <w:r w:rsidR="007A4539">
        <w:rPr>
          <w:rFonts w:ascii="Artifex CF" w:hAnsi="Artifex CF"/>
          <w:sz w:val="21"/>
          <w:szCs w:val="21"/>
        </w:rPr>
        <w:t xml:space="preserve"> y 49</w:t>
      </w:r>
      <w:r w:rsidR="00421607">
        <w:rPr>
          <w:rFonts w:ascii="Artifex CF" w:hAnsi="Artifex CF"/>
          <w:sz w:val="21"/>
          <w:szCs w:val="21"/>
        </w:rPr>
        <w:t>)</w:t>
      </w:r>
      <w:r>
        <w:rPr>
          <w:rFonts w:ascii="Artifex CF" w:hAnsi="Artifex CF"/>
          <w:sz w:val="21"/>
          <w:szCs w:val="21"/>
        </w:rPr>
        <w:t>, la Constitución dominicana</w:t>
      </w:r>
      <w:r w:rsidR="00421607">
        <w:rPr>
          <w:rFonts w:ascii="Artifex CF" w:hAnsi="Artifex CF"/>
          <w:sz w:val="21"/>
          <w:szCs w:val="21"/>
        </w:rPr>
        <w:t>,</w:t>
      </w:r>
      <w:r>
        <w:rPr>
          <w:rFonts w:ascii="Artifex CF" w:hAnsi="Artifex CF"/>
          <w:sz w:val="21"/>
          <w:szCs w:val="21"/>
        </w:rPr>
        <w:t xml:space="preserve"> ordena a que se respete la integridad física, psíquica y moral de todas las personas</w:t>
      </w:r>
      <w:r w:rsidR="00421607">
        <w:rPr>
          <w:rFonts w:ascii="Artifex CF" w:hAnsi="Artifex CF"/>
          <w:sz w:val="21"/>
          <w:szCs w:val="21"/>
        </w:rPr>
        <w:t>. La garantía al honor, el buen nombre y la imagen de todas las personas también esta consagrada en el texto constitucional</w:t>
      </w:r>
      <w:r w:rsidR="007A4539">
        <w:rPr>
          <w:rFonts w:ascii="Artifex CF" w:hAnsi="Artifex CF"/>
          <w:sz w:val="21"/>
          <w:szCs w:val="21"/>
        </w:rPr>
        <w:t xml:space="preserve"> y, además, los medios de </w:t>
      </w:r>
      <w:r w:rsidR="007A4539">
        <w:rPr>
          <w:rFonts w:ascii="Artifex CF" w:hAnsi="Artifex CF"/>
          <w:sz w:val="21"/>
          <w:szCs w:val="21"/>
        </w:rPr>
        <w:lastRenderedPageBreak/>
        <w:t xml:space="preserve">comunicación deben ejercer el derecho a la libertad de expresión e información, respetando el honor, la intimidad, la dignidad y la moral de las personas, es especial la protección de la juventud y la infancia. </w:t>
      </w:r>
      <w:r w:rsidR="00421607" w:rsidRPr="007A4539">
        <w:rPr>
          <w:rFonts w:ascii="Artifex CF" w:hAnsi="Artifex CF"/>
          <w:sz w:val="21"/>
          <w:szCs w:val="21"/>
        </w:rPr>
        <w:t>Toda autoridad que viole estos derechos y garantías constitucionales est</w:t>
      </w:r>
      <w:r w:rsidR="00D975D2" w:rsidRPr="007A4539">
        <w:rPr>
          <w:rFonts w:ascii="Artifex CF" w:hAnsi="Artifex CF"/>
          <w:sz w:val="21"/>
          <w:szCs w:val="21"/>
        </w:rPr>
        <w:t>á</w:t>
      </w:r>
      <w:r w:rsidR="00421607" w:rsidRPr="007A4539">
        <w:rPr>
          <w:rFonts w:ascii="Artifex CF" w:hAnsi="Artifex CF"/>
          <w:sz w:val="21"/>
          <w:szCs w:val="21"/>
        </w:rPr>
        <w:t xml:space="preserve"> obligado a resarcirlos o repararlos conforme a la ley.</w:t>
      </w:r>
    </w:p>
    <w:p w14:paraId="6CD431A8" w14:textId="77777777" w:rsidR="00C2462B" w:rsidRDefault="00C2462B" w:rsidP="007A4539">
      <w:pPr>
        <w:pStyle w:val="Prrafodelista"/>
        <w:spacing w:line="360" w:lineRule="auto"/>
        <w:ind w:left="360"/>
        <w:jc w:val="both"/>
        <w:rPr>
          <w:rFonts w:ascii="Artifex CF" w:hAnsi="Artifex CF"/>
          <w:sz w:val="21"/>
          <w:szCs w:val="21"/>
        </w:rPr>
      </w:pPr>
    </w:p>
    <w:p w14:paraId="5AFC6C4F" w14:textId="6D208EBF" w:rsidR="007A4539" w:rsidRDefault="00C2462B" w:rsidP="00C2462B">
      <w:pPr>
        <w:pStyle w:val="Prrafodelista"/>
        <w:spacing w:line="360" w:lineRule="auto"/>
        <w:ind w:left="360"/>
        <w:jc w:val="both"/>
        <w:rPr>
          <w:rFonts w:ascii="Artifex CF" w:hAnsi="Artifex CF"/>
          <w:sz w:val="21"/>
          <w:szCs w:val="21"/>
        </w:rPr>
      </w:pPr>
      <w:r w:rsidRPr="00FD2367">
        <w:rPr>
          <w:rFonts w:ascii="Artifex CF" w:hAnsi="Artifex CF"/>
          <w:sz w:val="21"/>
          <w:szCs w:val="21"/>
        </w:rPr>
        <w:t xml:space="preserve">Al tenor de lo que establece nuestra </w:t>
      </w:r>
      <w:r>
        <w:rPr>
          <w:rFonts w:ascii="Artifex CF" w:hAnsi="Artifex CF"/>
          <w:sz w:val="21"/>
          <w:szCs w:val="21"/>
        </w:rPr>
        <w:t>C</w:t>
      </w:r>
      <w:r w:rsidRPr="00FD2367">
        <w:rPr>
          <w:rFonts w:ascii="Artifex CF" w:hAnsi="Artifex CF"/>
          <w:sz w:val="21"/>
          <w:szCs w:val="21"/>
        </w:rPr>
        <w:t xml:space="preserve">onstitución en </w:t>
      </w:r>
      <w:r>
        <w:rPr>
          <w:rFonts w:ascii="Artifex CF" w:hAnsi="Artifex CF"/>
          <w:sz w:val="21"/>
          <w:szCs w:val="21"/>
        </w:rPr>
        <w:t>los</w:t>
      </w:r>
      <w:r w:rsidRPr="00FD2367">
        <w:rPr>
          <w:rFonts w:ascii="Artifex CF" w:hAnsi="Artifex CF"/>
          <w:sz w:val="21"/>
          <w:szCs w:val="21"/>
        </w:rPr>
        <w:t xml:space="preserve"> artículo</w:t>
      </w:r>
      <w:r>
        <w:rPr>
          <w:rFonts w:ascii="Artifex CF" w:hAnsi="Artifex CF"/>
          <w:sz w:val="21"/>
          <w:szCs w:val="21"/>
        </w:rPr>
        <w:t>s</w:t>
      </w:r>
      <w:r w:rsidRPr="00FD2367">
        <w:rPr>
          <w:rFonts w:ascii="Artifex CF" w:hAnsi="Artifex CF"/>
          <w:sz w:val="21"/>
          <w:szCs w:val="21"/>
        </w:rPr>
        <w:t xml:space="preserve"> citado</w:t>
      </w:r>
      <w:r>
        <w:rPr>
          <w:rFonts w:ascii="Artifex CF" w:hAnsi="Artifex CF"/>
          <w:sz w:val="21"/>
          <w:szCs w:val="21"/>
        </w:rPr>
        <w:t>s</w:t>
      </w:r>
      <w:r w:rsidRPr="00FD2367">
        <w:rPr>
          <w:rFonts w:ascii="Artifex CF" w:hAnsi="Artifex CF"/>
          <w:sz w:val="21"/>
          <w:szCs w:val="21"/>
        </w:rPr>
        <w:t xml:space="preserve"> anteriormente</w:t>
      </w:r>
      <w:r>
        <w:rPr>
          <w:rFonts w:ascii="Artifex CF" w:hAnsi="Artifex CF"/>
          <w:sz w:val="21"/>
          <w:szCs w:val="21"/>
        </w:rPr>
        <w:t>,</w:t>
      </w:r>
      <w:r w:rsidRPr="00FD2367">
        <w:rPr>
          <w:rFonts w:ascii="Artifex CF" w:hAnsi="Artifex CF"/>
          <w:sz w:val="21"/>
          <w:szCs w:val="21"/>
        </w:rPr>
        <w:t xml:space="preserve"> forman parte de nuestro ordenamiento jurídico,</w:t>
      </w:r>
      <w:r>
        <w:rPr>
          <w:rFonts w:ascii="Artifex CF" w:hAnsi="Artifex CF"/>
          <w:sz w:val="21"/>
          <w:szCs w:val="21"/>
        </w:rPr>
        <w:t xml:space="preserve"> convenios internacionales</w:t>
      </w:r>
      <w:r w:rsidRPr="00FD2367">
        <w:rPr>
          <w:rFonts w:ascii="Artifex CF" w:hAnsi="Artifex CF"/>
          <w:sz w:val="21"/>
          <w:szCs w:val="21"/>
        </w:rPr>
        <w:t xml:space="preserve"> tales como: el Pacto Internacional de Derechos Civiles y Políticos, la Declaración Universal de Derechos Humanos y la Convención Interamericana de Derechos Humanos.</w:t>
      </w:r>
    </w:p>
    <w:p w14:paraId="4B9468AF" w14:textId="77777777" w:rsidR="000A24C7" w:rsidRDefault="000A24C7" w:rsidP="00C2462B">
      <w:pPr>
        <w:pStyle w:val="Prrafodelista"/>
        <w:spacing w:line="360" w:lineRule="auto"/>
        <w:ind w:left="360"/>
        <w:jc w:val="both"/>
        <w:rPr>
          <w:rFonts w:ascii="Artifex CF" w:hAnsi="Artifex CF"/>
          <w:sz w:val="21"/>
          <w:szCs w:val="21"/>
        </w:rPr>
      </w:pPr>
    </w:p>
    <w:p w14:paraId="47D287A2" w14:textId="5FAB8B58" w:rsidR="000A24C7" w:rsidRPr="000A24C7" w:rsidRDefault="000A24C7" w:rsidP="000A24C7">
      <w:pPr>
        <w:pStyle w:val="Prrafodelista"/>
        <w:spacing w:line="360" w:lineRule="auto"/>
        <w:ind w:left="360"/>
        <w:jc w:val="both"/>
        <w:rPr>
          <w:rFonts w:ascii="Artifex CF" w:hAnsi="Artifex CF"/>
          <w:sz w:val="21"/>
          <w:szCs w:val="21"/>
        </w:rPr>
      </w:pPr>
      <w:r w:rsidRPr="000A24C7">
        <w:rPr>
          <w:rFonts w:ascii="Artifex CF" w:hAnsi="Artifex CF"/>
          <w:sz w:val="21"/>
          <w:szCs w:val="21"/>
        </w:rPr>
        <w:t xml:space="preserve">El Código Penal Dominicano: en su artículo 358 establece que “el que, sin autorización previa de autoridad competente, haga inhumar el cadáver de un individuo que hubiere fallecido, será castigado con prisión correccional de seis a dos meses y multa de cincuenta pesos; sin perjuicio de los procedimientos que puedan seguirse, por los delitos que en este caso se imputen a los autores de la inhumación. En la misma pena incurrirá el que infringiere las leyes y reglamentos relativos a las inhumaciones festinadas.”. </w:t>
      </w:r>
    </w:p>
    <w:p w14:paraId="4CAF9CBA" w14:textId="77777777" w:rsidR="00C2462B" w:rsidRPr="00C2462B" w:rsidRDefault="00C2462B" w:rsidP="00C2462B">
      <w:pPr>
        <w:pStyle w:val="Prrafodelista"/>
        <w:spacing w:line="360" w:lineRule="auto"/>
        <w:ind w:left="360"/>
        <w:jc w:val="both"/>
        <w:rPr>
          <w:rFonts w:ascii="Artifex CF" w:hAnsi="Artifex CF"/>
          <w:sz w:val="21"/>
          <w:szCs w:val="21"/>
        </w:rPr>
      </w:pPr>
    </w:p>
    <w:p w14:paraId="501D30EC" w14:textId="5AF9A906" w:rsidR="000A24C7" w:rsidRDefault="007A4539" w:rsidP="000A24C7">
      <w:pPr>
        <w:pStyle w:val="Prrafodelista"/>
        <w:spacing w:line="360" w:lineRule="auto"/>
        <w:ind w:left="360"/>
        <w:jc w:val="both"/>
        <w:rPr>
          <w:rFonts w:ascii="Artifex CF" w:hAnsi="Artifex CF"/>
          <w:sz w:val="21"/>
          <w:szCs w:val="21"/>
        </w:rPr>
      </w:pPr>
      <w:r w:rsidRPr="00A60686">
        <w:rPr>
          <w:rFonts w:ascii="Artifex CF" w:hAnsi="Artifex CF"/>
          <w:sz w:val="21"/>
          <w:szCs w:val="21"/>
        </w:rPr>
        <w:t xml:space="preserve">El </w:t>
      </w:r>
      <w:r w:rsidRPr="007A4539">
        <w:rPr>
          <w:rFonts w:ascii="Artifex CF" w:hAnsi="Artifex CF"/>
          <w:sz w:val="21"/>
          <w:szCs w:val="21"/>
        </w:rPr>
        <w:t>Código Procesal Penal de la República Dominicana</w:t>
      </w:r>
      <w:r w:rsidRPr="00A60686">
        <w:rPr>
          <w:rFonts w:ascii="Artifex CF" w:hAnsi="Artifex CF"/>
          <w:sz w:val="21"/>
          <w:szCs w:val="21"/>
        </w:rPr>
        <w:t xml:space="preserve"> y sus modificaciones, creado mediante la Ley No.76-02, del 19 de julio de 2002, establece lo siguiente: </w:t>
      </w:r>
      <w:r>
        <w:rPr>
          <w:rFonts w:ascii="Artifex CF" w:hAnsi="Artifex CF"/>
          <w:sz w:val="21"/>
          <w:szCs w:val="21"/>
        </w:rPr>
        <w:t xml:space="preserve"> </w:t>
      </w:r>
      <w:r w:rsidRPr="007A4539">
        <w:rPr>
          <w:rFonts w:ascii="Artifex CF" w:hAnsi="Artifex CF"/>
          <w:sz w:val="21"/>
          <w:szCs w:val="21"/>
        </w:rPr>
        <w:t>Art. 174</w:t>
      </w:r>
      <w:r>
        <w:rPr>
          <w:rFonts w:ascii="Artifex CF" w:hAnsi="Artifex CF"/>
          <w:sz w:val="21"/>
          <w:szCs w:val="21"/>
        </w:rPr>
        <w:t xml:space="preserve">. </w:t>
      </w:r>
      <w:r w:rsidRPr="00A60686">
        <w:rPr>
          <w:rFonts w:ascii="Artifex CF" w:hAnsi="Artifex CF"/>
          <w:sz w:val="21"/>
          <w:szCs w:val="21"/>
        </w:rPr>
        <w:t xml:space="preserve">Levantamiento e identificación de cadáveres. En caso de muerte, cuando existan indicios de la comisión de un hecho punible, antes de procederse al traslado e inhumación del occiso, los funcionarios y agentes de la policía realizan la inspección corporal preliminar, la descripción de la situación o posición del cuerpo y de la naturaleza de las lesiones o heridas, además de las diligencias ordenadas por el ministerio público. </w:t>
      </w:r>
      <w:r>
        <w:rPr>
          <w:rFonts w:ascii="Artifex CF" w:hAnsi="Artifex CF"/>
          <w:sz w:val="21"/>
          <w:szCs w:val="21"/>
        </w:rPr>
        <w:t xml:space="preserve"> </w:t>
      </w:r>
      <w:r w:rsidRPr="00A60686">
        <w:rPr>
          <w:rFonts w:ascii="Artifex CF" w:hAnsi="Artifex CF"/>
          <w:sz w:val="21"/>
          <w:szCs w:val="21"/>
        </w:rPr>
        <w:t xml:space="preserve">La identificación del occiso puede realizarse por cualquier medio posible. </w:t>
      </w:r>
      <w:r>
        <w:rPr>
          <w:rFonts w:ascii="Artifex CF" w:hAnsi="Artifex CF"/>
          <w:sz w:val="21"/>
          <w:szCs w:val="21"/>
        </w:rPr>
        <w:t xml:space="preserve"> </w:t>
      </w:r>
      <w:r w:rsidRPr="00A60686">
        <w:rPr>
          <w:rFonts w:ascii="Artifex CF" w:hAnsi="Artifex CF"/>
          <w:sz w:val="21"/>
          <w:szCs w:val="21"/>
        </w:rPr>
        <w:t>En caso de urgencia y en ausencia del ministerio público, la policía, luego de realizadas las operaciones correspondientes, dispone el traslado del cadáver al laboratorio médico forense para practicar la autopsia, efectuar su identificación y entregarlo a sus familiares.</w:t>
      </w:r>
    </w:p>
    <w:p w14:paraId="4F7C8C51" w14:textId="77777777" w:rsidR="000A24C7" w:rsidRPr="000A24C7" w:rsidRDefault="000A24C7" w:rsidP="000A24C7">
      <w:pPr>
        <w:pStyle w:val="Prrafodelista"/>
        <w:spacing w:line="360" w:lineRule="auto"/>
        <w:ind w:left="360"/>
        <w:jc w:val="both"/>
        <w:rPr>
          <w:rFonts w:ascii="Artifex CF" w:hAnsi="Artifex CF"/>
          <w:sz w:val="21"/>
          <w:szCs w:val="21"/>
        </w:rPr>
      </w:pPr>
    </w:p>
    <w:p w14:paraId="31757281" w14:textId="77777777" w:rsidR="000A24C7" w:rsidRDefault="000A24C7" w:rsidP="00C2462B">
      <w:pPr>
        <w:pStyle w:val="Prrafodelista"/>
        <w:spacing w:line="360" w:lineRule="auto"/>
        <w:ind w:left="360"/>
        <w:jc w:val="both"/>
        <w:rPr>
          <w:rFonts w:ascii="Artifex CF" w:hAnsi="Artifex CF"/>
          <w:sz w:val="21"/>
          <w:szCs w:val="21"/>
        </w:rPr>
      </w:pPr>
      <w:r w:rsidRPr="000A24C7">
        <w:rPr>
          <w:rFonts w:ascii="Artifex CF" w:hAnsi="Artifex CF"/>
          <w:sz w:val="21"/>
          <w:szCs w:val="21"/>
        </w:rPr>
        <w:t xml:space="preserve">La ley No. 192-19: sobre Protección de la Imagen, Honor e Intimidad Familiar Vinculados a Personas Fallecidas y Accidentadas. G. O. No. 10945 del 24 de junio de 2019: Esta ley tiene como objetivo “1) La protección integral a la imagen, honor e intimidad familiar vinculados a personas fallecidas, para que estas sean protegidas frente a intromisiones ilegítimas, de acuerdo con lo establecido en la presente ley, y establecer los mecanismos de protección del derecho a la intimidad y la propia imagen de las personas accidentadas” En la misma se hace referencia en el titulo 3 a “la protección de la imagen, honor e intimidad familiar de las personas fallecidas” estableciendo así en el artículo 7 de la presente ley que existe el derecho a la protección civil que ampara a los familiares en caso de que la integridad del fallecido se vea vulnerada estos pueden interponer una demanda en protección a la intimidad o imagen de la persona fallecida </w:t>
      </w:r>
    </w:p>
    <w:p w14:paraId="53B132B6" w14:textId="77777777" w:rsidR="000A24C7" w:rsidRDefault="000A24C7" w:rsidP="00C2462B">
      <w:pPr>
        <w:pStyle w:val="Prrafodelista"/>
        <w:spacing w:line="360" w:lineRule="auto"/>
        <w:ind w:left="360"/>
        <w:jc w:val="both"/>
        <w:rPr>
          <w:rFonts w:ascii="Artifex CF" w:hAnsi="Artifex CF"/>
          <w:sz w:val="21"/>
          <w:szCs w:val="21"/>
        </w:rPr>
      </w:pPr>
    </w:p>
    <w:p w14:paraId="69E8E484" w14:textId="2FC4124D" w:rsidR="000A24C7" w:rsidRDefault="000A24C7" w:rsidP="00C2462B">
      <w:pPr>
        <w:pStyle w:val="Prrafodelista"/>
        <w:spacing w:line="360" w:lineRule="auto"/>
        <w:ind w:left="360"/>
        <w:jc w:val="both"/>
        <w:rPr>
          <w:rFonts w:ascii="Artifex CF" w:hAnsi="Artifex CF"/>
          <w:sz w:val="21"/>
          <w:szCs w:val="21"/>
        </w:rPr>
      </w:pPr>
      <w:r w:rsidRPr="000A24C7">
        <w:rPr>
          <w:rFonts w:ascii="Artifex CF" w:hAnsi="Artifex CF"/>
          <w:sz w:val="21"/>
          <w:szCs w:val="21"/>
        </w:rPr>
        <w:t>La ley No. 214-43: Sobre Cementerios en la República Dominicana, de fecha 4 de marzo de 1943. Esta ley pone a cargo de los Ayuntamientos, “el establecimiento y la explotación de los cementerios, de ruedo exclusivo, salvo los derechos adquiridos en esta materia,”</w:t>
      </w:r>
    </w:p>
    <w:p w14:paraId="3E1379D8" w14:textId="77777777" w:rsidR="000A24C7" w:rsidRDefault="000A24C7" w:rsidP="00C2462B">
      <w:pPr>
        <w:pStyle w:val="Prrafodelista"/>
        <w:spacing w:line="360" w:lineRule="auto"/>
        <w:ind w:left="360"/>
        <w:jc w:val="both"/>
      </w:pPr>
    </w:p>
    <w:p w14:paraId="79BF0D49" w14:textId="015CB0A4" w:rsidR="000A24C7" w:rsidRDefault="000A24C7" w:rsidP="00C2462B">
      <w:pPr>
        <w:pStyle w:val="Prrafodelista"/>
        <w:spacing w:line="360" w:lineRule="auto"/>
        <w:ind w:left="360"/>
        <w:jc w:val="both"/>
        <w:rPr>
          <w:rFonts w:ascii="Artifex CF" w:hAnsi="Artifex CF"/>
          <w:sz w:val="21"/>
          <w:szCs w:val="21"/>
        </w:rPr>
      </w:pPr>
      <w:r w:rsidRPr="000A24C7">
        <w:rPr>
          <w:rFonts w:ascii="Artifex CF" w:hAnsi="Artifex CF"/>
          <w:sz w:val="21"/>
          <w:szCs w:val="21"/>
        </w:rPr>
        <w:t>Finalmente, l</w:t>
      </w:r>
      <w:r w:rsidRPr="000A24C7">
        <w:rPr>
          <w:rFonts w:ascii="Artifex CF" w:hAnsi="Artifex CF"/>
          <w:sz w:val="21"/>
          <w:szCs w:val="21"/>
        </w:rPr>
        <w:t>a ley 42-01 de Salud pública</w:t>
      </w:r>
      <w:r>
        <w:rPr>
          <w:rFonts w:ascii="Artifex CF" w:hAnsi="Artifex CF"/>
          <w:sz w:val="21"/>
          <w:szCs w:val="21"/>
        </w:rPr>
        <w:t xml:space="preserve"> a</w:t>
      </w:r>
      <w:r w:rsidRPr="000A24C7">
        <w:rPr>
          <w:rFonts w:ascii="Artifex CF" w:hAnsi="Artifex CF"/>
          <w:sz w:val="21"/>
          <w:szCs w:val="21"/>
        </w:rPr>
        <w:t>barca</w:t>
      </w:r>
      <w:r>
        <w:rPr>
          <w:rFonts w:ascii="Artifex CF" w:hAnsi="Artifex CF"/>
          <w:sz w:val="21"/>
          <w:szCs w:val="21"/>
        </w:rPr>
        <w:t xml:space="preserve"> la d</w:t>
      </w:r>
      <w:r w:rsidRPr="000A24C7">
        <w:rPr>
          <w:rFonts w:ascii="Artifex CF" w:hAnsi="Artifex CF"/>
          <w:sz w:val="21"/>
          <w:szCs w:val="21"/>
        </w:rPr>
        <w:t>isposición de cadáveres de seres humanos</w:t>
      </w:r>
      <w:r>
        <w:rPr>
          <w:rFonts w:ascii="Artifex CF" w:hAnsi="Artifex CF"/>
          <w:sz w:val="21"/>
          <w:szCs w:val="21"/>
        </w:rPr>
        <w:t xml:space="preserve"> y</w:t>
      </w:r>
      <w:r w:rsidRPr="000A24C7">
        <w:rPr>
          <w:rFonts w:ascii="Artifex CF" w:hAnsi="Artifex CF"/>
          <w:sz w:val="21"/>
          <w:szCs w:val="21"/>
        </w:rPr>
        <w:t xml:space="preserve"> las autopsias</w:t>
      </w:r>
      <w:r>
        <w:rPr>
          <w:rFonts w:ascii="Artifex CF" w:hAnsi="Artifex CF"/>
          <w:sz w:val="21"/>
          <w:szCs w:val="21"/>
        </w:rPr>
        <w:t>,</w:t>
      </w:r>
      <w:r w:rsidRPr="000A24C7">
        <w:rPr>
          <w:rFonts w:ascii="Artifex CF" w:hAnsi="Artifex CF"/>
          <w:sz w:val="21"/>
          <w:szCs w:val="21"/>
        </w:rPr>
        <w:t xml:space="preserve"> hac</w:t>
      </w:r>
      <w:r>
        <w:rPr>
          <w:rFonts w:ascii="Artifex CF" w:hAnsi="Artifex CF"/>
          <w:sz w:val="21"/>
          <w:szCs w:val="21"/>
        </w:rPr>
        <w:t>iendo</w:t>
      </w:r>
      <w:r w:rsidRPr="000A24C7">
        <w:rPr>
          <w:rFonts w:ascii="Artifex CF" w:hAnsi="Artifex CF"/>
          <w:sz w:val="21"/>
          <w:szCs w:val="21"/>
        </w:rPr>
        <w:t xml:space="preserve"> referencia</w:t>
      </w:r>
      <w:r>
        <w:rPr>
          <w:rFonts w:ascii="Artifex CF" w:hAnsi="Artifex CF"/>
          <w:sz w:val="21"/>
          <w:szCs w:val="21"/>
        </w:rPr>
        <w:t xml:space="preserve"> a</w:t>
      </w:r>
      <w:r w:rsidRPr="000A24C7">
        <w:rPr>
          <w:rFonts w:ascii="Artifex CF" w:hAnsi="Artifex CF"/>
          <w:sz w:val="21"/>
          <w:szCs w:val="21"/>
        </w:rPr>
        <w:t xml:space="preserve"> que el Ministerio de Salud Pública, en coordinación con 1os ayuntamientos, el Ministerio de Medio Ambiente y Recursos Naturales y demás instituciones competentes, elaborara la reglamentación que norme la adecuada disposición de cadáveres de seres humanos en cementerios, crematorios, la inhumación y exhumación de cadáveres humanos, así como todo lo referente a la normalización sanitaria del traslado intencional e ingreso de cadáveres humanos</w:t>
      </w:r>
      <w:r>
        <w:rPr>
          <w:rFonts w:ascii="Artifex CF" w:hAnsi="Artifex CF"/>
          <w:sz w:val="21"/>
          <w:szCs w:val="21"/>
        </w:rPr>
        <w:t>.</w:t>
      </w:r>
    </w:p>
    <w:p w14:paraId="460AA2FC" w14:textId="77777777" w:rsidR="006901B0" w:rsidRPr="006901B0" w:rsidRDefault="006901B0" w:rsidP="006901B0">
      <w:pPr>
        <w:pStyle w:val="Prrafodelista"/>
        <w:spacing w:line="360" w:lineRule="auto"/>
        <w:ind w:left="360"/>
        <w:jc w:val="both"/>
        <w:rPr>
          <w:rFonts w:ascii="Artifex CF" w:hAnsi="Artifex CF"/>
          <w:b/>
          <w:bCs/>
        </w:rPr>
      </w:pPr>
    </w:p>
    <w:p w14:paraId="211B755D" w14:textId="77777777" w:rsidR="006901B0" w:rsidRPr="006901B0" w:rsidRDefault="006901B0" w:rsidP="006901B0">
      <w:pPr>
        <w:pStyle w:val="Prrafodelista"/>
        <w:numPr>
          <w:ilvl w:val="0"/>
          <w:numId w:val="14"/>
        </w:numPr>
        <w:spacing w:line="360" w:lineRule="auto"/>
        <w:jc w:val="both"/>
        <w:rPr>
          <w:rFonts w:ascii="Artifex CF" w:hAnsi="Artifex CF"/>
        </w:rPr>
      </w:pPr>
      <w:r w:rsidRPr="006901B0">
        <w:rPr>
          <w:rFonts w:ascii="Artifex CF" w:hAnsi="Artifex CF"/>
          <w:b/>
          <w:bCs/>
        </w:rPr>
        <w:t>Práctica:</w:t>
      </w:r>
      <w:r w:rsidRPr="006901B0">
        <w:rPr>
          <w:rFonts w:ascii="Artifex CF" w:hAnsi="Artifex CF"/>
        </w:rPr>
        <w:t xml:space="preserve"> Prácticas y procedimientos institucionales, incluidas las normas, los protocolos nacionales o internacionales y las directrices actualmente en uso para </w:t>
      </w:r>
      <w:r w:rsidRPr="006901B0">
        <w:rPr>
          <w:rFonts w:ascii="Artifex CF" w:hAnsi="Artifex CF"/>
        </w:rPr>
        <w:lastRenderedPageBreak/>
        <w:t>garantizar el trato respetuoso y la protección de las personas fallecidas y sus restos humanos, incluidas las víctimas de asesinatos potencialmente ilegales.</w:t>
      </w:r>
    </w:p>
    <w:p w14:paraId="35724621" w14:textId="77777777" w:rsidR="006901B0" w:rsidRDefault="006901B0" w:rsidP="006901B0">
      <w:pPr>
        <w:spacing w:line="360" w:lineRule="auto"/>
        <w:jc w:val="both"/>
        <w:rPr>
          <w:rFonts w:ascii="Artifex CF" w:hAnsi="Artifex CF"/>
        </w:rPr>
      </w:pPr>
      <w:r w:rsidRPr="006901B0">
        <w:rPr>
          <w:rFonts w:ascii="Artifex CF" w:hAnsi="Artifex CF"/>
        </w:rPr>
        <w:t>El Relator Especial también está interesado en recibir información sobre políticas, regulaciones y prácticas o medidas especiales establecidas durante situaciones de emergencia, incluida la pandemia de Covid-19, los desastres, los conflictos armados y otras situaciones de violencia, para la protección de las personas muertas y sus restos humanos (por ejemplo, las cenizas), incluidas las víctimas de asesinatos potencialmente ilegales resultantes de tales emergencias.</w:t>
      </w:r>
    </w:p>
    <w:p w14:paraId="5834A6D8" w14:textId="77777777" w:rsidR="00C2462B" w:rsidRDefault="00C2462B" w:rsidP="006901B0">
      <w:pPr>
        <w:spacing w:line="360" w:lineRule="auto"/>
        <w:jc w:val="both"/>
        <w:rPr>
          <w:rFonts w:ascii="Artifex CF" w:hAnsi="Artifex CF"/>
          <w:b/>
          <w:bCs/>
        </w:rPr>
      </w:pPr>
      <w:r w:rsidRPr="00C2462B">
        <w:rPr>
          <w:rFonts w:ascii="Artifex CF" w:hAnsi="Artifex CF"/>
          <w:b/>
          <w:bCs/>
        </w:rPr>
        <w:t>Respuesta:</w:t>
      </w:r>
    </w:p>
    <w:p w14:paraId="4968A33B" w14:textId="77777777" w:rsidR="00B6700F" w:rsidRDefault="00B6700F" w:rsidP="006901B0">
      <w:pPr>
        <w:spacing w:line="360" w:lineRule="auto"/>
        <w:jc w:val="both"/>
        <w:rPr>
          <w:rFonts w:ascii="Artifex CF" w:hAnsi="Artifex CF"/>
        </w:rPr>
      </w:pPr>
      <w:r w:rsidRPr="00B6700F">
        <w:rPr>
          <w:rFonts w:ascii="Artifex CF" w:hAnsi="Artifex CF"/>
        </w:rPr>
        <w:t xml:space="preserve">El Ministerio de Salud Pública en coordinación con las instituciones correspondientes creadas a1 efecto por las leyes y demás disposiciones legales nacionales, ejercerá la reglamentación y el control bioético y sanitario de la disposición de tejidos, órganos y cadáveres de seres humanos. </w:t>
      </w:r>
    </w:p>
    <w:p w14:paraId="2A8419B1" w14:textId="77777777" w:rsidR="00B6700F" w:rsidRDefault="00B6700F" w:rsidP="006901B0">
      <w:pPr>
        <w:spacing w:line="360" w:lineRule="auto"/>
        <w:jc w:val="both"/>
        <w:rPr>
          <w:rFonts w:ascii="Artifex CF" w:hAnsi="Artifex CF"/>
        </w:rPr>
      </w:pPr>
      <w:r w:rsidRPr="00B6700F">
        <w:rPr>
          <w:rFonts w:ascii="Artifex CF" w:hAnsi="Artifex CF"/>
        </w:rPr>
        <w:t xml:space="preserve">La Ley General de Salud No. 42-01, establece las directrices bajo las cuales reglamentación que norme la adecuada disposición de cadáveres de seres humanos en cementerios, crematorios, la inhumación y exhumación de cadáveres humanos, así como todo lo referente a la normalización sanitaria del traslado internacional e ingreso de cadáveres humanos. </w:t>
      </w:r>
    </w:p>
    <w:p w14:paraId="3235F47E" w14:textId="00649481" w:rsidR="00B6700F" w:rsidRDefault="00B6700F" w:rsidP="006901B0">
      <w:pPr>
        <w:spacing w:line="360" w:lineRule="auto"/>
        <w:jc w:val="both"/>
        <w:rPr>
          <w:rFonts w:ascii="Artifex CF" w:hAnsi="Artifex CF"/>
        </w:rPr>
      </w:pPr>
      <w:r w:rsidRPr="00B6700F">
        <w:rPr>
          <w:rFonts w:ascii="Artifex CF" w:hAnsi="Artifex CF"/>
        </w:rPr>
        <w:t xml:space="preserve">Por su parte, el Instituto Nacional de Ciencias Forenses de la República Dominicana. (INACIF), regulado por la ley No. 454-08, es la institución encargada de establecer los protocolos y reglamentos para el tratamiento de </w:t>
      </w:r>
      <w:r w:rsidRPr="00B6700F">
        <w:rPr>
          <w:rFonts w:ascii="Artifex CF" w:hAnsi="Artifex CF"/>
        </w:rPr>
        <w:t>cadáveres,</w:t>
      </w:r>
      <w:r w:rsidRPr="00B6700F">
        <w:rPr>
          <w:rFonts w:ascii="Artifex CF" w:hAnsi="Artifex CF"/>
        </w:rPr>
        <w:t xml:space="preserve"> así como velar porque se realice una correcta autopsia, un ejemplo de esto es el protocolo de actuación en sucesos de víctimas múltiples y grandes catástrofes</w:t>
      </w:r>
      <w:r>
        <w:rPr>
          <w:rStyle w:val="Refdenotaalpie"/>
          <w:rFonts w:ascii="Artifex CF" w:hAnsi="Artifex CF"/>
        </w:rPr>
        <w:footnoteReference w:id="1"/>
      </w:r>
      <w:r w:rsidRPr="00B6700F">
        <w:rPr>
          <w:rFonts w:ascii="Artifex CF" w:hAnsi="Artifex CF"/>
        </w:rPr>
        <w:t xml:space="preserve">. </w:t>
      </w:r>
    </w:p>
    <w:p w14:paraId="1626D5E4" w14:textId="77777777" w:rsidR="00B6700F" w:rsidRDefault="00B6700F" w:rsidP="006901B0">
      <w:pPr>
        <w:spacing w:line="360" w:lineRule="auto"/>
        <w:jc w:val="both"/>
        <w:rPr>
          <w:rFonts w:ascii="Artifex CF" w:hAnsi="Artifex CF"/>
        </w:rPr>
      </w:pPr>
      <w:r w:rsidRPr="00B6700F">
        <w:rPr>
          <w:rFonts w:ascii="Artifex CF" w:hAnsi="Artifex CF"/>
        </w:rPr>
        <w:lastRenderedPageBreak/>
        <w:t>E</w:t>
      </w:r>
      <w:r>
        <w:rPr>
          <w:rFonts w:ascii="Artifex CF" w:hAnsi="Artifex CF"/>
        </w:rPr>
        <w:t>l</w:t>
      </w:r>
      <w:r w:rsidRPr="00B6700F">
        <w:rPr>
          <w:rFonts w:ascii="Artifex CF" w:hAnsi="Artifex CF"/>
        </w:rPr>
        <w:t xml:space="preserve"> Instituto Nacional de Ciencias Forenses (INACIF) tiene bajo su cargo la inhumación de cadáveres no reclamados, lo cual es un proceso que se realiza de manera rutinaria cada tres meses. Explicó que consiste en dar cristiana sepultura a esos cuerpos que, por alguna razón, no han sido retirados de la morgue del órgano forense. </w:t>
      </w:r>
    </w:p>
    <w:p w14:paraId="6C04F72B" w14:textId="77777777" w:rsidR="00B6700F" w:rsidRDefault="00B6700F" w:rsidP="006901B0">
      <w:pPr>
        <w:spacing w:line="360" w:lineRule="auto"/>
        <w:jc w:val="both"/>
        <w:rPr>
          <w:rFonts w:ascii="Artifex CF" w:hAnsi="Artifex CF"/>
        </w:rPr>
      </w:pPr>
      <w:r w:rsidRPr="00B6700F">
        <w:rPr>
          <w:rFonts w:ascii="Artifex CF" w:hAnsi="Artifex CF"/>
        </w:rPr>
        <w:t xml:space="preserve">Al respecto de lo antes mencionado, el INACIF en fecha 16 de enero de 2024, mediante comunicado de prensa destacó su compromiso orientado a garantizar que a los cuerpos de personas fallecidas que se encuentran en su morgue, y que no son reclamados por sus familiares, se le dé un manejo adecuado y se proceda con su sepultura de manera digna. </w:t>
      </w:r>
    </w:p>
    <w:p w14:paraId="145DCDC5" w14:textId="098F9CB1" w:rsidR="00B6700F" w:rsidRDefault="00B6700F" w:rsidP="006901B0">
      <w:pPr>
        <w:spacing w:line="360" w:lineRule="auto"/>
        <w:jc w:val="both"/>
        <w:rPr>
          <w:rFonts w:ascii="Artifex CF" w:hAnsi="Artifex CF"/>
        </w:rPr>
      </w:pPr>
      <w:r w:rsidRPr="00B6700F">
        <w:rPr>
          <w:rFonts w:ascii="Artifex CF" w:hAnsi="Artifex CF"/>
        </w:rPr>
        <w:t>La entidad garantiza el respeto a la dignidad de los cadáveres no reclamados, los cuales serán sepultados en nichos construidos con esos para estos fines. Es importante señalar que la institución mantiene la custodia de estos cuerpos hasta tanto sean reclamados por algún familiar o solicitados por una autoridad competente</w:t>
      </w:r>
      <w:r>
        <w:rPr>
          <w:rStyle w:val="Refdenotaalpie"/>
          <w:rFonts w:ascii="Artifex CF" w:hAnsi="Artifex CF"/>
        </w:rPr>
        <w:footnoteReference w:id="2"/>
      </w:r>
      <w:r w:rsidRPr="00B6700F">
        <w:rPr>
          <w:rFonts w:ascii="Artifex CF" w:hAnsi="Artifex CF"/>
        </w:rPr>
        <w:t xml:space="preserve">. </w:t>
      </w:r>
    </w:p>
    <w:p w14:paraId="27A07691" w14:textId="57100F09" w:rsidR="00B6700F" w:rsidRDefault="00B6700F" w:rsidP="006901B0">
      <w:pPr>
        <w:spacing w:line="360" w:lineRule="auto"/>
        <w:jc w:val="both"/>
        <w:rPr>
          <w:rFonts w:ascii="Artifex CF" w:hAnsi="Artifex CF"/>
        </w:rPr>
      </w:pPr>
      <w:r w:rsidRPr="00B6700F">
        <w:rPr>
          <w:rFonts w:ascii="Artifex CF" w:hAnsi="Artifex CF"/>
        </w:rPr>
        <w:t>As</w:t>
      </w:r>
      <w:r>
        <w:rPr>
          <w:rFonts w:ascii="Artifex CF" w:hAnsi="Artifex CF"/>
        </w:rPr>
        <w:t>i</w:t>
      </w:r>
      <w:r w:rsidRPr="00B6700F">
        <w:rPr>
          <w:rFonts w:ascii="Artifex CF" w:hAnsi="Artifex CF"/>
        </w:rPr>
        <w:t>mismo, el Estado Dominicano a través del Ministerio de Relaciones Exteriores, cuenta con el servicio de repatriación de cadáveres de nacionales en el extranjero, los consulados dominicanos que operan en otros países ofrecen servicios que facilitan el traslado de restos humanos, a través del programa llamado CIELORD, garantiza a los dominicanos residentes en el exterior la repatriación y servicio funerario en caso de fallecimiento y así poder contar con una sepultura digna y descansar en su suelo natal junto a sus seres queridos</w:t>
      </w:r>
    </w:p>
    <w:p w14:paraId="751ACECD" w14:textId="2CB71F7B" w:rsidR="001A08F8" w:rsidRPr="00C2462B" w:rsidRDefault="001A08F8" w:rsidP="006901B0">
      <w:pPr>
        <w:spacing w:line="360" w:lineRule="auto"/>
        <w:jc w:val="both"/>
        <w:rPr>
          <w:rFonts w:ascii="Artifex CF" w:hAnsi="Artifex CF"/>
        </w:rPr>
      </w:pPr>
      <w:r w:rsidRPr="00B6700F">
        <w:rPr>
          <w:rFonts w:ascii="Artifex CF" w:hAnsi="Artifex CF"/>
        </w:rPr>
        <w:t xml:space="preserve">La Policía Nacional dominicana, a través de su Departamento de Investigación de Homicidios sigue los protocolos tanto nacional como internacional tan pronto tiene conocimiento de la ocurrencia de una muerte violenta. Los oficiales asignados para tales fines realizan el procedimiento siguiente: </w:t>
      </w:r>
    </w:p>
    <w:p w14:paraId="44BCBD75" w14:textId="77777777" w:rsidR="00EE1D62" w:rsidRDefault="001A08F8" w:rsidP="001A08F8">
      <w:pPr>
        <w:pStyle w:val="Prrafodelista"/>
        <w:numPr>
          <w:ilvl w:val="0"/>
          <w:numId w:val="15"/>
        </w:numPr>
        <w:spacing w:line="360" w:lineRule="auto"/>
        <w:jc w:val="both"/>
        <w:rPr>
          <w:rFonts w:ascii="Artifex CF" w:hAnsi="Artifex CF"/>
          <w:sz w:val="21"/>
          <w:szCs w:val="21"/>
        </w:rPr>
      </w:pPr>
      <w:r>
        <w:rPr>
          <w:rFonts w:ascii="Artifex CF" w:hAnsi="Artifex CF"/>
          <w:sz w:val="21"/>
          <w:szCs w:val="21"/>
        </w:rPr>
        <w:lastRenderedPageBreak/>
        <w:t>P</w:t>
      </w:r>
      <w:r w:rsidRPr="001A08F8">
        <w:rPr>
          <w:rFonts w:ascii="Artifex CF" w:hAnsi="Artifex CF"/>
          <w:sz w:val="21"/>
          <w:szCs w:val="21"/>
        </w:rPr>
        <w:t xml:space="preserve">roteger la escena del crimen, acordonar el perímetro, y de inmediato se procede a cubrir el o los cadáveres, donde se espera por las autoridades correspondiente (fiscal y médico legista), quienes procederán y son los únicos autorizados hacer el levantamiento del occiso y/o occisos, así como la Policía Científica. </w:t>
      </w:r>
    </w:p>
    <w:p w14:paraId="216CCEFD" w14:textId="4DB79C11" w:rsidR="001A08F8" w:rsidRDefault="001A08F8" w:rsidP="001A08F8">
      <w:pPr>
        <w:pStyle w:val="Prrafodelista"/>
        <w:numPr>
          <w:ilvl w:val="0"/>
          <w:numId w:val="15"/>
        </w:numPr>
        <w:spacing w:line="360" w:lineRule="auto"/>
        <w:jc w:val="both"/>
        <w:rPr>
          <w:rFonts w:ascii="Artifex CF" w:hAnsi="Artifex CF"/>
          <w:sz w:val="21"/>
          <w:szCs w:val="21"/>
        </w:rPr>
      </w:pPr>
      <w:r w:rsidRPr="001A08F8">
        <w:rPr>
          <w:rFonts w:ascii="Artifex CF" w:hAnsi="Artifex CF"/>
          <w:sz w:val="21"/>
          <w:szCs w:val="21"/>
        </w:rPr>
        <w:t xml:space="preserve">Una vez realizado el examen correspondiente, las antes mencionadas autoridades forenses, llenan en conjunto un acta con las especificaciones para tales fines y donde por último proceden a enviar el cuerpo o los cuerpos al </w:t>
      </w:r>
      <w:r w:rsidR="00EE1D62">
        <w:rPr>
          <w:rFonts w:ascii="Artifex CF" w:hAnsi="Artifex CF"/>
          <w:sz w:val="21"/>
          <w:szCs w:val="21"/>
        </w:rPr>
        <w:t>I</w:t>
      </w:r>
      <w:r w:rsidRPr="001A08F8">
        <w:rPr>
          <w:rFonts w:ascii="Artifex CF" w:hAnsi="Artifex CF"/>
          <w:sz w:val="21"/>
          <w:szCs w:val="21"/>
        </w:rPr>
        <w:t>nstituto Nacional de Ciencias Forenses (INAC</w:t>
      </w:r>
      <w:r>
        <w:rPr>
          <w:rFonts w:ascii="Artifex CF" w:hAnsi="Artifex CF"/>
          <w:sz w:val="21"/>
          <w:szCs w:val="21"/>
        </w:rPr>
        <w:t>IF</w:t>
      </w:r>
      <w:r w:rsidRPr="001A08F8">
        <w:rPr>
          <w:rFonts w:ascii="Artifex CF" w:hAnsi="Artifex CF"/>
          <w:sz w:val="21"/>
          <w:szCs w:val="21"/>
        </w:rPr>
        <w:t>)</w:t>
      </w:r>
      <w:r w:rsidR="00EE1D62">
        <w:rPr>
          <w:rFonts w:ascii="Artifex CF" w:hAnsi="Artifex CF"/>
          <w:sz w:val="21"/>
          <w:szCs w:val="21"/>
        </w:rPr>
        <w:t xml:space="preserve"> </w:t>
      </w:r>
      <w:r w:rsidRPr="001A08F8">
        <w:rPr>
          <w:rFonts w:ascii="Artifex CF" w:hAnsi="Artifex CF"/>
          <w:sz w:val="21"/>
          <w:szCs w:val="21"/>
        </w:rPr>
        <w:t>para los estudios legales correspondientes.</w:t>
      </w:r>
      <w:r w:rsidRPr="001A08F8">
        <w:rPr>
          <w:rFonts w:ascii="Artifex CF" w:hAnsi="Artifex CF"/>
          <w:sz w:val="21"/>
          <w:szCs w:val="21"/>
        </w:rPr>
        <w:cr/>
      </w:r>
    </w:p>
    <w:p w14:paraId="45405370" w14:textId="121A9840" w:rsidR="003417FD" w:rsidRPr="004A383A" w:rsidRDefault="00C2462B" w:rsidP="004A383A">
      <w:pPr>
        <w:spacing w:line="360" w:lineRule="auto"/>
        <w:jc w:val="both"/>
        <w:rPr>
          <w:rFonts w:ascii="Artifex CF" w:hAnsi="Artifex CF"/>
          <w:sz w:val="21"/>
          <w:szCs w:val="21"/>
        </w:rPr>
      </w:pPr>
      <w:r>
        <w:rPr>
          <w:rFonts w:ascii="Artifex CF" w:hAnsi="Artifex CF"/>
          <w:sz w:val="21"/>
          <w:szCs w:val="21"/>
        </w:rPr>
        <w:t xml:space="preserve">Respecto a las </w:t>
      </w:r>
      <w:r w:rsidRPr="00C2462B">
        <w:rPr>
          <w:rFonts w:ascii="Artifex CF" w:hAnsi="Artifex CF"/>
          <w:sz w:val="21"/>
          <w:szCs w:val="21"/>
        </w:rPr>
        <w:t>políticas, regulaciones y prácticas o medidas especiales establecidas durante situaciones de emergencia, incluida la pandemia de Covid-19</w:t>
      </w:r>
      <w:r>
        <w:rPr>
          <w:rFonts w:ascii="Artifex CF" w:hAnsi="Artifex CF"/>
          <w:sz w:val="21"/>
          <w:szCs w:val="21"/>
        </w:rPr>
        <w:t>, es importante destaca</w:t>
      </w:r>
      <w:r w:rsidR="00CA6006">
        <w:rPr>
          <w:rFonts w:ascii="Artifex CF" w:hAnsi="Artifex CF"/>
          <w:sz w:val="21"/>
          <w:szCs w:val="21"/>
        </w:rPr>
        <w:t>r</w:t>
      </w:r>
      <w:r>
        <w:rPr>
          <w:rFonts w:ascii="Artifex CF" w:hAnsi="Artifex CF"/>
          <w:sz w:val="21"/>
          <w:szCs w:val="21"/>
        </w:rPr>
        <w:t xml:space="preserve"> las </w:t>
      </w:r>
      <w:r w:rsidRPr="00C2462B">
        <w:rPr>
          <w:rFonts w:ascii="Artifex CF" w:hAnsi="Artifex CF"/>
          <w:sz w:val="21"/>
          <w:szCs w:val="21"/>
        </w:rPr>
        <w:t>Directrices para el manejo, traslado y disposición final de cadáveres por COVID-19 República Dominicana</w:t>
      </w:r>
      <w:r>
        <w:rPr>
          <w:rStyle w:val="Refdenotaalpie"/>
          <w:rFonts w:ascii="Artifex CF" w:hAnsi="Artifex CF"/>
          <w:sz w:val="21"/>
          <w:szCs w:val="21"/>
        </w:rPr>
        <w:footnoteReference w:id="3"/>
      </w:r>
      <w:r>
        <w:rPr>
          <w:rFonts w:ascii="Artifex CF" w:hAnsi="Artifex CF"/>
          <w:sz w:val="21"/>
          <w:szCs w:val="21"/>
        </w:rPr>
        <w:t xml:space="preserve">, autoría de la </w:t>
      </w:r>
      <w:r w:rsidRPr="00C2462B">
        <w:rPr>
          <w:rFonts w:ascii="Artifex CF" w:hAnsi="Artifex CF"/>
          <w:sz w:val="21"/>
          <w:szCs w:val="21"/>
        </w:rPr>
        <w:t>Organización Panamericana de la Salud, Organización Mundial de la Salud y el Ministerio de Salud Pública de la República Dominicana.</w:t>
      </w:r>
    </w:p>
    <w:sectPr w:rsidR="003417FD" w:rsidRPr="004A383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2F80" w14:textId="77777777" w:rsidR="00B67331" w:rsidRDefault="00B67331" w:rsidP="00B15BC6">
      <w:pPr>
        <w:spacing w:after="0" w:line="240" w:lineRule="auto"/>
      </w:pPr>
      <w:r>
        <w:separator/>
      </w:r>
    </w:p>
  </w:endnote>
  <w:endnote w:type="continuationSeparator" w:id="0">
    <w:p w14:paraId="0AE99BBD" w14:textId="77777777" w:rsidR="00B67331" w:rsidRDefault="00B67331" w:rsidP="00B1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tifex CF">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748009"/>
      <w:docPartObj>
        <w:docPartGallery w:val="Page Numbers (Bottom of Page)"/>
        <w:docPartUnique/>
      </w:docPartObj>
    </w:sdtPr>
    <w:sdtEndPr/>
    <w:sdtContent>
      <w:p w14:paraId="217B2C07" w14:textId="439F1011" w:rsidR="00011839" w:rsidRDefault="00011839">
        <w:pPr>
          <w:pStyle w:val="Piedepgina"/>
          <w:jc w:val="right"/>
        </w:pPr>
        <w:r>
          <w:fldChar w:fldCharType="begin"/>
        </w:r>
        <w:r>
          <w:instrText>PAGE   \* MERGEFORMAT</w:instrText>
        </w:r>
        <w:r>
          <w:fldChar w:fldCharType="separate"/>
        </w:r>
        <w:r>
          <w:t>2</w:t>
        </w:r>
        <w:r>
          <w:fldChar w:fldCharType="end"/>
        </w:r>
      </w:p>
    </w:sdtContent>
  </w:sdt>
  <w:p w14:paraId="4EE4ED12" w14:textId="673D38D9" w:rsidR="00B15BC6" w:rsidRDefault="00B15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463B" w14:textId="77777777" w:rsidR="00B67331" w:rsidRDefault="00B67331" w:rsidP="00B15BC6">
      <w:pPr>
        <w:spacing w:after="0" w:line="240" w:lineRule="auto"/>
      </w:pPr>
      <w:r>
        <w:separator/>
      </w:r>
    </w:p>
  </w:footnote>
  <w:footnote w:type="continuationSeparator" w:id="0">
    <w:p w14:paraId="5EEB6ADC" w14:textId="77777777" w:rsidR="00B67331" w:rsidRDefault="00B67331" w:rsidP="00B15BC6">
      <w:pPr>
        <w:spacing w:after="0" w:line="240" w:lineRule="auto"/>
      </w:pPr>
      <w:r>
        <w:continuationSeparator/>
      </w:r>
    </w:p>
  </w:footnote>
  <w:footnote w:id="1">
    <w:p w14:paraId="2DA1CEBD" w14:textId="6ED96B8B" w:rsidR="00B6700F" w:rsidRDefault="00B6700F">
      <w:pPr>
        <w:pStyle w:val="Textonotapie"/>
      </w:pPr>
      <w:r>
        <w:rPr>
          <w:rStyle w:val="Refdenotaalpie"/>
        </w:rPr>
        <w:footnoteRef/>
      </w:r>
      <w:r>
        <w:t xml:space="preserve"> </w:t>
      </w:r>
      <w:r w:rsidRPr="00B6700F">
        <w:rPr>
          <w:rFonts w:ascii="Artifex CF" w:hAnsi="Artifex CF"/>
          <w:sz w:val="16"/>
          <w:szCs w:val="16"/>
        </w:rPr>
        <w:t xml:space="preserve">Protocolo Victimas Múltiples y Grandes </w:t>
      </w:r>
      <w:r>
        <w:rPr>
          <w:rFonts w:ascii="Artifex CF" w:hAnsi="Artifex CF"/>
          <w:sz w:val="16"/>
          <w:szCs w:val="16"/>
        </w:rPr>
        <w:t>C</w:t>
      </w:r>
      <w:r w:rsidRPr="00B6700F">
        <w:rPr>
          <w:rFonts w:ascii="Artifex CF" w:hAnsi="Artifex CF"/>
          <w:sz w:val="16"/>
          <w:szCs w:val="16"/>
        </w:rPr>
        <w:t>atástrofes.</w:t>
      </w:r>
      <w:r>
        <w:t xml:space="preserve">  </w:t>
      </w:r>
      <w:hyperlink r:id="rId1" w:history="1">
        <w:r w:rsidRPr="0009741C">
          <w:rPr>
            <w:rStyle w:val="Hipervnculo"/>
          </w:rPr>
          <w:t>https://www.aecid.org.do/images/noticias/Noticias/22_06_2016/Protocolo_Victimas_ Multiples_y_Grandes_Catastrofes.pdf</w:t>
        </w:r>
      </w:hyperlink>
      <w:r>
        <w:rPr>
          <w:rFonts w:ascii="Artifex CF" w:hAnsi="Artifex CF"/>
          <w:sz w:val="16"/>
          <w:szCs w:val="16"/>
        </w:rPr>
        <w:t xml:space="preserve"> </w:t>
      </w:r>
      <w:r>
        <w:rPr>
          <w:rFonts w:ascii="Artifex CF" w:hAnsi="Artifex CF"/>
        </w:rPr>
        <w:t xml:space="preserve"> </w:t>
      </w:r>
    </w:p>
  </w:footnote>
  <w:footnote w:id="2">
    <w:p w14:paraId="657AF6EF" w14:textId="7AFB93EF" w:rsidR="00B6700F" w:rsidRPr="00B6700F" w:rsidRDefault="00B6700F">
      <w:pPr>
        <w:pStyle w:val="Textonotapie"/>
      </w:pPr>
      <w:r>
        <w:rPr>
          <w:rStyle w:val="Refdenotaalpie"/>
        </w:rPr>
        <w:footnoteRef/>
      </w:r>
      <w:r w:rsidRPr="00B6700F">
        <w:rPr>
          <w:rFonts w:ascii="Artifex CF" w:hAnsi="Artifex CF"/>
          <w:sz w:val="16"/>
          <w:szCs w:val="16"/>
        </w:rPr>
        <w:t xml:space="preserve"> INAC</w:t>
      </w:r>
      <w:r>
        <w:rPr>
          <w:rFonts w:ascii="Artifex CF" w:hAnsi="Artifex CF"/>
          <w:sz w:val="16"/>
          <w:szCs w:val="16"/>
        </w:rPr>
        <w:t>IF garantiza dignidad de cadáveres no reclamados</w:t>
      </w:r>
      <w:r w:rsidRPr="00B6700F">
        <w:t xml:space="preserve"> </w:t>
      </w:r>
      <w:r w:rsidRPr="00B6700F">
        <w:t xml:space="preserve"> </w:t>
      </w:r>
      <w:hyperlink r:id="rId2" w:history="1">
        <w:r w:rsidRPr="00B6700F">
          <w:rPr>
            <w:rStyle w:val="Hipervnculo"/>
          </w:rPr>
          <w:t>https://pgr.gob.do/el-inacif-garantiza-respeto-a-dignidad-de-cadaveres-no-reclamados/</w:t>
        </w:r>
      </w:hyperlink>
      <w:r w:rsidRPr="00B6700F">
        <w:t xml:space="preserve"> </w:t>
      </w:r>
    </w:p>
  </w:footnote>
  <w:footnote w:id="3">
    <w:p w14:paraId="6FD66674" w14:textId="030ADFC3" w:rsidR="00C2462B" w:rsidRPr="00C2462B" w:rsidRDefault="00C2462B" w:rsidP="00C2462B">
      <w:pPr>
        <w:spacing w:line="360" w:lineRule="auto"/>
        <w:jc w:val="both"/>
        <w:rPr>
          <w:rFonts w:ascii="Artifex CF" w:hAnsi="Artifex CF"/>
          <w:sz w:val="16"/>
          <w:szCs w:val="16"/>
        </w:rPr>
      </w:pPr>
      <w:r w:rsidRPr="00C2462B">
        <w:rPr>
          <w:rStyle w:val="Refdenotaalpie"/>
          <w:sz w:val="16"/>
          <w:szCs w:val="16"/>
        </w:rPr>
        <w:footnoteRef/>
      </w:r>
      <w:r w:rsidRPr="00C2462B">
        <w:rPr>
          <w:sz w:val="16"/>
          <w:szCs w:val="16"/>
        </w:rPr>
        <w:t xml:space="preserve"> </w:t>
      </w:r>
      <w:r w:rsidRPr="00C2462B">
        <w:rPr>
          <w:rFonts w:ascii="Artifex CF" w:hAnsi="Artifex CF"/>
          <w:sz w:val="16"/>
          <w:szCs w:val="16"/>
        </w:rPr>
        <w:t>Directrices para el manejo, traslado y disposición final de cadáveres por COVID-19 República Dominicana</w:t>
      </w:r>
      <w:r w:rsidRPr="00C2462B">
        <w:rPr>
          <w:rFonts w:ascii="Artifex CF" w:hAnsi="Artifex CF"/>
          <w:sz w:val="16"/>
          <w:szCs w:val="16"/>
        </w:rPr>
        <w:t xml:space="preserve">. </w:t>
      </w:r>
      <w:hyperlink r:id="rId3" w:history="1">
        <w:r w:rsidRPr="00C2462B">
          <w:rPr>
            <w:rStyle w:val="Hipervnculo"/>
            <w:rFonts w:ascii="Artifex CF" w:hAnsi="Artifex CF"/>
            <w:sz w:val="16"/>
            <w:szCs w:val="16"/>
          </w:rPr>
          <w:t>https://repositorio.msp.gob.do/bitstream/handle/123456789/1754/9789945591996.pdf?sequence=1&amp;isAllowed=y</w:t>
        </w:r>
      </w:hyperlink>
      <w:r w:rsidRPr="00C2462B">
        <w:rPr>
          <w:rFonts w:ascii="Artifex CF" w:hAnsi="Artifex CF"/>
          <w:sz w:val="16"/>
          <w:szCs w:val="16"/>
        </w:rPr>
        <w:t xml:space="preserve"> </w:t>
      </w:r>
    </w:p>
    <w:p w14:paraId="5C0A940A" w14:textId="0F25699A" w:rsidR="00C2462B" w:rsidRDefault="00C2462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C0AB" w14:textId="1DEF1260" w:rsidR="00B15BC6" w:rsidRDefault="00B15BC6">
    <w:pPr>
      <w:pStyle w:val="Encabezado"/>
    </w:pPr>
    <w:r>
      <w:rPr>
        <w:noProof/>
        <w:bdr w:val="none" w:sz="0" w:space="0" w:color="auto" w:frame="1"/>
      </w:rPr>
      <w:drawing>
        <wp:inline distT="0" distB="0" distL="0" distR="0" wp14:anchorId="77A0A033" wp14:editId="1A512E66">
          <wp:extent cx="5400040" cy="1275288"/>
          <wp:effectExtent l="0" t="0" r="0" b="127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752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FC0"/>
    <w:multiLevelType w:val="hybridMultilevel"/>
    <w:tmpl w:val="42040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86591F"/>
    <w:multiLevelType w:val="hybridMultilevel"/>
    <w:tmpl w:val="070A79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7250CD"/>
    <w:multiLevelType w:val="hybridMultilevel"/>
    <w:tmpl w:val="6FEE86E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4F538F"/>
    <w:multiLevelType w:val="hybridMultilevel"/>
    <w:tmpl w:val="9A6A6D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247A51"/>
    <w:multiLevelType w:val="hybridMultilevel"/>
    <w:tmpl w:val="A7DAE4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2154FA"/>
    <w:multiLevelType w:val="hybridMultilevel"/>
    <w:tmpl w:val="28B4ECEC"/>
    <w:lvl w:ilvl="0" w:tplc="DE060BB8">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3ADB306A"/>
    <w:multiLevelType w:val="hybridMultilevel"/>
    <w:tmpl w:val="8EB057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1FC1E67"/>
    <w:multiLevelType w:val="hybridMultilevel"/>
    <w:tmpl w:val="A2480B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56325B"/>
    <w:multiLevelType w:val="hybridMultilevel"/>
    <w:tmpl w:val="0A6076D2"/>
    <w:lvl w:ilvl="0" w:tplc="0BFADFF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CB44CC9"/>
    <w:multiLevelType w:val="hybridMultilevel"/>
    <w:tmpl w:val="1E806E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CBC1833"/>
    <w:multiLevelType w:val="hybridMultilevel"/>
    <w:tmpl w:val="359E75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E72808"/>
    <w:multiLevelType w:val="hybridMultilevel"/>
    <w:tmpl w:val="CDF6137A"/>
    <w:lvl w:ilvl="0" w:tplc="E8885CC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6045742E"/>
    <w:multiLevelType w:val="hybridMultilevel"/>
    <w:tmpl w:val="A2480B82"/>
    <w:lvl w:ilvl="0" w:tplc="1C0A0019">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6BE73E31"/>
    <w:multiLevelType w:val="hybridMultilevel"/>
    <w:tmpl w:val="6FEE86EE"/>
    <w:lvl w:ilvl="0" w:tplc="545232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48B3740"/>
    <w:multiLevelType w:val="hybridMultilevel"/>
    <w:tmpl w:val="1E806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5622875">
    <w:abstractNumId w:val="1"/>
  </w:num>
  <w:num w:numId="2" w16cid:durableId="755324011">
    <w:abstractNumId w:val="9"/>
  </w:num>
  <w:num w:numId="3" w16cid:durableId="1140994955">
    <w:abstractNumId w:val="14"/>
  </w:num>
  <w:num w:numId="4" w16cid:durableId="1825202920">
    <w:abstractNumId w:val="13"/>
  </w:num>
  <w:num w:numId="5" w16cid:durableId="726223638">
    <w:abstractNumId w:val="3"/>
  </w:num>
  <w:num w:numId="6" w16cid:durableId="1489788088">
    <w:abstractNumId w:val="6"/>
  </w:num>
  <w:num w:numId="7" w16cid:durableId="409423747">
    <w:abstractNumId w:val="4"/>
  </w:num>
  <w:num w:numId="8" w16cid:durableId="83385302">
    <w:abstractNumId w:val="11"/>
  </w:num>
  <w:num w:numId="9" w16cid:durableId="1691905923">
    <w:abstractNumId w:val="10"/>
  </w:num>
  <w:num w:numId="10" w16cid:durableId="2117559744">
    <w:abstractNumId w:val="2"/>
  </w:num>
  <w:num w:numId="11" w16cid:durableId="2027362151">
    <w:abstractNumId w:val="5"/>
  </w:num>
  <w:num w:numId="12" w16cid:durableId="1552182277">
    <w:abstractNumId w:val="12"/>
  </w:num>
  <w:num w:numId="13" w16cid:durableId="334772719">
    <w:abstractNumId w:val="7"/>
  </w:num>
  <w:num w:numId="14" w16cid:durableId="1393578549">
    <w:abstractNumId w:val="8"/>
  </w:num>
  <w:num w:numId="15" w16cid:durableId="179011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B0"/>
    <w:rsid w:val="000000F6"/>
    <w:rsid w:val="000004B9"/>
    <w:rsid w:val="000039EC"/>
    <w:rsid w:val="00006912"/>
    <w:rsid w:val="00007BF8"/>
    <w:rsid w:val="00011839"/>
    <w:rsid w:val="00022DCC"/>
    <w:rsid w:val="00025502"/>
    <w:rsid w:val="00025A68"/>
    <w:rsid w:val="000307E4"/>
    <w:rsid w:val="00030F4E"/>
    <w:rsid w:val="00033184"/>
    <w:rsid w:val="00034E1A"/>
    <w:rsid w:val="0004245E"/>
    <w:rsid w:val="00043160"/>
    <w:rsid w:val="00056E29"/>
    <w:rsid w:val="0005731A"/>
    <w:rsid w:val="00062E42"/>
    <w:rsid w:val="00087594"/>
    <w:rsid w:val="00090460"/>
    <w:rsid w:val="00090D15"/>
    <w:rsid w:val="00091A82"/>
    <w:rsid w:val="00091B6A"/>
    <w:rsid w:val="00091F03"/>
    <w:rsid w:val="000A1DAE"/>
    <w:rsid w:val="000A24C7"/>
    <w:rsid w:val="000A50CE"/>
    <w:rsid w:val="000A68EA"/>
    <w:rsid w:val="000A6926"/>
    <w:rsid w:val="000A6DF4"/>
    <w:rsid w:val="000A74E3"/>
    <w:rsid w:val="000C0399"/>
    <w:rsid w:val="000C0492"/>
    <w:rsid w:val="000C306E"/>
    <w:rsid w:val="000C3C88"/>
    <w:rsid w:val="000C6ADC"/>
    <w:rsid w:val="000D3AD4"/>
    <w:rsid w:val="000D7EA7"/>
    <w:rsid w:val="000E10A4"/>
    <w:rsid w:val="000E2604"/>
    <w:rsid w:val="000E4455"/>
    <w:rsid w:val="000E4EF2"/>
    <w:rsid w:val="000F0ECF"/>
    <w:rsid w:val="000F69BF"/>
    <w:rsid w:val="00104E11"/>
    <w:rsid w:val="001100C1"/>
    <w:rsid w:val="00120CD8"/>
    <w:rsid w:val="00120E8C"/>
    <w:rsid w:val="00123C70"/>
    <w:rsid w:val="001244C8"/>
    <w:rsid w:val="001306CD"/>
    <w:rsid w:val="00134B4E"/>
    <w:rsid w:val="001369E3"/>
    <w:rsid w:val="00136D89"/>
    <w:rsid w:val="00136E68"/>
    <w:rsid w:val="00145CF7"/>
    <w:rsid w:val="001521A3"/>
    <w:rsid w:val="00152488"/>
    <w:rsid w:val="00154E14"/>
    <w:rsid w:val="00160294"/>
    <w:rsid w:val="001604B5"/>
    <w:rsid w:val="00166578"/>
    <w:rsid w:val="00167CB3"/>
    <w:rsid w:val="00167E68"/>
    <w:rsid w:val="00171D85"/>
    <w:rsid w:val="00180AB5"/>
    <w:rsid w:val="001824A8"/>
    <w:rsid w:val="00185B4E"/>
    <w:rsid w:val="00186241"/>
    <w:rsid w:val="0019185D"/>
    <w:rsid w:val="0019476C"/>
    <w:rsid w:val="001950A3"/>
    <w:rsid w:val="00196C4B"/>
    <w:rsid w:val="001A08F8"/>
    <w:rsid w:val="001A3276"/>
    <w:rsid w:val="001A76EC"/>
    <w:rsid w:val="001B1FA0"/>
    <w:rsid w:val="001B2A46"/>
    <w:rsid w:val="001D01BE"/>
    <w:rsid w:val="001D082F"/>
    <w:rsid w:val="001D3479"/>
    <w:rsid w:val="001E1C8C"/>
    <w:rsid w:val="001E25BF"/>
    <w:rsid w:val="001F1E83"/>
    <w:rsid w:val="001F3A5F"/>
    <w:rsid w:val="00202F48"/>
    <w:rsid w:val="00216C0E"/>
    <w:rsid w:val="00224AAF"/>
    <w:rsid w:val="00225883"/>
    <w:rsid w:val="00225A89"/>
    <w:rsid w:val="00226C7E"/>
    <w:rsid w:val="00230383"/>
    <w:rsid w:val="00232DD0"/>
    <w:rsid w:val="0024373B"/>
    <w:rsid w:val="00246E54"/>
    <w:rsid w:val="0025325F"/>
    <w:rsid w:val="00260954"/>
    <w:rsid w:val="002617A0"/>
    <w:rsid w:val="00263C37"/>
    <w:rsid w:val="00264707"/>
    <w:rsid w:val="002663C8"/>
    <w:rsid w:val="00270B51"/>
    <w:rsid w:val="002847E4"/>
    <w:rsid w:val="00293B68"/>
    <w:rsid w:val="002A340A"/>
    <w:rsid w:val="002B01C5"/>
    <w:rsid w:val="002C4FDE"/>
    <w:rsid w:val="002C7940"/>
    <w:rsid w:val="002C7BE9"/>
    <w:rsid w:val="002D324F"/>
    <w:rsid w:val="002E0DD8"/>
    <w:rsid w:val="002E11A9"/>
    <w:rsid w:val="002E1A36"/>
    <w:rsid w:val="002E40E5"/>
    <w:rsid w:val="002E7401"/>
    <w:rsid w:val="002E7DBB"/>
    <w:rsid w:val="002F57B2"/>
    <w:rsid w:val="002F58C4"/>
    <w:rsid w:val="00300E03"/>
    <w:rsid w:val="00306382"/>
    <w:rsid w:val="003063A6"/>
    <w:rsid w:val="00307C15"/>
    <w:rsid w:val="00322489"/>
    <w:rsid w:val="0032491C"/>
    <w:rsid w:val="00327146"/>
    <w:rsid w:val="00330423"/>
    <w:rsid w:val="00334990"/>
    <w:rsid w:val="003417FD"/>
    <w:rsid w:val="00344A1B"/>
    <w:rsid w:val="003475CE"/>
    <w:rsid w:val="00353CEC"/>
    <w:rsid w:val="00355D0E"/>
    <w:rsid w:val="003572FB"/>
    <w:rsid w:val="00385BD5"/>
    <w:rsid w:val="0039555D"/>
    <w:rsid w:val="00397616"/>
    <w:rsid w:val="003A1084"/>
    <w:rsid w:val="003A48CC"/>
    <w:rsid w:val="003A4F51"/>
    <w:rsid w:val="003A4FED"/>
    <w:rsid w:val="003A5AE2"/>
    <w:rsid w:val="003A5C34"/>
    <w:rsid w:val="003A64DC"/>
    <w:rsid w:val="003A67FD"/>
    <w:rsid w:val="003A6BDF"/>
    <w:rsid w:val="003B6CEA"/>
    <w:rsid w:val="003B766A"/>
    <w:rsid w:val="003C274D"/>
    <w:rsid w:val="003C5109"/>
    <w:rsid w:val="003D2612"/>
    <w:rsid w:val="003D6C0A"/>
    <w:rsid w:val="003E13F8"/>
    <w:rsid w:val="003E20DA"/>
    <w:rsid w:val="003E2BB4"/>
    <w:rsid w:val="003E5D09"/>
    <w:rsid w:val="003F0A89"/>
    <w:rsid w:val="003F4911"/>
    <w:rsid w:val="004011A9"/>
    <w:rsid w:val="00401973"/>
    <w:rsid w:val="00407297"/>
    <w:rsid w:val="00412211"/>
    <w:rsid w:val="004138C4"/>
    <w:rsid w:val="004152C7"/>
    <w:rsid w:val="00421607"/>
    <w:rsid w:val="00421A03"/>
    <w:rsid w:val="00424728"/>
    <w:rsid w:val="00434715"/>
    <w:rsid w:val="00442CC1"/>
    <w:rsid w:val="00446A10"/>
    <w:rsid w:val="0044778A"/>
    <w:rsid w:val="00457129"/>
    <w:rsid w:val="00457D46"/>
    <w:rsid w:val="00463430"/>
    <w:rsid w:val="004679F5"/>
    <w:rsid w:val="00474448"/>
    <w:rsid w:val="00476BE5"/>
    <w:rsid w:val="00482EDC"/>
    <w:rsid w:val="00485C74"/>
    <w:rsid w:val="00486319"/>
    <w:rsid w:val="004A383A"/>
    <w:rsid w:val="004B038D"/>
    <w:rsid w:val="004B1F21"/>
    <w:rsid w:val="004B460E"/>
    <w:rsid w:val="004D48F5"/>
    <w:rsid w:val="004E163B"/>
    <w:rsid w:val="004E1B88"/>
    <w:rsid w:val="004E24B1"/>
    <w:rsid w:val="004E4A18"/>
    <w:rsid w:val="00500EAD"/>
    <w:rsid w:val="005055B4"/>
    <w:rsid w:val="00507041"/>
    <w:rsid w:val="00521BE2"/>
    <w:rsid w:val="005231F3"/>
    <w:rsid w:val="00526458"/>
    <w:rsid w:val="005270AC"/>
    <w:rsid w:val="00530560"/>
    <w:rsid w:val="005413AE"/>
    <w:rsid w:val="00541FE7"/>
    <w:rsid w:val="005457EB"/>
    <w:rsid w:val="00546E55"/>
    <w:rsid w:val="00547E4C"/>
    <w:rsid w:val="00550359"/>
    <w:rsid w:val="00550E77"/>
    <w:rsid w:val="00554A48"/>
    <w:rsid w:val="0056700D"/>
    <w:rsid w:val="005819E5"/>
    <w:rsid w:val="00583469"/>
    <w:rsid w:val="00584605"/>
    <w:rsid w:val="005848FE"/>
    <w:rsid w:val="0058565F"/>
    <w:rsid w:val="00585D4A"/>
    <w:rsid w:val="0059571E"/>
    <w:rsid w:val="00596771"/>
    <w:rsid w:val="005969A1"/>
    <w:rsid w:val="005A0444"/>
    <w:rsid w:val="005B05ED"/>
    <w:rsid w:val="005B4962"/>
    <w:rsid w:val="005B6F41"/>
    <w:rsid w:val="005C00E3"/>
    <w:rsid w:val="005C0D9F"/>
    <w:rsid w:val="005C4081"/>
    <w:rsid w:val="005C5005"/>
    <w:rsid w:val="005C5169"/>
    <w:rsid w:val="005D0999"/>
    <w:rsid w:val="005D0E30"/>
    <w:rsid w:val="005D751E"/>
    <w:rsid w:val="005E3AD0"/>
    <w:rsid w:val="005F30CE"/>
    <w:rsid w:val="00600487"/>
    <w:rsid w:val="00602AA0"/>
    <w:rsid w:val="00604E3E"/>
    <w:rsid w:val="0060515D"/>
    <w:rsid w:val="00607FC5"/>
    <w:rsid w:val="00613FD7"/>
    <w:rsid w:val="0061616D"/>
    <w:rsid w:val="006325E5"/>
    <w:rsid w:val="006331A8"/>
    <w:rsid w:val="0063792C"/>
    <w:rsid w:val="00642993"/>
    <w:rsid w:val="00645297"/>
    <w:rsid w:val="00662399"/>
    <w:rsid w:val="00670CC0"/>
    <w:rsid w:val="006738F6"/>
    <w:rsid w:val="00673DDA"/>
    <w:rsid w:val="006744E3"/>
    <w:rsid w:val="006901B0"/>
    <w:rsid w:val="006906C9"/>
    <w:rsid w:val="0069767D"/>
    <w:rsid w:val="006A30C3"/>
    <w:rsid w:val="006B2BAA"/>
    <w:rsid w:val="006B33BA"/>
    <w:rsid w:val="006B7602"/>
    <w:rsid w:val="006C258A"/>
    <w:rsid w:val="006C5BBF"/>
    <w:rsid w:val="006D1138"/>
    <w:rsid w:val="006D523F"/>
    <w:rsid w:val="006F0518"/>
    <w:rsid w:val="006F3E1A"/>
    <w:rsid w:val="006F58E1"/>
    <w:rsid w:val="006F688B"/>
    <w:rsid w:val="006F7E49"/>
    <w:rsid w:val="007043B2"/>
    <w:rsid w:val="0072294D"/>
    <w:rsid w:val="00722D1E"/>
    <w:rsid w:val="0072313D"/>
    <w:rsid w:val="00725D0B"/>
    <w:rsid w:val="00732E13"/>
    <w:rsid w:val="00732F66"/>
    <w:rsid w:val="00734D44"/>
    <w:rsid w:val="00740ECD"/>
    <w:rsid w:val="00743417"/>
    <w:rsid w:val="00745680"/>
    <w:rsid w:val="00751CDB"/>
    <w:rsid w:val="00756CCB"/>
    <w:rsid w:val="00760492"/>
    <w:rsid w:val="0076330A"/>
    <w:rsid w:val="00763600"/>
    <w:rsid w:val="007651A4"/>
    <w:rsid w:val="007728A0"/>
    <w:rsid w:val="007750EB"/>
    <w:rsid w:val="00775A22"/>
    <w:rsid w:val="00782BE6"/>
    <w:rsid w:val="007920FD"/>
    <w:rsid w:val="00793C8B"/>
    <w:rsid w:val="00797B13"/>
    <w:rsid w:val="007A3273"/>
    <w:rsid w:val="007A4539"/>
    <w:rsid w:val="007B19F1"/>
    <w:rsid w:val="007B7498"/>
    <w:rsid w:val="007C1200"/>
    <w:rsid w:val="007C1732"/>
    <w:rsid w:val="007C2763"/>
    <w:rsid w:val="007C6D98"/>
    <w:rsid w:val="007D1E0E"/>
    <w:rsid w:val="007D6641"/>
    <w:rsid w:val="007D7923"/>
    <w:rsid w:val="007E0B7D"/>
    <w:rsid w:val="007E4EA5"/>
    <w:rsid w:val="007E602B"/>
    <w:rsid w:val="007E7341"/>
    <w:rsid w:val="007F60CF"/>
    <w:rsid w:val="0080099D"/>
    <w:rsid w:val="00806223"/>
    <w:rsid w:val="00811BD0"/>
    <w:rsid w:val="00812951"/>
    <w:rsid w:val="00820778"/>
    <w:rsid w:val="0083101D"/>
    <w:rsid w:val="0083311A"/>
    <w:rsid w:val="00833949"/>
    <w:rsid w:val="00840B9E"/>
    <w:rsid w:val="00840E0D"/>
    <w:rsid w:val="00841726"/>
    <w:rsid w:val="008472E8"/>
    <w:rsid w:val="00862B7F"/>
    <w:rsid w:val="008654DB"/>
    <w:rsid w:val="00866CC4"/>
    <w:rsid w:val="008705A1"/>
    <w:rsid w:val="00877C99"/>
    <w:rsid w:val="00884E60"/>
    <w:rsid w:val="008A644C"/>
    <w:rsid w:val="008A6515"/>
    <w:rsid w:val="008A7A11"/>
    <w:rsid w:val="008B0880"/>
    <w:rsid w:val="008B28ED"/>
    <w:rsid w:val="008B3C56"/>
    <w:rsid w:val="008B63D2"/>
    <w:rsid w:val="008D0525"/>
    <w:rsid w:val="008D3916"/>
    <w:rsid w:val="008D5554"/>
    <w:rsid w:val="008E78B0"/>
    <w:rsid w:val="00900BC1"/>
    <w:rsid w:val="00910E19"/>
    <w:rsid w:val="009135CF"/>
    <w:rsid w:val="00916279"/>
    <w:rsid w:val="00924717"/>
    <w:rsid w:val="00925242"/>
    <w:rsid w:val="00926D69"/>
    <w:rsid w:val="00930195"/>
    <w:rsid w:val="0093181F"/>
    <w:rsid w:val="00931C4F"/>
    <w:rsid w:val="00935224"/>
    <w:rsid w:val="00940B98"/>
    <w:rsid w:val="00942C35"/>
    <w:rsid w:val="00943AF8"/>
    <w:rsid w:val="00944F8C"/>
    <w:rsid w:val="0094582D"/>
    <w:rsid w:val="009520BF"/>
    <w:rsid w:val="009553C6"/>
    <w:rsid w:val="00957022"/>
    <w:rsid w:val="009710C9"/>
    <w:rsid w:val="00975A1A"/>
    <w:rsid w:val="00992CFA"/>
    <w:rsid w:val="00994CDA"/>
    <w:rsid w:val="009A7D77"/>
    <w:rsid w:val="009D2F93"/>
    <w:rsid w:val="009D4DBB"/>
    <w:rsid w:val="009E3344"/>
    <w:rsid w:val="009F3959"/>
    <w:rsid w:val="009F415C"/>
    <w:rsid w:val="009F58A2"/>
    <w:rsid w:val="00A048D1"/>
    <w:rsid w:val="00A1059A"/>
    <w:rsid w:val="00A11F5E"/>
    <w:rsid w:val="00A172D8"/>
    <w:rsid w:val="00A17493"/>
    <w:rsid w:val="00A22D3E"/>
    <w:rsid w:val="00A26245"/>
    <w:rsid w:val="00A319B7"/>
    <w:rsid w:val="00A35EBF"/>
    <w:rsid w:val="00A363B1"/>
    <w:rsid w:val="00A414F8"/>
    <w:rsid w:val="00A441AD"/>
    <w:rsid w:val="00A45900"/>
    <w:rsid w:val="00A673FA"/>
    <w:rsid w:val="00A67FF8"/>
    <w:rsid w:val="00A71B43"/>
    <w:rsid w:val="00A753BE"/>
    <w:rsid w:val="00A753E8"/>
    <w:rsid w:val="00A7682E"/>
    <w:rsid w:val="00A81708"/>
    <w:rsid w:val="00A81846"/>
    <w:rsid w:val="00A825BB"/>
    <w:rsid w:val="00A825F4"/>
    <w:rsid w:val="00A84EBD"/>
    <w:rsid w:val="00A86F46"/>
    <w:rsid w:val="00A955D1"/>
    <w:rsid w:val="00AA427A"/>
    <w:rsid w:val="00AA5217"/>
    <w:rsid w:val="00AB238C"/>
    <w:rsid w:val="00AB29A9"/>
    <w:rsid w:val="00AC0644"/>
    <w:rsid w:val="00AD08A0"/>
    <w:rsid w:val="00AD56CA"/>
    <w:rsid w:val="00AE496D"/>
    <w:rsid w:val="00AE4DE8"/>
    <w:rsid w:val="00AF066D"/>
    <w:rsid w:val="00AF12D5"/>
    <w:rsid w:val="00B11A55"/>
    <w:rsid w:val="00B123B9"/>
    <w:rsid w:val="00B15BC6"/>
    <w:rsid w:val="00B22CC6"/>
    <w:rsid w:val="00B235F1"/>
    <w:rsid w:val="00B24ADA"/>
    <w:rsid w:val="00B26346"/>
    <w:rsid w:val="00B264E2"/>
    <w:rsid w:val="00B31491"/>
    <w:rsid w:val="00B3218B"/>
    <w:rsid w:val="00B3584F"/>
    <w:rsid w:val="00B36B0B"/>
    <w:rsid w:val="00B401A8"/>
    <w:rsid w:val="00B40C5D"/>
    <w:rsid w:val="00B44AD9"/>
    <w:rsid w:val="00B45E68"/>
    <w:rsid w:val="00B5013F"/>
    <w:rsid w:val="00B50D29"/>
    <w:rsid w:val="00B53993"/>
    <w:rsid w:val="00B55E80"/>
    <w:rsid w:val="00B57B91"/>
    <w:rsid w:val="00B61B1C"/>
    <w:rsid w:val="00B659EA"/>
    <w:rsid w:val="00B6700F"/>
    <w:rsid w:val="00B67331"/>
    <w:rsid w:val="00B73B8D"/>
    <w:rsid w:val="00B81F5A"/>
    <w:rsid w:val="00B8370F"/>
    <w:rsid w:val="00B84903"/>
    <w:rsid w:val="00B85EE0"/>
    <w:rsid w:val="00B85F20"/>
    <w:rsid w:val="00B91284"/>
    <w:rsid w:val="00B936EB"/>
    <w:rsid w:val="00B972E6"/>
    <w:rsid w:val="00BA1FFB"/>
    <w:rsid w:val="00BA5AED"/>
    <w:rsid w:val="00BB0D0A"/>
    <w:rsid w:val="00BB7E48"/>
    <w:rsid w:val="00BC28EA"/>
    <w:rsid w:val="00BD171A"/>
    <w:rsid w:val="00BD4445"/>
    <w:rsid w:val="00BE63A7"/>
    <w:rsid w:val="00BE7CDE"/>
    <w:rsid w:val="00C03B73"/>
    <w:rsid w:val="00C06340"/>
    <w:rsid w:val="00C06EA0"/>
    <w:rsid w:val="00C13251"/>
    <w:rsid w:val="00C15BF6"/>
    <w:rsid w:val="00C20A86"/>
    <w:rsid w:val="00C2462B"/>
    <w:rsid w:val="00C27351"/>
    <w:rsid w:val="00C41716"/>
    <w:rsid w:val="00C41EEF"/>
    <w:rsid w:val="00C461BE"/>
    <w:rsid w:val="00C4635D"/>
    <w:rsid w:val="00C50274"/>
    <w:rsid w:val="00C50FBD"/>
    <w:rsid w:val="00C52536"/>
    <w:rsid w:val="00C57467"/>
    <w:rsid w:val="00C62301"/>
    <w:rsid w:val="00C63908"/>
    <w:rsid w:val="00C63E28"/>
    <w:rsid w:val="00C67620"/>
    <w:rsid w:val="00C712B1"/>
    <w:rsid w:val="00C73551"/>
    <w:rsid w:val="00C90472"/>
    <w:rsid w:val="00C95E7F"/>
    <w:rsid w:val="00C97562"/>
    <w:rsid w:val="00CA6006"/>
    <w:rsid w:val="00CB1E0F"/>
    <w:rsid w:val="00CB2A7A"/>
    <w:rsid w:val="00CC2F09"/>
    <w:rsid w:val="00CC511E"/>
    <w:rsid w:val="00CD3F87"/>
    <w:rsid w:val="00CD5DD1"/>
    <w:rsid w:val="00CD7032"/>
    <w:rsid w:val="00CD7083"/>
    <w:rsid w:val="00CD7EDE"/>
    <w:rsid w:val="00CE1EA6"/>
    <w:rsid w:val="00CE3109"/>
    <w:rsid w:val="00CE5630"/>
    <w:rsid w:val="00CE66E5"/>
    <w:rsid w:val="00CF0EE8"/>
    <w:rsid w:val="00CF1200"/>
    <w:rsid w:val="00CF3E74"/>
    <w:rsid w:val="00CF69BF"/>
    <w:rsid w:val="00CF785A"/>
    <w:rsid w:val="00D0647A"/>
    <w:rsid w:val="00D13BB3"/>
    <w:rsid w:val="00D14964"/>
    <w:rsid w:val="00D15D73"/>
    <w:rsid w:val="00D332A9"/>
    <w:rsid w:val="00D35FE0"/>
    <w:rsid w:val="00D47E98"/>
    <w:rsid w:val="00D50104"/>
    <w:rsid w:val="00D518C6"/>
    <w:rsid w:val="00D55BF9"/>
    <w:rsid w:val="00D6117A"/>
    <w:rsid w:val="00D64D2C"/>
    <w:rsid w:val="00D737B7"/>
    <w:rsid w:val="00D73EE8"/>
    <w:rsid w:val="00D77DB6"/>
    <w:rsid w:val="00D82209"/>
    <w:rsid w:val="00D8373F"/>
    <w:rsid w:val="00D94499"/>
    <w:rsid w:val="00D975D2"/>
    <w:rsid w:val="00DA4EB5"/>
    <w:rsid w:val="00DB1597"/>
    <w:rsid w:val="00DB3A4E"/>
    <w:rsid w:val="00DC02C9"/>
    <w:rsid w:val="00DC0D99"/>
    <w:rsid w:val="00DC0FF5"/>
    <w:rsid w:val="00DC6D9A"/>
    <w:rsid w:val="00DD62D0"/>
    <w:rsid w:val="00DE1659"/>
    <w:rsid w:val="00DE47CA"/>
    <w:rsid w:val="00DF4975"/>
    <w:rsid w:val="00E00A59"/>
    <w:rsid w:val="00E10F3B"/>
    <w:rsid w:val="00E112BA"/>
    <w:rsid w:val="00E114AF"/>
    <w:rsid w:val="00E201CA"/>
    <w:rsid w:val="00E21199"/>
    <w:rsid w:val="00E35980"/>
    <w:rsid w:val="00E4114D"/>
    <w:rsid w:val="00E439F8"/>
    <w:rsid w:val="00E53596"/>
    <w:rsid w:val="00E548D6"/>
    <w:rsid w:val="00E66A80"/>
    <w:rsid w:val="00E676BF"/>
    <w:rsid w:val="00E73525"/>
    <w:rsid w:val="00E77EBD"/>
    <w:rsid w:val="00E83B02"/>
    <w:rsid w:val="00E939C5"/>
    <w:rsid w:val="00EA0732"/>
    <w:rsid w:val="00EB0C3E"/>
    <w:rsid w:val="00EB3257"/>
    <w:rsid w:val="00EC18C9"/>
    <w:rsid w:val="00EC63EB"/>
    <w:rsid w:val="00ED17E4"/>
    <w:rsid w:val="00ED4C7A"/>
    <w:rsid w:val="00ED4E42"/>
    <w:rsid w:val="00ED5A7A"/>
    <w:rsid w:val="00ED7258"/>
    <w:rsid w:val="00EE1D62"/>
    <w:rsid w:val="00EE2A59"/>
    <w:rsid w:val="00EE2CDE"/>
    <w:rsid w:val="00EE6410"/>
    <w:rsid w:val="00F01128"/>
    <w:rsid w:val="00F065C9"/>
    <w:rsid w:val="00F13EA5"/>
    <w:rsid w:val="00F16874"/>
    <w:rsid w:val="00F22C8F"/>
    <w:rsid w:val="00F26E62"/>
    <w:rsid w:val="00F273BC"/>
    <w:rsid w:val="00F32CA9"/>
    <w:rsid w:val="00F33B88"/>
    <w:rsid w:val="00F3550A"/>
    <w:rsid w:val="00F4094D"/>
    <w:rsid w:val="00F437EA"/>
    <w:rsid w:val="00F52A4D"/>
    <w:rsid w:val="00F56A3F"/>
    <w:rsid w:val="00F61735"/>
    <w:rsid w:val="00F72428"/>
    <w:rsid w:val="00F75F79"/>
    <w:rsid w:val="00F77A8E"/>
    <w:rsid w:val="00F843E8"/>
    <w:rsid w:val="00F87C77"/>
    <w:rsid w:val="00F90C1B"/>
    <w:rsid w:val="00F9390B"/>
    <w:rsid w:val="00F957FE"/>
    <w:rsid w:val="00F95B56"/>
    <w:rsid w:val="00FA58B8"/>
    <w:rsid w:val="00FB28C0"/>
    <w:rsid w:val="00FB51B6"/>
    <w:rsid w:val="00FC0C4A"/>
    <w:rsid w:val="00FC6A3A"/>
    <w:rsid w:val="00FE2AA3"/>
    <w:rsid w:val="00FE4CD8"/>
    <w:rsid w:val="00FE6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4DF18"/>
  <w15:chartTrackingRefBased/>
  <w15:docId w15:val="{3BFE9EBA-B00D-4328-99E8-C981DC2D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4964"/>
    <w:pPr>
      <w:ind w:left="720"/>
      <w:contextualSpacing/>
    </w:pPr>
  </w:style>
  <w:style w:type="paragraph" w:styleId="Encabezado">
    <w:name w:val="header"/>
    <w:basedOn w:val="Normal"/>
    <w:link w:val="EncabezadoCar"/>
    <w:uiPriority w:val="99"/>
    <w:unhideWhenUsed/>
    <w:rsid w:val="00B15B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BC6"/>
  </w:style>
  <w:style w:type="paragraph" w:styleId="Piedepgina">
    <w:name w:val="footer"/>
    <w:basedOn w:val="Normal"/>
    <w:link w:val="PiedepginaCar"/>
    <w:uiPriority w:val="99"/>
    <w:unhideWhenUsed/>
    <w:rsid w:val="00B15B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BC6"/>
  </w:style>
  <w:style w:type="paragraph" w:styleId="NormalWeb">
    <w:name w:val="Normal (Web)"/>
    <w:basedOn w:val="Normal"/>
    <w:uiPriority w:val="99"/>
    <w:unhideWhenUsed/>
    <w:rsid w:val="000000F6"/>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0000F6"/>
    <w:rPr>
      <w:b/>
      <w:bCs/>
    </w:rPr>
  </w:style>
  <w:style w:type="table" w:styleId="Tablaconcuadrcula">
    <w:name w:val="Table Grid"/>
    <w:basedOn w:val="Tablanormal"/>
    <w:uiPriority w:val="39"/>
    <w:rsid w:val="00E4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3-nfasis1">
    <w:name w:val="Grid Table 3 Accent 1"/>
    <w:basedOn w:val="Tablanormal"/>
    <w:uiPriority w:val="48"/>
    <w:rsid w:val="00E4114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decuadrcula2">
    <w:name w:val="Grid Table 2"/>
    <w:basedOn w:val="Tablanormal"/>
    <w:uiPriority w:val="47"/>
    <w:rsid w:val="00E4114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nfasis3">
    <w:name w:val="Grid Table 1 Light Accent 3"/>
    <w:basedOn w:val="Tablanormal"/>
    <w:uiPriority w:val="46"/>
    <w:rsid w:val="00E411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4114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4114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E411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E411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411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411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4-nfasis1">
    <w:name w:val="Grid Table 4 Accent 1"/>
    <w:basedOn w:val="Tablanormal"/>
    <w:uiPriority w:val="49"/>
    <w:rsid w:val="00E4114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1">
    <w:name w:val="Grid Table 6 Colorful Accent 1"/>
    <w:basedOn w:val="Tablanormal"/>
    <w:uiPriority w:val="51"/>
    <w:rsid w:val="00E4114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5">
    <w:name w:val="Grid Table 6 Colorful Accent 5"/>
    <w:basedOn w:val="Tablanormal"/>
    <w:uiPriority w:val="51"/>
    <w:rsid w:val="00E4114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E4114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alfinal">
    <w:name w:val="endnote text"/>
    <w:basedOn w:val="Normal"/>
    <w:link w:val="TextonotaalfinalCar"/>
    <w:uiPriority w:val="99"/>
    <w:semiHidden/>
    <w:unhideWhenUsed/>
    <w:rsid w:val="004B038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B038D"/>
    <w:rPr>
      <w:sz w:val="20"/>
      <w:szCs w:val="20"/>
    </w:rPr>
  </w:style>
  <w:style w:type="character" w:styleId="Refdenotaalfinal">
    <w:name w:val="endnote reference"/>
    <w:basedOn w:val="Fuentedeprrafopredeter"/>
    <w:uiPriority w:val="99"/>
    <w:semiHidden/>
    <w:unhideWhenUsed/>
    <w:rsid w:val="004B038D"/>
    <w:rPr>
      <w:vertAlign w:val="superscript"/>
    </w:rPr>
  </w:style>
  <w:style w:type="paragraph" w:styleId="Textonotapie">
    <w:name w:val="footnote text"/>
    <w:basedOn w:val="Normal"/>
    <w:link w:val="TextonotapieCar"/>
    <w:uiPriority w:val="99"/>
    <w:semiHidden/>
    <w:unhideWhenUsed/>
    <w:rsid w:val="004B03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038D"/>
    <w:rPr>
      <w:sz w:val="20"/>
      <w:szCs w:val="20"/>
    </w:rPr>
  </w:style>
  <w:style w:type="character" w:styleId="Refdenotaalpie">
    <w:name w:val="footnote reference"/>
    <w:basedOn w:val="Fuentedeprrafopredeter"/>
    <w:uiPriority w:val="99"/>
    <w:semiHidden/>
    <w:unhideWhenUsed/>
    <w:rsid w:val="004B038D"/>
    <w:rPr>
      <w:vertAlign w:val="superscript"/>
    </w:rPr>
  </w:style>
  <w:style w:type="character" w:styleId="Hipervnculo">
    <w:name w:val="Hyperlink"/>
    <w:basedOn w:val="Fuentedeprrafopredeter"/>
    <w:uiPriority w:val="99"/>
    <w:unhideWhenUsed/>
    <w:rsid w:val="00613FD7"/>
    <w:rPr>
      <w:color w:val="0563C1" w:themeColor="hyperlink"/>
      <w:u w:val="single"/>
    </w:rPr>
  </w:style>
  <w:style w:type="character" w:styleId="Mencinsinresolver">
    <w:name w:val="Unresolved Mention"/>
    <w:basedOn w:val="Fuentedeprrafopredeter"/>
    <w:uiPriority w:val="99"/>
    <w:semiHidden/>
    <w:unhideWhenUsed/>
    <w:rsid w:val="0059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11">
      <w:bodyDiv w:val="1"/>
      <w:marLeft w:val="0"/>
      <w:marRight w:val="0"/>
      <w:marTop w:val="0"/>
      <w:marBottom w:val="0"/>
      <w:divBdr>
        <w:top w:val="none" w:sz="0" w:space="0" w:color="auto"/>
        <w:left w:val="none" w:sz="0" w:space="0" w:color="auto"/>
        <w:bottom w:val="none" w:sz="0" w:space="0" w:color="auto"/>
        <w:right w:val="none" w:sz="0" w:space="0" w:color="auto"/>
      </w:divBdr>
    </w:div>
    <w:div w:id="59375740">
      <w:bodyDiv w:val="1"/>
      <w:marLeft w:val="0"/>
      <w:marRight w:val="0"/>
      <w:marTop w:val="0"/>
      <w:marBottom w:val="0"/>
      <w:divBdr>
        <w:top w:val="none" w:sz="0" w:space="0" w:color="auto"/>
        <w:left w:val="none" w:sz="0" w:space="0" w:color="auto"/>
        <w:bottom w:val="none" w:sz="0" w:space="0" w:color="auto"/>
        <w:right w:val="none" w:sz="0" w:space="0" w:color="auto"/>
      </w:divBdr>
    </w:div>
    <w:div w:id="76946389">
      <w:bodyDiv w:val="1"/>
      <w:marLeft w:val="0"/>
      <w:marRight w:val="0"/>
      <w:marTop w:val="0"/>
      <w:marBottom w:val="0"/>
      <w:divBdr>
        <w:top w:val="none" w:sz="0" w:space="0" w:color="auto"/>
        <w:left w:val="none" w:sz="0" w:space="0" w:color="auto"/>
        <w:bottom w:val="none" w:sz="0" w:space="0" w:color="auto"/>
        <w:right w:val="none" w:sz="0" w:space="0" w:color="auto"/>
      </w:divBdr>
    </w:div>
    <w:div w:id="210270989">
      <w:bodyDiv w:val="1"/>
      <w:marLeft w:val="0"/>
      <w:marRight w:val="0"/>
      <w:marTop w:val="0"/>
      <w:marBottom w:val="0"/>
      <w:divBdr>
        <w:top w:val="none" w:sz="0" w:space="0" w:color="auto"/>
        <w:left w:val="none" w:sz="0" w:space="0" w:color="auto"/>
        <w:bottom w:val="none" w:sz="0" w:space="0" w:color="auto"/>
        <w:right w:val="none" w:sz="0" w:space="0" w:color="auto"/>
      </w:divBdr>
    </w:div>
    <w:div w:id="260646591">
      <w:bodyDiv w:val="1"/>
      <w:marLeft w:val="0"/>
      <w:marRight w:val="0"/>
      <w:marTop w:val="0"/>
      <w:marBottom w:val="0"/>
      <w:divBdr>
        <w:top w:val="none" w:sz="0" w:space="0" w:color="auto"/>
        <w:left w:val="none" w:sz="0" w:space="0" w:color="auto"/>
        <w:bottom w:val="none" w:sz="0" w:space="0" w:color="auto"/>
        <w:right w:val="none" w:sz="0" w:space="0" w:color="auto"/>
      </w:divBdr>
    </w:div>
    <w:div w:id="309479165">
      <w:bodyDiv w:val="1"/>
      <w:marLeft w:val="0"/>
      <w:marRight w:val="0"/>
      <w:marTop w:val="0"/>
      <w:marBottom w:val="0"/>
      <w:divBdr>
        <w:top w:val="none" w:sz="0" w:space="0" w:color="auto"/>
        <w:left w:val="none" w:sz="0" w:space="0" w:color="auto"/>
        <w:bottom w:val="none" w:sz="0" w:space="0" w:color="auto"/>
        <w:right w:val="none" w:sz="0" w:space="0" w:color="auto"/>
      </w:divBdr>
    </w:div>
    <w:div w:id="347759200">
      <w:bodyDiv w:val="1"/>
      <w:marLeft w:val="0"/>
      <w:marRight w:val="0"/>
      <w:marTop w:val="0"/>
      <w:marBottom w:val="0"/>
      <w:divBdr>
        <w:top w:val="none" w:sz="0" w:space="0" w:color="auto"/>
        <w:left w:val="none" w:sz="0" w:space="0" w:color="auto"/>
        <w:bottom w:val="none" w:sz="0" w:space="0" w:color="auto"/>
        <w:right w:val="none" w:sz="0" w:space="0" w:color="auto"/>
      </w:divBdr>
    </w:div>
    <w:div w:id="384111757">
      <w:bodyDiv w:val="1"/>
      <w:marLeft w:val="0"/>
      <w:marRight w:val="0"/>
      <w:marTop w:val="0"/>
      <w:marBottom w:val="0"/>
      <w:divBdr>
        <w:top w:val="none" w:sz="0" w:space="0" w:color="auto"/>
        <w:left w:val="none" w:sz="0" w:space="0" w:color="auto"/>
        <w:bottom w:val="none" w:sz="0" w:space="0" w:color="auto"/>
        <w:right w:val="none" w:sz="0" w:space="0" w:color="auto"/>
      </w:divBdr>
    </w:div>
    <w:div w:id="533537050">
      <w:bodyDiv w:val="1"/>
      <w:marLeft w:val="0"/>
      <w:marRight w:val="0"/>
      <w:marTop w:val="0"/>
      <w:marBottom w:val="0"/>
      <w:divBdr>
        <w:top w:val="none" w:sz="0" w:space="0" w:color="auto"/>
        <w:left w:val="none" w:sz="0" w:space="0" w:color="auto"/>
        <w:bottom w:val="none" w:sz="0" w:space="0" w:color="auto"/>
        <w:right w:val="none" w:sz="0" w:space="0" w:color="auto"/>
      </w:divBdr>
    </w:div>
    <w:div w:id="727149062">
      <w:bodyDiv w:val="1"/>
      <w:marLeft w:val="0"/>
      <w:marRight w:val="0"/>
      <w:marTop w:val="0"/>
      <w:marBottom w:val="0"/>
      <w:divBdr>
        <w:top w:val="none" w:sz="0" w:space="0" w:color="auto"/>
        <w:left w:val="none" w:sz="0" w:space="0" w:color="auto"/>
        <w:bottom w:val="none" w:sz="0" w:space="0" w:color="auto"/>
        <w:right w:val="none" w:sz="0" w:space="0" w:color="auto"/>
      </w:divBdr>
    </w:div>
    <w:div w:id="731121005">
      <w:bodyDiv w:val="1"/>
      <w:marLeft w:val="0"/>
      <w:marRight w:val="0"/>
      <w:marTop w:val="0"/>
      <w:marBottom w:val="0"/>
      <w:divBdr>
        <w:top w:val="none" w:sz="0" w:space="0" w:color="auto"/>
        <w:left w:val="none" w:sz="0" w:space="0" w:color="auto"/>
        <w:bottom w:val="none" w:sz="0" w:space="0" w:color="auto"/>
        <w:right w:val="none" w:sz="0" w:space="0" w:color="auto"/>
      </w:divBdr>
    </w:div>
    <w:div w:id="741417354">
      <w:bodyDiv w:val="1"/>
      <w:marLeft w:val="0"/>
      <w:marRight w:val="0"/>
      <w:marTop w:val="0"/>
      <w:marBottom w:val="0"/>
      <w:divBdr>
        <w:top w:val="none" w:sz="0" w:space="0" w:color="auto"/>
        <w:left w:val="none" w:sz="0" w:space="0" w:color="auto"/>
        <w:bottom w:val="none" w:sz="0" w:space="0" w:color="auto"/>
        <w:right w:val="none" w:sz="0" w:space="0" w:color="auto"/>
      </w:divBdr>
    </w:div>
    <w:div w:id="753357641">
      <w:bodyDiv w:val="1"/>
      <w:marLeft w:val="0"/>
      <w:marRight w:val="0"/>
      <w:marTop w:val="0"/>
      <w:marBottom w:val="0"/>
      <w:divBdr>
        <w:top w:val="none" w:sz="0" w:space="0" w:color="auto"/>
        <w:left w:val="none" w:sz="0" w:space="0" w:color="auto"/>
        <w:bottom w:val="none" w:sz="0" w:space="0" w:color="auto"/>
        <w:right w:val="none" w:sz="0" w:space="0" w:color="auto"/>
      </w:divBdr>
    </w:div>
    <w:div w:id="755248610">
      <w:bodyDiv w:val="1"/>
      <w:marLeft w:val="0"/>
      <w:marRight w:val="0"/>
      <w:marTop w:val="0"/>
      <w:marBottom w:val="0"/>
      <w:divBdr>
        <w:top w:val="none" w:sz="0" w:space="0" w:color="auto"/>
        <w:left w:val="none" w:sz="0" w:space="0" w:color="auto"/>
        <w:bottom w:val="none" w:sz="0" w:space="0" w:color="auto"/>
        <w:right w:val="none" w:sz="0" w:space="0" w:color="auto"/>
      </w:divBdr>
    </w:div>
    <w:div w:id="785733338">
      <w:bodyDiv w:val="1"/>
      <w:marLeft w:val="0"/>
      <w:marRight w:val="0"/>
      <w:marTop w:val="0"/>
      <w:marBottom w:val="0"/>
      <w:divBdr>
        <w:top w:val="none" w:sz="0" w:space="0" w:color="auto"/>
        <w:left w:val="none" w:sz="0" w:space="0" w:color="auto"/>
        <w:bottom w:val="none" w:sz="0" w:space="0" w:color="auto"/>
        <w:right w:val="none" w:sz="0" w:space="0" w:color="auto"/>
      </w:divBdr>
    </w:div>
    <w:div w:id="812871096">
      <w:bodyDiv w:val="1"/>
      <w:marLeft w:val="0"/>
      <w:marRight w:val="0"/>
      <w:marTop w:val="0"/>
      <w:marBottom w:val="0"/>
      <w:divBdr>
        <w:top w:val="none" w:sz="0" w:space="0" w:color="auto"/>
        <w:left w:val="none" w:sz="0" w:space="0" w:color="auto"/>
        <w:bottom w:val="none" w:sz="0" w:space="0" w:color="auto"/>
        <w:right w:val="none" w:sz="0" w:space="0" w:color="auto"/>
      </w:divBdr>
    </w:div>
    <w:div w:id="823281453">
      <w:bodyDiv w:val="1"/>
      <w:marLeft w:val="0"/>
      <w:marRight w:val="0"/>
      <w:marTop w:val="0"/>
      <w:marBottom w:val="0"/>
      <w:divBdr>
        <w:top w:val="none" w:sz="0" w:space="0" w:color="auto"/>
        <w:left w:val="none" w:sz="0" w:space="0" w:color="auto"/>
        <w:bottom w:val="none" w:sz="0" w:space="0" w:color="auto"/>
        <w:right w:val="none" w:sz="0" w:space="0" w:color="auto"/>
      </w:divBdr>
    </w:div>
    <w:div w:id="858201613">
      <w:bodyDiv w:val="1"/>
      <w:marLeft w:val="0"/>
      <w:marRight w:val="0"/>
      <w:marTop w:val="0"/>
      <w:marBottom w:val="0"/>
      <w:divBdr>
        <w:top w:val="none" w:sz="0" w:space="0" w:color="auto"/>
        <w:left w:val="none" w:sz="0" w:space="0" w:color="auto"/>
        <w:bottom w:val="none" w:sz="0" w:space="0" w:color="auto"/>
        <w:right w:val="none" w:sz="0" w:space="0" w:color="auto"/>
      </w:divBdr>
    </w:div>
    <w:div w:id="962927992">
      <w:bodyDiv w:val="1"/>
      <w:marLeft w:val="0"/>
      <w:marRight w:val="0"/>
      <w:marTop w:val="0"/>
      <w:marBottom w:val="0"/>
      <w:divBdr>
        <w:top w:val="none" w:sz="0" w:space="0" w:color="auto"/>
        <w:left w:val="none" w:sz="0" w:space="0" w:color="auto"/>
        <w:bottom w:val="none" w:sz="0" w:space="0" w:color="auto"/>
        <w:right w:val="none" w:sz="0" w:space="0" w:color="auto"/>
      </w:divBdr>
    </w:div>
    <w:div w:id="974485043">
      <w:bodyDiv w:val="1"/>
      <w:marLeft w:val="0"/>
      <w:marRight w:val="0"/>
      <w:marTop w:val="0"/>
      <w:marBottom w:val="0"/>
      <w:divBdr>
        <w:top w:val="none" w:sz="0" w:space="0" w:color="auto"/>
        <w:left w:val="none" w:sz="0" w:space="0" w:color="auto"/>
        <w:bottom w:val="none" w:sz="0" w:space="0" w:color="auto"/>
        <w:right w:val="none" w:sz="0" w:space="0" w:color="auto"/>
      </w:divBdr>
    </w:div>
    <w:div w:id="1056316772">
      <w:bodyDiv w:val="1"/>
      <w:marLeft w:val="0"/>
      <w:marRight w:val="0"/>
      <w:marTop w:val="0"/>
      <w:marBottom w:val="0"/>
      <w:divBdr>
        <w:top w:val="none" w:sz="0" w:space="0" w:color="auto"/>
        <w:left w:val="none" w:sz="0" w:space="0" w:color="auto"/>
        <w:bottom w:val="none" w:sz="0" w:space="0" w:color="auto"/>
        <w:right w:val="none" w:sz="0" w:space="0" w:color="auto"/>
      </w:divBdr>
    </w:div>
    <w:div w:id="1062682825">
      <w:bodyDiv w:val="1"/>
      <w:marLeft w:val="0"/>
      <w:marRight w:val="0"/>
      <w:marTop w:val="0"/>
      <w:marBottom w:val="0"/>
      <w:divBdr>
        <w:top w:val="none" w:sz="0" w:space="0" w:color="auto"/>
        <w:left w:val="none" w:sz="0" w:space="0" w:color="auto"/>
        <w:bottom w:val="none" w:sz="0" w:space="0" w:color="auto"/>
        <w:right w:val="none" w:sz="0" w:space="0" w:color="auto"/>
      </w:divBdr>
    </w:div>
    <w:div w:id="1081367011">
      <w:bodyDiv w:val="1"/>
      <w:marLeft w:val="0"/>
      <w:marRight w:val="0"/>
      <w:marTop w:val="0"/>
      <w:marBottom w:val="0"/>
      <w:divBdr>
        <w:top w:val="none" w:sz="0" w:space="0" w:color="auto"/>
        <w:left w:val="none" w:sz="0" w:space="0" w:color="auto"/>
        <w:bottom w:val="none" w:sz="0" w:space="0" w:color="auto"/>
        <w:right w:val="none" w:sz="0" w:space="0" w:color="auto"/>
      </w:divBdr>
    </w:div>
    <w:div w:id="1123616314">
      <w:bodyDiv w:val="1"/>
      <w:marLeft w:val="0"/>
      <w:marRight w:val="0"/>
      <w:marTop w:val="0"/>
      <w:marBottom w:val="0"/>
      <w:divBdr>
        <w:top w:val="none" w:sz="0" w:space="0" w:color="auto"/>
        <w:left w:val="none" w:sz="0" w:space="0" w:color="auto"/>
        <w:bottom w:val="none" w:sz="0" w:space="0" w:color="auto"/>
        <w:right w:val="none" w:sz="0" w:space="0" w:color="auto"/>
      </w:divBdr>
    </w:div>
    <w:div w:id="1209880311">
      <w:bodyDiv w:val="1"/>
      <w:marLeft w:val="0"/>
      <w:marRight w:val="0"/>
      <w:marTop w:val="0"/>
      <w:marBottom w:val="0"/>
      <w:divBdr>
        <w:top w:val="none" w:sz="0" w:space="0" w:color="auto"/>
        <w:left w:val="none" w:sz="0" w:space="0" w:color="auto"/>
        <w:bottom w:val="none" w:sz="0" w:space="0" w:color="auto"/>
        <w:right w:val="none" w:sz="0" w:space="0" w:color="auto"/>
      </w:divBdr>
    </w:div>
    <w:div w:id="1247303630">
      <w:bodyDiv w:val="1"/>
      <w:marLeft w:val="0"/>
      <w:marRight w:val="0"/>
      <w:marTop w:val="0"/>
      <w:marBottom w:val="0"/>
      <w:divBdr>
        <w:top w:val="none" w:sz="0" w:space="0" w:color="auto"/>
        <w:left w:val="none" w:sz="0" w:space="0" w:color="auto"/>
        <w:bottom w:val="none" w:sz="0" w:space="0" w:color="auto"/>
        <w:right w:val="none" w:sz="0" w:space="0" w:color="auto"/>
      </w:divBdr>
    </w:div>
    <w:div w:id="1348290759">
      <w:bodyDiv w:val="1"/>
      <w:marLeft w:val="0"/>
      <w:marRight w:val="0"/>
      <w:marTop w:val="0"/>
      <w:marBottom w:val="0"/>
      <w:divBdr>
        <w:top w:val="none" w:sz="0" w:space="0" w:color="auto"/>
        <w:left w:val="none" w:sz="0" w:space="0" w:color="auto"/>
        <w:bottom w:val="none" w:sz="0" w:space="0" w:color="auto"/>
        <w:right w:val="none" w:sz="0" w:space="0" w:color="auto"/>
      </w:divBdr>
    </w:div>
    <w:div w:id="1351176887">
      <w:bodyDiv w:val="1"/>
      <w:marLeft w:val="0"/>
      <w:marRight w:val="0"/>
      <w:marTop w:val="0"/>
      <w:marBottom w:val="0"/>
      <w:divBdr>
        <w:top w:val="none" w:sz="0" w:space="0" w:color="auto"/>
        <w:left w:val="none" w:sz="0" w:space="0" w:color="auto"/>
        <w:bottom w:val="none" w:sz="0" w:space="0" w:color="auto"/>
        <w:right w:val="none" w:sz="0" w:space="0" w:color="auto"/>
      </w:divBdr>
    </w:div>
    <w:div w:id="1513255315">
      <w:bodyDiv w:val="1"/>
      <w:marLeft w:val="0"/>
      <w:marRight w:val="0"/>
      <w:marTop w:val="0"/>
      <w:marBottom w:val="0"/>
      <w:divBdr>
        <w:top w:val="none" w:sz="0" w:space="0" w:color="auto"/>
        <w:left w:val="none" w:sz="0" w:space="0" w:color="auto"/>
        <w:bottom w:val="none" w:sz="0" w:space="0" w:color="auto"/>
        <w:right w:val="none" w:sz="0" w:space="0" w:color="auto"/>
      </w:divBdr>
    </w:div>
    <w:div w:id="1518230535">
      <w:bodyDiv w:val="1"/>
      <w:marLeft w:val="0"/>
      <w:marRight w:val="0"/>
      <w:marTop w:val="0"/>
      <w:marBottom w:val="0"/>
      <w:divBdr>
        <w:top w:val="none" w:sz="0" w:space="0" w:color="auto"/>
        <w:left w:val="none" w:sz="0" w:space="0" w:color="auto"/>
        <w:bottom w:val="none" w:sz="0" w:space="0" w:color="auto"/>
        <w:right w:val="none" w:sz="0" w:space="0" w:color="auto"/>
      </w:divBdr>
    </w:div>
    <w:div w:id="1616904768">
      <w:bodyDiv w:val="1"/>
      <w:marLeft w:val="0"/>
      <w:marRight w:val="0"/>
      <w:marTop w:val="0"/>
      <w:marBottom w:val="0"/>
      <w:divBdr>
        <w:top w:val="none" w:sz="0" w:space="0" w:color="auto"/>
        <w:left w:val="none" w:sz="0" w:space="0" w:color="auto"/>
        <w:bottom w:val="none" w:sz="0" w:space="0" w:color="auto"/>
        <w:right w:val="none" w:sz="0" w:space="0" w:color="auto"/>
      </w:divBdr>
    </w:div>
    <w:div w:id="1683698679">
      <w:bodyDiv w:val="1"/>
      <w:marLeft w:val="0"/>
      <w:marRight w:val="0"/>
      <w:marTop w:val="0"/>
      <w:marBottom w:val="0"/>
      <w:divBdr>
        <w:top w:val="none" w:sz="0" w:space="0" w:color="auto"/>
        <w:left w:val="none" w:sz="0" w:space="0" w:color="auto"/>
        <w:bottom w:val="none" w:sz="0" w:space="0" w:color="auto"/>
        <w:right w:val="none" w:sz="0" w:space="0" w:color="auto"/>
      </w:divBdr>
    </w:div>
    <w:div w:id="1718973662">
      <w:bodyDiv w:val="1"/>
      <w:marLeft w:val="0"/>
      <w:marRight w:val="0"/>
      <w:marTop w:val="0"/>
      <w:marBottom w:val="0"/>
      <w:divBdr>
        <w:top w:val="none" w:sz="0" w:space="0" w:color="auto"/>
        <w:left w:val="none" w:sz="0" w:space="0" w:color="auto"/>
        <w:bottom w:val="none" w:sz="0" w:space="0" w:color="auto"/>
        <w:right w:val="none" w:sz="0" w:space="0" w:color="auto"/>
      </w:divBdr>
    </w:div>
    <w:div w:id="1755318083">
      <w:bodyDiv w:val="1"/>
      <w:marLeft w:val="0"/>
      <w:marRight w:val="0"/>
      <w:marTop w:val="0"/>
      <w:marBottom w:val="0"/>
      <w:divBdr>
        <w:top w:val="none" w:sz="0" w:space="0" w:color="auto"/>
        <w:left w:val="none" w:sz="0" w:space="0" w:color="auto"/>
        <w:bottom w:val="none" w:sz="0" w:space="0" w:color="auto"/>
        <w:right w:val="none" w:sz="0" w:space="0" w:color="auto"/>
      </w:divBdr>
    </w:div>
    <w:div w:id="1871651335">
      <w:bodyDiv w:val="1"/>
      <w:marLeft w:val="0"/>
      <w:marRight w:val="0"/>
      <w:marTop w:val="0"/>
      <w:marBottom w:val="0"/>
      <w:divBdr>
        <w:top w:val="none" w:sz="0" w:space="0" w:color="auto"/>
        <w:left w:val="none" w:sz="0" w:space="0" w:color="auto"/>
        <w:bottom w:val="none" w:sz="0" w:space="0" w:color="auto"/>
        <w:right w:val="none" w:sz="0" w:space="0" w:color="auto"/>
      </w:divBdr>
    </w:div>
    <w:div w:id="1904607720">
      <w:bodyDiv w:val="1"/>
      <w:marLeft w:val="0"/>
      <w:marRight w:val="0"/>
      <w:marTop w:val="0"/>
      <w:marBottom w:val="0"/>
      <w:divBdr>
        <w:top w:val="none" w:sz="0" w:space="0" w:color="auto"/>
        <w:left w:val="none" w:sz="0" w:space="0" w:color="auto"/>
        <w:bottom w:val="none" w:sz="0" w:space="0" w:color="auto"/>
        <w:right w:val="none" w:sz="0" w:space="0" w:color="auto"/>
      </w:divBdr>
    </w:div>
    <w:div w:id="2066635245">
      <w:bodyDiv w:val="1"/>
      <w:marLeft w:val="0"/>
      <w:marRight w:val="0"/>
      <w:marTop w:val="0"/>
      <w:marBottom w:val="0"/>
      <w:divBdr>
        <w:top w:val="none" w:sz="0" w:space="0" w:color="auto"/>
        <w:left w:val="none" w:sz="0" w:space="0" w:color="auto"/>
        <w:bottom w:val="none" w:sz="0" w:space="0" w:color="auto"/>
        <w:right w:val="none" w:sz="0" w:space="0" w:color="auto"/>
      </w:divBdr>
    </w:div>
    <w:div w:id="2094743247">
      <w:bodyDiv w:val="1"/>
      <w:marLeft w:val="0"/>
      <w:marRight w:val="0"/>
      <w:marTop w:val="0"/>
      <w:marBottom w:val="0"/>
      <w:divBdr>
        <w:top w:val="none" w:sz="0" w:space="0" w:color="auto"/>
        <w:left w:val="none" w:sz="0" w:space="0" w:color="auto"/>
        <w:bottom w:val="none" w:sz="0" w:space="0" w:color="auto"/>
        <w:right w:val="none" w:sz="0" w:space="0" w:color="auto"/>
      </w:divBdr>
    </w:div>
    <w:div w:id="2126532850">
      <w:bodyDiv w:val="1"/>
      <w:marLeft w:val="0"/>
      <w:marRight w:val="0"/>
      <w:marTop w:val="0"/>
      <w:marBottom w:val="0"/>
      <w:divBdr>
        <w:top w:val="none" w:sz="0" w:space="0" w:color="auto"/>
        <w:left w:val="none" w:sz="0" w:space="0" w:color="auto"/>
        <w:bottom w:val="none" w:sz="0" w:space="0" w:color="auto"/>
        <w:right w:val="none" w:sz="0" w:space="0" w:color="auto"/>
      </w:divBdr>
    </w:div>
    <w:div w:id="2133396665">
      <w:bodyDiv w:val="1"/>
      <w:marLeft w:val="0"/>
      <w:marRight w:val="0"/>
      <w:marTop w:val="0"/>
      <w:marBottom w:val="0"/>
      <w:divBdr>
        <w:top w:val="none" w:sz="0" w:space="0" w:color="auto"/>
        <w:left w:val="none" w:sz="0" w:space="0" w:color="auto"/>
        <w:bottom w:val="none" w:sz="0" w:space="0" w:color="auto"/>
        <w:right w:val="none" w:sz="0" w:space="0" w:color="auto"/>
      </w:divBdr>
    </w:div>
    <w:div w:id="21344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msp.gob.do/bitstream/handle/123456789/1754/9789945591996.pdf?sequence=1&amp;isAllowed=y" TargetMode="External"/><Relationship Id="rId2" Type="http://schemas.openxmlformats.org/officeDocument/2006/relationships/hyperlink" Target="https://pgr.gob.do/el-inacif-garantiza-respeto-a-dignidad-de-cadaveres-no-reclamados/" TargetMode="External"/><Relationship Id="rId1" Type="http://schemas.openxmlformats.org/officeDocument/2006/relationships/hyperlink" Target="https://www.aecid.org.do/images/noticias/Noticias/22_06_2016/Protocolo_Victimas_%20Multiples_y_Grandes_Catastrof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b:Tag>
    <b:SourceType>InternetSite</b:SourceType>
    <b:Guid>{2DFEE794-6C0B-4DA8-9CAB-6D9ED3867A49}</b:Guid>
    <b:Author>
      <b:Author>
        <b:Corporate>Organización de Estados Americanos</b:Corporate>
      </b:Author>
    </b:Author>
    <b:URL>https://www.oas.org/es/sms/dps/prog-cifta.asp</b:URL>
    <b:RefOrder>10</b:RefOrder>
  </b:Source>
  <b:Source>
    <b:Tag>Min</b:Tag>
    <b:SourceType>InternetSite</b:SourceType>
    <b:Guid>{300F2030-C87E-4298-B588-2254721C46DD}</b:Guid>
    <b:Author>
      <b:Author>
        <b:Corporate>Ministerio de Interior y Policia, ley 631-16</b:Corporate>
      </b:Author>
    </b:Author>
    <b:URL>https://mip.gob.do/wp-content/uploads/marcolegal/Leyes/Ley-631-16-armas.pdf</b:URL>
    <b:RefOrder>9</b:RefOrder>
  </b:Source>
  <b:Source>
    <b:Tag>Asa16</b:Tag>
    <b:SourceType>InternetSite</b:SourceType>
    <b:Guid>{B49B5D03-789C-488E-9877-BA359029E3E7}</b:Guid>
    <b:Author>
      <b:Author>
        <b:Corporate>Asamblea General de las Naciones Unidas</b:Corporate>
      </b:Author>
    </b:Author>
    <b:Year>2016</b:Year>
    <b:Month>07</b:Month>
    <b:Day>15</b:Day>
    <b:URL>https://www.refworld.org/cgi-bin/texis/vtx/rwmain/opendocpdf.pdf?reldoc=y&amp;docid=57e915b74</b:URL>
    <b:RefOrder>1</b:RefOrder>
  </b:Source>
  <b:Source>
    <b:Tag>Min23</b:Tag>
    <b:SourceType>InternetSite</b:SourceType>
    <b:Guid>{730BFBC7-66F6-4EFC-9201-6DE0867F710E}</b:Guid>
    <b:Author>
      <b:Author>
        <b:Corporate>Ministerio de Defensa de la República Dominicana</b:Corporate>
      </b:Author>
    </b:Author>
    <b:Year>2023</b:Year>
    <b:Month>10</b:Month>
    <b:Day>12</b:Day>
    <b:URL>https://transparencia.mide.gob.do/estadisticas-institucionales/estadisticas-institucionales-2023/</b:URL>
    <b:RefOrder>7</b:RefOrder>
  </b:Source>
  <b:Source>
    <b:Tag>Pro</b:Tag>
    <b:SourceType>InternetSite</b:SourceType>
    <b:Guid>{C2CA590D-5915-4787-B8E5-F9BCF47E1746}</b:Guid>
    <b:Author>
      <b:Author>
        <b:Corporate>Procuraduría General de la República Dominicana</b:Corporate>
      </b:Author>
    </b:Author>
    <b:URL>https://pgr.gob.do/transparencia/</b:URL>
    <b:RefOrder>6</b:RefOrder>
  </b:Source>
  <b:Source>
    <b:Tag>Pre</b:Tag>
    <b:SourceType>InternetSite</b:SourceType>
    <b:Guid>{2F34D2AE-6D0D-4F9D-8FBE-3F98BD390622}</b:Guid>
    <b:Author>
      <b:Author>
        <b:Corporate>Presidencia de la República Dominicana</b:Corporate>
      </b:Author>
    </b:Author>
    <b:URL>https://presidencia.gob.do/noticias/gobierno-destruye-803-armas-ilegales-recuperadas-traves-de-mi-pais-seguro</b:URL>
    <b:RefOrder>5</b:RefOrder>
  </b:Source>
  <b:Source>
    <b:Tag>Pro23</b:Tag>
    <b:SourceType>InternetSite</b:SourceType>
    <b:Guid>{EBC64EB1-3F09-49A4-A639-06FE2F71ACF1}</b:Guid>
    <b:Author>
      <b:Author>
        <b:Corporate>Procuraduria General de la República Dominicana</b:Corporate>
      </b:Author>
    </b:Author>
    <b:Year>2023</b:Year>
    <b:URL>https://pgr.gob.do/transparencia/</b:URL>
    <b:RefOrder>2</b:RefOrder>
  </b:Source>
  <b:Source>
    <b:Tag>Min1</b:Tag>
    <b:SourceType>InternetSite</b:SourceType>
    <b:Guid>{3069F6C4-57B1-4976-9ACB-A56DE6B4D477}</b:Guid>
    <b:Author>
      <b:Author>
        <b:Corporate>Ministerio de Interior y Policia</b:Corporate>
      </b:Author>
    </b:Author>
    <b:URL>https://memorias.minpre.gob.do/api/documents/874/download/</b:URL>
    <b:RefOrder>3</b:RefOrder>
  </b:Source>
  <b:Source>
    <b:Tag>Bre12</b:Tag>
    <b:SourceType>InternetSite</b:SourceType>
    <b:Guid>{489726BB-69CB-40E6-9B7F-DCC8F5D0DBBD}</b:Guid>
    <b:Author>
      <b:Author>
        <b:NameList>
          <b:Person>
            <b:Last>Brea</b:Last>
            <b:First>M.</b:First>
            <b:Middle>&amp; Cabral, E</b:Middle>
          </b:Person>
        </b:NameList>
      </b:Author>
    </b:Author>
    <b:Year>2012</b:Year>
    <b:Month>4</b:Month>
    <b:Day>17</b:Day>
    <b:URL>https://psicologiacientifica.com/impacto-armamentismo-republica-dominicana/</b:URL>
    <b:RefOrder>4</b:RefOrder>
  </b:Source>
  <b:Source>
    <b:Tag>Ofi23</b:Tag>
    <b:SourceType>InternetSite</b:SourceType>
    <b:Guid>{491F3990-1873-4DB1-83B2-58E91C76CD74}</b:Guid>
    <b:Year>2023</b:Year>
    <b:URL>https://www.unodc.org/documents/data-and-analysis/toc/Haiti_assessment_UNODC.pdf</b:URL>
    <b:Author>
      <b:Author>
        <b:Corporate>Oficina de las Naciones Unidas contra la Droga y el Delito</b:Corporate>
      </b:Author>
    </b:Author>
    <b:RefOrder>8</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Dominican Republic</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D39F3-9303-432A-8229-9A93982586FA}">
  <ds:schemaRefs>
    <ds:schemaRef ds:uri="http://schemas.openxmlformats.org/officeDocument/2006/bibliography"/>
  </ds:schemaRefs>
</ds:datastoreItem>
</file>

<file path=customXml/itemProps2.xml><?xml version="1.0" encoding="utf-8"?>
<ds:datastoreItem xmlns:ds="http://schemas.openxmlformats.org/officeDocument/2006/customXml" ds:itemID="{78DC2E31-F909-4376-8933-DF14B17339AE}">
  <ds:schemaRefs>
    <ds:schemaRef ds:uri="http://schemas.openxmlformats.org/package/2006/metadata/core-properties"/>
    <ds:schemaRef ds:uri="bfe30340-6918-432d-85f8-ce53f92249f5"/>
    <ds:schemaRef ds:uri="http://schemas.microsoft.com/office/2006/documentManagement/types"/>
    <ds:schemaRef ds:uri="http://purl.org/dc/dcmitype/"/>
    <ds:schemaRef ds:uri="4342d436-a35d-49d6-8c47-59e72899d176"/>
    <ds:schemaRef ds:uri="http://www.w3.org/XML/1998/namespac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6243402-0869-439B-914E-526AD07F5BDC}">
  <ds:schemaRefs>
    <ds:schemaRef ds:uri="http://schemas.microsoft.com/sharepoint/v3/contenttype/forms"/>
  </ds:schemaRefs>
</ds:datastoreItem>
</file>

<file path=customXml/itemProps4.xml><?xml version="1.0" encoding="utf-8"?>
<ds:datastoreItem xmlns:ds="http://schemas.openxmlformats.org/officeDocument/2006/customXml" ds:itemID="{C91EAA15-AF1D-410F-97D0-94904F158FB5}"/>
</file>

<file path=docProps/app.xml><?xml version="1.0" encoding="utf-8"?>
<Properties xmlns="http://schemas.openxmlformats.org/officeDocument/2006/extended-properties" xmlns:vt="http://schemas.openxmlformats.org/officeDocument/2006/docPropsVTypes">
  <Template>Normal</Template>
  <TotalTime>98</TotalTime>
  <Pages>7</Pages>
  <Words>1890</Words>
  <Characters>10396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Esther Mañon Mora</dc:creator>
  <cp:keywords/>
  <dc:description/>
  <cp:lastModifiedBy>Guillermo Antonio Pena Capellan</cp:lastModifiedBy>
  <cp:revision>18</cp:revision>
  <dcterms:created xsi:type="dcterms:W3CDTF">2024-01-12T19:14:00Z</dcterms:created>
  <dcterms:modified xsi:type="dcterms:W3CDTF">2024-01-24T15:12:00Z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