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42EE" w14:textId="405B5084" w:rsidR="00E30F7C" w:rsidRDefault="00243646" w:rsidP="00243646">
      <w:pPr>
        <w:pStyle w:val="Heading1"/>
        <w:rPr>
          <w:color w:val="388600"/>
          <w:lang w:val="es-MX"/>
        </w:rPr>
      </w:pPr>
      <w:r w:rsidRPr="00243646">
        <w:rPr>
          <w:color w:val="388600"/>
          <w:lang w:val="es-MX"/>
        </w:rPr>
        <w:t>Contribución al informe del Relator del DHANA sobre pesca de pequeña escala</w:t>
      </w:r>
      <w:r w:rsidR="001D3DB4">
        <w:rPr>
          <w:color w:val="388600"/>
          <w:lang w:val="es-MX"/>
        </w:rPr>
        <w:t xml:space="preserve"> en Honduras.</w:t>
      </w:r>
    </w:p>
    <w:p w14:paraId="719B2495" w14:textId="77777777" w:rsidR="00427331" w:rsidRDefault="00427331" w:rsidP="00427331">
      <w:pPr>
        <w:spacing w:line="276" w:lineRule="auto"/>
        <w:jc w:val="both"/>
        <w:rPr>
          <w:rFonts w:ascii="Times New Roman" w:hAnsi="Times New Roman" w:cs="Times New Roman"/>
          <w:lang w:val="es-419"/>
        </w:rPr>
      </w:pPr>
    </w:p>
    <w:p w14:paraId="4345C3BC" w14:textId="6D8CC6B3" w:rsidR="00A9079A" w:rsidRDefault="00427331" w:rsidP="00427331">
      <w:pPr>
        <w:spacing w:line="276" w:lineRule="auto"/>
        <w:jc w:val="both"/>
        <w:rPr>
          <w:rFonts w:cstheme="minorHAnsi"/>
          <w:lang w:val="es-419"/>
        </w:rPr>
      </w:pPr>
      <w:r w:rsidRPr="00483F52">
        <w:rPr>
          <w:rFonts w:cstheme="minorHAnsi"/>
          <w:lang w:val="es-419"/>
        </w:rPr>
        <w:t>FIAN Honduras</w:t>
      </w:r>
      <w:r w:rsidR="00C71288" w:rsidRPr="00483F52">
        <w:rPr>
          <w:rFonts w:cstheme="minorHAnsi"/>
          <w:lang w:val="es-419"/>
        </w:rPr>
        <w:t xml:space="preserve"> y Fish </w:t>
      </w:r>
      <w:proofErr w:type="spellStart"/>
      <w:r w:rsidR="00C71288" w:rsidRPr="00483F52">
        <w:rPr>
          <w:rFonts w:cstheme="minorHAnsi"/>
          <w:lang w:val="es-419"/>
        </w:rPr>
        <w:t>Forever</w:t>
      </w:r>
      <w:proofErr w:type="spellEnd"/>
      <w:r w:rsidRPr="00483F52">
        <w:rPr>
          <w:rFonts w:cstheme="minorHAnsi"/>
          <w:lang w:val="es-419"/>
        </w:rPr>
        <w:t xml:space="preserve"> presenta</w:t>
      </w:r>
      <w:r w:rsidR="00C71288" w:rsidRPr="00483F52">
        <w:rPr>
          <w:rFonts w:cstheme="minorHAnsi"/>
          <w:lang w:val="es-419"/>
        </w:rPr>
        <w:t>n</w:t>
      </w:r>
      <w:r w:rsidR="001D3DB4" w:rsidRPr="00483F52">
        <w:rPr>
          <w:rFonts w:cstheme="minorHAnsi"/>
          <w:lang w:val="es-419"/>
        </w:rPr>
        <w:t xml:space="preserve"> para su consideración</w:t>
      </w:r>
      <w:r w:rsidRPr="00483F52">
        <w:rPr>
          <w:rFonts w:cstheme="minorHAnsi"/>
          <w:lang w:val="es-419"/>
        </w:rPr>
        <w:t xml:space="preserve"> la situación de familias que dependen de la pesca artesanal</w:t>
      </w:r>
      <w:r w:rsidR="00155108" w:rsidRPr="00483F52">
        <w:rPr>
          <w:rFonts w:cstheme="minorHAnsi"/>
          <w:lang w:val="es-419"/>
        </w:rPr>
        <w:t xml:space="preserve"> en comunidades </w:t>
      </w:r>
      <w:r w:rsidR="00100F31">
        <w:rPr>
          <w:rFonts w:cstheme="minorHAnsi"/>
          <w:lang w:val="es-419"/>
        </w:rPr>
        <w:t>costeras</w:t>
      </w:r>
      <w:r w:rsidR="00F7625D">
        <w:rPr>
          <w:rFonts w:cstheme="minorHAnsi"/>
          <w:lang w:val="es-419"/>
        </w:rPr>
        <w:t xml:space="preserve">, </w:t>
      </w:r>
      <w:r w:rsidR="00100F31">
        <w:rPr>
          <w:rFonts w:cstheme="minorHAnsi"/>
          <w:lang w:val="es-419"/>
        </w:rPr>
        <w:t>los desafíos d</w:t>
      </w:r>
      <w:r w:rsidR="00F7625D">
        <w:rPr>
          <w:rFonts w:cstheme="minorHAnsi"/>
          <w:lang w:val="es-419"/>
        </w:rPr>
        <w:t>el avance en el cumplimiento de</w:t>
      </w:r>
      <w:r w:rsidR="00A9079A" w:rsidRPr="00483F52">
        <w:rPr>
          <w:rFonts w:cstheme="minorHAnsi"/>
          <w:lang w:val="es-419"/>
        </w:rPr>
        <w:t xml:space="preserve"> los derechos humanos</w:t>
      </w:r>
      <w:r w:rsidR="00F7625D">
        <w:rPr>
          <w:rFonts w:cstheme="minorHAnsi"/>
          <w:lang w:val="es-419"/>
        </w:rPr>
        <w:t>,</w:t>
      </w:r>
      <w:r w:rsidR="00A9079A" w:rsidRPr="00483F52">
        <w:rPr>
          <w:rFonts w:cstheme="minorHAnsi"/>
          <w:lang w:val="es-419"/>
        </w:rPr>
        <w:t xml:space="preserve"> en especial </w:t>
      </w:r>
      <w:r w:rsidR="00E5670D" w:rsidRPr="00483F52">
        <w:rPr>
          <w:rFonts w:cstheme="minorHAnsi"/>
          <w:lang w:val="es-419"/>
        </w:rPr>
        <w:t>d</w:t>
      </w:r>
      <w:r w:rsidR="00A9079A" w:rsidRPr="00483F52">
        <w:rPr>
          <w:rFonts w:cstheme="minorHAnsi"/>
          <w:lang w:val="es-419"/>
        </w:rPr>
        <w:t xml:space="preserve">el </w:t>
      </w:r>
      <w:r w:rsidR="00643A85">
        <w:rPr>
          <w:rFonts w:cstheme="minorHAnsi"/>
          <w:lang w:val="es-419"/>
        </w:rPr>
        <w:t>DHANA.</w:t>
      </w:r>
    </w:p>
    <w:p w14:paraId="6E206C1B" w14:textId="5AAC1265" w:rsidR="00F42D80" w:rsidRDefault="00F42D80" w:rsidP="00F42D80">
      <w:pPr>
        <w:pStyle w:val="Heading2"/>
        <w:rPr>
          <w:color w:val="388600"/>
          <w:lang w:val="es-419"/>
        </w:rPr>
      </w:pPr>
      <w:r w:rsidRPr="001313B4">
        <w:rPr>
          <w:color w:val="388600"/>
          <w:lang w:val="es-419"/>
        </w:rPr>
        <w:t>Políticas estatales y participación</w:t>
      </w:r>
      <w:r w:rsidR="003F4E6F">
        <w:rPr>
          <w:color w:val="388600"/>
          <w:lang w:val="es-419"/>
        </w:rPr>
        <w:t xml:space="preserve"> de los pescadores </w:t>
      </w:r>
    </w:p>
    <w:p w14:paraId="7D0F1A7C" w14:textId="765040D5" w:rsidR="006227BA" w:rsidRDefault="00DB72C9" w:rsidP="00AF0BE6">
      <w:pPr>
        <w:jc w:val="both"/>
        <w:rPr>
          <w:lang w:val="es-419"/>
        </w:rPr>
      </w:pPr>
      <w:r>
        <w:rPr>
          <w:lang w:val="es-419"/>
        </w:rPr>
        <w:t>El sector pesquero de pequeña escala carece</w:t>
      </w:r>
      <w:r w:rsidR="00D91E02">
        <w:rPr>
          <w:lang w:val="es-419"/>
        </w:rPr>
        <w:t xml:space="preserve"> de marcos legales</w:t>
      </w:r>
      <w:r w:rsidR="00EB2E58">
        <w:rPr>
          <w:lang w:val="es-419"/>
        </w:rPr>
        <w:t>,</w:t>
      </w:r>
      <w:r w:rsidR="00D91E02">
        <w:rPr>
          <w:lang w:val="es-419"/>
        </w:rPr>
        <w:t xml:space="preserve"> institucionales</w:t>
      </w:r>
      <w:r w:rsidR="00EB2E58">
        <w:rPr>
          <w:lang w:val="es-419"/>
        </w:rPr>
        <w:t xml:space="preserve"> y de política</w:t>
      </w:r>
      <w:r w:rsidR="00D91E02">
        <w:rPr>
          <w:lang w:val="es-419"/>
        </w:rPr>
        <w:t xml:space="preserve"> </w:t>
      </w:r>
      <w:r w:rsidR="00EB2E58">
        <w:rPr>
          <w:lang w:val="es-419"/>
        </w:rPr>
        <w:t xml:space="preserve">que aborden de manera particular </w:t>
      </w:r>
      <w:r w:rsidR="006E5798">
        <w:rPr>
          <w:lang w:val="es-419"/>
        </w:rPr>
        <w:t xml:space="preserve">sus </w:t>
      </w:r>
      <w:r w:rsidR="00EB2E58">
        <w:rPr>
          <w:lang w:val="es-419"/>
        </w:rPr>
        <w:t>necesidades y potencialidades</w:t>
      </w:r>
      <w:r w:rsidR="006E5798">
        <w:rPr>
          <w:lang w:val="es-419"/>
        </w:rPr>
        <w:t xml:space="preserve">. </w:t>
      </w:r>
    </w:p>
    <w:p w14:paraId="0CE2E779" w14:textId="0FD255A9" w:rsidR="00811374" w:rsidRDefault="00643A5C" w:rsidP="00AF0BE6">
      <w:pPr>
        <w:jc w:val="both"/>
        <w:rPr>
          <w:lang w:val="es-419"/>
        </w:rPr>
      </w:pPr>
      <w:r>
        <w:rPr>
          <w:lang w:val="es-419"/>
        </w:rPr>
        <w:t>S</w:t>
      </w:r>
      <w:r w:rsidR="00811374">
        <w:rPr>
          <w:lang w:val="es-419"/>
        </w:rPr>
        <w:t>e observa una baja cobertura de programas y proye</w:t>
      </w:r>
      <w:r w:rsidR="00DB474D">
        <w:rPr>
          <w:lang w:val="es-419"/>
        </w:rPr>
        <w:t>ctos</w:t>
      </w:r>
      <w:r w:rsidR="00811374">
        <w:rPr>
          <w:lang w:val="es-419"/>
        </w:rPr>
        <w:t xml:space="preserve"> estatales que atiendan aspectos </w:t>
      </w:r>
      <w:r>
        <w:rPr>
          <w:lang w:val="es-419"/>
        </w:rPr>
        <w:t xml:space="preserve">relacionados a los derechos </w:t>
      </w:r>
      <w:r w:rsidR="00811374">
        <w:rPr>
          <w:lang w:val="es-419"/>
        </w:rPr>
        <w:t xml:space="preserve">económicos, </w:t>
      </w:r>
      <w:proofErr w:type="gramStart"/>
      <w:r w:rsidR="00DB72C9">
        <w:rPr>
          <w:lang w:val="es-419"/>
        </w:rPr>
        <w:t>socio-</w:t>
      </w:r>
      <w:r w:rsidR="00811374">
        <w:rPr>
          <w:lang w:val="es-419"/>
        </w:rPr>
        <w:t>ambientales</w:t>
      </w:r>
      <w:proofErr w:type="gramEnd"/>
      <w:r w:rsidR="00811374">
        <w:rPr>
          <w:lang w:val="es-419"/>
        </w:rPr>
        <w:t xml:space="preserve">, culturales y climáticos para las comunidades costeras. </w:t>
      </w:r>
    </w:p>
    <w:p w14:paraId="14E4BB74" w14:textId="673F33F5" w:rsidR="009055FD" w:rsidRDefault="009055FD" w:rsidP="009055FD">
      <w:pPr>
        <w:jc w:val="both"/>
      </w:pPr>
      <w:r>
        <w:t>La discriminación comienza con la ley de pesca y acuicultura</w:t>
      </w:r>
      <w:sdt>
        <w:sdtPr>
          <w:id w:val="-1437970914"/>
          <w:citation/>
        </w:sdtPr>
        <w:sdtEndPr/>
        <w:sdtContent>
          <w:r>
            <w:fldChar w:fldCharType="begin"/>
          </w:r>
          <w:r>
            <w:instrText xml:space="preserve"> CITATION FAO23 \l 18442 </w:instrText>
          </w:r>
          <w:r>
            <w:fldChar w:fldCharType="separate"/>
          </w:r>
          <w:r>
            <w:rPr>
              <w:noProof/>
            </w:rPr>
            <w:t xml:space="preserve"> (FAO, 2023)</w:t>
          </w:r>
          <w:r>
            <w:fldChar w:fldCharType="end"/>
          </w:r>
        </w:sdtContent>
      </w:sdt>
      <w:r>
        <w:t>, ésta a lo largo de sus artículos, tiene una tendencia marcada hacia el comercio y la competitividad del sector pesquero y acuícola</w:t>
      </w:r>
      <w:r w:rsidR="009E3AB7">
        <w:t xml:space="preserve"> industrial</w:t>
      </w:r>
      <w:r>
        <w:t xml:space="preserve">. </w:t>
      </w:r>
      <w:r w:rsidR="000D25D6">
        <w:t>Desestima</w:t>
      </w:r>
      <w:r>
        <w:t xml:space="preserve"> como prioridad el aprovechamiento racional del recurso para garantizar alimentos e ingresos a las familias que se dedican </w:t>
      </w:r>
      <w:r w:rsidR="009E3AB7">
        <w:t xml:space="preserve">principalmente </w:t>
      </w:r>
      <w:r>
        <w:t>a dicha actividad productiva</w:t>
      </w:r>
      <w:r w:rsidR="009E3AB7">
        <w:t xml:space="preserve"> en su comunidad</w:t>
      </w:r>
      <w:r>
        <w:t>.</w:t>
      </w:r>
    </w:p>
    <w:p w14:paraId="69BD0E91" w14:textId="2CB78466" w:rsidR="009055FD" w:rsidRDefault="00A81384" w:rsidP="009055FD">
      <w:pPr>
        <w:jc w:val="both"/>
        <w:rPr>
          <w:lang w:val="es-419"/>
        </w:rPr>
      </w:pPr>
      <w:r>
        <w:t>S</w:t>
      </w:r>
      <w:r w:rsidR="009055FD">
        <w:t xml:space="preserve">e evidencia al no </w:t>
      </w:r>
      <w:r w:rsidR="0058368F">
        <w:t>establecer</w:t>
      </w:r>
      <w:r w:rsidR="009055FD">
        <w:t xml:space="preserve"> estrategias específicas </w:t>
      </w:r>
      <w:r w:rsidR="000D25D6">
        <w:t>de</w:t>
      </w:r>
      <w:r w:rsidR="009055FD">
        <w:t xml:space="preserve"> incluir en los procesos de aprovechamiento y conservación del recurso pesquero a las comunidades de pesca artesanal, adecuando las disposiciones a las condiciones y necesidades particulares. </w:t>
      </w:r>
    </w:p>
    <w:p w14:paraId="2465C583" w14:textId="381DD101" w:rsidR="001C4A19" w:rsidRDefault="00FD5DEE" w:rsidP="001C4A19">
      <w:pPr>
        <w:jc w:val="both"/>
        <w:rPr>
          <w:lang w:val="es-419"/>
        </w:rPr>
      </w:pPr>
      <w:r>
        <w:rPr>
          <w:lang w:val="es-419"/>
        </w:rPr>
        <w:t>Adicionalmente</w:t>
      </w:r>
      <w:r w:rsidR="00DB474D">
        <w:rPr>
          <w:lang w:val="es-419"/>
        </w:rPr>
        <w:t xml:space="preserve">, se puede </w:t>
      </w:r>
      <w:r>
        <w:rPr>
          <w:lang w:val="es-419"/>
        </w:rPr>
        <w:t>mencionar que</w:t>
      </w:r>
      <w:r w:rsidR="006B1D50">
        <w:rPr>
          <w:lang w:val="es-419"/>
        </w:rPr>
        <w:t xml:space="preserve"> el marco </w:t>
      </w:r>
      <w:r w:rsidR="00EE5AED">
        <w:rPr>
          <w:lang w:val="es-419"/>
        </w:rPr>
        <w:t>legal para</w:t>
      </w:r>
      <w:r w:rsidR="006B1D50">
        <w:rPr>
          <w:lang w:val="es-419"/>
        </w:rPr>
        <w:t xml:space="preserve"> la protección de los ecosistemas costeros sigue siendo muy débil </w:t>
      </w:r>
      <w:r w:rsidR="00EE5AED">
        <w:rPr>
          <w:lang w:val="es-419"/>
        </w:rPr>
        <w:t xml:space="preserve">para la toma de </w:t>
      </w:r>
      <w:r w:rsidR="006B1D50">
        <w:rPr>
          <w:lang w:val="es-419"/>
        </w:rPr>
        <w:t>medidas de control, denuncia y castigo por los impactos que empresas generan con sus actividades productivas dentro y fuera del entorno marino</w:t>
      </w:r>
      <w:r w:rsidR="00EA40AE">
        <w:rPr>
          <w:lang w:val="es-419"/>
        </w:rPr>
        <w:t xml:space="preserve">; </w:t>
      </w:r>
      <w:r w:rsidR="006A26AB">
        <w:rPr>
          <w:lang w:val="es-419"/>
        </w:rPr>
        <w:t>sigue desconociendo que los fenómenos climáticos y el cambio climático están generando pérdidas y daños a los medios de vida de los pescadores artesanales</w:t>
      </w:r>
      <w:r w:rsidR="001C4A19">
        <w:rPr>
          <w:lang w:val="es-419"/>
        </w:rPr>
        <w:t>; desconoce en la estructura institucional para la gestión del recursos marino costero la participación del entorno local, a través de las organizaciones de base de la pesca, así como los gobiernos municipales</w:t>
      </w:r>
      <w:r w:rsidR="00CA3618">
        <w:rPr>
          <w:lang w:val="es-419"/>
        </w:rPr>
        <w:t>.</w:t>
      </w:r>
    </w:p>
    <w:p w14:paraId="02C20D19" w14:textId="77777777" w:rsidR="00A2749E" w:rsidRDefault="00A2749E" w:rsidP="00A2749E">
      <w:pPr>
        <w:pStyle w:val="Heading2"/>
        <w:rPr>
          <w:color w:val="388600"/>
          <w:lang w:val="es-419"/>
        </w:rPr>
      </w:pPr>
      <w:r w:rsidRPr="001313B4">
        <w:rPr>
          <w:color w:val="388600"/>
          <w:lang w:val="es-419"/>
        </w:rPr>
        <w:t>Ambiente y cambio climático</w:t>
      </w:r>
    </w:p>
    <w:p w14:paraId="218622B4" w14:textId="4B941CD9" w:rsidR="00D82103" w:rsidRPr="00D82103" w:rsidRDefault="005D3EFF" w:rsidP="005E601F">
      <w:pPr>
        <w:jc w:val="both"/>
        <w:rPr>
          <w:lang w:val="es-419"/>
        </w:rPr>
      </w:pPr>
      <w:r>
        <w:rPr>
          <w:lang w:val="es-419"/>
        </w:rPr>
        <w:t>L</w:t>
      </w:r>
      <w:r w:rsidR="00D82103">
        <w:rPr>
          <w:lang w:val="es-419"/>
        </w:rPr>
        <w:t>a deforestación de los bosques de mangle</w:t>
      </w:r>
      <w:r w:rsidR="00FC0E14">
        <w:rPr>
          <w:lang w:val="es-419"/>
        </w:rPr>
        <w:t xml:space="preserve">; los vertidos de sustancias nocivas para las especies marinas y </w:t>
      </w:r>
      <w:r w:rsidR="008A4BD8">
        <w:rPr>
          <w:lang w:val="es-419"/>
        </w:rPr>
        <w:t>sus hábitats</w:t>
      </w:r>
      <w:r w:rsidR="000D7226">
        <w:rPr>
          <w:lang w:val="es-419"/>
        </w:rPr>
        <w:t>,</w:t>
      </w:r>
      <w:r w:rsidR="00161889">
        <w:rPr>
          <w:lang w:val="es-419"/>
        </w:rPr>
        <w:t xml:space="preserve"> producidas</w:t>
      </w:r>
      <w:r w:rsidR="00FC0E14">
        <w:rPr>
          <w:lang w:val="es-419"/>
        </w:rPr>
        <w:t xml:space="preserve"> </w:t>
      </w:r>
      <w:r w:rsidR="00D82103">
        <w:rPr>
          <w:lang w:val="es-419"/>
        </w:rPr>
        <w:t xml:space="preserve">por las empresas de </w:t>
      </w:r>
      <w:proofErr w:type="gramStart"/>
      <w:r w:rsidR="00D82103">
        <w:rPr>
          <w:lang w:val="es-419"/>
        </w:rPr>
        <w:t>agro exportación</w:t>
      </w:r>
      <w:proofErr w:type="gramEnd"/>
      <w:r w:rsidR="00D82103">
        <w:rPr>
          <w:lang w:val="es-419"/>
        </w:rPr>
        <w:t>, las camaroneras, laboratorios de larvas de camarón y salineras</w:t>
      </w:r>
      <w:r>
        <w:rPr>
          <w:lang w:val="es-419"/>
        </w:rPr>
        <w:t xml:space="preserve"> causan pérdida y disminución de las especies marinas</w:t>
      </w:r>
      <w:r w:rsidR="00161889">
        <w:rPr>
          <w:lang w:val="es-419"/>
        </w:rPr>
        <w:t>.</w:t>
      </w:r>
      <w:r>
        <w:rPr>
          <w:lang w:val="es-419"/>
        </w:rPr>
        <w:t xml:space="preserve"> </w:t>
      </w:r>
      <w:r w:rsidR="001A1A8F">
        <w:rPr>
          <w:lang w:val="es-419"/>
        </w:rPr>
        <w:t xml:space="preserve"> También tiene una fuerte influencia el calentamiento de las aguas del mar</w:t>
      </w:r>
      <w:r w:rsidR="00F97DBB">
        <w:rPr>
          <w:lang w:val="es-419"/>
        </w:rPr>
        <w:t>,</w:t>
      </w:r>
      <w:r w:rsidR="001A1A8F">
        <w:rPr>
          <w:lang w:val="es-419"/>
        </w:rPr>
        <w:t xml:space="preserve"> pues las especi</w:t>
      </w:r>
      <w:r w:rsidR="00355D44">
        <w:rPr>
          <w:lang w:val="es-419"/>
        </w:rPr>
        <w:t>es buscan zonas templadas</w:t>
      </w:r>
      <w:r w:rsidR="00F97DBB">
        <w:rPr>
          <w:lang w:val="es-419"/>
        </w:rPr>
        <w:t xml:space="preserve"> para sobrevivir</w:t>
      </w:r>
      <w:r w:rsidR="00355D44">
        <w:rPr>
          <w:lang w:val="es-419"/>
        </w:rPr>
        <w:t>.</w:t>
      </w:r>
    </w:p>
    <w:p w14:paraId="675BDE4B" w14:textId="3B96BD9F" w:rsidR="00940861" w:rsidRDefault="00940861" w:rsidP="00940861">
      <w:pPr>
        <w:jc w:val="both"/>
        <w:rPr>
          <w:lang w:val="es-419"/>
        </w:rPr>
      </w:pPr>
      <w:r>
        <w:rPr>
          <w:lang w:val="es-419"/>
        </w:rPr>
        <w:t>Esta pérdida de los ecosistemas se debe fundamentalmente a</w:t>
      </w:r>
      <w:r w:rsidRPr="00940861">
        <w:rPr>
          <w:rFonts w:ascii="Times New Roman" w:eastAsia="Calibri" w:hAnsi="Times New Roman" w:cs="Times New Roman"/>
          <w:sz w:val="24"/>
          <w:szCs w:val="24"/>
        </w:rPr>
        <w:t xml:space="preserve"> la falta de aplicación del marco jurídico ambiental y de ordenamiento territorial por parte de las autoridades correspondientes, pese a que la mayoría de los bosques se encuentran dentro de áreas protegidas;</w:t>
      </w:r>
      <w:r w:rsidRPr="00940861">
        <w:rPr>
          <w:lang w:val="es-419"/>
        </w:rPr>
        <w:t xml:space="preserve"> </w:t>
      </w:r>
      <w:r>
        <w:rPr>
          <w:lang w:val="es-419"/>
        </w:rPr>
        <w:t xml:space="preserve">se carece de normas técnicas, protocolos y determinaciones legales que estén actualizados y </w:t>
      </w:r>
      <w:r>
        <w:rPr>
          <w:lang w:val="es-419"/>
        </w:rPr>
        <w:lastRenderedPageBreak/>
        <w:t>conforme a los estándares internacionales para la regulación de los vertidos al mar y otras fuentes hídricas</w:t>
      </w:r>
      <w:r w:rsidR="002D4AD3">
        <w:rPr>
          <w:lang w:val="es-419"/>
        </w:rPr>
        <w:t>.</w:t>
      </w:r>
    </w:p>
    <w:p w14:paraId="7C0E65E3" w14:textId="049B0206" w:rsidR="002D4AD3" w:rsidRDefault="002D4AD3" w:rsidP="00940861">
      <w:pPr>
        <w:jc w:val="both"/>
        <w:rPr>
          <w:lang w:val="es-419"/>
        </w:rPr>
      </w:pPr>
      <w:r>
        <w:rPr>
          <w:lang w:val="es-419"/>
        </w:rPr>
        <w:t>En cuanto a las condiciones climáticas</w:t>
      </w:r>
      <w:r w:rsidR="00886EA0">
        <w:rPr>
          <w:lang w:val="es-419"/>
        </w:rPr>
        <w:t>,</w:t>
      </w:r>
      <w:r>
        <w:rPr>
          <w:lang w:val="es-419"/>
        </w:rPr>
        <w:t xml:space="preserve"> se ha denotado en </w:t>
      </w:r>
      <w:r w:rsidR="003462BC">
        <w:rPr>
          <w:lang w:val="es-419"/>
        </w:rPr>
        <w:t>las</w:t>
      </w:r>
      <w:r>
        <w:rPr>
          <w:lang w:val="es-419"/>
        </w:rPr>
        <w:t xml:space="preserve"> </w:t>
      </w:r>
      <w:r w:rsidR="00F51F31">
        <w:rPr>
          <w:lang w:val="es-419"/>
        </w:rPr>
        <w:t>últimas décadas</w:t>
      </w:r>
      <w:r>
        <w:rPr>
          <w:lang w:val="es-419"/>
        </w:rPr>
        <w:t xml:space="preserve"> el incremento de las temperaturas medias del aire</w:t>
      </w:r>
      <w:r w:rsidR="003462BC">
        <w:rPr>
          <w:lang w:val="es-419"/>
        </w:rPr>
        <w:t xml:space="preserve">, </w:t>
      </w:r>
      <w:r w:rsidR="00FB4CE1">
        <w:rPr>
          <w:lang w:val="es-419"/>
        </w:rPr>
        <w:t xml:space="preserve">cambios en los patrones de los vientos, </w:t>
      </w:r>
      <w:r w:rsidR="003462BC">
        <w:rPr>
          <w:lang w:val="es-419"/>
        </w:rPr>
        <w:t>se experimenta incremento en la elevación del nivel del mar, la severidad de las lluvias, sequías y marejadas</w:t>
      </w:r>
      <w:r w:rsidR="00842396">
        <w:rPr>
          <w:lang w:val="es-419"/>
        </w:rPr>
        <w:t>.</w:t>
      </w:r>
    </w:p>
    <w:p w14:paraId="0C331EC5" w14:textId="49A95F92" w:rsidR="00FB4CE1" w:rsidRDefault="00577764" w:rsidP="00940861">
      <w:pPr>
        <w:jc w:val="both"/>
        <w:rPr>
          <w:lang w:val="es-419"/>
        </w:rPr>
      </w:pPr>
      <w:r>
        <w:rPr>
          <w:lang w:val="es-419"/>
        </w:rPr>
        <w:t>Particularmente</w:t>
      </w:r>
      <w:r w:rsidR="00FB4CE1">
        <w:rPr>
          <w:lang w:val="es-419"/>
        </w:rPr>
        <w:t xml:space="preserve"> la erosión costera afecta la economía y bienestar de las familias al sufrir pérdidas y daños en la infraestructura económica y social de las comunidades</w:t>
      </w:r>
      <w:r>
        <w:rPr>
          <w:lang w:val="es-419"/>
        </w:rPr>
        <w:t>.</w:t>
      </w:r>
      <w:r w:rsidR="00AA1DFD">
        <w:rPr>
          <w:lang w:val="es-419"/>
        </w:rPr>
        <w:t xml:space="preserve"> </w:t>
      </w:r>
    </w:p>
    <w:p w14:paraId="2B5BE5A3" w14:textId="77777777" w:rsidR="00A2749E" w:rsidRDefault="00A2749E" w:rsidP="00A2749E">
      <w:pPr>
        <w:spacing w:line="276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La</w:t>
      </w:r>
      <w:r w:rsidRPr="001D5864">
        <w:rPr>
          <w:rFonts w:ascii="Times New Roman" w:hAnsi="Times New Roman" w:cs="Times New Roman"/>
          <w:lang w:val="es-ES_tradnl"/>
        </w:rPr>
        <w:t xml:space="preserve"> contaminación y degradación del medio ambiente, así como la pérdida del hábitat de algunas especies</w:t>
      </w:r>
      <w:r>
        <w:rPr>
          <w:rFonts w:ascii="Times New Roman" w:hAnsi="Times New Roman" w:cs="Times New Roman"/>
          <w:lang w:val="es-ES_tradnl"/>
        </w:rPr>
        <w:t>, suma en el aumento de la vulnerabilidad y la reducción de oportunidades de adaptación</w:t>
      </w:r>
      <w:r w:rsidRPr="001D5864">
        <w:rPr>
          <w:rFonts w:ascii="Times New Roman" w:hAnsi="Times New Roman" w:cs="Times New Roman"/>
          <w:lang w:val="es-ES_tradnl"/>
        </w:rPr>
        <w:t xml:space="preserve">. </w:t>
      </w:r>
    </w:p>
    <w:p w14:paraId="4CF328B8" w14:textId="77777777" w:rsidR="00BD6E85" w:rsidRDefault="00BD6E85" w:rsidP="00BD6E85">
      <w:pPr>
        <w:pStyle w:val="Heading2"/>
        <w:rPr>
          <w:color w:val="388600"/>
          <w:lang w:val="es-419"/>
        </w:rPr>
      </w:pPr>
      <w:r w:rsidRPr="001313B4">
        <w:rPr>
          <w:color w:val="388600"/>
          <w:lang w:val="es-419"/>
        </w:rPr>
        <w:t>Condiciones económicas</w:t>
      </w:r>
    </w:p>
    <w:p w14:paraId="276E0312" w14:textId="2FFC4563" w:rsidR="00BD6E85" w:rsidRDefault="00BD6E85" w:rsidP="00BD6E85">
      <w:pPr>
        <w:jc w:val="both"/>
      </w:pPr>
      <w:r>
        <w:t xml:space="preserve">El contexto actual para la población dedicada a la pesca artesanal es </w:t>
      </w:r>
      <w:r w:rsidR="00AD6025">
        <w:t>la falta</w:t>
      </w:r>
      <w:r>
        <w:t xml:space="preserve"> de oportunidades de financiamiento y asistencia técnica que les permita desarrollar la actividad; y de diversificar hacia otras fuentes de ingresos y empleo; así como de oportunidades de mercado justo donde directamente puedan ofrecer sus productos con precios que les permita cubrir todas sus necesidades básicas.</w:t>
      </w:r>
    </w:p>
    <w:p w14:paraId="39D1D505" w14:textId="24FDAF0F" w:rsidR="00612E92" w:rsidRDefault="00612E92" w:rsidP="00BD6E85">
      <w:pPr>
        <w:jc w:val="both"/>
      </w:pPr>
      <w:r>
        <w:t>Otro factor que incide</w:t>
      </w:r>
      <w:r w:rsidR="00D715FF">
        <w:t xml:space="preserve"> en la reducción de oportunidades de </w:t>
      </w:r>
      <w:proofErr w:type="gramStart"/>
      <w:r w:rsidR="00D715FF">
        <w:t>ingresos,</w:t>
      </w:r>
      <w:proofErr w:type="gramEnd"/>
      <w:r>
        <w:t xml:space="preserve"> es la</w:t>
      </w:r>
      <w:r w:rsidR="00D715FF">
        <w:t xml:space="preserve"> competencia desigual, que ejerce la</w:t>
      </w:r>
      <w:r>
        <w:t xml:space="preserve"> pesca </w:t>
      </w:r>
      <w:r w:rsidR="00C42FD4">
        <w:t>y</w:t>
      </w:r>
      <w:r>
        <w:t xml:space="preserve"> camaricultura</w:t>
      </w:r>
      <w:r w:rsidR="00C42FD4">
        <w:t xml:space="preserve"> industrial</w:t>
      </w:r>
      <w:r w:rsidR="009E7B30">
        <w:t>,</w:t>
      </w:r>
      <w:r w:rsidR="00C42FD4">
        <w:t xml:space="preserve"> </w:t>
      </w:r>
      <w:r w:rsidR="00D715FF">
        <w:t xml:space="preserve">al tener </w:t>
      </w:r>
      <w:r>
        <w:t>beneficios del Estado a</w:t>
      </w:r>
      <w:r w:rsidR="006203D2">
        <w:t xml:space="preserve">l otorgarles concesionamiento </w:t>
      </w:r>
      <w:r w:rsidR="000B1332">
        <w:t xml:space="preserve">de </w:t>
      </w:r>
      <w:r w:rsidR="006203D2">
        <w:t>áreas de pesca tradicionalmente destinadas a la pesca artesanal</w:t>
      </w:r>
      <w:r w:rsidR="00CF10EF">
        <w:t>, así como zonas de playa que son importantes para la recolección de moluscos. De manera diferenciada, a las empresas se les da el beneficio de financiamiento, apoyo para la exportación, beneficios fiscales entre otros.</w:t>
      </w:r>
    </w:p>
    <w:p w14:paraId="1AC28B80" w14:textId="4FCD3F57" w:rsidR="003D09EB" w:rsidRDefault="003D09EB" w:rsidP="00BD6E85">
      <w:pPr>
        <w:jc w:val="both"/>
      </w:pPr>
      <w:r>
        <w:t>El poco empleo disponible en las comunidades es precario por estar fuera del sistema de beneficios sociales, salarios bajos y temporales</w:t>
      </w:r>
      <w:r w:rsidR="00C421D6">
        <w:t>.</w:t>
      </w:r>
    </w:p>
    <w:p w14:paraId="7D510968" w14:textId="689E0096" w:rsidR="00185C38" w:rsidRPr="00185C38" w:rsidRDefault="00F42D80" w:rsidP="00185C38">
      <w:pPr>
        <w:pStyle w:val="Heading2"/>
        <w:rPr>
          <w:color w:val="388600"/>
        </w:rPr>
      </w:pPr>
      <w:r w:rsidRPr="00185C38">
        <w:rPr>
          <w:color w:val="388600"/>
        </w:rPr>
        <w:t xml:space="preserve">Buenas prácticas </w:t>
      </w:r>
      <w:r w:rsidR="0028109B">
        <w:rPr>
          <w:color w:val="388600"/>
        </w:rPr>
        <w:t>impulsadas por RARE en coordinación con otros actores</w:t>
      </w:r>
    </w:p>
    <w:p w14:paraId="54851088" w14:textId="2D4D77A7" w:rsidR="0028109B" w:rsidRPr="0028109B" w:rsidRDefault="00F42D80" w:rsidP="0028109B">
      <w:pPr>
        <w:jc w:val="both"/>
        <w:rPr>
          <w:lang w:val="es-419"/>
        </w:rPr>
      </w:pPr>
      <w:r w:rsidRPr="0028109B">
        <w:rPr>
          <w:lang w:val="es-419"/>
        </w:rPr>
        <w:t>Declaración de zonas exclusivas para la pesca artesanal responsable</w:t>
      </w:r>
      <w:r w:rsidR="00EE0D5B">
        <w:rPr>
          <w:lang w:val="es-419"/>
        </w:rPr>
        <w:t xml:space="preserve"> en la costa atlántica</w:t>
      </w:r>
      <w:r w:rsidRPr="0028109B">
        <w:rPr>
          <w:lang w:val="es-419"/>
        </w:rPr>
        <w:t xml:space="preserve">, bajo la figura de Sitios de Importancia para la Vida Silvestre, con </w:t>
      </w:r>
      <w:proofErr w:type="gramStart"/>
      <w:r w:rsidRPr="0028109B">
        <w:rPr>
          <w:lang w:val="es-419"/>
        </w:rPr>
        <w:t>participación activa</w:t>
      </w:r>
      <w:proofErr w:type="gramEnd"/>
      <w:r w:rsidRPr="0028109B">
        <w:rPr>
          <w:lang w:val="es-419"/>
        </w:rPr>
        <w:t xml:space="preserve"> de las comunidades y sus gobiernos municipales, con fundamento técnico – científico. </w:t>
      </w:r>
    </w:p>
    <w:p w14:paraId="0ADEAE67" w14:textId="77777777" w:rsidR="0028109B" w:rsidRDefault="00F42D80" w:rsidP="0028109B">
      <w:pPr>
        <w:jc w:val="both"/>
        <w:rPr>
          <w:lang w:val="es-419"/>
        </w:rPr>
      </w:pPr>
      <w:r w:rsidRPr="0028109B">
        <w:rPr>
          <w:lang w:val="es-419"/>
        </w:rPr>
        <w:t xml:space="preserve">Creación de clubes de ahorro para fortalecer la resiliencia económica y social de comunidades pesqueras con poco o nulo acceso a servicios financieros. </w:t>
      </w:r>
    </w:p>
    <w:p w14:paraId="4FBCC9C8" w14:textId="77777777" w:rsidR="0028109B" w:rsidRDefault="00F42D80" w:rsidP="0028109B">
      <w:pPr>
        <w:jc w:val="both"/>
        <w:rPr>
          <w:lang w:val="es-419"/>
        </w:rPr>
      </w:pPr>
      <w:r w:rsidRPr="0028109B">
        <w:rPr>
          <w:lang w:val="es-419"/>
        </w:rPr>
        <w:t xml:space="preserve">Fortalecimiento de organizaciones de base comunitaria en materia de gestión de recursos </w:t>
      </w:r>
      <w:proofErr w:type="gramStart"/>
      <w:r w:rsidRPr="0028109B">
        <w:rPr>
          <w:lang w:val="es-419"/>
        </w:rPr>
        <w:t>marino costeros</w:t>
      </w:r>
      <w:proofErr w:type="gramEnd"/>
      <w:r w:rsidRPr="0028109B">
        <w:rPr>
          <w:lang w:val="es-419"/>
        </w:rPr>
        <w:t xml:space="preserve">. </w:t>
      </w:r>
    </w:p>
    <w:p w14:paraId="1440D4AD" w14:textId="59D39B71" w:rsidR="000C32AA" w:rsidRPr="0028109B" w:rsidRDefault="00F42D80" w:rsidP="0028109B">
      <w:pPr>
        <w:jc w:val="both"/>
        <w:rPr>
          <w:lang w:val="es-419"/>
        </w:rPr>
      </w:pPr>
      <w:r w:rsidRPr="0028109B">
        <w:rPr>
          <w:lang w:val="es-419"/>
        </w:rPr>
        <w:t>Coordinación de organizaciones de pescadores artesanales para acciones de incidencia política a diferentes niveles</w:t>
      </w:r>
      <w:r w:rsidR="0028109B">
        <w:rPr>
          <w:lang w:val="es-419"/>
        </w:rPr>
        <w:t>.</w:t>
      </w:r>
    </w:p>
    <w:sectPr w:rsidR="000C32AA" w:rsidRPr="002810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B3CE" w14:textId="77777777" w:rsidR="006652C7" w:rsidRDefault="006652C7" w:rsidP="00433063">
      <w:pPr>
        <w:spacing w:after="0" w:line="240" w:lineRule="auto"/>
      </w:pPr>
      <w:r>
        <w:separator/>
      </w:r>
    </w:p>
  </w:endnote>
  <w:endnote w:type="continuationSeparator" w:id="0">
    <w:p w14:paraId="49F944B2" w14:textId="77777777" w:rsidR="006652C7" w:rsidRDefault="006652C7" w:rsidP="0043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4768" w14:textId="77777777" w:rsidR="006652C7" w:rsidRDefault="006652C7" w:rsidP="00433063">
      <w:pPr>
        <w:spacing w:after="0" w:line="240" w:lineRule="auto"/>
      </w:pPr>
      <w:r>
        <w:separator/>
      </w:r>
    </w:p>
  </w:footnote>
  <w:footnote w:type="continuationSeparator" w:id="0">
    <w:p w14:paraId="61792774" w14:textId="77777777" w:rsidR="006652C7" w:rsidRDefault="006652C7" w:rsidP="0043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5873" w14:textId="0EF99CDD" w:rsidR="00433063" w:rsidRDefault="00433063" w:rsidP="00C71288">
    <w:pPr>
      <w:pStyle w:val="Header"/>
      <w:jc w:val="both"/>
    </w:pPr>
    <w:r>
      <w:rPr>
        <w:noProof/>
      </w:rPr>
      <w:drawing>
        <wp:inline distT="0" distB="0" distL="0" distR="0" wp14:anchorId="13A93144" wp14:editId="21C9651E">
          <wp:extent cx="2209800" cy="678999"/>
          <wp:effectExtent l="0" t="0" r="0" b="6985"/>
          <wp:docPr id="16574458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445869" name="Imagen 16574458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94" cy="685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C29" w:rsidRPr="00B32C29">
      <w:t xml:space="preserve"> </w:t>
    </w:r>
    <w:r w:rsidR="00B32C29">
      <w:rPr>
        <w:noProof/>
      </w:rPr>
      <mc:AlternateContent>
        <mc:Choice Requires="wps">
          <w:drawing>
            <wp:inline distT="0" distB="0" distL="0" distR="0" wp14:anchorId="6B063697" wp14:editId="66259441">
              <wp:extent cx="304800" cy="304800"/>
              <wp:effectExtent l="0" t="0" r="0" b="0"/>
              <wp:docPr id="850885610" name="Rectángul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6EB8D5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B32C29" w:rsidRPr="00B32C29">
      <w:rPr>
        <w:noProof/>
      </w:rPr>
      <w:t xml:space="preserve"> </w:t>
    </w:r>
    <w:r w:rsidR="00B32C29" w:rsidRPr="00B32C29">
      <w:rPr>
        <w:noProof/>
      </w:rPr>
      <w:drawing>
        <wp:inline distT="0" distB="0" distL="0" distR="0" wp14:anchorId="187550A6" wp14:editId="382CF194">
          <wp:extent cx="2047875" cy="834417"/>
          <wp:effectExtent l="0" t="0" r="0" b="3810"/>
          <wp:docPr id="2884351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43510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5293" cy="841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DFE403" w14:textId="77777777" w:rsidR="00433063" w:rsidRDefault="00433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2F1D"/>
    <w:multiLevelType w:val="hybridMultilevel"/>
    <w:tmpl w:val="0F8A9D5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A0D77"/>
    <w:multiLevelType w:val="hybridMultilevel"/>
    <w:tmpl w:val="C180040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B4963"/>
    <w:multiLevelType w:val="hybridMultilevel"/>
    <w:tmpl w:val="6E02BE62"/>
    <w:lvl w:ilvl="0" w:tplc="AAC03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13F85"/>
    <w:multiLevelType w:val="hybridMultilevel"/>
    <w:tmpl w:val="A2CE26D8"/>
    <w:lvl w:ilvl="0" w:tplc="10444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1877747">
    <w:abstractNumId w:val="3"/>
  </w:num>
  <w:num w:numId="2" w16cid:durableId="2074809663">
    <w:abstractNumId w:val="2"/>
  </w:num>
  <w:num w:numId="3" w16cid:durableId="776557850">
    <w:abstractNumId w:val="0"/>
  </w:num>
  <w:num w:numId="4" w16cid:durableId="141859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46"/>
    <w:rsid w:val="00064A10"/>
    <w:rsid w:val="000763C7"/>
    <w:rsid w:val="000B1332"/>
    <w:rsid w:val="000C32AA"/>
    <w:rsid w:val="000C7BC7"/>
    <w:rsid w:val="000D25D6"/>
    <w:rsid w:val="000D7226"/>
    <w:rsid w:val="000E593F"/>
    <w:rsid w:val="00100F31"/>
    <w:rsid w:val="00101B69"/>
    <w:rsid w:val="001313B4"/>
    <w:rsid w:val="00155108"/>
    <w:rsid w:val="00161889"/>
    <w:rsid w:val="00185C38"/>
    <w:rsid w:val="001912C7"/>
    <w:rsid w:val="001A1A8F"/>
    <w:rsid w:val="001C4A19"/>
    <w:rsid w:val="001D3DB4"/>
    <w:rsid w:val="0020026B"/>
    <w:rsid w:val="00203B5A"/>
    <w:rsid w:val="002100F5"/>
    <w:rsid w:val="00243646"/>
    <w:rsid w:val="0028109B"/>
    <w:rsid w:val="00283903"/>
    <w:rsid w:val="0028796A"/>
    <w:rsid w:val="00290FA2"/>
    <w:rsid w:val="002A7CAD"/>
    <w:rsid w:val="002D4AD3"/>
    <w:rsid w:val="002D647E"/>
    <w:rsid w:val="002D6957"/>
    <w:rsid w:val="002F0F0E"/>
    <w:rsid w:val="003377DF"/>
    <w:rsid w:val="00344299"/>
    <w:rsid w:val="003444DF"/>
    <w:rsid w:val="003462BC"/>
    <w:rsid w:val="00355D44"/>
    <w:rsid w:val="003A2CCA"/>
    <w:rsid w:val="003D09EB"/>
    <w:rsid w:val="003F4E6F"/>
    <w:rsid w:val="00401D15"/>
    <w:rsid w:val="004056FA"/>
    <w:rsid w:val="0042707F"/>
    <w:rsid w:val="00427331"/>
    <w:rsid w:val="00433063"/>
    <w:rsid w:val="0043774A"/>
    <w:rsid w:val="00483F52"/>
    <w:rsid w:val="004B5645"/>
    <w:rsid w:val="004C1D5B"/>
    <w:rsid w:val="004E0C8E"/>
    <w:rsid w:val="00501ED4"/>
    <w:rsid w:val="00506709"/>
    <w:rsid w:val="00534700"/>
    <w:rsid w:val="00543974"/>
    <w:rsid w:val="00577764"/>
    <w:rsid w:val="0058368F"/>
    <w:rsid w:val="005A4CB6"/>
    <w:rsid w:val="005D3EFF"/>
    <w:rsid w:val="005E601F"/>
    <w:rsid w:val="00612E92"/>
    <w:rsid w:val="006203D2"/>
    <w:rsid w:val="006227BA"/>
    <w:rsid w:val="00643A5C"/>
    <w:rsid w:val="00643A85"/>
    <w:rsid w:val="006569E3"/>
    <w:rsid w:val="006652C7"/>
    <w:rsid w:val="00680226"/>
    <w:rsid w:val="00691B19"/>
    <w:rsid w:val="006A26AB"/>
    <w:rsid w:val="006B1D50"/>
    <w:rsid w:val="006E5798"/>
    <w:rsid w:val="006F301C"/>
    <w:rsid w:val="006F3A31"/>
    <w:rsid w:val="0071783F"/>
    <w:rsid w:val="007516F8"/>
    <w:rsid w:val="00777C6E"/>
    <w:rsid w:val="00790A01"/>
    <w:rsid w:val="007A5B1F"/>
    <w:rsid w:val="00811374"/>
    <w:rsid w:val="00842396"/>
    <w:rsid w:val="0084393A"/>
    <w:rsid w:val="00886EA0"/>
    <w:rsid w:val="008A181E"/>
    <w:rsid w:val="008A4BD8"/>
    <w:rsid w:val="009055FD"/>
    <w:rsid w:val="00920AF5"/>
    <w:rsid w:val="009314AC"/>
    <w:rsid w:val="00940861"/>
    <w:rsid w:val="00944862"/>
    <w:rsid w:val="00972886"/>
    <w:rsid w:val="00975C34"/>
    <w:rsid w:val="009A28B0"/>
    <w:rsid w:val="009C2413"/>
    <w:rsid w:val="009E2AC6"/>
    <w:rsid w:val="009E3AB7"/>
    <w:rsid w:val="009E7B30"/>
    <w:rsid w:val="00A2749E"/>
    <w:rsid w:val="00A4485F"/>
    <w:rsid w:val="00A717D1"/>
    <w:rsid w:val="00A73375"/>
    <w:rsid w:val="00A81384"/>
    <w:rsid w:val="00A9079A"/>
    <w:rsid w:val="00AA1DFD"/>
    <w:rsid w:val="00AD6025"/>
    <w:rsid w:val="00AF0BE6"/>
    <w:rsid w:val="00B0241B"/>
    <w:rsid w:val="00B32C29"/>
    <w:rsid w:val="00B8186E"/>
    <w:rsid w:val="00B9235C"/>
    <w:rsid w:val="00BA29FE"/>
    <w:rsid w:val="00BD6E85"/>
    <w:rsid w:val="00C10F8C"/>
    <w:rsid w:val="00C16F83"/>
    <w:rsid w:val="00C36D67"/>
    <w:rsid w:val="00C421D6"/>
    <w:rsid w:val="00C42FD4"/>
    <w:rsid w:val="00C71288"/>
    <w:rsid w:val="00C77F0D"/>
    <w:rsid w:val="00CA3618"/>
    <w:rsid w:val="00CD345F"/>
    <w:rsid w:val="00CF10EF"/>
    <w:rsid w:val="00D715FF"/>
    <w:rsid w:val="00D82103"/>
    <w:rsid w:val="00D91E02"/>
    <w:rsid w:val="00DB474D"/>
    <w:rsid w:val="00DB72C9"/>
    <w:rsid w:val="00DD70E1"/>
    <w:rsid w:val="00E0764C"/>
    <w:rsid w:val="00E30F7C"/>
    <w:rsid w:val="00E3136D"/>
    <w:rsid w:val="00E5670D"/>
    <w:rsid w:val="00EA3244"/>
    <w:rsid w:val="00EA40AE"/>
    <w:rsid w:val="00EB2E58"/>
    <w:rsid w:val="00EC70FB"/>
    <w:rsid w:val="00ED4C2B"/>
    <w:rsid w:val="00EE0D5B"/>
    <w:rsid w:val="00EE5AED"/>
    <w:rsid w:val="00F25933"/>
    <w:rsid w:val="00F42D80"/>
    <w:rsid w:val="00F50D60"/>
    <w:rsid w:val="00F51F31"/>
    <w:rsid w:val="00F637B7"/>
    <w:rsid w:val="00F7625D"/>
    <w:rsid w:val="00F97DBB"/>
    <w:rsid w:val="00FB42B3"/>
    <w:rsid w:val="00FB4CE1"/>
    <w:rsid w:val="00FC0E14"/>
    <w:rsid w:val="00FD2509"/>
    <w:rsid w:val="00FD2BF6"/>
    <w:rsid w:val="00FD5DEE"/>
    <w:rsid w:val="00FF26C5"/>
    <w:rsid w:val="00FF3D13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1495A"/>
  <w15:chartTrackingRefBased/>
  <w15:docId w15:val="{0E5F6BE7-62BE-47CD-A8B4-94CD34C7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7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7331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33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63"/>
  </w:style>
  <w:style w:type="paragraph" w:styleId="Footer">
    <w:name w:val="footer"/>
    <w:basedOn w:val="Normal"/>
    <w:link w:val="FooterChar"/>
    <w:uiPriority w:val="99"/>
    <w:unhideWhenUsed/>
    <w:rsid w:val="00433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63"/>
  </w:style>
  <w:style w:type="paragraph" w:styleId="FootnoteText">
    <w:name w:val="footnote text"/>
    <w:aliases w:val="5_G"/>
    <w:basedOn w:val="Normal"/>
    <w:link w:val="FootnoteTextChar"/>
    <w:uiPriority w:val="99"/>
    <w:unhideWhenUsed/>
    <w:rsid w:val="00FD2BF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FD2BF6"/>
    <w:rPr>
      <w:kern w:val="0"/>
      <w:sz w:val="20"/>
      <w:szCs w:val="20"/>
      <w14:ligatures w14:val="none"/>
    </w:rPr>
  </w:style>
  <w:style w:type="character" w:styleId="FootnoteReference">
    <w:name w:val="footnote reference"/>
    <w:aliases w:val="4_G"/>
    <w:basedOn w:val="DefaultParagraphFont"/>
    <w:uiPriority w:val="99"/>
    <w:unhideWhenUsed/>
    <w:qFormat/>
    <w:rsid w:val="00FD2BF6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717D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C70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FAO23</b:Tag>
    <b:SourceType>InternetSite</b:SourceType>
    <b:Guid>{48CC7D7C-DB72-4941-954A-98DC2329485B}</b:Guid>
    <b:Author>
      <b:Author>
        <b:Corporate>FAO</b:Corporate>
      </b:Author>
    </b:Author>
    <b:Title>Ley de Peca y Acuicultura</b:Title>
    <b:Year>2023</b:Year>
    <b:Month>Mayo</b:Month>
    <b:URL>https://www.fao.org/faolex/results/details/es/c/LEX-FAOC170043/</b:URL>
    <b:RefOrder>4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 and others</Category>
    <Doctype xmlns="d42e65b2-cf21-49c1-b27d-d23f90380c0e">input</Doctype>
    <Contributor xmlns="d42e65b2-cf21-49c1-b27d-d23f90380c0e">FIAN Honduras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4EB4C353-8D88-4FDE-A567-22EA530B5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01015-D028-4CF1-84D5-E1EDEEB0780F}"/>
</file>

<file path=customXml/itemProps3.xml><?xml version="1.0" encoding="utf-8"?>
<ds:datastoreItem xmlns:ds="http://schemas.openxmlformats.org/officeDocument/2006/customXml" ds:itemID="{F4C17CBD-A5CE-467A-966B-873F90123846}"/>
</file>

<file path=customXml/itemProps4.xml><?xml version="1.0" encoding="utf-8"?>
<ds:datastoreItem xmlns:ds="http://schemas.openxmlformats.org/officeDocument/2006/customXml" ds:itemID="{C9925C2E-203F-4AEE-B8BF-463E65581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4598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Pineda</dc:creator>
  <cp:keywords/>
  <dc:description/>
  <cp:lastModifiedBy>Jamshid Gaziyev</cp:lastModifiedBy>
  <cp:revision>2</cp:revision>
  <dcterms:created xsi:type="dcterms:W3CDTF">2023-12-04T15:15:00Z</dcterms:created>
  <dcterms:modified xsi:type="dcterms:W3CDTF">2023-12-04T15:15:00Z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