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F7ABD" w:rsidRDefault="00CF7ABD">
      <w:pPr>
        <w:jc w:val="both"/>
      </w:pPr>
    </w:p>
    <w:p w14:paraId="00000002" w14:textId="77777777" w:rsidR="00CF7ABD" w:rsidRDefault="00CF7ABD">
      <w:pPr>
        <w:jc w:val="both"/>
      </w:pPr>
    </w:p>
    <w:p w14:paraId="00000003" w14:textId="77777777" w:rsidR="00CF7ABD" w:rsidRDefault="00CF7ABD">
      <w:pPr>
        <w:jc w:val="both"/>
        <w:rPr>
          <w:b/>
        </w:rPr>
      </w:pPr>
    </w:p>
    <w:p w14:paraId="00000004" w14:textId="77777777" w:rsidR="00CF7ABD" w:rsidRDefault="00F04BC4">
      <w:pPr>
        <w:jc w:val="center"/>
        <w:rPr>
          <w:b/>
        </w:rPr>
      </w:pPr>
      <w:r>
        <w:rPr>
          <w:b/>
        </w:rPr>
        <w:t xml:space="preserve">The Right to Food and Securing Sustainable Small-Scale Fisheries </w:t>
      </w:r>
    </w:p>
    <w:p w14:paraId="00000005" w14:textId="77777777" w:rsidR="00CF7ABD" w:rsidRDefault="00CF7ABD">
      <w:pPr>
        <w:jc w:val="both"/>
      </w:pPr>
    </w:p>
    <w:p w14:paraId="00000006" w14:textId="77777777" w:rsidR="00CF7ABD" w:rsidRDefault="00F04BC4">
      <w:pPr>
        <w:jc w:val="both"/>
      </w:pPr>
      <w:r>
        <w:t>This input document is drawn from Greenpeace Southeast Asia campaign experiences and engagement with   will small-scale fishers, fish workers and coastal communities in Indonesia, the Philippines, and Thailand.</w:t>
      </w:r>
    </w:p>
    <w:p w14:paraId="00000007" w14:textId="77777777" w:rsidR="00CF7ABD" w:rsidRDefault="00CF7ABD">
      <w:pPr>
        <w:jc w:val="both"/>
      </w:pPr>
    </w:p>
    <w:p w14:paraId="00000008" w14:textId="77777777" w:rsidR="00CF7ABD" w:rsidRDefault="00F04BC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The main human rights challenges</w:t>
      </w:r>
    </w:p>
    <w:p w14:paraId="00000009" w14:textId="77777777" w:rsidR="00CF7ABD" w:rsidRDefault="00CF7ABD">
      <w:pPr>
        <w:jc w:val="both"/>
        <w:rPr>
          <w:b/>
        </w:rPr>
      </w:pPr>
    </w:p>
    <w:p w14:paraId="0000000A" w14:textId="77777777" w:rsidR="00CF7ABD" w:rsidRDefault="00F04BC4">
      <w:pPr>
        <w:jc w:val="both"/>
      </w:pPr>
      <w:r>
        <w:rPr>
          <w:b/>
        </w:rPr>
        <w:t>Fish worke</w:t>
      </w:r>
      <w:r>
        <w:rPr>
          <w:b/>
        </w:rPr>
        <w:t>rs face</w:t>
      </w:r>
      <w:r>
        <w:t xml:space="preserve"> human rights violations taking place at sea contravening </w:t>
      </w:r>
      <w:proofErr w:type="gramStart"/>
      <w:r>
        <w:t>the  International</w:t>
      </w:r>
      <w:proofErr w:type="gramEnd"/>
      <w:r>
        <w:t xml:space="preserve"> </w:t>
      </w:r>
      <w:proofErr w:type="spellStart"/>
      <w:r>
        <w:t>Labour</w:t>
      </w:r>
      <w:proofErr w:type="spellEnd"/>
      <w:r>
        <w:t xml:space="preserve"> Organization (ILO) Convention 188 guidelines.  Exploitation persists where working contracts are solely oral, leading to an unfair distribution of wages</w:t>
      </w:r>
      <w:r>
        <w:rPr>
          <w:vertAlign w:val="superscript"/>
        </w:rPr>
        <w:footnoteReference w:id="1"/>
      </w:r>
      <w:r>
        <w:t>. Moreover,</w:t>
      </w:r>
      <w:r>
        <w:t xml:space="preserve"> there's a lack of oversight off the coast, increasing the likelihood of fisheries-related or human rights crimes. For example, there have been reported cases</w:t>
      </w:r>
      <w:r>
        <w:rPr>
          <w:vertAlign w:val="superscript"/>
        </w:rPr>
        <w:footnoteReference w:id="2"/>
      </w:r>
      <w:r>
        <w:t xml:space="preserve">, such as fisher workers jumping incidents, indicating the elevated risk and prevalence of such </w:t>
      </w:r>
      <w:r>
        <w:t xml:space="preserve">violations due to inadequate oversight measures. </w:t>
      </w:r>
    </w:p>
    <w:p w14:paraId="0000000B" w14:textId="77777777" w:rsidR="00CF7ABD" w:rsidRDefault="00CF7ABD">
      <w:pPr>
        <w:jc w:val="both"/>
        <w:rPr>
          <w:b/>
        </w:rPr>
      </w:pPr>
    </w:p>
    <w:p w14:paraId="0000000C" w14:textId="77777777" w:rsidR="00CF7ABD" w:rsidRDefault="00F04BC4">
      <w:pPr>
        <w:jc w:val="both"/>
      </w:pPr>
      <w:r>
        <w:rPr>
          <w:b/>
        </w:rPr>
        <w:t>Small scale fishers</w:t>
      </w:r>
      <w:r>
        <w:t xml:space="preserve"> have to confront with small island </w:t>
      </w:r>
      <w:proofErr w:type="spellStart"/>
      <w:r>
        <w:t>privatisation</w:t>
      </w:r>
      <w:proofErr w:type="spellEnd"/>
      <w:r>
        <w:t xml:space="preserve"> leading to the displacement of coastal </w:t>
      </w:r>
      <w:proofErr w:type="gramStart"/>
      <w:r>
        <w:t>communities,  like</w:t>
      </w:r>
      <w:proofErr w:type="gramEnd"/>
      <w:r>
        <w:t xml:space="preserve"> in  Pari</w:t>
      </w:r>
      <w:r>
        <w:rPr>
          <w:vertAlign w:val="superscript"/>
        </w:rPr>
        <w:footnoteReference w:id="3"/>
      </w:r>
      <w:r>
        <w:t xml:space="preserve"> or </w:t>
      </w:r>
      <w:proofErr w:type="spellStart"/>
      <w:r>
        <w:t>Rempang</w:t>
      </w:r>
      <w:proofErr w:type="spellEnd"/>
      <w:r>
        <w:rPr>
          <w:vertAlign w:val="superscript"/>
        </w:rPr>
        <w:footnoteReference w:id="4"/>
      </w:r>
      <w:r>
        <w:t xml:space="preserve">  in Indonesia and Koh </w:t>
      </w:r>
      <w:proofErr w:type="spellStart"/>
      <w:r>
        <w:t>Lipe</w:t>
      </w:r>
      <w:proofErr w:type="spellEnd"/>
      <w:r>
        <w:t xml:space="preserve"> in Thailand</w:t>
      </w:r>
      <w:r>
        <w:rPr>
          <w:vertAlign w:val="superscript"/>
        </w:rPr>
        <w:footnoteReference w:id="5"/>
      </w:r>
      <w:r>
        <w:t>, stemming fro</w:t>
      </w:r>
      <w:r>
        <w:t>m the absence of formal documentation proving ownership by the small scale fishers.  In regions like Davao Gulf, small-scale fishing communities battle multiple climate hazard like the intense northeast and southwest monsoon and more frequent and intense t</w:t>
      </w:r>
      <w:r>
        <w:t>yphoons disrupting their livelihoods and causing floods that bring associated illnesses</w:t>
      </w:r>
      <w:r>
        <w:rPr>
          <w:vertAlign w:val="superscript"/>
        </w:rPr>
        <w:footnoteReference w:id="6"/>
      </w:r>
      <w:r>
        <w:t xml:space="preserve">. Small scale fishers in the small islands of Bohol </w:t>
      </w:r>
      <w:proofErr w:type="gramStart"/>
      <w:r>
        <w:t>have to</w:t>
      </w:r>
      <w:proofErr w:type="gramEnd"/>
      <w:r>
        <w:t xml:space="preserve"> contend with the aftermath of an earthquake, sea level rise and </w:t>
      </w:r>
      <w:proofErr w:type="spellStart"/>
      <w:r>
        <w:t>supertyphoons</w:t>
      </w:r>
      <w:proofErr w:type="spellEnd"/>
      <w:r>
        <w:rPr>
          <w:vertAlign w:val="superscript"/>
        </w:rPr>
        <w:footnoteReference w:id="7"/>
      </w:r>
      <w:r>
        <w:t xml:space="preserve">. Climate change is a human </w:t>
      </w:r>
      <w:r>
        <w:t>rights case</w:t>
      </w:r>
      <w:r>
        <w:rPr>
          <w:vertAlign w:val="superscript"/>
        </w:rPr>
        <w:footnoteReference w:id="8"/>
      </w:r>
      <w:r>
        <w:t xml:space="preserve"> that affects small holder fisherfolks</w:t>
      </w:r>
      <w:r>
        <w:rPr>
          <w:vertAlign w:val="superscript"/>
        </w:rPr>
        <w:footnoteReference w:id="9"/>
      </w:r>
      <w:r>
        <w:t xml:space="preserve"> as evidenced and reported by the Commission of Human Rights of the Philippines in its National Inquiry on Climate </w:t>
      </w:r>
      <w:proofErr w:type="gramStart"/>
      <w:r>
        <w:t>Change  Other</w:t>
      </w:r>
      <w:proofErr w:type="gramEnd"/>
      <w:r>
        <w:t xml:space="preserve"> human rights challenges like erosion in the  Bay of Bangkok threatens home</w:t>
      </w:r>
      <w:r>
        <w:t>s of fishing communities</w:t>
      </w:r>
      <w:r>
        <w:rPr>
          <w:vertAlign w:val="superscript"/>
        </w:rPr>
        <w:footnoteReference w:id="10"/>
      </w:r>
      <w:r>
        <w:t xml:space="preserve">, and traditional Indonesian fishers grapple with  heightened risks to unpredictable weather. </w:t>
      </w:r>
    </w:p>
    <w:p w14:paraId="0000000D" w14:textId="77777777" w:rsidR="00CF7ABD" w:rsidRDefault="00CF7ABD">
      <w:pPr>
        <w:jc w:val="both"/>
      </w:pPr>
    </w:p>
    <w:p w14:paraId="0000000E" w14:textId="77777777" w:rsidR="00CF7ABD" w:rsidRDefault="00F04BC4">
      <w:pPr>
        <w:jc w:val="both"/>
      </w:pPr>
      <w:r>
        <w:t xml:space="preserve">Government policies and programs also lead to human rights challenges. The Indigenous Lom people of </w:t>
      </w:r>
      <w:proofErr w:type="spellStart"/>
      <w:r>
        <w:t>Tuing</w:t>
      </w:r>
      <w:proofErr w:type="spellEnd"/>
      <w:r>
        <w:t xml:space="preserve"> hamlet are now confronting a</w:t>
      </w:r>
      <w:r>
        <w:t xml:space="preserve"> zoning plan approved by the local government </w:t>
      </w:r>
      <w:proofErr w:type="gramStart"/>
      <w:r>
        <w:t xml:space="preserve">to  </w:t>
      </w:r>
      <w:r>
        <w:lastRenderedPageBreak/>
        <w:t>permit</w:t>
      </w:r>
      <w:proofErr w:type="gramEnd"/>
      <w:r>
        <w:t xml:space="preserve"> mining activities in the waters off </w:t>
      </w:r>
      <w:proofErr w:type="spellStart"/>
      <w:r>
        <w:t>Tuing</w:t>
      </w:r>
      <w:proofErr w:type="spellEnd"/>
      <w:r>
        <w:rPr>
          <w:vertAlign w:val="superscript"/>
        </w:rPr>
        <w:footnoteReference w:id="11"/>
      </w:r>
      <w:r>
        <w:t>. The Indonesian government issued a regulation allowing the export of sea sand which has been banned since 2003 that will accelerate the sinking of small i</w:t>
      </w:r>
      <w:r>
        <w:t>slands around the mined area</w:t>
      </w:r>
      <w:r>
        <w:rPr>
          <w:vertAlign w:val="superscript"/>
        </w:rPr>
        <w:footnoteReference w:id="12"/>
      </w:r>
      <w:r>
        <w:rPr>
          <w:vertAlign w:val="superscript"/>
        </w:rPr>
        <w:footnoteReference w:id="13"/>
      </w:r>
      <w:r>
        <w:t xml:space="preserve">. Small scale fishers and fish </w:t>
      </w:r>
      <w:proofErr w:type="spellStart"/>
      <w:r>
        <w:t>workers</w:t>
      </w:r>
      <w:proofErr w:type="spellEnd"/>
      <w:r>
        <w:t xml:space="preserve"> rights violations are potentially perpetrated by industries through formal mechanisms like judicial review in the constitutional court, seeking to abolish the Small Island Act that proh</w:t>
      </w:r>
      <w:r>
        <w:t>ibits mining activities on small islands</w:t>
      </w:r>
      <w:r>
        <w:rPr>
          <w:vertAlign w:val="superscript"/>
        </w:rPr>
        <w:footnoteReference w:id="14"/>
      </w:r>
      <w:r>
        <w:t xml:space="preserve"> and the Indonesian Migrant Worker Protection Act</w:t>
      </w:r>
      <w:r>
        <w:rPr>
          <w:vertAlign w:val="superscript"/>
        </w:rPr>
        <w:footnoteReference w:id="15"/>
      </w:r>
      <w:r>
        <w:t xml:space="preserve"> that safeguards workers' rights through specific mechanisms.</w:t>
      </w:r>
    </w:p>
    <w:p w14:paraId="0000000F" w14:textId="77777777" w:rsidR="00CF7ABD" w:rsidRDefault="00CF7ABD">
      <w:pPr>
        <w:jc w:val="both"/>
      </w:pPr>
    </w:p>
    <w:p w14:paraId="00000010" w14:textId="77777777" w:rsidR="00CF7ABD" w:rsidRDefault="00F04BC4">
      <w:pPr>
        <w:jc w:val="both"/>
      </w:pPr>
      <w:r>
        <w:rPr>
          <w:b/>
        </w:rPr>
        <w:t>II. Good practices</w:t>
      </w:r>
    </w:p>
    <w:p w14:paraId="00000011" w14:textId="77777777" w:rsidR="00CF7ABD" w:rsidRDefault="00F04BC4">
      <w:pPr>
        <w:jc w:val="both"/>
      </w:pPr>
      <w:r>
        <w:t>Thailand, the Philippines, and Indonesia have embraced co-management or integrated coastal management. Over 1,251 locally managed marine areas are identified, with potentially more yet to be revealed</w:t>
      </w:r>
      <w:r>
        <w:rPr>
          <w:vertAlign w:val="superscript"/>
        </w:rPr>
        <w:footnoteReference w:id="16"/>
      </w:r>
      <w:r>
        <w:t>. While indigenous communities have a legal pathway, no</w:t>
      </w:r>
      <w:r>
        <w:t>n-</w:t>
      </w:r>
      <w:proofErr w:type="spellStart"/>
      <w:r>
        <w:t>adat</w:t>
      </w:r>
      <w:proofErr w:type="spellEnd"/>
      <w:r>
        <w:t xml:space="preserve"> local communities lack clear tenure rights amidst marine policies, affecting their livelihoods</w:t>
      </w:r>
      <w:r>
        <w:rPr>
          <w:vertAlign w:val="superscript"/>
        </w:rPr>
        <w:footnoteReference w:id="17"/>
      </w:r>
      <w:r>
        <w:t>. In Chana, Thailand, the governor expanded protection of 55,352 acres of community-led marine areas. The Philippines' marine regulatory framework suppor</w:t>
      </w:r>
      <w:r>
        <w:t>ts locally managed areas</w:t>
      </w:r>
      <w:r>
        <w:rPr>
          <w:vertAlign w:val="superscript"/>
        </w:rPr>
        <w:footnoteReference w:id="18"/>
      </w:r>
      <w:r>
        <w:rPr>
          <w:vertAlign w:val="superscript"/>
        </w:rPr>
        <w:footnoteReference w:id="19"/>
      </w:r>
      <w:r>
        <w:t xml:space="preserve">. The recent National Inquiry on Climate Change Report proposes measures to hold corporations accountable for climate-related human rights abuses and suggests redress </w:t>
      </w:r>
      <w:proofErr w:type="gramStart"/>
      <w:r>
        <w:t>mechanisms</w:t>
      </w:r>
      <w:proofErr w:type="gramEnd"/>
    </w:p>
    <w:p w14:paraId="00000012" w14:textId="77777777" w:rsidR="00CF7ABD" w:rsidRDefault="00CF7ABD">
      <w:pPr>
        <w:jc w:val="both"/>
      </w:pPr>
    </w:p>
    <w:p w14:paraId="00000013" w14:textId="77777777" w:rsidR="00CF7ABD" w:rsidRDefault="00F04BC4">
      <w:pPr>
        <w:jc w:val="both"/>
      </w:pPr>
      <w:r>
        <w:rPr>
          <w:b/>
        </w:rPr>
        <w:t>III. Inclusion of SSF</w:t>
      </w:r>
    </w:p>
    <w:p w14:paraId="00000014" w14:textId="77777777" w:rsidR="00CF7ABD" w:rsidRDefault="00F04BC4">
      <w:pPr>
        <w:jc w:val="both"/>
      </w:pPr>
      <w:r>
        <w:t>In Indonesia, while 0-2 mil</w:t>
      </w:r>
      <w:r>
        <w:t>es of marine area is prioritized for small-scale fishers and coastal communities, the provision isn't mandatory, resulting in competition for the area with the different industries including aquaculture industry</w:t>
      </w:r>
      <w:r>
        <w:rPr>
          <w:vertAlign w:val="superscript"/>
        </w:rPr>
        <w:footnoteReference w:id="20"/>
      </w:r>
      <w:r>
        <w:t xml:space="preserve">. Fisheries governance has been </w:t>
      </w:r>
      <w:proofErr w:type="spellStart"/>
      <w:r>
        <w:t>decentralis</w:t>
      </w:r>
      <w:r>
        <w:t>ed</w:t>
      </w:r>
      <w:proofErr w:type="spellEnd"/>
      <w:r>
        <w:t>, in the Philippines introducing mandatory spatial zones exclusive to small-scale fishers</w:t>
      </w:r>
      <w:r>
        <w:rPr>
          <w:vertAlign w:val="superscript"/>
        </w:rPr>
        <w:footnoteReference w:id="21"/>
      </w:r>
      <w:r>
        <w:t xml:space="preserve">. </w:t>
      </w:r>
    </w:p>
    <w:p w14:paraId="00000015" w14:textId="77777777" w:rsidR="00CF7ABD" w:rsidRDefault="00CF7ABD">
      <w:pPr>
        <w:jc w:val="both"/>
      </w:pPr>
    </w:p>
    <w:p w14:paraId="00000016" w14:textId="77777777" w:rsidR="00CF7ABD" w:rsidRDefault="00F04BC4">
      <w:pPr>
        <w:jc w:val="both"/>
      </w:pPr>
      <w:r>
        <w:t>Following the objection of the Indonesian Job Creation Law in the Constitutional Court for lacking transparency, the new Lawmaking Act</w:t>
      </w:r>
      <w:r>
        <w:rPr>
          <w:vertAlign w:val="superscript"/>
        </w:rPr>
        <w:footnoteReference w:id="22"/>
      </w:r>
      <w:r>
        <w:t xml:space="preserve"> eased information and </w:t>
      </w:r>
      <w:r>
        <w:t xml:space="preserve">participation requirements, further hindering small-scale fishers' access to crucial information and involvement, especially concerning the development of marine spatial plans tailored to their needs. Engaging stakeholders, including fishers, conservation </w:t>
      </w:r>
      <w:proofErr w:type="spellStart"/>
      <w:r>
        <w:t>organisations</w:t>
      </w:r>
      <w:proofErr w:type="spellEnd"/>
      <w:r>
        <w:t>, and other users, is crucial in both Fisheries Management Area (FMA)</w:t>
      </w:r>
      <w:r>
        <w:rPr>
          <w:vertAlign w:val="superscript"/>
        </w:rPr>
        <w:footnoteReference w:id="23"/>
      </w:r>
      <w:r>
        <w:t xml:space="preserve"> and Marine Conservation</w:t>
      </w:r>
      <w:r>
        <w:rPr>
          <w:vertAlign w:val="superscript"/>
        </w:rPr>
        <w:footnoteReference w:id="24"/>
      </w:r>
      <w:r>
        <w:t xml:space="preserve"> Yet the related regulations do </w:t>
      </w:r>
      <w:r>
        <w:lastRenderedPageBreak/>
        <w:t xml:space="preserve">not require involvement of </w:t>
      </w:r>
      <w:proofErr w:type="gramStart"/>
      <w:r>
        <w:t>small scale</w:t>
      </w:r>
      <w:proofErr w:type="gramEnd"/>
      <w:r>
        <w:t xml:space="preserve"> fishers or conservation </w:t>
      </w:r>
      <w:proofErr w:type="spellStart"/>
      <w:r>
        <w:t>organisations</w:t>
      </w:r>
      <w:proofErr w:type="spellEnd"/>
      <w:r>
        <w:t xml:space="preserve"> to develop fisheries management plans. In the Philippines, small scale fishers using vessels of three gross tons or less along with indigenous peop</w:t>
      </w:r>
      <w:r>
        <w:t>le, are included in the governing body responsible for fisheries management areas</w:t>
      </w:r>
      <w:r>
        <w:rPr>
          <w:vertAlign w:val="superscript"/>
        </w:rPr>
        <w:footnoteReference w:id="25"/>
      </w:r>
      <w:r>
        <w:t xml:space="preserve">. </w:t>
      </w:r>
    </w:p>
    <w:p w14:paraId="00000017" w14:textId="77777777" w:rsidR="00CF7ABD" w:rsidRDefault="00CF7ABD">
      <w:pPr>
        <w:jc w:val="both"/>
      </w:pPr>
    </w:p>
    <w:p w14:paraId="00000018" w14:textId="77777777" w:rsidR="00CF7ABD" w:rsidRDefault="00F04BC4">
      <w:pPr>
        <w:jc w:val="both"/>
      </w:pPr>
      <w:r>
        <w:t xml:space="preserve">The UN Committee on Food Security's civil society-indigenous </w:t>
      </w:r>
      <w:proofErr w:type="gramStart"/>
      <w:r>
        <w:t>peoples</w:t>
      </w:r>
      <w:proofErr w:type="gramEnd"/>
      <w:r>
        <w:t xml:space="preserve"> mechanism, crucial for small-scale fisheries and coastal communities, faces a threat from the UN Foo</w:t>
      </w:r>
      <w:r>
        <w:t>d Security</w:t>
      </w:r>
      <w:r>
        <w:rPr>
          <w:vertAlign w:val="superscript"/>
        </w:rPr>
        <w:footnoteReference w:id="26"/>
      </w:r>
      <w:r>
        <w:t xml:space="preserve"> Summit process, which lacks equal representation and veers away from multilateralism, marginalizing these fishing sectors.</w:t>
      </w:r>
    </w:p>
    <w:p w14:paraId="00000019" w14:textId="77777777" w:rsidR="00CF7ABD" w:rsidRDefault="00CF7ABD">
      <w:pPr>
        <w:jc w:val="both"/>
      </w:pPr>
    </w:p>
    <w:p w14:paraId="0000001A" w14:textId="77777777" w:rsidR="00CF7ABD" w:rsidRDefault="00F04BC4">
      <w:pPr>
        <w:jc w:val="both"/>
      </w:pPr>
      <w:r>
        <w:rPr>
          <w:b/>
        </w:rPr>
        <w:t>IV. Problem in Supply Chain</w:t>
      </w:r>
    </w:p>
    <w:p w14:paraId="0000001B" w14:textId="77777777" w:rsidR="00CF7ABD" w:rsidRDefault="00CF7ABD">
      <w:pPr>
        <w:jc w:val="both"/>
      </w:pPr>
    </w:p>
    <w:p w14:paraId="0000001C" w14:textId="77777777" w:rsidR="00CF7ABD" w:rsidRDefault="00F04BC4">
      <w:pPr>
        <w:jc w:val="both"/>
      </w:pPr>
      <w:r>
        <w:t>Fish workers usually engage in both the production and fish processing stages aboard vesse</w:t>
      </w:r>
      <w:r>
        <w:t>ls, but they often face inadequate health and safety conditions throughout these supply chain phases</w:t>
      </w:r>
      <w:r>
        <w:rPr>
          <w:vertAlign w:val="superscript"/>
        </w:rPr>
        <w:footnoteReference w:id="27"/>
      </w:r>
      <w:r>
        <w:t>. Small-scale fishers encounter challenges during production due to socio-economic and environmental factors. They grapple with debt bondage, limiting the</w:t>
      </w:r>
      <w:r>
        <w:t>ir fishing activities, and cope with difficulties caused by unpredictable weather conditions.</w:t>
      </w:r>
    </w:p>
    <w:p w14:paraId="0000001D" w14:textId="77777777" w:rsidR="00CF7ABD" w:rsidRDefault="00CF7ABD">
      <w:pPr>
        <w:jc w:val="both"/>
      </w:pPr>
    </w:p>
    <w:p w14:paraId="0000001E" w14:textId="77777777" w:rsidR="00CF7ABD" w:rsidRDefault="00CF7ABD">
      <w:pPr>
        <w:jc w:val="both"/>
      </w:pPr>
    </w:p>
    <w:p w14:paraId="0000001F" w14:textId="77777777" w:rsidR="00CF7ABD" w:rsidRDefault="00CF7ABD">
      <w:pPr>
        <w:jc w:val="both"/>
      </w:pPr>
    </w:p>
    <w:sectPr w:rsidR="00CF7A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53AC0" w14:textId="77777777" w:rsidR="00000000" w:rsidRDefault="00F04BC4">
      <w:pPr>
        <w:spacing w:line="240" w:lineRule="auto"/>
      </w:pPr>
      <w:r>
        <w:separator/>
      </w:r>
    </w:p>
  </w:endnote>
  <w:endnote w:type="continuationSeparator" w:id="0">
    <w:p w14:paraId="77E6097B" w14:textId="77777777" w:rsidR="00000000" w:rsidRDefault="00F04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6E19" w14:textId="77777777" w:rsidR="00000000" w:rsidRDefault="00F04BC4">
      <w:pPr>
        <w:spacing w:line="240" w:lineRule="auto"/>
      </w:pPr>
      <w:r>
        <w:separator/>
      </w:r>
    </w:p>
  </w:footnote>
  <w:footnote w:type="continuationSeparator" w:id="0">
    <w:p w14:paraId="0C7CE7B0" w14:textId="77777777" w:rsidR="00000000" w:rsidRDefault="00F04BC4">
      <w:pPr>
        <w:spacing w:line="240" w:lineRule="auto"/>
      </w:pPr>
      <w:r>
        <w:continuationSeparator/>
      </w:r>
    </w:p>
  </w:footnote>
  <w:footnote w:id="1">
    <w:p w14:paraId="00000034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https://www.greenpeace.org/static/planet4-southeastasia-stateless/2021/09/075ce208-gp-sea_asean-briefing-paper.pdf</w:t>
      </w:r>
    </w:p>
  </w:footnote>
  <w:footnote w:id="2">
    <w:p w14:paraId="00000033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</w:t>
      </w:r>
      <w:r>
        <w:rPr>
          <w:sz w:val="16"/>
          <w:szCs w:val="16"/>
        </w:rPr>
        <w:t>tps://th.boell.org/en/2023/04/11/indonesia-migrant-fishers</w:t>
      </w:r>
    </w:p>
  </w:footnote>
  <w:footnote w:id="3">
    <w:p w14:paraId="00000022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https://ejatlas.org/print/pulau-pari</w:t>
      </w:r>
    </w:p>
  </w:footnote>
  <w:footnote w:id="4">
    <w:p w14:paraId="00000021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https://en.antaranews.com/news/293463/conflict-in-rempang-island-arose-due-to-poor-communication-jokowi</w:t>
      </w:r>
    </w:p>
  </w:footnote>
  <w:footnote w:id="5">
    <w:p w14:paraId="00000020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https://www.bangkokpost.com/opinion/opinion/2485939/a-search-for-land-justice-on-koh-lipe</w:t>
      </w:r>
    </w:p>
  </w:footnote>
  <w:footnote w:id="6">
    <w:p w14:paraId="00000024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https://www.researchgate.net/publication/374117822_Understanding_vulnerability_and_building_resilience_in_small-</w:t>
      </w:r>
    </w:p>
  </w:footnote>
  <w:footnote w:id="7">
    <w:p w14:paraId="00000030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https://www.gmanetwork.com/news/scitech/weather/886234/sinking-islands-of-bohol-may-already-be-uninhabitable-due-to-slow-onset-sea-level-rise-caused-by-climate/story/</w:t>
      </w:r>
    </w:p>
  </w:footnote>
  <w:footnote w:id="8">
    <w:p w14:paraId="00000031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https://www.ciel.org/wp-content/uploads/2023/02/CHRP-NICC-Report-2022.pdf</w:t>
      </w:r>
    </w:p>
  </w:footnote>
  <w:footnote w:id="9">
    <w:p w14:paraId="00000032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1">
        <w:r>
          <w:rPr>
            <w:color w:val="1155CC"/>
            <w:sz w:val="16"/>
            <w:szCs w:val="16"/>
            <w:u w:val="single"/>
          </w:rPr>
          <w:t>https://chr.gov.ph/wp-content/uploads/2019/11/Exhibit-3O-Salaysay-ni-Gg.-Pablo-R.-Rosales.pdf</w:t>
        </w:r>
      </w:hyperlink>
      <w:r>
        <w:rPr>
          <w:sz w:val="16"/>
          <w:szCs w:val="16"/>
        </w:rPr>
        <w:t xml:space="preserve"> (p. 64 of the report)</w:t>
      </w:r>
    </w:p>
  </w:footnote>
  <w:footnote w:id="10">
    <w:p w14:paraId="00000025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hyperlink r:id="rId2">
        <w:r>
          <w:rPr>
            <w:color w:val="1155CC"/>
            <w:sz w:val="16"/>
            <w:szCs w:val="16"/>
            <w:u w:val="single"/>
          </w:rPr>
          <w:t>https:/</w:t>
        </w:r>
        <w:r>
          <w:rPr>
            <w:color w:val="1155CC"/>
            <w:sz w:val="16"/>
            <w:szCs w:val="16"/>
            <w:u w:val="single"/>
          </w:rPr>
          <w:t>/www.mekongeye.com/2023/08/21/rising-sea-samut-songkhram/</w:t>
        </w:r>
      </w:hyperlink>
      <w:r>
        <w:rPr>
          <w:sz w:val="16"/>
          <w:szCs w:val="16"/>
        </w:rPr>
        <w:t xml:space="preserve"> </w:t>
      </w:r>
    </w:p>
  </w:footnote>
  <w:footnote w:id="11">
    <w:p w14:paraId="0000002C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https://news.mongabay.com/2021/06/tin-mines-close-in-on-an-indonesian-hamlet-still-clinging-to-nature/</w:t>
      </w:r>
    </w:p>
  </w:footnote>
  <w:footnote w:id="12">
    <w:p w14:paraId="0000002A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https://www.greenpeace.org/southeastasia/press/58968/sea-sand-export-returns-after-a-20-year-ban/</w:t>
      </w:r>
    </w:p>
  </w:footnote>
  <w:footnote w:id="13">
    <w:p w14:paraId="0000002B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https://www.greenpeace.org/static/planet4-indonesia-</w:t>
      </w:r>
      <w:r>
        <w:rPr>
          <w:sz w:val="16"/>
          <w:szCs w:val="16"/>
        </w:rPr>
        <w:t>stateless/2021/03/17185db9-gp-spermonde-report-v8.pdf</w:t>
      </w:r>
    </w:p>
  </w:footnote>
  <w:footnote w:id="14">
    <w:p w14:paraId="0000002E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</w:t>
      </w:r>
      <w:r>
        <w:rPr>
          <w:sz w:val="16"/>
          <w:szCs w:val="16"/>
        </w:rPr>
        <w:t>ttps://www.mongabay.co.id/2023/08/21/pt-gkp-gugat-uu-pesisir-keselamatan-pulau-kecil-di-tangan-mahkamah-konstitusi/</w:t>
      </w:r>
    </w:p>
  </w:footnote>
  <w:footnote w:id="15">
    <w:p w14:paraId="0000002F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https://www.kompas.id/baca/ekonomi/2023/11/20/perlindungan-hukum-pelaut-migran-dalam-uu-no-182017-perlu-ditegakkan</w:t>
      </w:r>
    </w:p>
  </w:footnote>
  <w:footnote w:id="16">
    <w:p w14:paraId="00000037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Presented by Indonesian National Agency during MPA vision 30x45 dissemination conducted by Marine Spatial Management Directory of Ministry of Maritime Affairs and Fisheries of Indonesia </w:t>
      </w:r>
      <w:proofErr w:type="gramStart"/>
      <w:r>
        <w:rPr>
          <w:sz w:val="16"/>
          <w:szCs w:val="16"/>
        </w:rPr>
        <w:t>http</w:t>
      </w:r>
      <w:r>
        <w:rPr>
          <w:sz w:val="16"/>
          <w:szCs w:val="16"/>
        </w:rPr>
        <w:t>s://betahita.id/news/detail/8590/kkp-2023-targetkan-200-ribu-hektare-kawasan-konservasi.html?v=1679539328</w:t>
      </w:r>
      <w:proofErr w:type="gramEnd"/>
    </w:p>
  </w:footnote>
  <w:footnote w:id="17">
    <w:p w14:paraId="00000038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https://www.sciencedirect.com/science/article/pii/S0308597X22003852</w:t>
      </w:r>
    </w:p>
  </w:footnote>
  <w:footnote w:id="18">
    <w:p w14:paraId="00000039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https://www.sciencedirect.com/science/article/abs/pii/S0308597X1830263X?via%3D</w:t>
      </w:r>
      <w:r>
        <w:rPr>
          <w:sz w:val="16"/>
          <w:szCs w:val="16"/>
        </w:rPr>
        <w:t>ihub</w:t>
      </w:r>
    </w:p>
  </w:footnote>
  <w:footnote w:id="19">
    <w:p w14:paraId="0000003A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https://portal.rare.org/en/where-we-work/philippines/</w:t>
      </w:r>
    </w:p>
  </w:footnote>
  <w:footnote w:id="20">
    <w:p w14:paraId="0000002D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https://oceanjusticeinitiative.org/wp-content/uploads/2023/02/Fishers_and_Ocean_Justice.pdf</w:t>
      </w:r>
    </w:p>
  </w:footnote>
  <w:footnote w:id="21">
    <w:p w14:paraId="00000023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https://www.scienc</w:t>
      </w:r>
      <w:r>
        <w:rPr>
          <w:sz w:val="16"/>
          <w:szCs w:val="16"/>
        </w:rPr>
        <w:t>edirect.com/science/article/pii/S0743016722000286</w:t>
      </w:r>
    </w:p>
  </w:footnote>
  <w:footnote w:id="22">
    <w:p w14:paraId="00000026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https://legalcentric.com/content/view/175791</w:t>
      </w:r>
    </w:p>
  </w:footnote>
  <w:footnote w:id="23">
    <w:p w14:paraId="00000027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Ministry of Maritime and Fisheries Affairs Regulation No. 22/2021</w:t>
      </w:r>
    </w:p>
  </w:footnote>
  <w:footnote w:id="24">
    <w:p w14:paraId="00000028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Ministry of Maritime and Fisheries Affairs R</w:t>
      </w:r>
      <w:r>
        <w:rPr>
          <w:sz w:val="16"/>
          <w:szCs w:val="16"/>
        </w:rPr>
        <w:t>egulation No. 31/2020</w:t>
      </w:r>
    </w:p>
  </w:footnote>
  <w:footnote w:id="25">
    <w:p w14:paraId="00000029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https://www.bfar.da.gov.ph/wp-content/uploads/2021/04/FAO-No.-263-s.-2019.pdf</w:t>
      </w:r>
    </w:p>
  </w:footnote>
  <w:footnote w:id="26">
    <w:p w14:paraId="00000035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https://www.csm4cfs.org/</w:t>
      </w:r>
    </w:p>
  </w:footnote>
  <w:footnote w:id="27">
    <w:p w14:paraId="00000036" w14:textId="77777777" w:rsidR="00CF7ABD" w:rsidRDefault="00F04BC4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https://www.greenpeace.org/static/planet4-southeast</w:t>
      </w:r>
      <w:r>
        <w:rPr>
          <w:sz w:val="16"/>
          <w:szCs w:val="16"/>
        </w:rPr>
        <w:t>asia-stateless/2021/09/075ce208-gp-sea_asean-briefing-paper.pdf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5038E"/>
    <w:multiLevelType w:val="multilevel"/>
    <w:tmpl w:val="09AC568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80939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BD"/>
    <w:rsid w:val="00CF7ABD"/>
    <w:rsid w:val="00F0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604C5E-CD22-4235-B88F-B627691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kongeye.com/2023/08/21/rising-sea-samut-songkhram/" TargetMode="External"/><Relationship Id="rId1" Type="http://schemas.openxmlformats.org/officeDocument/2006/relationships/hyperlink" Target="https://chr.gov.ph/wp-content/uploads/2019/11/Exhibit-3O-Salaysay-ni-Gg.-Pablo-R.-Rosa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5" ma:contentTypeDescription="Create a new document." ma:contentTypeScope="" ma:versionID="0b735ff6708fc8c8beb61a0e3700b1e7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6d0b6c1071bb82aac96fdd58ad4b5777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 and others</Category>
    <Doctype xmlns="d42e65b2-cf21-49c1-b27d-d23f90380c0e">input</Doctype>
    <Contributor xmlns="d42e65b2-cf21-49c1-b27d-d23f90380c0e">Greenpeace Southeast Asia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4E62828A-43FD-4CC5-B6BB-C98DFD2E8591}"/>
</file>

<file path=customXml/itemProps2.xml><?xml version="1.0" encoding="utf-8"?>
<ds:datastoreItem xmlns:ds="http://schemas.openxmlformats.org/officeDocument/2006/customXml" ds:itemID="{D89BF0C4-56DD-4C6C-AB6A-42AF0EE931DC}"/>
</file>

<file path=customXml/itemProps3.xml><?xml version="1.0" encoding="utf-8"?>
<ds:datastoreItem xmlns:ds="http://schemas.openxmlformats.org/officeDocument/2006/customXml" ds:itemID="{B05FD885-B6B7-42BF-BD78-673206ABB7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4718</Characters>
  <Application>Microsoft Office Word</Application>
  <DocSecurity>4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GAZIYEV Jamshid</dc:creator>
  <cp:lastModifiedBy>Jamshid Gaziyev</cp:lastModifiedBy>
  <cp:revision>2</cp:revision>
  <dcterms:created xsi:type="dcterms:W3CDTF">2023-12-04T15:29:00Z</dcterms:created>
  <dcterms:modified xsi:type="dcterms:W3CDTF">2023-12-04T15:29:00Z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