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FE96D" w14:textId="5D5EB564" w:rsidR="005462CE" w:rsidRPr="0059469C" w:rsidRDefault="005B7F6F" w:rsidP="005B7F6F">
      <w:pPr>
        <w:shd w:val="clear" w:color="auto" w:fill="FFFFFF"/>
        <w:rPr>
          <w:rFonts w:eastAsia="Times New Roman"/>
          <w:b/>
          <w:bCs/>
          <w:color w:val="000000"/>
          <w:sz w:val="24"/>
          <w:szCs w:val="24"/>
        </w:rPr>
      </w:pPr>
      <w:r>
        <w:rPr>
          <w:noProof/>
        </w:rPr>
        <w:drawing>
          <wp:inline distT="0" distB="0" distL="0" distR="0" wp14:anchorId="3B05058A" wp14:editId="71DD216C">
            <wp:extent cx="952500" cy="958850"/>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958850"/>
                    </a:xfrm>
                    <a:prstGeom prst="rect">
                      <a:avLst/>
                    </a:prstGeom>
                    <a:noFill/>
                    <a:ln>
                      <a:noFill/>
                    </a:ln>
                  </pic:spPr>
                </pic:pic>
              </a:graphicData>
            </a:graphic>
          </wp:inline>
        </w:drawing>
      </w:r>
      <w:r>
        <w:rPr>
          <w:rFonts w:eastAsia="Times New Roman"/>
          <w:b/>
          <w:bCs/>
          <w:color w:val="000000"/>
          <w:sz w:val="24"/>
          <w:szCs w:val="24"/>
        </w:rPr>
        <w:t xml:space="preserve">   </w:t>
      </w:r>
      <w:r w:rsidR="005462CE" w:rsidRPr="0059469C">
        <w:rPr>
          <w:rFonts w:eastAsia="Times New Roman"/>
          <w:b/>
          <w:bCs/>
          <w:color w:val="000000"/>
          <w:sz w:val="24"/>
          <w:szCs w:val="24"/>
        </w:rPr>
        <w:t xml:space="preserve">Workplace violence and sexual harassment in </w:t>
      </w:r>
      <w:r w:rsidR="005462CE" w:rsidRPr="0059469C">
        <w:rPr>
          <w:rFonts w:eastAsia="Times New Roman"/>
          <w:b/>
          <w:bCs/>
          <w:i/>
          <w:iCs/>
          <w:color w:val="000000"/>
          <w:sz w:val="24"/>
          <w:szCs w:val="24"/>
        </w:rPr>
        <w:t xml:space="preserve">global </w:t>
      </w:r>
      <w:r w:rsidR="005462CE" w:rsidRPr="0059469C">
        <w:rPr>
          <w:rFonts w:eastAsia="Times New Roman"/>
          <w:b/>
          <w:bCs/>
          <w:color w:val="000000"/>
          <w:sz w:val="24"/>
          <w:szCs w:val="24"/>
        </w:rPr>
        <w:t>food systems</w:t>
      </w:r>
    </w:p>
    <w:p w14:paraId="2B5AE812" w14:textId="77777777" w:rsidR="005462CE" w:rsidRPr="0059469C" w:rsidRDefault="005462CE" w:rsidP="005462CE">
      <w:pPr>
        <w:rPr>
          <w:b/>
          <w:bCs/>
          <w:sz w:val="28"/>
          <w:szCs w:val="28"/>
        </w:rPr>
      </w:pPr>
    </w:p>
    <w:p w14:paraId="5985BC7A" w14:textId="0AEB8BAB" w:rsidR="005462CE" w:rsidRPr="00F250E3" w:rsidRDefault="005462CE" w:rsidP="005462CE">
      <w:pPr>
        <w:jc w:val="both"/>
        <w:rPr>
          <w:sz w:val="24"/>
          <w:szCs w:val="24"/>
          <w:lang w:val="en-US"/>
        </w:rPr>
      </w:pPr>
      <w:r w:rsidRPr="00F250E3">
        <w:rPr>
          <w:b/>
          <w:bCs/>
          <w:sz w:val="24"/>
          <w:szCs w:val="24"/>
          <w:lang w:val="en-CA"/>
        </w:rPr>
        <w:t>Power relation</w:t>
      </w:r>
      <w:r>
        <w:rPr>
          <w:b/>
          <w:bCs/>
          <w:sz w:val="24"/>
          <w:szCs w:val="24"/>
          <w:lang w:val="en-CA"/>
        </w:rPr>
        <w:t>s</w:t>
      </w:r>
      <w:r w:rsidRPr="00F250E3">
        <w:rPr>
          <w:b/>
          <w:bCs/>
          <w:sz w:val="24"/>
          <w:szCs w:val="24"/>
          <w:lang w:val="en-CA"/>
        </w:rPr>
        <w:t>.</w:t>
      </w:r>
      <w:r w:rsidRPr="00F250E3">
        <w:rPr>
          <w:sz w:val="24"/>
          <w:szCs w:val="24"/>
          <w:lang w:val="en-CA"/>
        </w:rPr>
        <w:t xml:space="preserve"> </w:t>
      </w:r>
      <w:r w:rsidRPr="00F250E3">
        <w:rPr>
          <w:sz w:val="24"/>
          <w:szCs w:val="24"/>
        </w:rPr>
        <w:t xml:space="preserve">Violence and harassment </w:t>
      </w:r>
      <w:r>
        <w:rPr>
          <w:sz w:val="24"/>
          <w:szCs w:val="24"/>
        </w:rPr>
        <w:t>are</w:t>
      </w:r>
      <w:r w:rsidRPr="00F250E3">
        <w:rPr>
          <w:sz w:val="24"/>
          <w:szCs w:val="24"/>
        </w:rPr>
        <w:t xml:space="preserve"> abuse</w:t>
      </w:r>
      <w:r>
        <w:rPr>
          <w:sz w:val="24"/>
          <w:szCs w:val="24"/>
        </w:rPr>
        <w:t>s</w:t>
      </w:r>
      <w:r w:rsidRPr="00F250E3">
        <w:rPr>
          <w:sz w:val="24"/>
          <w:szCs w:val="24"/>
        </w:rPr>
        <w:t xml:space="preserve"> of power</w:t>
      </w:r>
      <w:r w:rsidRPr="00F250E3">
        <w:rPr>
          <w:sz w:val="24"/>
          <w:szCs w:val="24"/>
          <w:lang w:val="en-US"/>
        </w:rPr>
        <w:t xml:space="preserve"> and </w:t>
      </w:r>
      <w:r>
        <w:rPr>
          <w:sz w:val="24"/>
          <w:szCs w:val="24"/>
          <w:lang w:val="en-US"/>
        </w:rPr>
        <w:t>they are</w:t>
      </w:r>
      <w:r w:rsidRPr="00F250E3">
        <w:rPr>
          <w:sz w:val="24"/>
          <w:szCs w:val="24"/>
          <w:lang w:val="en-US"/>
        </w:rPr>
        <w:t xml:space="preserve"> linked to inequalities and discrimination</w:t>
      </w:r>
      <w:r w:rsidRPr="00F250E3">
        <w:rPr>
          <w:sz w:val="24"/>
          <w:szCs w:val="24"/>
        </w:rPr>
        <w:t>.</w:t>
      </w:r>
      <w:r w:rsidRPr="00F250E3">
        <w:rPr>
          <w:sz w:val="24"/>
          <w:szCs w:val="24"/>
          <w:lang w:val="en-US"/>
        </w:rPr>
        <w:t xml:space="preserve"> </w:t>
      </w:r>
      <w:r w:rsidR="00D65E96">
        <w:rPr>
          <w:sz w:val="24"/>
          <w:szCs w:val="24"/>
          <w:lang w:val="en-US"/>
        </w:rPr>
        <w:t xml:space="preserve">According to the European Trade Union Confederation, </w:t>
      </w:r>
      <w:r w:rsidRPr="00F250E3">
        <w:rPr>
          <w:sz w:val="24"/>
          <w:szCs w:val="24"/>
          <w:lang w:val="en-CA"/>
        </w:rPr>
        <w:t>“It is the tolerance of discrimination in the workplace that has the effect of creating an environment where violence and harassment are likely to occur”.</w:t>
      </w:r>
      <w:r w:rsidRPr="00F250E3">
        <w:rPr>
          <w:rStyle w:val="FootnoteReference"/>
          <w:sz w:val="24"/>
          <w:szCs w:val="24"/>
          <w:lang w:val="en-CA"/>
        </w:rPr>
        <w:footnoteReference w:id="1"/>
      </w:r>
      <w:r w:rsidRPr="00F250E3">
        <w:rPr>
          <w:sz w:val="24"/>
          <w:szCs w:val="24"/>
          <w:lang w:val="en-CA"/>
        </w:rPr>
        <w:t xml:space="preserve"> </w:t>
      </w:r>
      <w:r w:rsidRPr="00F250E3">
        <w:rPr>
          <w:sz w:val="24"/>
          <w:szCs w:val="24"/>
          <w:lang w:val="en-US"/>
        </w:rPr>
        <w:t xml:space="preserve">The world of work in food systems reflects the dynamics of violence and harassment in society. Many employers use their </w:t>
      </w:r>
      <w:r>
        <w:rPr>
          <w:sz w:val="24"/>
          <w:szCs w:val="24"/>
          <w:lang w:val="en-US"/>
        </w:rPr>
        <w:t xml:space="preserve">power to </w:t>
      </w:r>
      <w:r w:rsidRPr="00F250E3">
        <w:rPr>
          <w:sz w:val="24"/>
          <w:szCs w:val="24"/>
          <w:lang w:val="en-US"/>
        </w:rPr>
        <w:t>hire and fire and ask sexual favors from workers, especially seasonal workers</w:t>
      </w:r>
      <w:r>
        <w:rPr>
          <w:sz w:val="24"/>
          <w:szCs w:val="24"/>
          <w:lang w:val="en-US"/>
        </w:rPr>
        <w:t>,</w:t>
      </w:r>
      <w:r w:rsidRPr="00F250E3">
        <w:rPr>
          <w:sz w:val="24"/>
          <w:szCs w:val="24"/>
          <w:lang w:val="en-US"/>
        </w:rPr>
        <w:t xml:space="preserve"> as a condition for employment or for renewal of their employment contracts.  </w:t>
      </w:r>
      <w:r w:rsidRPr="00F250E3">
        <w:rPr>
          <w:sz w:val="24"/>
          <w:szCs w:val="24"/>
        </w:rPr>
        <w:t>Violence and harassment particularly affect workers</w:t>
      </w:r>
      <w:r w:rsidRPr="00F250E3">
        <w:rPr>
          <w:sz w:val="24"/>
          <w:szCs w:val="24"/>
          <w:lang w:val="en-US"/>
        </w:rPr>
        <w:t xml:space="preserve"> </w:t>
      </w:r>
      <w:r w:rsidRPr="00F250E3">
        <w:rPr>
          <w:sz w:val="24"/>
          <w:szCs w:val="24"/>
        </w:rPr>
        <w:t>in the most vulnerable work situations who have</w:t>
      </w:r>
      <w:r w:rsidRPr="00F250E3">
        <w:rPr>
          <w:sz w:val="24"/>
          <w:szCs w:val="24"/>
          <w:lang w:val="en-US"/>
        </w:rPr>
        <w:t xml:space="preserve"> </w:t>
      </w:r>
      <w:r w:rsidRPr="00F250E3">
        <w:rPr>
          <w:b/>
          <w:bCs/>
          <w:sz w:val="24"/>
          <w:szCs w:val="24"/>
        </w:rPr>
        <w:t>poor</w:t>
      </w:r>
      <w:r w:rsidRPr="00F250E3">
        <w:rPr>
          <w:b/>
          <w:bCs/>
          <w:sz w:val="24"/>
          <w:szCs w:val="24"/>
          <w:lang w:val="en-US"/>
        </w:rPr>
        <w:t xml:space="preserve"> or no</w:t>
      </w:r>
      <w:r w:rsidRPr="00F250E3">
        <w:rPr>
          <w:b/>
          <w:bCs/>
          <w:sz w:val="24"/>
          <w:szCs w:val="24"/>
        </w:rPr>
        <w:t xml:space="preserve"> access to </w:t>
      </w:r>
      <w:r w:rsidRPr="00F250E3">
        <w:rPr>
          <w:b/>
          <w:bCs/>
          <w:sz w:val="24"/>
          <w:szCs w:val="24"/>
          <w:lang w:val="en-US"/>
        </w:rPr>
        <w:t xml:space="preserve">fundamental </w:t>
      </w:r>
      <w:proofErr w:type="spellStart"/>
      <w:r w:rsidRPr="00F250E3">
        <w:rPr>
          <w:b/>
          <w:bCs/>
          <w:sz w:val="24"/>
          <w:szCs w:val="24"/>
        </w:rPr>
        <w:t>labour</w:t>
      </w:r>
      <w:proofErr w:type="spellEnd"/>
      <w:r w:rsidRPr="00F250E3">
        <w:rPr>
          <w:b/>
          <w:bCs/>
          <w:sz w:val="24"/>
          <w:szCs w:val="24"/>
        </w:rPr>
        <w:t xml:space="preserve"> rights</w:t>
      </w:r>
      <w:r w:rsidRPr="00F250E3">
        <w:rPr>
          <w:sz w:val="24"/>
          <w:szCs w:val="24"/>
        </w:rPr>
        <w:t xml:space="preserve"> such as freedom of</w:t>
      </w:r>
      <w:r w:rsidRPr="00F250E3">
        <w:rPr>
          <w:sz w:val="24"/>
          <w:szCs w:val="24"/>
          <w:lang w:val="en-US"/>
        </w:rPr>
        <w:t xml:space="preserve"> </w:t>
      </w:r>
      <w:r w:rsidRPr="00F250E3">
        <w:rPr>
          <w:sz w:val="24"/>
          <w:szCs w:val="24"/>
        </w:rPr>
        <w:t>association</w:t>
      </w:r>
      <w:r w:rsidRPr="00F250E3">
        <w:rPr>
          <w:sz w:val="24"/>
          <w:szCs w:val="24"/>
          <w:lang w:val="en-US"/>
        </w:rPr>
        <w:t xml:space="preserve"> and</w:t>
      </w:r>
      <w:r w:rsidRPr="00F250E3">
        <w:rPr>
          <w:sz w:val="24"/>
          <w:szCs w:val="24"/>
        </w:rPr>
        <w:t xml:space="preserve"> collective bargaining. </w:t>
      </w:r>
    </w:p>
    <w:p w14:paraId="7A9C6829" w14:textId="77777777" w:rsidR="005462CE" w:rsidRPr="00F250E3" w:rsidRDefault="005462CE" w:rsidP="005462CE">
      <w:pPr>
        <w:jc w:val="both"/>
        <w:rPr>
          <w:sz w:val="24"/>
          <w:szCs w:val="24"/>
        </w:rPr>
      </w:pPr>
    </w:p>
    <w:p w14:paraId="5D54F6E9" w14:textId="77777777" w:rsidR="005462CE" w:rsidRPr="00F250E3" w:rsidRDefault="005462CE" w:rsidP="005462CE">
      <w:pPr>
        <w:jc w:val="both"/>
        <w:rPr>
          <w:sz w:val="24"/>
          <w:szCs w:val="24"/>
          <w:lang w:val="en-US"/>
        </w:rPr>
      </w:pPr>
      <w:r w:rsidRPr="00F250E3">
        <w:rPr>
          <w:b/>
          <w:bCs/>
          <w:sz w:val="24"/>
          <w:szCs w:val="24"/>
          <w:lang w:val="en-US"/>
        </w:rPr>
        <w:t>Economic vulnerability</w:t>
      </w:r>
      <w:r w:rsidRPr="00F250E3">
        <w:rPr>
          <w:sz w:val="24"/>
          <w:szCs w:val="24"/>
          <w:lang w:val="en-US"/>
        </w:rPr>
        <w:t xml:space="preserve"> is another important risk </w:t>
      </w:r>
      <w:r>
        <w:rPr>
          <w:sz w:val="24"/>
          <w:szCs w:val="24"/>
          <w:lang w:val="en-US"/>
        </w:rPr>
        <w:t>factor for</w:t>
      </w:r>
      <w:r w:rsidRPr="00F250E3">
        <w:rPr>
          <w:sz w:val="24"/>
          <w:szCs w:val="24"/>
          <w:lang w:val="en-US"/>
        </w:rPr>
        <w:t xml:space="preserve"> violence and harassment. W</w:t>
      </w:r>
      <w:r w:rsidRPr="00F250E3">
        <w:rPr>
          <w:sz w:val="24"/>
          <w:szCs w:val="24"/>
        </w:rPr>
        <w:t>omen</w:t>
      </w:r>
      <w:r w:rsidRPr="00F250E3">
        <w:rPr>
          <w:sz w:val="24"/>
          <w:szCs w:val="24"/>
          <w:lang w:val="en-US"/>
        </w:rPr>
        <w:t xml:space="preserve"> workers </w:t>
      </w:r>
      <w:r w:rsidRPr="00F250E3">
        <w:rPr>
          <w:sz w:val="24"/>
          <w:szCs w:val="24"/>
        </w:rPr>
        <w:t>are</w:t>
      </w:r>
      <w:r w:rsidRPr="00F250E3">
        <w:rPr>
          <w:sz w:val="24"/>
          <w:szCs w:val="24"/>
          <w:lang w:val="en-US"/>
        </w:rPr>
        <w:t xml:space="preserve"> </w:t>
      </w:r>
      <w:r w:rsidRPr="00F250E3">
        <w:rPr>
          <w:sz w:val="24"/>
          <w:szCs w:val="24"/>
        </w:rPr>
        <w:t>disproportionately affected by violence at work,</w:t>
      </w:r>
      <w:r w:rsidRPr="00F250E3">
        <w:rPr>
          <w:sz w:val="24"/>
          <w:szCs w:val="24"/>
          <w:lang w:val="en-US"/>
        </w:rPr>
        <w:t xml:space="preserve"> because they tend to </w:t>
      </w:r>
      <w:r>
        <w:rPr>
          <w:sz w:val="24"/>
          <w:szCs w:val="24"/>
          <w:lang w:val="en-US"/>
        </w:rPr>
        <w:t>be</w:t>
      </w:r>
      <w:r w:rsidRPr="00F250E3">
        <w:rPr>
          <w:sz w:val="24"/>
          <w:szCs w:val="24"/>
          <w:lang w:val="en-US"/>
        </w:rPr>
        <w:t xml:space="preserve"> </w:t>
      </w:r>
      <w:r w:rsidRPr="00F250E3">
        <w:rPr>
          <w:sz w:val="24"/>
          <w:szCs w:val="24"/>
        </w:rPr>
        <w:t>pa</w:t>
      </w:r>
      <w:r>
        <w:rPr>
          <w:sz w:val="24"/>
          <w:szCs w:val="24"/>
        </w:rPr>
        <w:t>id less</w:t>
      </w:r>
      <w:r w:rsidRPr="00F250E3">
        <w:rPr>
          <w:sz w:val="24"/>
          <w:szCs w:val="24"/>
          <w:lang w:val="en-US"/>
        </w:rPr>
        <w:t xml:space="preserve"> than men and</w:t>
      </w:r>
      <w:r w:rsidRPr="00F250E3">
        <w:rPr>
          <w:sz w:val="24"/>
          <w:szCs w:val="24"/>
        </w:rPr>
        <w:t xml:space="preserve"> </w:t>
      </w:r>
      <w:r w:rsidRPr="00F250E3">
        <w:rPr>
          <w:sz w:val="24"/>
          <w:szCs w:val="24"/>
          <w:lang w:val="en-US"/>
        </w:rPr>
        <w:t xml:space="preserve">are more likely to be employed in non-managerial positions. </w:t>
      </w:r>
      <w:r>
        <w:rPr>
          <w:sz w:val="24"/>
          <w:szCs w:val="24"/>
          <w:lang w:val="en-US"/>
        </w:rPr>
        <w:t>Not earning a</w:t>
      </w:r>
      <w:r w:rsidRPr="00F250E3">
        <w:rPr>
          <w:sz w:val="24"/>
          <w:szCs w:val="24"/>
          <w:lang w:val="en-US"/>
        </w:rPr>
        <w:t xml:space="preserve"> living wage increases the risk of violence and harassment. In rural areas, women workers affected by </w:t>
      </w:r>
      <w:r w:rsidRPr="00F250E3">
        <w:rPr>
          <w:sz w:val="24"/>
          <w:szCs w:val="24"/>
        </w:rPr>
        <w:t>debt bondage</w:t>
      </w:r>
      <w:r w:rsidRPr="00F250E3">
        <w:rPr>
          <w:sz w:val="24"/>
          <w:szCs w:val="24"/>
          <w:lang w:val="en-US"/>
        </w:rPr>
        <w:t xml:space="preserve"> </w:t>
      </w:r>
      <w:r>
        <w:rPr>
          <w:sz w:val="24"/>
          <w:szCs w:val="24"/>
          <w:lang w:val="en-US"/>
        </w:rPr>
        <w:t>face</w:t>
      </w:r>
      <w:r w:rsidRPr="00F250E3">
        <w:rPr>
          <w:sz w:val="24"/>
          <w:szCs w:val="24"/>
          <w:lang w:val="en-US"/>
        </w:rPr>
        <w:t xml:space="preserve"> a higher </w:t>
      </w:r>
      <w:r w:rsidRPr="00F250E3">
        <w:rPr>
          <w:sz w:val="24"/>
          <w:szCs w:val="24"/>
        </w:rPr>
        <w:t>risk of exploitation</w:t>
      </w:r>
      <w:r w:rsidRPr="00F250E3">
        <w:rPr>
          <w:sz w:val="24"/>
          <w:szCs w:val="24"/>
          <w:lang w:val="en-US"/>
        </w:rPr>
        <w:t xml:space="preserve"> </w:t>
      </w:r>
      <w:r w:rsidRPr="00F250E3">
        <w:rPr>
          <w:sz w:val="24"/>
          <w:szCs w:val="24"/>
        </w:rPr>
        <w:t>and trafficking</w:t>
      </w:r>
      <w:r w:rsidRPr="00F250E3">
        <w:rPr>
          <w:sz w:val="24"/>
          <w:szCs w:val="24"/>
          <w:lang w:val="en-US"/>
        </w:rPr>
        <w:t xml:space="preserve"> as they are considered </w:t>
      </w:r>
      <w:r>
        <w:rPr>
          <w:sz w:val="24"/>
          <w:szCs w:val="24"/>
          <w:lang w:val="en-US"/>
        </w:rPr>
        <w:t xml:space="preserve">someone’s </w:t>
      </w:r>
      <w:r w:rsidRPr="00F250E3">
        <w:rPr>
          <w:sz w:val="24"/>
          <w:szCs w:val="24"/>
          <w:lang w:val="en-US"/>
        </w:rPr>
        <w:t>“property</w:t>
      </w:r>
      <w:r>
        <w:rPr>
          <w:sz w:val="24"/>
          <w:szCs w:val="24"/>
          <w:lang w:val="en-US"/>
        </w:rPr>
        <w:t>.</w:t>
      </w:r>
      <w:r w:rsidRPr="00F250E3">
        <w:rPr>
          <w:sz w:val="24"/>
          <w:szCs w:val="24"/>
          <w:lang w:val="en-US"/>
        </w:rPr>
        <w:t xml:space="preserve">” </w:t>
      </w:r>
      <w:r w:rsidRPr="00F250E3">
        <w:rPr>
          <w:sz w:val="24"/>
          <w:szCs w:val="24"/>
        </w:rPr>
        <w:t>The needs of migrant workers</w:t>
      </w:r>
      <w:r w:rsidRPr="00F250E3">
        <w:rPr>
          <w:sz w:val="24"/>
          <w:szCs w:val="24"/>
          <w:lang w:val="en-US"/>
        </w:rPr>
        <w:t xml:space="preserve"> </w:t>
      </w:r>
      <w:r w:rsidRPr="00F250E3">
        <w:rPr>
          <w:sz w:val="24"/>
          <w:szCs w:val="24"/>
        </w:rPr>
        <w:t>and indigenous people, and particularly workers</w:t>
      </w:r>
      <w:r w:rsidRPr="00F250E3">
        <w:rPr>
          <w:sz w:val="24"/>
          <w:szCs w:val="24"/>
          <w:lang w:val="en-US"/>
        </w:rPr>
        <w:t xml:space="preserve"> </w:t>
      </w:r>
      <w:r w:rsidRPr="00F250E3">
        <w:rPr>
          <w:sz w:val="24"/>
          <w:szCs w:val="24"/>
        </w:rPr>
        <w:t xml:space="preserve">at risk of trafficking for forced </w:t>
      </w:r>
      <w:proofErr w:type="spellStart"/>
      <w:r w:rsidRPr="00F250E3">
        <w:rPr>
          <w:sz w:val="24"/>
          <w:szCs w:val="24"/>
        </w:rPr>
        <w:t>labour</w:t>
      </w:r>
      <w:proofErr w:type="spellEnd"/>
      <w:r w:rsidRPr="00F250E3">
        <w:rPr>
          <w:sz w:val="24"/>
          <w:szCs w:val="24"/>
        </w:rPr>
        <w:t xml:space="preserve"> and sexual</w:t>
      </w:r>
      <w:r w:rsidRPr="00F250E3">
        <w:rPr>
          <w:sz w:val="24"/>
          <w:szCs w:val="24"/>
          <w:lang w:val="en-US"/>
        </w:rPr>
        <w:t xml:space="preserve"> </w:t>
      </w:r>
      <w:r w:rsidRPr="00F250E3">
        <w:rPr>
          <w:sz w:val="24"/>
          <w:szCs w:val="24"/>
        </w:rPr>
        <w:t xml:space="preserve">exploitation, also need to be </w:t>
      </w:r>
      <w:r>
        <w:rPr>
          <w:sz w:val="24"/>
          <w:szCs w:val="24"/>
        </w:rPr>
        <w:t>considered</w:t>
      </w:r>
      <w:r w:rsidRPr="00F250E3">
        <w:rPr>
          <w:sz w:val="24"/>
          <w:szCs w:val="24"/>
        </w:rPr>
        <w:t xml:space="preserve">. </w:t>
      </w:r>
    </w:p>
    <w:p w14:paraId="1F9138F7" w14:textId="77777777" w:rsidR="005462CE" w:rsidRPr="00F250E3" w:rsidRDefault="005462CE" w:rsidP="005462CE">
      <w:pPr>
        <w:jc w:val="both"/>
        <w:rPr>
          <w:sz w:val="24"/>
          <w:szCs w:val="24"/>
          <w:lang w:val="en-US"/>
        </w:rPr>
      </w:pPr>
    </w:p>
    <w:p w14:paraId="214319EC" w14:textId="77777777" w:rsidR="005462CE" w:rsidRDefault="005462CE" w:rsidP="005462CE">
      <w:pPr>
        <w:jc w:val="both"/>
        <w:rPr>
          <w:sz w:val="24"/>
          <w:szCs w:val="24"/>
        </w:rPr>
      </w:pPr>
      <w:r>
        <w:t xml:space="preserve">ILO </w:t>
      </w:r>
      <w:hyperlink r:id="rId7" w:history="1">
        <w:r w:rsidRPr="00CE5366">
          <w:rPr>
            <w:rStyle w:val="Hyperlink"/>
          </w:rPr>
          <w:t>Convention 190 on Violence and Harassment</w:t>
        </w:r>
      </w:hyperlink>
      <w:r>
        <w:t xml:space="preserve"> </w:t>
      </w:r>
      <w:r w:rsidRPr="00F250E3">
        <w:rPr>
          <w:sz w:val="24"/>
          <w:szCs w:val="24"/>
          <w:lang w:val="en-US"/>
        </w:rPr>
        <w:t xml:space="preserve">and </w:t>
      </w:r>
      <w:hyperlink r:id="rId8" w:history="1">
        <w:r w:rsidRPr="00F250E3">
          <w:rPr>
            <w:rStyle w:val="Hyperlink"/>
            <w:sz w:val="24"/>
            <w:szCs w:val="24"/>
            <w:lang w:val="en-US"/>
          </w:rPr>
          <w:t>Recommendation 206</w:t>
        </w:r>
      </w:hyperlink>
      <w:r>
        <w:rPr>
          <w:sz w:val="24"/>
          <w:szCs w:val="24"/>
          <w:lang w:val="en-US"/>
        </w:rPr>
        <w:t>–</w:t>
      </w:r>
      <w:r w:rsidRPr="00F250E3">
        <w:rPr>
          <w:sz w:val="24"/>
          <w:szCs w:val="24"/>
          <w:lang w:val="en-US"/>
        </w:rPr>
        <w:t>reference</w:t>
      </w:r>
      <w:r>
        <w:rPr>
          <w:sz w:val="24"/>
          <w:szCs w:val="24"/>
          <w:lang w:val="en-US"/>
        </w:rPr>
        <w:t xml:space="preserve"> instruments</w:t>
      </w:r>
      <w:r w:rsidRPr="00F250E3">
        <w:rPr>
          <w:sz w:val="24"/>
          <w:szCs w:val="24"/>
          <w:lang w:val="en-US"/>
        </w:rPr>
        <w:t xml:space="preserve"> for trade unions</w:t>
      </w:r>
      <w:r>
        <w:rPr>
          <w:sz w:val="24"/>
          <w:szCs w:val="24"/>
          <w:lang w:val="en-US"/>
        </w:rPr>
        <w:t>–</w:t>
      </w:r>
      <w:r w:rsidRPr="00F250E3">
        <w:rPr>
          <w:sz w:val="24"/>
          <w:szCs w:val="24"/>
          <w:lang w:val="en-US"/>
        </w:rPr>
        <w:t xml:space="preserve">point out </w:t>
      </w:r>
      <w:r w:rsidRPr="00EF1DF9">
        <w:rPr>
          <w:b/>
          <w:bCs/>
          <w:sz w:val="24"/>
          <w:szCs w:val="24"/>
        </w:rPr>
        <w:t>work organization and work pressure</w:t>
      </w:r>
      <w:r w:rsidRPr="00F250E3">
        <w:rPr>
          <w:sz w:val="24"/>
          <w:szCs w:val="24"/>
          <w:lang w:val="en-US"/>
        </w:rPr>
        <w:t xml:space="preserve"> are</w:t>
      </w:r>
      <w:r w:rsidRPr="00F250E3">
        <w:rPr>
          <w:sz w:val="24"/>
          <w:szCs w:val="24"/>
        </w:rPr>
        <w:t xml:space="preserve"> growing psychosocial risks,</w:t>
      </w:r>
      <w:r w:rsidRPr="00F250E3">
        <w:rPr>
          <w:sz w:val="24"/>
          <w:szCs w:val="24"/>
          <w:lang w:val="en-US"/>
        </w:rPr>
        <w:t xml:space="preserve"> </w:t>
      </w:r>
      <w:r w:rsidRPr="00F250E3">
        <w:rPr>
          <w:sz w:val="24"/>
          <w:szCs w:val="24"/>
        </w:rPr>
        <w:t>leading to higher levels of stress</w:t>
      </w:r>
      <w:r w:rsidRPr="00F250E3">
        <w:rPr>
          <w:sz w:val="24"/>
          <w:szCs w:val="24"/>
          <w:lang w:val="en-US"/>
        </w:rPr>
        <w:t>, violence</w:t>
      </w:r>
      <w:r w:rsidRPr="00F250E3">
        <w:rPr>
          <w:sz w:val="24"/>
          <w:szCs w:val="24"/>
        </w:rPr>
        <w:t xml:space="preserve"> and harassment</w:t>
      </w:r>
      <w:r w:rsidRPr="00F250E3">
        <w:rPr>
          <w:sz w:val="24"/>
          <w:szCs w:val="24"/>
          <w:lang w:val="en-US"/>
        </w:rPr>
        <w:t xml:space="preserve"> </w:t>
      </w:r>
      <w:r w:rsidRPr="00F250E3">
        <w:rPr>
          <w:sz w:val="24"/>
          <w:szCs w:val="24"/>
        </w:rPr>
        <w:t xml:space="preserve">at work. </w:t>
      </w:r>
      <w:r>
        <w:rPr>
          <w:sz w:val="24"/>
          <w:szCs w:val="24"/>
        </w:rPr>
        <w:t xml:space="preserve"> According to </w:t>
      </w:r>
      <w:hyperlink r:id="rId9" w:history="1">
        <w:r w:rsidRPr="00355C4C">
          <w:rPr>
            <w:rStyle w:val="Hyperlink"/>
            <w:sz w:val="24"/>
            <w:szCs w:val="24"/>
          </w:rPr>
          <w:t>an ILO report</w:t>
        </w:r>
      </w:hyperlink>
      <w:r>
        <w:rPr>
          <w:sz w:val="24"/>
          <w:szCs w:val="24"/>
        </w:rPr>
        <w:t xml:space="preserve"> by Dr. Jane </w:t>
      </w:r>
      <w:proofErr w:type="spellStart"/>
      <w:r>
        <w:rPr>
          <w:sz w:val="24"/>
          <w:szCs w:val="24"/>
        </w:rPr>
        <w:t>Pillinger</w:t>
      </w:r>
      <w:proofErr w:type="spellEnd"/>
      <w:r>
        <w:rPr>
          <w:sz w:val="24"/>
          <w:szCs w:val="24"/>
        </w:rPr>
        <w:t>, “</w:t>
      </w:r>
      <w:r>
        <w:t>Changes in work organization and work pressure are seen by unions as growing psychosocial risks, leading to higher levels of stress and harassment at work. They encompass new forms of work organization, work pressures, unrealistic work targets, staffing shortages and stress at work, coupled with growing levels of technology-based workplace surveillance and performance monitoring.”</w:t>
      </w:r>
    </w:p>
    <w:p w14:paraId="2646436F" w14:textId="77777777" w:rsidR="005462CE" w:rsidRPr="00F250E3" w:rsidRDefault="005462CE" w:rsidP="005462CE">
      <w:pPr>
        <w:rPr>
          <w:sz w:val="24"/>
          <w:szCs w:val="24"/>
          <w:lang w:val="en-US"/>
        </w:rPr>
      </w:pPr>
      <w:r w:rsidRPr="00F250E3">
        <w:rPr>
          <w:sz w:val="24"/>
          <w:szCs w:val="24"/>
          <w:lang w:val="en-US"/>
        </w:rPr>
        <w:t xml:space="preserve">Working in </w:t>
      </w:r>
      <w:r w:rsidRPr="00F250E3">
        <w:rPr>
          <w:b/>
          <w:bCs/>
          <w:sz w:val="24"/>
          <w:szCs w:val="24"/>
          <w:lang w:val="en-US"/>
        </w:rPr>
        <w:t>male-dominated environment</w:t>
      </w:r>
      <w:r w:rsidRPr="00F250E3">
        <w:rPr>
          <w:sz w:val="24"/>
          <w:szCs w:val="24"/>
          <w:lang w:val="en-US"/>
        </w:rPr>
        <w:t xml:space="preserve"> or, as it is often the case on farms and plantations, in workplace managed by male supervisors increase the risk of violence as well. </w:t>
      </w:r>
    </w:p>
    <w:p w14:paraId="23C43491" w14:textId="77777777" w:rsidR="005462CE" w:rsidRPr="00F250E3" w:rsidRDefault="005462CE" w:rsidP="005462CE">
      <w:pPr>
        <w:jc w:val="both"/>
        <w:rPr>
          <w:sz w:val="24"/>
          <w:szCs w:val="24"/>
          <w:lang w:val="en-US"/>
        </w:rPr>
      </w:pPr>
    </w:p>
    <w:p w14:paraId="3921548D" w14:textId="77777777" w:rsidR="005462CE" w:rsidRPr="00F250E3" w:rsidRDefault="005462CE" w:rsidP="005462CE">
      <w:pPr>
        <w:jc w:val="both"/>
        <w:rPr>
          <w:sz w:val="24"/>
          <w:szCs w:val="24"/>
        </w:rPr>
      </w:pPr>
      <w:r w:rsidRPr="00F250E3">
        <w:rPr>
          <w:b/>
          <w:bCs/>
          <w:sz w:val="24"/>
          <w:szCs w:val="24"/>
          <w:lang w:val="en-US"/>
        </w:rPr>
        <w:lastRenderedPageBreak/>
        <w:t>In agriculture,</w:t>
      </w:r>
      <w:r w:rsidRPr="00F250E3">
        <w:rPr>
          <w:sz w:val="24"/>
          <w:szCs w:val="24"/>
          <w:lang w:val="en-US"/>
        </w:rPr>
        <w:t xml:space="preserve"> </w:t>
      </w:r>
      <w:hyperlink r:id="rId10" w:history="1">
        <w:r w:rsidRPr="003864D3">
          <w:rPr>
            <w:rStyle w:val="Hyperlink"/>
            <w:sz w:val="24"/>
            <w:szCs w:val="24"/>
            <w:lang w:val="en-US"/>
          </w:rPr>
          <w:t>t</w:t>
        </w:r>
        <w:proofErr w:type="spellStart"/>
        <w:r w:rsidRPr="003864D3">
          <w:rPr>
            <w:rStyle w:val="Hyperlink"/>
            <w:sz w:val="24"/>
            <w:szCs w:val="24"/>
          </w:rPr>
          <w:t>rade</w:t>
        </w:r>
        <w:proofErr w:type="spellEnd"/>
        <w:r w:rsidRPr="003864D3">
          <w:rPr>
            <w:rStyle w:val="Hyperlink"/>
            <w:sz w:val="24"/>
            <w:szCs w:val="24"/>
            <w:lang w:val="en-US"/>
          </w:rPr>
          <w:t xml:space="preserve"> </w:t>
        </w:r>
        <w:r w:rsidRPr="003864D3">
          <w:rPr>
            <w:rStyle w:val="Hyperlink"/>
            <w:sz w:val="24"/>
            <w:szCs w:val="24"/>
          </w:rPr>
          <w:t>union rights</w:t>
        </w:r>
      </w:hyperlink>
      <w:r w:rsidRPr="00F250E3">
        <w:rPr>
          <w:sz w:val="24"/>
          <w:szCs w:val="24"/>
        </w:rPr>
        <w:t xml:space="preserve"> are often restricted or repressed; few agricultural</w:t>
      </w:r>
      <w:r w:rsidRPr="00F250E3">
        <w:rPr>
          <w:sz w:val="24"/>
          <w:szCs w:val="24"/>
          <w:lang w:val="en-US"/>
        </w:rPr>
        <w:t xml:space="preserve"> </w:t>
      </w:r>
      <w:r w:rsidRPr="00F250E3">
        <w:rPr>
          <w:sz w:val="24"/>
          <w:szCs w:val="24"/>
        </w:rPr>
        <w:t>workers are covered by collective bargaining agreements</w:t>
      </w:r>
      <w:r w:rsidRPr="00F250E3">
        <w:rPr>
          <w:sz w:val="24"/>
          <w:szCs w:val="24"/>
          <w:lang w:val="en-US"/>
        </w:rPr>
        <w:t xml:space="preserve">. </w:t>
      </w:r>
      <w:hyperlink r:id="rId11" w:history="1">
        <w:r w:rsidRPr="00A736BE">
          <w:rPr>
            <w:rStyle w:val="Hyperlink"/>
            <w:sz w:val="24"/>
            <w:szCs w:val="24"/>
          </w:rPr>
          <w:t>According to ILO statistics</w:t>
        </w:r>
      </w:hyperlink>
      <w:r w:rsidRPr="00F250E3">
        <w:rPr>
          <w:sz w:val="24"/>
          <w:szCs w:val="24"/>
        </w:rPr>
        <w:t xml:space="preserve">, of the estimated one billion people working in agriculture, approximately 40% are wage workers. Sexual violence and harassment of female agricultural workers can occur in fields, plantations, greenhouses and packing areas. </w:t>
      </w:r>
      <w:r>
        <w:rPr>
          <w:sz w:val="24"/>
          <w:szCs w:val="24"/>
        </w:rPr>
        <w:t>Most</w:t>
      </w:r>
      <w:r w:rsidRPr="00F250E3">
        <w:rPr>
          <w:sz w:val="24"/>
          <w:szCs w:val="24"/>
        </w:rPr>
        <w:t xml:space="preserve"> permanent and supervisory jobs are usually held by men who can exert coercive power over those with lower status. Moreover, the pervasive poverty and vulnerable conditions in much agricultural work disempowers the victims of harassment and can prevent witnesses from coming forward.</w:t>
      </w:r>
    </w:p>
    <w:p w14:paraId="4EB56FB3" w14:textId="77777777" w:rsidR="005462CE" w:rsidRPr="00F250E3" w:rsidRDefault="005462CE" w:rsidP="005462CE">
      <w:pPr>
        <w:jc w:val="both"/>
        <w:rPr>
          <w:sz w:val="24"/>
          <w:szCs w:val="24"/>
        </w:rPr>
      </w:pPr>
    </w:p>
    <w:p w14:paraId="218B1500" w14:textId="77777777" w:rsidR="005462CE" w:rsidRPr="00F250E3" w:rsidRDefault="005462CE" w:rsidP="005462CE">
      <w:pPr>
        <w:jc w:val="both"/>
        <w:rPr>
          <w:sz w:val="24"/>
          <w:szCs w:val="24"/>
          <w:lang w:val="en-US"/>
        </w:rPr>
      </w:pPr>
      <w:hyperlink r:id="rId12" w:history="1">
        <w:r w:rsidRPr="00EA5C8F">
          <w:rPr>
            <w:rStyle w:val="Hyperlink"/>
            <w:sz w:val="24"/>
            <w:szCs w:val="24"/>
            <w:lang w:val="en-US"/>
          </w:rPr>
          <w:t>ILO Recommendation 206</w:t>
        </w:r>
      </w:hyperlink>
      <w:r>
        <w:rPr>
          <w:sz w:val="24"/>
          <w:szCs w:val="24"/>
          <w:lang w:val="en-US"/>
        </w:rPr>
        <w:t xml:space="preserve"> urges member States to adopt appropriate measures for sectors or occupations and work arrangements in which exposure to violence and harassment may be more likely, such as work in isolation. </w:t>
      </w:r>
      <w:r w:rsidRPr="00F250E3">
        <w:rPr>
          <w:sz w:val="24"/>
          <w:szCs w:val="24"/>
          <w:lang w:val="en-US"/>
        </w:rPr>
        <w:t>IUF</w:t>
      </w:r>
      <w:r w:rsidRPr="00F250E3">
        <w:rPr>
          <w:sz w:val="24"/>
          <w:szCs w:val="24"/>
        </w:rPr>
        <w:t xml:space="preserve"> </w:t>
      </w:r>
      <w:r w:rsidRPr="00F250E3">
        <w:rPr>
          <w:sz w:val="24"/>
          <w:szCs w:val="24"/>
          <w:lang w:val="en-US"/>
        </w:rPr>
        <w:t>affiliates</w:t>
      </w:r>
      <w:r w:rsidRPr="00F250E3">
        <w:rPr>
          <w:sz w:val="24"/>
          <w:szCs w:val="24"/>
        </w:rPr>
        <w:t xml:space="preserve"> </w:t>
      </w:r>
      <w:r w:rsidRPr="00F250E3">
        <w:rPr>
          <w:sz w:val="24"/>
          <w:szCs w:val="24"/>
          <w:lang w:val="en-US"/>
        </w:rPr>
        <w:t xml:space="preserve">have exposed </w:t>
      </w:r>
      <w:r w:rsidRPr="00F250E3">
        <w:rPr>
          <w:sz w:val="24"/>
          <w:szCs w:val="24"/>
        </w:rPr>
        <w:t>the vulnerabilities</w:t>
      </w:r>
      <w:r w:rsidRPr="00F250E3">
        <w:rPr>
          <w:sz w:val="24"/>
          <w:szCs w:val="24"/>
          <w:lang w:val="en-US"/>
        </w:rPr>
        <w:t xml:space="preserve"> </w:t>
      </w:r>
      <w:r w:rsidRPr="00F250E3">
        <w:rPr>
          <w:sz w:val="24"/>
          <w:szCs w:val="24"/>
        </w:rPr>
        <w:t>of isolated workers</w:t>
      </w:r>
      <w:r w:rsidRPr="00F250E3">
        <w:rPr>
          <w:sz w:val="24"/>
          <w:szCs w:val="24"/>
          <w:lang w:val="en-US"/>
        </w:rPr>
        <w:t xml:space="preserve"> </w:t>
      </w:r>
      <w:r>
        <w:rPr>
          <w:sz w:val="24"/>
          <w:szCs w:val="24"/>
          <w:lang w:val="en-US"/>
        </w:rPr>
        <w:t>such a</w:t>
      </w:r>
      <w:r w:rsidRPr="00F250E3">
        <w:rPr>
          <w:sz w:val="24"/>
          <w:szCs w:val="24"/>
          <w:lang w:val="en-US"/>
        </w:rPr>
        <w:t>s plantation workers</w:t>
      </w:r>
      <w:r>
        <w:rPr>
          <w:sz w:val="24"/>
          <w:szCs w:val="24"/>
          <w:lang w:val="en-US"/>
        </w:rPr>
        <w:t xml:space="preserve"> due to</w:t>
      </w:r>
      <w:r w:rsidRPr="00F250E3">
        <w:rPr>
          <w:sz w:val="24"/>
          <w:szCs w:val="24"/>
          <w:lang w:val="en-US"/>
        </w:rPr>
        <w:t xml:space="preserve"> </w:t>
      </w:r>
      <w:r w:rsidRPr="00F250E3">
        <w:rPr>
          <w:b/>
          <w:bCs/>
          <w:sz w:val="24"/>
          <w:szCs w:val="24"/>
          <w:lang w:val="en-US"/>
        </w:rPr>
        <w:t xml:space="preserve">poor working conditions and </w:t>
      </w:r>
      <w:r>
        <w:rPr>
          <w:b/>
          <w:bCs/>
          <w:sz w:val="24"/>
          <w:szCs w:val="24"/>
          <w:lang w:val="en-US"/>
        </w:rPr>
        <w:t xml:space="preserve">a poor </w:t>
      </w:r>
      <w:r w:rsidRPr="00F250E3">
        <w:rPr>
          <w:b/>
          <w:bCs/>
          <w:sz w:val="24"/>
          <w:szCs w:val="24"/>
          <w:lang w:val="en-US"/>
        </w:rPr>
        <w:t>working environment</w:t>
      </w:r>
      <w:r w:rsidRPr="00F250E3">
        <w:rPr>
          <w:sz w:val="24"/>
          <w:szCs w:val="24"/>
          <w:lang w:val="en-US"/>
        </w:rPr>
        <w:t>. For instance, lack of access to proper sanitation system</w:t>
      </w:r>
      <w:r>
        <w:rPr>
          <w:sz w:val="24"/>
          <w:szCs w:val="24"/>
          <w:lang w:val="en-US"/>
        </w:rPr>
        <w:t>s</w:t>
      </w:r>
      <w:r w:rsidRPr="00F250E3">
        <w:rPr>
          <w:sz w:val="24"/>
          <w:szCs w:val="24"/>
          <w:lang w:val="en-US"/>
        </w:rPr>
        <w:t xml:space="preserve"> on plantations increase </w:t>
      </w:r>
      <w:r>
        <w:rPr>
          <w:sz w:val="24"/>
          <w:szCs w:val="24"/>
          <w:lang w:val="en-US"/>
        </w:rPr>
        <w:t>workers’</w:t>
      </w:r>
      <w:r w:rsidRPr="00F250E3">
        <w:rPr>
          <w:sz w:val="24"/>
          <w:szCs w:val="24"/>
          <w:lang w:val="en-US"/>
        </w:rPr>
        <w:t xml:space="preserve"> risk of being sexually harassed or abused. Travel to and from plantations can also expose women workers to violence and harassment when there is no safe and adequate transport as it forces women to walk long distance or hitch-hike to and from fields. Moreover, violence and harassment can happen in crowded mixed public transport, even </w:t>
      </w:r>
      <w:r>
        <w:rPr>
          <w:sz w:val="24"/>
          <w:szCs w:val="24"/>
          <w:lang w:val="en-US"/>
        </w:rPr>
        <w:t>that</w:t>
      </w:r>
      <w:r w:rsidRPr="00F250E3">
        <w:rPr>
          <w:sz w:val="24"/>
          <w:szCs w:val="24"/>
          <w:lang w:val="en-US"/>
        </w:rPr>
        <w:t xml:space="preserve"> provided by employers. </w:t>
      </w:r>
    </w:p>
    <w:p w14:paraId="6FB154D9" w14:textId="77777777" w:rsidR="005462CE" w:rsidRPr="00F250E3" w:rsidRDefault="005462CE" w:rsidP="005462CE">
      <w:pPr>
        <w:jc w:val="both"/>
        <w:rPr>
          <w:sz w:val="24"/>
          <w:szCs w:val="24"/>
        </w:rPr>
      </w:pPr>
    </w:p>
    <w:p w14:paraId="0110FD5A" w14:textId="73F0113B" w:rsidR="005462CE" w:rsidRPr="00F250E3" w:rsidRDefault="005462CE" w:rsidP="005462CE">
      <w:pPr>
        <w:jc w:val="both"/>
        <w:rPr>
          <w:sz w:val="24"/>
          <w:szCs w:val="24"/>
        </w:rPr>
      </w:pPr>
      <w:r w:rsidRPr="00F250E3">
        <w:rPr>
          <w:sz w:val="24"/>
          <w:szCs w:val="24"/>
        </w:rPr>
        <w:t xml:space="preserve">A 2018 </w:t>
      </w:r>
      <w:hyperlink r:id="rId13">
        <w:r w:rsidRPr="00F250E3">
          <w:rPr>
            <w:color w:val="1155CC"/>
            <w:sz w:val="24"/>
            <w:szCs w:val="24"/>
            <w:u w:val="single"/>
          </w:rPr>
          <w:t>ILO</w:t>
        </w:r>
      </w:hyperlink>
      <w:r w:rsidRPr="00F250E3">
        <w:rPr>
          <w:sz w:val="24"/>
          <w:szCs w:val="24"/>
        </w:rPr>
        <w:t xml:space="preserve"> working paper pointed out that, because of the conditions in which they work, </w:t>
      </w:r>
      <w:r>
        <w:rPr>
          <w:sz w:val="24"/>
          <w:szCs w:val="24"/>
        </w:rPr>
        <w:t>“</w:t>
      </w:r>
      <w:r w:rsidRPr="00F250E3">
        <w:rPr>
          <w:sz w:val="24"/>
          <w:szCs w:val="24"/>
        </w:rPr>
        <w:t>agricultural workers can be more exposed to violence and harassment</w:t>
      </w:r>
      <w:r>
        <w:rPr>
          <w:sz w:val="24"/>
          <w:szCs w:val="24"/>
        </w:rPr>
        <w:t>,” and adds that</w:t>
      </w:r>
      <w:r w:rsidRPr="00F250E3">
        <w:rPr>
          <w:sz w:val="24"/>
          <w:szCs w:val="24"/>
        </w:rPr>
        <w:t xml:space="preserve"> </w:t>
      </w:r>
      <w:r>
        <w:rPr>
          <w:sz w:val="24"/>
          <w:szCs w:val="24"/>
        </w:rPr>
        <w:t>c</w:t>
      </w:r>
      <w:r w:rsidRPr="00F250E3">
        <w:rPr>
          <w:sz w:val="24"/>
          <w:szCs w:val="24"/>
        </w:rPr>
        <w:t>apturing their incidence is difficult though studies that have been carried out</w:t>
      </w:r>
      <w:r>
        <w:rPr>
          <w:sz w:val="24"/>
          <w:szCs w:val="24"/>
        </w:rPr>
        <w:t xml:space="preserve"> have made</w:t>
      </w:r>
      <w:r w:rsidRPr="00F250E3">
        <w:rPr>
          <w:sz w:val="24"/>
          <w:szCs w:val="24"/>
        </w:rPr>
        <w:t xml:space="preserve"> alarming</w:t>
      </w:r>
      <w:r>
        <w:rPr>
          <w:sz w:val="24"/>
          <w:szCs w:val="24"/>
        </w:rPr>
        <w:t xml:space="preserve"> findings</w:t>
      </w:r>
      <w:r w:rsidRPr="00F250E3">
        <w:rPr>
          <w:sz w:val="24"/>
          <w:szCs w:val="24"/>
        </w:rPr>
        <w:t xml:space="preserve">. The </w:t>
      </w:r>
      <w:r>
        <w:rPr>
          <w:sz w:val="24"/>
          <w:szCs w:val="24"/>
        </w:rPr>
        <w:t>working paper</w:t>
      </w:r>
      <w:r w:rsidRPr="00F250E3">
        <w:rPr>
          <w:sz w:val="24"/>
          <w:szCs w:val="24"/>
        </w:rPr>
        <w:t xml:space="preserve"> cite</w:t>
      </w:r>
      <w:r>
        <w:rPr>
          <w:sz w:val="24"/>
          <w:szCs w:val="24"/>
        </w:rPr>
        <w:t>s</w:t>
      </w:r>
      <w:r w:rsidRPr="00F250E3">
        <w:rPr>
          <w:sz w:val="24"/>
          <w:szCs w:val="24"/>
        </w:rPr>
        <w:t xml:space="preserve"> several investigations in </w:t>
      </w:r>
      <w:r>
        <w:rPr>
          <w:sz w:val="24"/>
          <w:szCs w:val="24"/>
        </w:rPr>
        <w:t>various</w:t>
      </w:r>
      <w:r w:rsidRPr="00F250E3">
        <w:rPr>
          <w:sz w:val="24"/>
          <w:szCs w:val="24"/>
        </w:rPr>
        <w:t xml:space="preserve"> countries </w:t>
      </w:r>
      <w:r>
        <w:rPr>
          <w:sz w:val="24"/>
          <w:szCs w:val="24"/>
        </w:rPr>
        <w:t>and</w:t>
      </w:r>
      <w:r w:rsidRPr="00F250E3">
        <w:rPr>
          <w:sz w:val="24"/>
          <w:szCs w:val="24"/>
        </w:rPr>
        <w:t xml:space="preserve"> branches of agribusiness</w:t>
      </w:r>
      <w:r>
        <w:rPr>
          <w:sz w:val="24"/>
          <w:szCs w:val="24"/>
        </w:rPr>
        <w:t>, noting that</w:t>
      </w:r>
      <w:r w:rsidRPr="00F250E3">
        <w:rPr>
          <w:sz w:val="24"/>
          <w:szCs w:val="24"/>
        </w:rPr>
        <w:t xml:space="preserve"> </w:t>
      </w:r>
      <w:r>
        <w:rPr>
          <w:sz w:val="24"/>
          <w:szCs w:val="24"/>
        </w:rPr>
        <w:t>s</w:t>
      </w:r>
      <w:r w:rsidRPr="00F250E3">
        <w:rPr>
          <w:sz w:val="24"/>
          <w:szCs w:val="24"/>
        </w:rPr>
        <w:t xml:space="preserve">exual harassment occurs in packhouses of </w:t>
      </w:r>
      <w:r>
        <w:rPr>
          <w:sz w:val="24"/>
          <w:szCs w:val="24"/>
        </w:rPr>
        <w:t>Kenya’s</w:t>
      </w:r>
      <w:r w:rsidRPr="00F250E3">
        <w:rPr>
          <w:sz w:val="24"/>
          <w:szCs w:val="24"/>
        </w:rPr>
        <w:t xml:space="preserve"> horticulture, </w:t>
      </w:r>
      <w:proofErr w:type="gramStart"/>
      <w:r w:rsidRPr="00F250E3">
        <w:rPr>
          <w:sz w:val="24"/>
          <w:szCs w:val="24"/>
        </w:rPr>
        <w:t>tea</w:t>
      </w:r>
      <w:proofErr w:type="gramEnd"/>
      <w:r w:rsidRPr="00F250E3">
        <w:rPr>
          <w:sz w:val="24"/>
          <w:szCs w:val="24"/>
        </w:rPr>
        <w:t xml:space="preserve"> and rubber plantations in Sri Lanka, on grape and vegetable </w:t>
      </w:r>
      <w:r>
        <w:rPr>
          <w:sz w:val="24"/>
          <w:szCs w:val="24"/>
        </w:rPr>
        <w:t xml:space="preserve">export </w:t>
      </w:r>
      <w:r w:rsidRPr="00F250E3">
        <w:rPr>
          <w:sz w:val="24"/>
          <w:szCs w:val="24"/>
        </w:rPr>
        <w:t xml:space="preserve">farms in Mexico and in the cut flower </w:t>
      </w:r>
      <w:r>
        <w:rPr>
          <w:sz w:val="24"/>
          <w:szCs w:val="24"/>
        </w:rPr>
        <w:t>industry</w:t>
      </w:r>
      <w:r w:rsidRPr="00F250E3">
        <w:rPr>
          <w:sz w:val="24"/>
          <w:szCs w:val="24"/>
        </w:rPr>
        <w:t xml:space="preserve"> in Ecuador. The literature </w:t>
      </w:r>
      <w:r>
        <w:rPr>
          <w:sz w:val="24"/>
          <w:szCs w:val="24"/>
        </w:rPr>
        <w:t>search for the working paper “</w:t>
      </w:r>
      <w:r w:rsidRPr="00F250E3">
        <w:rPr>
          <w:sz w:val="24"/>
          <w:szCs w:val="24"/>
        </w:rPr>
        <w:t xml:space="preserve">did not </w:t>
      </w:r>
      <w:r>
        <w:rPr>
          <w:sz w:val="24"/>
          <w:szCs w:val="24"/>
        </w:rPr>
        <w:t>un</w:t>
      </w:r>
      <w:r w:rsidRPr="00F250E3">
        <w:rPr>
          <w:sz w:val="24"/>
          <w:szCs w:val="24"/>
        </w:rPr>
        <w:t>cover global figures</w:t>
      </w:r>
      <w:r>
        <w:rPr>
          <w:sz w:val="24"/>
          <w:szCs w:val="24"/>
        </w:rPr>
        <w:t>,</w:t>
      </w:r>
      <w:r w:rsidRPr="00F250E3">
        <w:rPr>
          <w:sz w:val="24"/>
          <w:szCs w:val="24"/>
        </w:rPr>
        <w:t xml:space="preserve"> but </w:t>
      </w:r>
      <w:r>
        <w:rPr>
          <w:sz w:val="24"/>
          <w:szCs w:val="24"/>
        </w:rPr>
        <w:t>case studies are suggestive</w:t>
      </w:r>
      <w:r w:rsidRPr="00F250E3">
        <w:rPr>
          <w:sz w:val="24"/>
          <w:szCs w:val="24"/>
        </w:rPr>
        <w:t>. In Ecuador 55</w:t>
      </w:r>
      <w:r>
        <w:rPr>
          <w:sz w:val="24"/>
          <w:szCs w:val="24"/>
        </w:rPr>
        <w:t>.45 per cent</w:t>
      </w:r>
      <w:r w:rsidRPr="00F250E3">
        <w:rPr>
          <w:sz w:val="24"/>
          <w:szCs w:val="24"/>
        </w:rPr>
        <w:t xml:space="preserve"> of women </w:t>
      </w:r>
      <w:r>
        <w:rPr>
          <w:sz w:val="24"/>
          <w:szCs w:val="24"/>
        </w:rPr>
        <w:t>agricultural</w:t>
      </w:r>
      <w:r w:rsidRPr="00F250E3">
        <w:rPr>
          <w:sz w:val="24"/>
          <w:szCs w:val="24"/>
        </w:rPr>
        <w:t xml:space="preserve"> workers had experienced sexual violence and harassment by supervisors and other workers. For </w:t>
      </w:r>
      <w:r>
        <w:rPr>
          <w:sz w:val="24"/>
          <w:szCs w:val="24"/>
        </w:rPr>
        <w:t>workers</w:t>
      </w:r>
      <w:r w:rsidRPr="00F250E3">
        <w:rPr>
          <w:sz w:val="24"/>
          <w:szCs w:val="24"/>
        </w:rPr>
        <w:t xml:space="preserve"> between the ages of 20 and 24, the figure </w:t>
      </w:r>
      <w:r>
        <w:rPr>
          <w:sz w:val="24"/>
          <w:szCs w:val="24"/>
        </w:rPr>
        <w:t>was 70.97 per cent</w:t>
      </w:r>
      <w:r w:rsidR="007C1689">
        <w:rPr>
          <w:sz w:val="24"/>
          <w:szCs w:val="24"/>
        </w:rPr>
        <w:t>.</w:t>
      </w:r>
      <w:r>
        <w:rPr>
          <w:sz w:val="24"/>
          <w:szCs w:val="24"/>
        </w:rPr>
        <w:t xml:space="preserve"> Some</w:t>
      </w:r>
      <w:r w:rsidRPr="00F250E3">
        <w:rPr>
          <w:sz w:val="24"/>
          <w:szCs w:val="24"/>
        </w:rPr>
        <w:t xml:space="preserve"> 18</w:t>
      </w:r>
      <w:r>
        <w:rPr>
          <w:sz w:val="24"/>
          <w:szCs w:val="24"/>
        </w:rPr>
        <w:t xml:space="preserve">.81 per cent of workers interviewed </w:t>
      </w:r>
      <w:r w:rsidRPr="00F250E3">
        <w:rPr>
          <w:sz w:val="24"/>
          <w:szCs w:val="24"/>
        </w:rPr>
        <w:t xml:space="preserve">had been forced to have sex with a </w:t>
      </w:r>
      <w:r>
        <w:rPr>
          <w:sz w:val="24"/>
          <w:szCs w:val="24"/>
        </w:rPr>
        <w:t xml:space="preserve">co-worker or hierarchical superior.” </w:t>
      </w:r>
    </w:p>
    <w:p w14:paraId="03D40432" w14:textId="77777777" w:rsidR="005462CE" w:rsidRPr="00E178C5" w:rsidRDefault="005462CE" w:rsidP="005462CE">
      <w:pPr>
        <w:jc w:val="both"/>
        <w:rPr>
          <w:strike/>
          <w:sz w:val="24"/>
          <w:szCs w:val="24"/>
        </w:rPr>
      </w:pPr>
    </w:p>
    <w:p w14:paraId="77B1A2DE" w14:textId="77777777" w:rsidR="005462CE" w:rsidRPr="00050766" w:rsidRDefault="005462CE" w:rsidP="005462CE">
      <w:pPr>
        <w:jc w:val="both"/>
        <w:rPr>
          <w:sz w:val="24"/>
          <w:szCs w:val="24"/>
        </w:rPr>
      </w:pPr>
      <w:r w:rsidRPr="00F250E3">
        <w:rPr>
          <w:sz w:val="24"/>
          <w:szCs w:val="24"/>
        </w:rPr>
        <w:t xml:space="preserve">IUF’s affiliate in Malawi has been attempting to combat widespread sexual abuse </w:t>
      </w:r>
      <w:r>
        <w:rPr>
          <w:sz w:val="24"/>
          <w:szCs w:val="24"/>
        </w:rPr>
        <w:t>at</w:t>
      </w:r>
      <w:r w:rsidRPr="00F250E3">
        <w:rPr>
          <w:sz w:val="24"/>
          <w:szCs w:val="24"/>
        </w:rPr>
        <w:t xml:space="preserve"> the country’s tea plantations where, in some cases, women workers are forced to have sexual relations with supervisors </w:t>
      </w:r>
      <w:proofErr w:type="gramStart"/>
      <w:r w:rsidRPr="00F250E3">
        <w:rPr>
          <w:sz w:val="24"/>
          <w:szCs w:val="24"/>
        </w:rPr>
        <w:t>in order to</w:t>
      </w:r>
      <w:proofErr w:type="gramEnd"/>
      <w:r w:rsidRPr="00F250E3">
        <w:rPr>
          <w:sz w:val="24"/>
          <w:szCs w:val="24"/>
        </w:rPr>
        <w:t xml:space="preserve"> be employed on a seasonal basis. One employer’s refusal to address complaints about the practice led to an out-of-court settlement for workers represented by </w:t>
      </w:r>
      <w:r>
        <w:rPr>
          <w:sz w:val="24"/>
          <w:szCs w:val="24"/>
        </w:rPr>
        <w:t xml:space="preserve">the </w:t>
      </w:r>
      <w:r w:rsidRPr="00F250E3">
        <w:rPr>
          <w:sz w:val="24"/>
          <w:szCs w:val="24"/>
        </w:rPr>
        <w:t xml:space="preserve">British law firm Leigh Day, who were able to bring a case under English jurisdiction because the product was sold in the UK. </w:t>
      </w:r>
      <w:r>
        <w:rPr>
          <w:sz w:val="24"/>
          <w:szCs w:val="24"/>
        </w:rPr>
        <w:t>T</w:t>
      </w:r>
      <w:r w:rsidRPr="00F250E3">
        <w:rPr>
          <w:sz w:val="24"/>
          <w:szCs w:val="24"/>
        </w:rPr>
        <w:t xml:space="preserve">he details of the settlement are subject </w:t>
      </w:r>
      <w:r>
        <w:rPr>
          <w:sz w:val="24"/>
          <w:szCs w:val="24"/>
        </w:rPr>
        <w:t>to</w:t>
      </w:r>
      <w:r w:rsidRPr="00F250E3">
        <w:rPr>
          <w:sz w:val="24"/>
          <w:szCs w:val="24"/>
        </w:rPr>
        <w:t xml:space="preserve"> a confidentiality clause and no admission of liability from the </w:t>
      </w:r>
      <w:r w:rsidRPr="00F250E3">
        <w:rPr>
          <w:sz w:val="24"/>
          <w:szCs w:val="24"/>
        </w:rPr>
        <w:lastRenderedPageBreak/>
        <w:t xml:space="preserve">employer was made. </w:t>
      </w:r>
      <w:r>
        <w:rPr>
          <w:color w:val="000000" w:themeColor="text1"/>
          <w:sz w:val="24"/>
          <w:szCs w:val="24"/>
          <w:lang w:val="en-CA"/>
        </w:rPr>
        <w:t>T</w:t>
      </w:r>
      <w:r w:rsidRPr="00050766">
        <w:rPr>
          <w:color w:val="000000" w:themeColor="text1"/>
          <w:sz w:val="24"/>
          <w:szCs w:val="24"/>
          <w:lang w:val="en-US"/>
        </w:rPr>
        <w:t xml:space="preserve">he </w:t>
      </w:r>
      <w:r w:rsidRPr="00050766">
        <w:rPr>
          <w:color w:val="000000" w:themeColor="text1"/>
          <w:sz w:val="24"/>
          <w:szCs w:val="24"/>
        </w:rPr>
        <w:t xml:space="preserve">IUF has filed a complaint with the ILO Committee of Experts </w:t>
      </w:r>
      <w:r w:rsidRPr="00050766">
        <w:rPr>
          <w:color w:val="000000" w:themeColor="text1"/>
          <w:sz w:val="24"/>
          <w:szCs w:val="24"/>
          <w:lang w:val="en-US"/>
        </w:rPr>
        <w:t xml:space="preserve">on the Application of Conventions and Recommendations </w:t>
      </w:r>
      <w:r w:rsidRPr="00050766">
        <w:rPr>
          <w:color w:val="000000" w:themeColor="text1"/>
          <w:sz w:val="24"/>
          <w:szCs w:val="24"/>
        </w:rPr>
        <w:t xml:space="preserve">(CEACR) on </w:t>
      </w:r>
      <w:r w:rsidRPr="00050766">
        <w:rPr>
          <w:color w:val="000000" w:themeColor="text1"/>
          <w:sz w:val="24"/>
          <w:szCs w:val="24"/>
          <w:lang w:val="en-US"/>
        </w:rPr>
        <w:t>Malawi’s</w:t>
      </w:r>
      <w:r w:rsidRPr="00050766">
        <w:rPr>
          <w:color w:val="000000" w:themeColor="text1"/>
          <w:sz w:val="24"/>
          <w:szCs w:val="24"/>
        </w:rPr>
        <w:t xml:space="preserve"> failure to protect women workers from sexual harassment under </w:t>
      </w:r>
      <w:r w:rsidRPr="00050766">
        <w:rPr>
          <w:color w:val="000000" w:themeColor="text1"/>
          <w:sz w:val="24"/>
          <w:szCs w:val="24"/>
          <w:lang w:val="en-US"/>
        </w:rPr>
        <w:t xml:space="preserve">ILO </w:t>
      </w:r>
      <w:r w:rsidRPr="00050766">
        <w:rPr>
          <w:color w:val="000000" w:themeColor="text1"/>
          <w:sz w:val="24"/>
          <w:szCs w:val="24"/>
        </w:rPr>
        <w:t xml:space="preserve">Convention </w:t>
      </w:r>
      <w:hyperlink r:id="rId14" w:history="1">
        <w:r w:rsidRPr="003864D3">
          <w:rPr>
            <w:rStyle w:val="Hyperlink"/>
            <w:sz w:val="24"/>
            <w:szCs w:val="24"/>
          </w:rPr>
          <w:t>111 on Discrimination (Employment and Occupation)</w:t>
        </w:r>
      </w:hyperlink>
      <w:r w:rsidRPr="00050766">
        <w:rPr>
          <w:color w:val="000000" w:themeColor="text1"/>
          <w:sz w:val="24"/>
          <w:szCs w:val="24"/>
        </w:rPr>
        <w:t xml:space="preserve"> and </w:t>
      </w:r>
      <w:hyperlink r:id="rId15" w:history="1">
        <w:r w:rsidRPr="003864D3">
          <w:rPr>
            <w:rStyle w:val="Hyperlink"/>
            <w:sz w:val="24"/>
            <w:szCs w:val="24"/>
            <w:lang w:val="en-US"/>
          </w:rPr>
          <w:t>Convention 1</w:t>
        </w:r>
        <w:r w:rsidRPr="003864D3">
          <w:rPr>
            <w:rStyle w:val="Hyperlink"/>
            <w:sz w:val="24"/>
            <w:szCs w:val="24"/>
          </w:rPr>
          <w:t>84 on Safety and Health in Agriculture</w:t>
        </w:r>
      </w:hyperlink>
      <w:r w:rsidRPr="00050766">
        <w:rPr>
          <w:color w:val="000000" w:themeColor="text1"/>
          <w:sz w:val="24"/>
          <w:szCs w:val="24"/>
          <w:lang w:val="en-US"/>
        </w:rPr>
        <w:t>.</w:t>
      </w:r>
    </w:p>
    <w:p w14:paraId="74C20687" w14:textId="77777777" w:rsidR="005462CE" w:rsidRPr="00F250E3" w:rsidRDefault="005462CE" w:rsidP="005462CE">
      <w:pPr>
        <w:jc w:val="both"/>
        <w:rPr>
          <w:sz w:val="24"/>
          <w:szCs w:val="24"/>
        </w:rPr>
      </w:pPr>
    </w:p>
    <w:p w14:paraId="52816EF0" w14:textId="77777777" w:rsidR="005462CE" w:rsidRPr="00BD23A7" w:rsidRDefault="005462CE" w:rsidP="005462CE">
      <w:pPr>
        <w:jc w:val="both"/>
        <w:rPr>
          <w:rFonts w:eastAsia="Roboto"/>
          <w:b/>
          <w:bCs/>
          <w:i/>
          <w:iCs/>
          <w:color w:val="434343"/>
          <w:sz w:val="24"/>
          <w:szCs w:val="24"/>
        </w:rPr>
      </w:pPr>
      <w:r w:rsidRPr="00F250E3">
        <w:rPr>
          <w:rFonts w:eastAsia="Roboto"/>
          <w:b/>
          <w:bCs/>
          <w:i/>
          <w:iCs/>
          <w:color w:val="434343"/>
          <w:sz w:val="24"/>
          <w:szCs w:val="24"/>
        </w:rPr>
        <w:t xml:space="preserve">Hospitality sector. </w:t>
      </w:r>
      <w:r>
        <w:rPr>
          <w:sz w:val="24"/>
          <w:szCs w:val="24"/>
          <w:lang w:val="en-US"/>
        </w:rPr>
        <w:t xml:space="preserve">ILO </w:t>
      </w:r>
      <w:r w:rsidRPr="00F250E3">
        <w:rPr>
          <w:sz w:val="24"/>
          <w:szCs w:val="24"/>
          <w:lang w:val="en-US"/>
        </w:rPr>
        <w:t>C</w:t>
      </w:r>
      <w:r>
        <w:rPr>
          <w:sz w:val="24"/>
          <w:szCs w:val="24"/>
          <w:lang w:val="en-US"/>
        </w:rPr>
        <w:t xml:space="preserve">onvention </w:t>
      </w:r>
      <w:r w:rsidRPr="00F250E3">
        <w:rPr>
          <w:sz w:val="24"/>
          <w:szCs w:val="24"/>
          <w:lang w:val="en-US"/>
        </w:rPr>
        <w:t>190</w:t>
      </w:r>
      <w:r>
        <w:rPr>
          <w:sz w:val="24"/>
          <w:szCs w:val="24"/>
          <w:lang w:val="en-US"/>
        </w:rPr>
        <w:t xml:space="preserve"> calls for member States – when adopting an approach for the prevention and elimination of violence and harassment in the world of work – that the approach should </w:t>
      </w:r>
      <w:proofErr w:type="gramStart"/>
      <w:r>
        <w:rPr>
          <w:sz w:val="24"/>
          <w:szCs w:val="24"/>
          <w:lang w:val="en-US"/>
        </w:rPr>
        <w:t>take into account</w:t>
      </w:r>
      <w:proofErr w:type="gramEnd"/>
      <w:r>
        <w:rPr>
          <w:sz w:val="24"/>
          <w:szCs w:val="24"/>
          <w:lang w:val="en-US"/>
        </w:rPr>
        <w:t xml:space="preserve"> violence and harassment involving </w:t>
      </w:r>
      <w:r w:rsidRPr="00F250E3">
        <w:rPr>
          <w:b/>
          <w:bCs/>
          <w:sz w:val="24"/>
          <w:szCs w:val="24"/>
          <w:lang w:val="en-US"/>
        </w:rPr>
        <w:t>third parties</w:t>
      </w:r>
      <w:r w:rsidRPr="00F250E3">
        <w:rPr>
          <w:sz w:val="24"/>
          <w:szCs w:val="24"/>
          <w:lang w:val="en-US"/>
        </w:rPr>
        <w:t xml:space="preserve"> (</w:t>
      </w:r>
      <w:r>
        <w:rPr>
          <w:sz w:val="24"/>
          <w:szCs w:val="24"/>
          <w:lang w:val="en-US"/>
        </w:rPr>
        <w:t xml:space="preserve">such </w:t>
      </w:r>
      <w:r w:rsidRPr="00F250E3">
        <w:rPr>
          <w:sz w:val="24"/>
          <w:szCs w:val="24"/>
          <w:lang w:val="en-US"/>
        </w:rPr>
        <w:t>as clients, customers, users, service providers</w:t>
      </w:r>
      <w:r>
        <w:rPr>
          <w:sz w:val="24"/>
          <w:szCs w:val="24"/>
          <w:lang w:val="en-US"/>
        </w:rPr>
        <w:t>, and others</w:t>
      </w:r>
      <w:r w:rsidRPr="00F250E3">
        <w:rPr>
          <w:sz w:val="24"/>
          <w:szCs w:val="24"/>
          <w:lang w:val="en-US"/>
        </w:rPr>
        <w:t xml:space="preserve">). The hospitality sector is among the concerned sectors and listed as such in </w:t>
      </w:r>
      <w:hyperlink r:id="rId16" w:history="1">
        <w:r>
          <w:rPr>
            <w:rStyle w:val="Hyperlink"/>
            <w:sz w:val="24"/>
            <w:szCs w:val="24"/>
            <w:lang w:val="en-US"/>
          </w:rPr>
          <w:t>article</w:t>
        </w:r>
        <w:r w:rsidRPr="00F250E3">
          <w:rPr>
            <w:rStyle w:val="Hyperlink"/>
            <w:sz w:val="24"/>
            <w:szCs w:val="24"/>
            <w:lang w:val="en-US"/>
          </w:rPr>
          <w:t xml:space="preserve"> 9 of R206</w:t>
        </w:r>
      </w:hyperlink>
      <w:r w:rsidRPr="00F250E3">
        <w:rPr>
          <w:sz w:val="24"/>
          <w:szCs w:val="24"/>
          <w:lang w:val="en-US"/>
        </w:rPr>
        <w:t>. “</w:t>
      </w:r>
      <w:r>
        <w:rPr>
          <w:sz w:val="24"/>
          <w:szCs w:val="24"/>
          <w:lang w:val="en-US"/>
        </w:rPr>
        <w:t>T</w:t>
      </w:r>
      <w:r w:rsidRPr="00F250E3">
        <w:rPr>
          <w:sz w:val="24"/>
          <w:szCs w:val="24"/>
          <w:lang w:val="en-US"/>
        </w:rPr>
        <w:t xml:space="preserve">ipping” culture can also contribute to higher risk of sexual harassment. </w:t>
      </w:r>
      <w:r w:rsidRPr="00F250E3">
        <w:rPr>
          <w:rFonts w:eastAsia="Roboto"/>
          <w:color w:val="434343"/>
          <w:sz w:val="24"/>
          <w:szCs w:val="24"/>
        </w:rPr>
        <w:t xml:space="preserve">A disproportionate number of staff in the hospitality industry are victims of sexual harassment and abuse. The aim of </w:t>
      </w:r>
      <w:r>
        <w:rPr>
          <w:rFonts w:eastAsia="Roboto"/>
          <w:color w:val="434343"/>
          <w:sz w:val="24"/>
          <w:szCs w:val="24"/>
        </w:rPr>
        <w:t xml:space="preserve">the hospitality </w:t>
      </w:r>
      <w:r w:rsidRPr="00F250E3">
        <w:rPr>
          <w:rFonts w:eastAsia="Roboto"/>
          <w:color w:val="434343"/>
          <w:sz w:val="24"/>
          <w:szCs w:val="24"/>
        </w:rPr>
        <w:t>business is to please the customer</w:t>
      </w:r>
      <w:r>
        <w:rPr>
          <w:rFonts w:eastAsia="Roboto"/>
          <w:color w:val="434343"/>
          <w:sz w:val="24"/>
          <w:szCs w:val="24"/>
        </w:rPr>
        <w:t>,</w:t>
      </w:r>
      <w:r w:rsidRPr="00F250E3">
        <w:rPr>
          <w:rFonts w:eastAsia="Roboto"/>
          <w:color w:val="434343"/>
          <w:sz w:val="24"/>
          <w:szCs w:val="24"/>
        </w:rPr>
        <w:t xml:space="preserve"> and workers are encouraged to be courteous and friendly even when they </w:t>
      </w:r>
      <w:r>
        <w:rPr>
          <w:rFonts w:eastAsia="Roboto"/>
          <w:color w:val="434343"/>
          <w:sz w:val="24"/>
          <w:szCs w:val="24"/>
        </w:rPr>
        <w:t>are</w:t>
      </w:r>
      <w:r w:rsidRPr="00F250E3">
        <w:rPr>
          <w:rFonts w:eastAsia="Roboto"/>
          <w:color w:val="434343"/>
          <w:sz w:val="24"/>
          <w:szCs w:val="24"/>
        </w:rPr>
        <w:t xml:space="preserve"> the subject of improper behavior or unwelcome sexual comments or approaches. In hotels, there is often a significant power imbalance between the client and the worker in terms of social and economic status</w:t>
      </w:r>
      <w:r>
        <w:rPr>
          <w:rFonts w:eastAsia="Roboto"/>
          <w:color w:val="434343"/>
          <w:sz w:val="24"/>
          <w:szCs w:val="24"/>
        </w:rPr>
        <w:t>,</w:t>
      </w:r>
      <w:r w:rsidRPr="00F250E3">
        <w:rPr>
          <w:rFonts w:eastAsia="Roboto"/>
          <w:color w:val="434343"/>
          <w:sz w:val="24"/>
          <w:szCs w:val="24"/>
        </w:rPr>
        <w:t xml:space="preserve"> which leads to a higher probability of incidents taking place. Although men can be the victims of sexual harassment, it is women who experience it </w:t>
      </w:r>
      <w:r>
        <w:rPr>
          <w:rFonts w:eastAsia="Roboto"/>
          <w:color w:val="434343"/>
          <w:sz w:val="24"/>
          <w:szCs w:val="24"/>
        </w:rPr>
        <w:t xml:space="preserve">the </w:t>
      </w:r>
      <w:r w:rsidRPr="00F250E3">
        <w:rPr>
          <w:rFonts w:eastAsia="Roboto"/>
          <w:color w:val="434343"/>
          <w:sz w:val="24"/>
          <w:szCs w:val="24"/>
        </w:rPr>
        <w:t xml:space="preserve">most. </w:t>
      </w:r>
      <w:proofErr w:type="gramStart"/>
      <w:r w:rsidRPr="00F250E3">
        <w:rPr>
          <w:rFonts w:eastAsia="Roboto"/>
          <w:color w:val="434343"/>
          <w:sz w:val="24"/>
          <w:szCs w:val="24"/>
        </w:rPr>
        <w:t>The vast majority of</w:t>
      </w:r>
      <w:proofErr w:type="gramEnd"/>
      <w:r w:rsidRPr="00F250E3">
        <w:rPr>
          <w:rFonts w:eastAsia="Roboto"/>
          <w:color w:val="434343"/>
          <w:sz w:val="24"/>
          <w:szCs w:val="24"/>
        </w:rPr>
        <w:t xml:space="preserve"> hotel workers are women in low</w:t>
      </w:r>
      <w:r>
        <w:rPr>
          <w:rFonts w:eastAsia="Roboto"/>
          <w:color w:val="434343"/>
          <w:sz w:val="24"/>
          <w:szCs w:val="24"/>
        </w:rPr>
        <w:t>-</w:t>
      </w:r>
      <w:r w:rsidRPr="00F250E3">
        <w:rPr>
          <w:rFonts w:eastAsia="Roboto"/>
          <w:color w:val="434343"/>
          <w:sz w:val="24"/>
          <w:szCs w:val="24"/>
        </w:rPr>
        <w:t>status occupations</w:t>
      </w:r>
      <w:r>
        <w:rPr>
          <w:rFonts w:eastAsia="Roboto"/>
          <w:color w:val="434343"/>
          <w:sz w:val="24"/>
          <w:szCs w:val="24"/>
        </w:rPr>
        <w:t>,</w:t>
      </w:r>
      <w:r w:rsidRPr="00F250E3">
        <w:rPr>
          <w:rFonts w:eastAsia="Roboto"/>
          <w:color w:val="434343"/>
          <w:sz w:val="24"/>
          <w:szCs w:val="24"/>
        </w:rPr>
        <w:t xml:space="preserve"> while management positions are dominated by males who can abuse their authority to gain sexual </w:t>
      </w:r>
      <w:proofErr w:type="spellStart"/>
      <w:r w:rsidRPr="00F250E3">
        <w:rPr>
          <w:rFonts w:eastAsia="Roboto"/>
          <w:color w:val="434343"/>
          <w:sz w:val="24"/>
          <w:szCs w:val="24"/>
        </w:rPr>
        <w:t>favours</w:t>
      </w:r>
      <w:proofErr w:type="spellEnd"/>
      <w:r w:rsidRPr="00F250E3">
        <w:rPr>
          <w:rFonts w:eastAsia="Roboto"/>
          <w:color w:val="434343"/>
          <w:sz w:val="24"/>
          <w:szCs w:val="24"/>
        </w:rPr>
        <w:t>. In other parts of the hospitality industry, women are encouraged, or even required, to look alluring and attractive to male customers, a practice that can lead to the objectification of women by clients and result in harassment.</w:t>
      </w:r>
    </w:p>
    <w:p w14:paraId="4A89DDCE" w14:textId="77777777" w:rsidR="005462CE" w:rsidRPr="00F250E3" w:rsidRDefault="005462CE" w:rsidP="005462CE">
      <w:pPr>
        <w:jc w:val="both"/>
        <w:rPr>
          <w:rFonts w:eastAsia="Roboto"/>
          <w:color w:val="434343"/>
          <w:sz w:val="24"/>
          <w:szCs w:val="24"/>
        </w:rPr>
      </w:pPr>
    </w:p>
    <w:p w14:paraId="260F01E7" w14:textId="77777777" w:rsidR="005462CE" w:rsidRPr="00F250E3" w:rsidRDefault="005462CE" w:rsidP="005462CE">
      <w:pPr>
        <w:jc w:val="both"/>
        <w:rPr>
          <w:rFonts w:eastAsia="Roboto"/>
          <w:color w:val="434343"/>
          <w:sz w:val="24"/>
          <w:szCs w:val="24"/>
        </w:rPr>
      </w:pPr>
      <w:r w:rsidRPr="00F250E3">
        <w:rPr>
          <w:rFonts w:eastAsia="Roboto"/>
          <w:color w:val="434343"/>
          <w:sz w:val="24"/>
          <w:szCs w:val="24"/>
        </w:rPr>
        <w:t xml:space="preserve">A website advertising hospitality management degrees in the </w:t>
      </w:r>
      <w:r>
        <w:rPr>
          <w:rFonts w:eastAsia="Roboto"/>
          <w:color w:val="434343"/>
          <w:sz w:val="24"/>
          <w:szCs w:val="24"/>
        </w:rPr>
        <w:t>United States</w:t>
      </w:r>
      <w:r w:rsidRPr="00F250E3">
        <w:rPr>
          <w:rFonts w:eastAsia="Roboto"/>
          <w:color w:val="434343"/>
          <w:sz w:val="24"/>
          <w:szCs w:val="24"/>
        </w:rPr>
        <w:t xml:space="preserve"> published on its pages an </w:t>
      </w:r>
      <w:hyperlink r:id="rId17">
        <w:r w:rsidRPr="00F250E3">
          <w:rPr>
            <w:rFonts w:eastAsia="Roboto"/>
            <w:color w:val="1155CC"/>
            <w:sz w:val="24"/>
            <w:szCs w:val="24"/>
            <w:u w:val="single"/>
          </w:rPr>
          <w:t>infographic</w:t>
        </w:r>
      </w:hyperlink>
      <w:r w:rsidRPr="00F250E3">
        <w:rPr>
          <w:rFonts w:eastAsia="Roboto"/>
          <w:color w:val="434343"/>
          <w:sz w:val="24"/>
          <w:szCs w:val="24"/>
        </w:rPr>
        <w:t xml:space="preserve"> containing a summary of studies on sexual harassment there. Among the findings were the startling statistic that 3 out of 10 female employees had been sexually harassed at work but in the hospitality sector the figure jumped to 9 out of 10. Restaurant workers were the most likely to be affected and surveys have shown that a significant proportion of employers do not take sexual harassment seriously, let alone have a formal policy for dealing with it.</w:t>
      </w:r>
    </w:p>
    <w:p w14:paraId="28C8BB22" w14:textId="77777777" w:rsidR="005462CE" w:rsidRPr="00F250E3" w:rsidRDefault="005462CE" w:rsidP="005462CE">
      <w:pPr>
        <w:jc w:val="both"/>
        <w:rPr>
          <w:rFonts w:eastAsia="Roboto"/>
          <w:color w:val="434343"/>
          <w:sz w:val="24"/>
          <w:szCs w:val="24"/>
        </w:rPr>
      </w:pPr>
    </w:p>
    <w:p w14:paraId="37BFD461" w14:textId="77777777" w:rsidR="005462CE" w:rsidRPr="00F250E3" w:rsidRDefault="005462CE" w:rsidP="005462CE">
      <w:pPr>
        <w:jc w:val="both"/>
        <w:rPr>
          <w:rFonts w:eastAsia="Roboto"/>
          <w:color w:val="434343"/>
          <w:sz w:val="24"/>
          <w:szCs w:val="24"/>
        </w:rPr>
      </w:pPr>
      <w:r w:rsidRPr="00F250E3">
        <w:rPr>
          <w:rFonts w:eastAsia="Roboto"/>
          <w:color w:val="434343"/>
          <w:sz w:val="24"/>
          <w:szCs w:val="24"/>
        </w:rPr>
        <w:t xml:space="preserve">Before the </w:t>
      </w:r>
      <w:r w:rsidRPr="009B301D">
        <w:rPr>
          <w:rFonts w:eastAsia="Roboto"/>
          <w:i/>
          <w:iCs/>
          <w:color w:val="434343"/>
          <w:sz w:val="24"/>
          <w:szCs w:val="24"/>
        </w:rPr>
        <w:t>‘Me too</w:t>
      </w:r>
      <w:r w:rsidRPr="004A70FD">
        <w:rPr>
          <w:rFonts w:eastAsia="Roboto"/>
          <w:color w:val="434343"/>
          <w:sz w:val="24"/>
          <w:szCs w:val="24"/>
        </w:rPr>
        <w:t>’</w:t>
      </w:r>
      <w:r w:rsidRPr="00F250E3">
        <w:rPr>
          <w:rFonts w:eastAsia="Roboto"/>
          <w:color w:val="434343"/>
          <w:sz w:val="24"/>
          <w:szCs w:val="24"/>
        </w:rPr>
        <w:t xml:space="preserve"> movement took hold, trade unions </w:t>
      </w:r>
      <w:r>
        <w:rPr>
          <w:rFonts w:eastAsia="Roboto"/>
          <w:color w:val="434343"/>
          <w:sz w:val="24"/>
          <w:szCs w:val="24"/>
        </w:rPr>
        <w:t>were</w:t>
      </w:r>
      <w:r w:rsidRPr="00F250E3">
        <w:rPr>
          <w:rFonts w:eastAsia="Roboto"/>
          <w:color w:val="434343"/>
          <w:sz w:val="24"/>
          <w:szCs w:val="24"/>
        </w:rPr>
        <w:t xml:space="preserve"> at the forefront of initiatives to combat sexual harassment in the hospitality sector. IUF affiliate </w:t>
      </w:r>
      <w:r w:rsidRPr="000D3395">
        <w:rPr>
          <w:rFonts w:eastAsia="Roboto"/>
          <w:i/>
          <w:iCs/>
          <w:color w:val="434343"/>
          <w:sz w:val="24"/>
          <w:szCs w:val="24"/>
        </w:rPr>
        <w:t>Unite Here</w:t>
      </w:r>
      <w:r w:rsidRPr="00F250E3">
        <w:rPr>
          <w:rFonts w:eastAsia="Roboto"/>
          <w:color w:val="434343"/>
          <w:sz w:val="24"/>
          <w:szCs w:val="24"/>
        </w:rPr>
        <w:t xml:space="preserve"> published a 2016 </w:t>
      </w:r>
      <w:hyperlink r:id="rId18">
        <w:r w:rsidRPr="00F250E3">
          <w:rPr>
            <w:rFonts w:eastAsia="Roboto"/>
            <w:color w:val="1155CC"/>
            <w:sz w:val="24"/>
            <w:szCs w:val="24"/>
            <w:u w:val="single"/>
          </w:rPr>
          <w:t>rep</w:t>
        </w:r>
        <w:r w:rsidRPr="00F250E3">
          <w:rPr>
            <w:rFonts w:eastAsia="Roboto"/>
            <w:color w:val="1155CC"/>
            <w:sz w:val="24"/>
            <w:szCs w:val="24"/>
            <w:u w:val="single"/>
          </w:rPr>
          <w:t>ort</w:t>
        </w:r>
      </w:hyperlink>
      <w:r w:rsidRPr="00F250E3">
        <w:rPr>
          <w:rFonts w:eastAsia="Roboto"/>
          <w:color w:val="434343"/>
          <w:sz w:val="24"/>
          <w:szCs w:val="24"/>
        </w:rPr>
        <w:t xml:space="preserve"> about </w:t>
      </w:r>
      <w:r>
        <w:rPr>
          <w:rFonts w:eastAsia="Roboto"/>
          <w:color w:val="434343"/>
          <w:sz w:val="24"/>
          <w:szCs w:val="24"/>
        </w:rPr>
        <w:t xml:space="preserve">sexual harassment in </w:t>
      </w:r>
      <w:r w:rsidRPr="00F250E3">
        <w:rPr>
          <w:rFonts w:eastAsia="Roboto"/>
          <w:color w:val="434343"/>
          <w:sz w:val="24"/>
          <w:szCs w:val="24"/>
        </w:rPr>
        <w:t>Chicago</w:t>
      </w:r>
      <w:r>
        <w:rPr>
          <w:rFonts w:eastAsia="Roboto"/>
          <w:color w:val="434343"/>
          <w:sz w:val="24"/>
          <w:szCs w:val="24"/>
        </w:rPr>
        <w:t>’s hospitality industry, finding that “</w:t>
      </w:r>
      <w:r w:rsidRPr="00F250E3">
        <w:rPr>
          <w:rFonts w:eastAsia="Roboto"/>
          <w:color w:val="434343"/>
          <w:sz w:val="24"/>
          <w:szCs w:val="24"/>
        </w:rPr>
        <w:t xml:space="preserve">49% of </w:t>
      </w:r>
      <w:r>
        <w:rPr>
          <w:rFonts w:eastAsia="Roboto"/>
          <w:color w:val="434343"/>
          <w:sz w:val="24"/>
          <w:szCs w:val="24"/>
        </w:rPr>
        <w:t xml:space="preserve">housekeepers surveyed </w:t>
      </w:r>
      <w:r w:rsidRPr="00F250E3">
        <w:rPr>
          <w:rFonts w:eastAsia="Roboto"/>
          <w:color w:val="434343"/>
          <w:sz w:val="24"/>
          <w:szCs w:val="24"/>
        </w:rPr>
        <w:t>had experienced guests expos</w:t>
      </w:r>
      <w:r>
        <w:rPr>
          <w:rFonts w:eastAsia="Roboto"/>
          <w:color w:val="434343"/>
          <w:sz w:val="24"/>
          <w:szCs w:val="24"/>
        </w:rPr>
        <w:t>e</w:t>
      </w:r>
      <w:r w:rsidRPr="00F250E3">
        <w:rPr>
          <w:rFonts w:eastAsia="Roboto"/>
          <w:color w:val="434343"/>
          <w:sz w:val="24"/>
          <w:szCs w:val="24"/>
        </w:rPr>
        <w:t xml:space="preserve"> themselves</w:t>
      </w:r>
      <w:r>
        <w:rPr>
          <w:rFonts w:eastAsia="Roboto"/>
          <w:color w:val="434343"/>
          <w:sz w:val="24"/>
          <w:szCs w:val="24"/>
        </w:rPr>
        <w:t>, flash them, or answer the door naked</w:t>
      </w:r>
      <w:r w:rsidRPr="00F250E3">
        <w:rPr>
          <w:rFonts w:eastAsia="Roboto"/>
          <w:color w:val="434343"/>
          <w:sz w:val="24"/>
          <w:szCs w:val="24"/>
        </w:rPr>
        <w:t>.</w:t>
      </w:r>
      <w:r>
        <w:rPr>
          <w:rFonts w:eastAsia="Roboto"/>
          <w:color w:val="434343"/>
          <w:sz w:val="24"/>
          <w:szCs w:val="24"/>
        </w:rPr>
        <w:t>”</w:t>
      </w:r>
      <w:r w:rsidRPr="00F250E3">
        <w:rPr>
          <w:rFonts w:eastAsia="Roboto"/>
          <w:color w:val="434343"/>
          <w:sz w:val="24"/>
          <w:szCs w:val="24"/>
        </w:rPr>
        <w:t xml:space="preserve"> The union’s answer to this issue was to include in its bargaining agenda the requirement for employers to issue panic alarms to hotel staff</w:t>
      </w:r>
      <w:r>
        <w:rPr>
          <w:rFonts w:eastAsia="Roboto"/>
          <w:color w:val="434343"/>
          <w:sz w:val="24"/>
          <w:szCs w:val="24"/>
        </w:rPr>
        <w:t>.</w:t>
      </w:r>
      <w:r w:rsidRPr="00F250E3">
        <w:rPr>
          <w:rFonts w:eastAsia="Roboto"/>
          <w:color w:val="434343"/>
          <w:sz w:val="24"/>
          <w:szCs w:val="24"/>
        </w:rPr>
        <w:t xml:space="preserve"> </w:t>
      </w:r>
      <w:r>
        <w:rPr>
          <w:rFonts w:eastAsia="Roboto"/>
          <w:color w:val="434343"/>
          <w:sz w:val="24"/>
          <w:szCs w:val="24"/>
        </w:rPr>
        <w:t>T</w:t>
      </w:r>
      <w:r w:rsidRPr="00F250E3">
        <w:rPr>
          <w:rFonts w:eastAsia="Roboto"/>
          <w:color w:val="434343"/>
          <w:sz w:val="24"/>
          <w:szCs w:val="24"/>
        </w:rPr>
        <w:t xml:space="preserve">hese are now widespread across the </w:t>
      </w:r>
      <w:r>
        <w:rPr>
          <w:rFonts w:eastAsia="Roboto"/>
          <w:color w:val="434343"/>
          <w:sz w:val="24"/>
          <w:szCs w:val="24"/>
        </w:rPr>
        <w:t xml:space="preserve">hotel </w:t>
      </w:r>
      <w:r w:rsidRPr="00F250E3">
        <w:rPr>
          <w:rFonts w:eastAsia="Roboto"/>
          <w:color w:val="434343"/>
          <w:sz w:val="24"/>
          <w:szCs w:val="24"/>
        </w:rPr>
        <w:t>industry in the United States.</w:t>
      </w:r>
    </w:p>
    <w:p w14:paraId="55435C96" w14:textId="77777777" w:rsidR="005462CE" w:rsidRPr="00F250E3" w:rsidRDefault="005462CE" w:rsidP="005462CE">
      <w:pPr>
        <w:jc w:val="both"/>
        <w:rPr>
          <w:rFonts w:eastAsia="Roboto"/>
          <w:color w:val="434343"/>
          <w:sz w:val="24"/>
          <w:szCs w:val="24"/>
        </w:rPr>
      </w:pPr>
    </w:p>
    <w:p w14:paraId="1443CE0C" w14:textId="77777777" w:rsidR="005462CE" w:rsidRPr="00F250E3" w:rsidRDefault="005462CE" w:rsidP="005462CE">
      <w:pPr>
        <w:jc w:val="both"/>
        <w:rPr>
          <w:rFonts w:eastAsia="Roboto"/>
          <w:color w:val="434343"/>
          <w:sz w:val="24"/>
          <w:szCs w:val="24"/>
        </w:rPr>
      </w:pPr>
      <w:r w:rsidRPr="00F250E3">
        <w:rPr>
          <w:rFonts w:eastAsia="Roboto"/>
          <w:color w:val="434343"/>
          <w:sz w:val="24"/>
          <w:szCs w:val="24"/>
        </w:rPr>
        <w:t xml:space="preserve">In the same year, the Nordic Union for Hotels, Restaurants, Catering and Tourism produced a </w:t>
      </w:r>
      <w:hyperlink r:id="rId19">
        <w:r w:rsidRPr="00F250E3">
          <w:rPr>
            <w:rFonts w:eastAsia="Roboto"/>
            <w:color w:val="1155CC"/>
            <w:sz w:val="24"/>
            <w:szCs w:val="24"/>
            <w:u w:val="single"/>
          </w:rPr>
          <w:t>report</w:t>
        </w:r>
      </w:hyperlink>
      <w:r w:rsidRPr="00F250E3">
        <w:rPr>
          <w:rFonts w:eastAsia="Roboto"/>
          <w:color w:val="434343"/>
          <w:sz w:val="24"/>
          <w:szCs w:val="24"/>
        </w:rPr>
        <w:t xml:space="preserve"> on sexual harassment in the</w:t>
      </w:r>
      <w:r>
        <w:rPr>
          <w:rFonts w:eastAsia="Roboto"/>
          <w:color w:val="434343"/>
          <w:sz w:val="24"/>
          <w:szCs w:val="24"/>
        </w:rPr>
        <w:t xml:space="preserve"> Nordic</w:t>
      </w:r>
      <w:r w:rsidRPr="00F250E3">
        <w:rPr>
          <w:rFonts w:eastAsia="Roboto"/>
          <w:color w:val="434343"/>
          <w:sz w:val="24"/>
          <w:szCs w:val="24"/>
        </w:rPr>
        <w:t xml:space="preserve"> countries. The key finding from their data was that, as in the US study, the problem was endemic across the hospitality industry.</w:t>
      </w:r>
      <w:r>
        <w:rPr>
          <w:rFonts w:eastAsia="Roboto"/>
          <w:color w:val="434343"/>
          <w:sz w:val="24"/>
          <w:szCs w:val="24"/>
        </w:rPr>
        <w:t xml:space="preserve"> “Y</w:t>
      </w:r>
      <w:r w:rsidRPr="00F250E3">
        <w:rPr>
          <w:rFonts w:eastAsia="Roboto"/>
          <w:color w:val="434343"/>
          <w:sz w:val="24"/>
          <w:szCs w:val="24"/>
        </w:rPr>
        <w:t xml:space="preserve">oung women in insecure jobs with frequent customer contact </w:t>
      </w:r>
      <w:r>
        <w:rPr>
          <w:rFonts w:eastAsia="Roboto"/>
          <w:color w:val="434343"/>
          <w:sz w:val="24"/>
          <w:szCs w:val="24"/>
        </w:rPr>
        <w:t>are</w:t>
      </w:r>
      <w:r w:rsidRPr="00F250E3">
        <w:rPr>
          <w:rFonts w:eastAsia="Roboto"/>
          <w:color w:val="434343"/>
          <w:sz w:val="24"/>
          <w:szCs w:val="24"/>
        </w:rPr>
        <w:t xml:space="preserve"> the most vulnerable</w:t>
      </w:r>
      <w:r>
        <w:rPr>
          <w:rFonts w:eastAsia="Roboto"/>
          <w:color w:val="434343"/>
          <w:sz w:val="24"/>
          <w:szCs w:val="24"/>
        </w:rPr>
        <w:t>,” the study said,</w:t>
      </w:r>
      <w:r w:rsidRPr="00F250E3">
        <w:rPr>
          <w:rFonts w:eastAsia="Roboto"/>
          <w:color w:val="434343"/>
          <w:sz w:val="24"/>
          <w:szCs w:val="24"/>
        </w:rPr>
        <w:t xml:space="preserve"> </w:t>
      </w:r>
      <w:r>
        <w:rPr>
          <w:rFonts w:eastAsia="Roboto"/>
          <w:color w:val="434343"/>
          <w:sz w:val="24"/>
          <w:szCs w:val="24"/>
        </w:rPr>
        <w:t>adding that “</w:t>
      </w:r>
      <w:r w:rsidRPr="0061671A">
        <w:rPr>
          <w:rFonts w:eastAsia="Roboto"/>
          <w:color w:val="434343"/>
          <w:sz w:val="24"/>
          <w:szCs w:val="24"/>
        </w:rPr>
        <w:t>An analysis</w:t>
      </w:r>
      <w:r>
        <w:rPr>
          <w:rFonts w:eastAsia="Roboto"/>
          <w:color w:val="434343"/>
          <w:sz w:val="24"/>
          <w:szCs w:val="24"/>
        </w:rPr>
        <w:t xml:space="preserve"> </w:t>
      </w:r>
      <w:r w:rsidRPr="0061671A">
        <w:rPr>
          <w:rFonts w:eastAsia="Roboto"/>
          <w:color w:val="434343"/>
          <w:sz w:val="24"/>
          <w:szCs w:val="24"/>
        </w:rPr>
        <w:t>of risk factors relative to sexual harassment shows that many of the factors</w:t>
      </w:r>
      <w:r>
        <w:rPr>
          <w:rFonts w:eastAsia="Roboto"/>
          <w:color w:val="434343"/>
          <w:sz w:val="24"/>
          <w:szCs w:val="24"/>
        </w:rPr>
        <w:t xml:space="preserve"> </w:t>
      </w:r>
      <w:r w:rsidRPr="0061671A">
        <w:rPr>
          <w:rFonts w:eastAsia="Roboto"/>
          <w:color w:val="434343"/>
          <w:sz w:val="24"/>
          <w:szCs w:val="24"/>
        </w:rPr>
        <w:t>at play are related to the work environment: alcohol consumption, the tipping</w:t>
      </w:r>
      <w:r>
        <w:rPr>
          <w:rFonts w:eastAsia="Roboto"/>
          <w:color w:val="434343"/>
          <w:sz w:val="24"/>
          <w:szCs w:val="24"/>
        </w:rPr>
        <w:t xml:space="preserve"> </w:t>
      </w:r>
      <w:r w:rsidRPr="0061671A">
        <w:rPr>
          <w:rFonts w:eastAsia="Roboto"/>
          <w:color w:val="434343"/>
          <w:sz w:val="24"/>
          <w:szCs w:val="24"/>
        </w:rPr>
        <w:t>culture, irregular working hours and</w:t>
      </w:r>
      <w:r>
        <w:rPr>
          <w:rFonts w:eastAsia="Roboto"/>
          <w:color w:val="434343"/>
          <w:sz w:val="24"/>
          <w:szCs w:val="24"/>
        </w:rPr>
        <w:t xml:space="preserve"> </w:t>
      </w:r>
      <w:r w:rsidRPr="0061671A">
        <w:rPr>
          <w:rFonts w:eastAsia="Roboto"/>
          <w:color w:val="434343"/>
          <w:sz w:val="24"/>
          <w:szCs w:val="24"/>
        </w:rPr>
        <w:t>the notion that the customer is always</w:t>
      </w:r>
      <w:r>
        <w:rPr>
          <w:rFonts w:eastAsia="Roboto"/>
          <w:color w:val="434343"/>
          <w:sz w:val="24"/>
          <w:szCs w:val="24"/>
        </w:rPr>
        <w:t xml:space="preserve"> </w:t>
      </w:r>
      <w:r w:rsidRPr="0061671A">
        <w:rPr>
          <w:rFonts w:eastAsia="Roboto"/>
          <w:color w:val="434343"/>
          <w:sz w:val="24"/>
          <w:szCs w:val="24"/>
        </w:rPr>
        <w:t>right.</w:t>
      </w:r>
      <w:r>
        <w:rPr>
          <w:rFonts w:eastAsia="Roboto"/>
          <w:color w:val="434343"/>
          <w:sz w:val="24"/>
          <w:szCs w:val="24"/>
        </w:rPr>
        <w:t xml:space="preserve">” </w:t>
      </w:r>
      <w:r w:rsidRPr="00F250E3">
        <w:rPr>
          <w:rFonts w:eastAsia="Roboto"/>
          <w:color w:val="434343"/>
          <w:sz w:val="24"/>
          <w:szCs w:val="24"/>
        </w:rPr>
        <w:t>The union’s recommendations for resolving the issue included a call for zero tolerance of sexual harassment and a recognition by employers that they are ultimately responsible for what happens to their staff and should therefore take measures to prevent them from exposure to it.</w:t>
      </w:r>
    </w:p>
    <w:p w14:paraId="084456E3" w14:textId="77777777" w:rsidR="005462CE" w:rsidRDefault="005462CE" w:rsidP="005462CE">
      <w:pPr>
        <w:jc w:val="both"/>
        <w:rPr>
          <w:sz w:val="24"/>
          <w:szCs w:val="24"/>
          <w:lang w:val="en-US"/>
        </w:rPr>
      </w:pPr>
    </w:p>
    <w:p w14:paraId="40C6029B" w14:textId="77777777" w:rsidR="005462CE" w:rsidRDefault="005462CE" w:rsidP="005462CE">
      <w:pPr>
        <w:pBdr>
          <w:bottom w:val="none" w:sz="0" w:space="11" w:color="auto"/>
        </w:pBdr>
        <w:shd w:val="clear" w:color="auto" w:fill="FFFFFF"/>
        <w:jc w:val="both"/>
        <w:rPr>
          <w:sz w:val="24"/>
          <w:szCs w:val="24"/>
        </w:rPr>
      </w:pPr>
      <w:r w:rsidRPr="00E178C5">
        <w:rPr>
          <w:b/>
          <w:bCs/>
          <w:sz w:val="24"/>
          <w:szCs w:val="24"/>
        </w:rPr>
        <w:t>Fast Food.</w:t>
      </w:r>
      <w:r>
        <w:rPr>
          <w:sz w:val="24"/>
          <w:szCs w:val="24"/>
        </w:rPr>
        <w:t xml:space="preserve"> Thousands of </w:t>
      </w:r>
      <w:proofErr w:type="gramStart"/>
      <w:r>
        <w:rPr>
          <w:sz w:val="24"/>
          <w:szCs w:val="24"/>
        </w:rPr>
        <w:t>fast food</w:t>
      </w:r>
      <w:proofErr w:type="gramEnd"/>
      <w:r>
        <w:rPr>
          <w:sz w:val="24"/>
          <w:szCs w:val="24"/>
        </w:rPr>
        <w:t xml:space="preserve"> workers around the world have testified to cases of sexual harassment and gender based violence, and far too often their complaints are met with silence from their workers. The research firm </w:t>
      </w:r>
      <w:hyperlink r:id="rId20">
        <w:r>
          <w:rPr>
            <w:color w:val="1155CC"/>
            <w:sz w:val="24"/>
            <w:szCs w:val="24"/>
            <w:u w:val="single"/>
          </w:rPr>
          <w:t>Hart Research</w:t>
        </w:r>
      </w:hyperlink>
      <w:r>
        <w:rPr>
          <w:sz w:val="24"/>
          <w:szCs w:val="24"/>
        </w:rPr>
        <w:t xml:space="preserve"> interviewed  1,217 women in non-management positions and </w:t>
      </w:r>
      <w:hyperlink r:id="rId21" w:history="1">
        <w:r w:rsidRPr="0061671A">
          <w:rPr>
            <w:rStyle w:val="Hyperlink"/>
            <w:sz w:val="24"/>
            <w:szCs w:val="24"/>
          </w:rPr>
          <w:t>found that</w:t>
        </w:r>
      </w:hyperlink>
      <w:r>
        <w:rPr>
          <w:sz w:val="24"/>
          <w:szCs w:val="24"/>
        </w:rPr>
        <w:t xml:space="preserve"> “40% of women in the fast food industry had experienced unwanted sexual behaviors on the job, including 28% who have experienced multiple forms of harassment.” The report’s findings, continued, were also that “Among women subjected to unwanted sexual behavior at their </w:t>
      </w:r>
      <w:proofErr w:type="gramStart"/>
      <w:r>
        <w:rPr>
          <w:sz w:val="24"/>
          <w:szCs w:val="24"/>
        </w:rPr>
        <w:t>fast food</w:t>
      </w:r>
      <w:proofErr w:type="gramEnd"/>
      <w:r>
        <w:rPr>
          <w:sz w:val="24"/>
          <w:szCs w:val="24"/>
        </w:rPr>
        <w:t xml:space="preserve"> job, 45% report health problems as a result, including stress (34%), anxiety about coming to work (21%), depression (17%), sleep disruption (11%) and loss of appetite (9%). One in five women who suffered harassment reported that, instead of dealing with the issue properly, the employer </w:t>
      </w:r>
      <w:proofErr w:type="gramStart"/>
      <w:r>
        <w:rPr>
          <w:sz w:val="24"/>
          <w:szCs w:val="24"/>
        </w:rPr>
        <w:t>took action</w:t>
      </w:r>
      <w:proofErr w:type="gramEnd"/>
      <w:r>
        <w:rPr>
          <w:sz w:val="24"/>
          <w:szCs w:val="24"/>
        </w:rPr>
        <w:t xml:space="preserve"> against them by cutting or changing their hours, transferring them to another location or, in 2% of cases, simply dismissing them. Women of color were especially likely to experience these negative consequences compared to white women.</w:t>
      </w:r>
    </w:p>
    <w:p w14:paraId="075EBA5F" w14:textId="77777777" w:rsidR="005462CE" w:rsidRDefault="005462CE" w:rsidP="005462CE">
      <w:pPr>
        <w:pBdr>
          <w:bottom w:val="none" w:sz="0" w:space="11" w:color="auto"/>
        </w:pBdr>
        <w:shd w:val="clear" w:color="auto" w:fill="FFFFFF"/>
        <w:jc w:val="both"/>
        <w:rPr>
          <w:sz w:val="24"/>
          <w:szCs w:val="24"/>
        </w:rPr>
      </w:pPr>
    </w:p>
    <w:p w14:paraId="58207B9E" w14:textId="77777777" w:rsidR="005462CE" w:rsidRDefault="005462CE" w:rsidP="005462CE">
      <w:pPr>
        <w:pBdr>
          <w:bottom w:val="none" w:sz="0" w:space="11" w:color="auto"/>
        </w:pBdr>
        <w:shd w:val="clear" w:color="auto" w:fill="FFFFFF"/>
        <w:jc w:val="both"/>
        <w:rPr>
          <w:sz w:val="24"/>
          <w:szCs w:val="24"/>
        </w:rPr>
      </w:pPr>
      <w:r>
        <w:rPr>
          <w:sz w:val="24"/>
          <w:szCs w:val="24"/>
        </w:rPr>
        <w:t xml:space="preserve">The </w:t>
      </w:r>
      <w:proofErr w:type="gramStart"/>
      <w:r>
        <w:rPr>
          <w:sz w:val="24"/>
          <w:szCs w:val="24"/>
        </w:rPr>
        <w:t>fast food</w:t>
      </w:r>
      <w:proofErr w:type="gramEnd"/>
      <w:r>
        <w:rPr>
          <w:sz w:val="24"/>
          <w:szCs w:val="24"/>
        </w:rPr>
        <w:t xml:space="preserve"> sector is notorious for precarious working conditions, has a relatively young workforce and employs a large number of migrant workers or other vulnerable groups of people. Employers take advantage by paying poverty wages and creating a hierarchical environment that allows bullying and harassment to flourish. One of the worst offenders, though by no means the only one, is McDonald’s, the world’s biggest hamburger restaurant chain. In May 2020, the American magazine </w:t>
      </w:r>
      <w:hyperlink r:id="rId22">
        <w:r w:rsidRPr="00DC1818">
          <w:rPr>
            <w:i/>
            <w:iCs/>
            <w:color w:val="1155CC"/>
            <w:sz w:val="24"/>
            <w:szCs w:val="24"/>
            <w:u w:val="single"/>
          </w:rPr>
          <w:t>The Nation</w:t>
        </w:r>
        <w:r>
          <w:rPr>
            <w:color w:val="1155CC"/>
            <w:sz w:val="24"/>
            <w:szCs w:val="24"/>
            <w:u w:val="single"/>
          </w:rPr>
          <w:t xml:space="preserve"> </w:t>
        </w:r>
      </w:hyperlink>
      <w:r>
        <w:rPr>
          <w:sz w:val="24"/>
          <w:szCs w:val="24"/>
        </w:rPr>
        <w:t xml:space="preserve">published an article about sexual harassment at McDonald’s, writing that a survey conducted in April of 782 female McDonald’s employees found that three-quarters of those surveyed reported experiencing sexual harassment on the job and only 20% said they worked at a location where neither they nor their colleagues had been harassed. 12% stated that they had been sexually assaulted or raped. In response, McDonald’s said that the poll was unrepresentative of its 800,000 employees in the United States, an argument that it has </w:t>
      </w:r>
      <w:r>
        <w:rPr>
          <w:sz w:val="24"/>
          <w:szCs w:val="24"/>
        </w:rPr>
        <w:lastRenderedPageBreak/>
        <w:t>found difficult to sustain given the various class actions that have been brought against them, including one from 5,000 women in its 100 Florida locations.</w:t>
      </w:r>
    </w:p>
    <w:p w14:paraId="71334392" w14:textId="77777777" w:rsidR="005462CE" w:rsidRDefault="005462CE" w:rsidP="005462CE">
      <w:pPr>
        <w:pBdr>
          <w:bottom w:val="none" w:sz="0" w:space="11" w:color="auto"/>
        </w:pBdr>
        <w:shd w:val="clear" w:color="auto" w:fill="FFFFFF"/>
        <w:jc w:val="both"/>
        <w:rPr>
          <w:sz w:val="24"/>
          <w:szCs w:val="24"/>
        </w:rPr>
      </w:pPr>
    </w:p>
    <w:p w14:paraId="56B43CD0" w14:textId="1E361841" w:rsidR="005462CE" w:rsidRDefault="005462CE" w:rsidP="005462CE">
      <w:pPr>
        <w:pBdr>
          <w:bottom w:val="none" w:sz="0" w:space="11" w:color="auto"/>
        </w:pBdr>
        <w:shd w:val="clear" w:color="auto" w:fill="FFFFFF"/>
        <w:jc w:val="both"/>
        <w:rPr>
          <w:sz w:val="24"/>
          <w:szCs w:val="24"/>
        </w:rPr>
      </w:pPr>
      <w:r>
        <w:rPr>
          <w:sz w:val="24"/>
          <w:szCs w:val="24"/>
        </w:rPr>
        <w:t xml:space="preserve">McDonald’s has attempted to shift the blame onto their franchisees. In the United States, 95% of McDonald’s restaurants are </w:t>
      </w:r>
      <w:r w:rsidR="00C13220">
        <w:rPr>
          <w:sz w:val="24"/>
          <w:szCs w:val="24"/>
        </w:rPr>
        <w:t>franchises.</w:t>
      </w:r>
      <w:r>
        <w:rPr>
          <w:sz w:val="24"/>
          <w:szCs w:val="24"/>
        </w:rPr>
        <w:t xml:space="preserve"> However, that has not prevented legal action being taken against them, on the grounds that they are jointly liable due to the degree of control they exercise over everything from the restaurants’ decor to what type of tomato sauce should be used. </w:t>
      </w:r>
    </w:p>
    <w:p w14:paraId="5B8DCC4E" w14:textId="77777777" w:rsidR="005462CE" w:rsidRPr="00C6491E" w:rsidRDefault="005462CE" w:rsidP="005462CE">
      <w:pPr>
        <w:pBdr>
          <w:bottom w:val="none" w:sz="0" w:space="11" w:color="auto"/>
        </w:pBdr>
        <w:shd w:val="clear" w:color="auto" w:fill="FFFFFF"/>
        <w:jc w:val="both"/>
        <w:rPr>
          <w:sz w:val="24"/>
          <w:szCs w:val="24"/>
        </w:rPr>
      </w:pPr>
    </w:p>
    <w:p w14:paraId="69E3B6E2" w14:textId="77777777" w:rsidR="005462CE" w:rsidRPr="00530AB0" w:rsidRDefault="005462CE" w:rsidP="005462CE">
      <w:pPr>
        <w:pBdr>
          <w:bottom w:val="none" w:sz="0" w:space="11" w:color="auto"/>
        </w:pBdr>
        <w:shd w:val="clear" w:color="auto" w:fill="FFFFFF"/>
        <w:jc w:val="both"/>
        <w:rPr>
          <w:sz w:val="24"/>
          <w:szCs w:val="24"/>
        </w:rPr>
      </w:pPr>
      <w:r>
        <w:rPr>
          <w:sz w:val="24"/>
          <w:szCs w:val="24"/>
        </w:rPr>
        <w:t>In September 2022, f</w:t>
      </w:r>
      <w:r w:rsidRPr="00C6491E">
        <w:rPr>
          <w:sz w:val="24"/>
          <w:szCs w:val="24"/>
        </w:rPr>
        <w:t xml:space="preserve">our former </w:t>
      </w:r>
      <w:hyperlink r:id="rId23" w:history="1">
        <w:r w:rsidRPr="00C6491E">
          <w:rPr>
            <w:rStyle w:val="Hyperlink"/>
            <w:sz w:val="24"/>
            <w:szCs w:val="24"/>
          </w:rPr>
          <w:t xml:space="preserve">young McDonald’s workers spoke out at </w:t>
        </w:r>
        <w:r>
          <w:rPr>
            <w:rStyle w:val="Hyperlink"/>
            <w:sz w:val="24"/>
            <w:szCs w:val="24"/>
          </w:rPr>
          <w:t xml:space="preserve">the </w:t>
        </w:r>
        <w:r w:rsidRPr="00C6491E">
          <w:rPr>
            <w:rStyle w:val="Hyperlink"/>
            <w:sz w:val="24"/>
            <w:szCs w:val="24"/>
          </w:rPr>
          <w:t>European Parliament</w:t>
        </w:r>
      </w:hyperlink>
      <w:r w:rsidRPr="00C6491E">
        <w:rPr>
          <w:sz w:val="24"/>
          <w:szCs w:val="24"/>
        </w:rPr>
        <w:t xml:space="preserve"> about the harassment and violence </w:t>
      </w:r>
      <w:r>
        <w:rPr>
          <w:sz w:val="24"/>
          <w:szCs w:val="24"/>
        </w:rPr>
        <w:t xml:space="preserve">they had suffered </w:t>
      </w:r>
      <w:r w:rsidRPr="00C6491E">
        <w:rPr>
          <w:sz w:val="24"/>
          <w:szCs w:val="24"/>
        </w:rPr>
        <w:t>at the</w:t>
      </w:r>
      <w:r>
        <w:rPr>
          <w:sz w:val="24"/>
          <w:szCs w:val="24"/>
        </w:rPr>
        <w:t>ir</w:t>
      </w:r>
      <w:r w:rsidRPr="00C6491E">
        <w:rPr>
          <w:sz w:val="24"/>
          <w:szCs w:val="24"/>
        </w:rPr>
        <w:t xml:space="preserve"> workplace. Their testimonies </w:t>
      </w:r>
      <w:r>
        <w:rPr>
          <w:sz w:val="24"/>
          <w:szCs w:val="24"/>
        </w:rPr>
        <w:t>underscored</w:t>
      </w:r>
      <w:r w:rsidRPr="00C6491E">
        <w:rPr>
          <w:sz w:val="24"/>
          <w:szCs w:val="24"/>
        </w:rPr>
        <w:t xml:space="preserve"> that </w:t>
      </w:r>
      <w:r>
        <w:rPr>
          <w:sz w:val="24"/>
          <w:szCs w:val="24"/>
        </w:rPr>
        <w:t xml:space="preserve">at </w:t>
      </w:r>
      <w:r w:rsidRPr="00C6491E">
        <w:rPr>
          <w:sz w:val="24"/>
          <w:szCs w:val="24"/>
        </w:rPr>
        <w:t>McDonald’s</w:t>
      </w:r>
      <w:r>
        <w:rPr>
          <w:sz w:val="24"/>
          <w:szCs w:val="24"/>
        </w:rPr>
        <w:t>,</w:t>
      </w:r>
      <w:r w:rsidRPr="00C6491E">
        <w:rPr>
          <w:sz w:val="24"/>
          <w:szCs w:val="24"/>
        </w:rPr>
        <w:t xml:space="preserve"> </w:t>
      </w:r>
      <w:r>
        <w:rPr>
          <w:sz w:val="24"/>
          <w:szCs w:val="24"/>
        </w:rPr>
        <w:t xml:space="preserve">a </w:t>
      </w:r>
      <w:r w:rsidRPr="00C6491E">
        <w:rPr>
          <w:sz w:val="24"/>
          <w:szCs w:val="24"/>
        </w:rPr>
        <w:t>culture of abuse, union-busting and exploitation is a global phenomenon</w:t>
      </w:r>
      <w:r>
        <w:rPr>
          <w:sz w:val="24"/>
          <w:szCs w:val="24"/>
        </w:rPr>
        <w:t xml:space="preserve">. It </w:t>
      </w:r>
      <w:r w:rsidRPr="00C6491E">
        <w:rPr>
          <w:sz w:val="24"/>
          <w:szCs w:val="24"/>
        </w:rPr>
        <w:t>must be challenged. At the hearing</w:t>
      </w:r>
      <w:r>
        <w:rPr>
          <w:sz w:val="24"/>
          <w:szCs w:val="24"/>
        </w:rPr>
        <w:t>,</w:t>
      </w:r>
      <w:r w:rsidRPr="00C6491E">
        <w:rPr>
          <w:sz w:val="24"/>
          <w:szCs w:val="24"/>
        </w:rPr>
        <w:t xml:space="preserve"> the IUF </w:t>
      </w:r>
      <w:r>
        <w:rPr>
          <w:sz w:val="24"/>
          <w:szCs w:val="24"/>
        </w:rPr>
        <w:t xml:space="preserve">together with a group of trade unions, </w:t>
      </w:r>
      <w:r w:rsidRPr="00C6491E">
        <w:rPr>
          <w:sz w:val="24"/>
          <w:szCs w:val="24"/>
        </w:rPr>
        <w:t>demanded that the E</w:t>
      </w:r>
      <w:r>
        <w:rPr>
          <w:sz w:val="24"/>
          <w:szCs w:val="24"/>
        </w:rPr>
        <w:t xml:space="preserve">uropean </w:t>
      </w:r>
      <w:r w:rsidRPr="00C6491E">
        <w:rPr>
          <w:sz w:val="24"/>
          <w:szCs w:val="24"/>
        </w:rPr>
        <w:t>U</w:t>
      </w:r>
      <w:r>
        <w:rPr>
          <w:sz w:val="24"/>
          <w:szCs w:val="24"/>
        </w:rPr>
        <w:t>nion</w:t>
      </w:r>
      <w:r w:rsidRPr="00C6491E">
        <w:rPr>
          <w:sz w:val="24"/>
          <w:szCs w:val="24"/>
        </w:rPr>
        <w:t xml:space="preserve"> should take concrete steps to end the </w:t>
      </w:r>
      <w:r>
        <w:rPr>
          <w:sz w:val="24"/>
          <w:szCs w:val="24"/>
        </w:rPr>
        <w:t>impunity and adopt a stronger Due Diligence Directive covering</w:t>
      </w:r>
      <w:r w:rsidRPr="00C6491E">
        <w:rPr>
          <w:sz w:val="24"/>
          <w:szCs w:val="24"/>
        </w:rPr>
        <w:t xml:space="preserve"> co</w:t>
      </w:r>
      <w:r>
        <w:rPr>
          <w:sz w:val="24"/>
          <w:szCs w:val="24"/>
        </w:rPr>
        <w:t>mpanies</w:t>
      </w:r>
      <w:r w:rsidRPr="00C6491E">
        <w:rPr>
          <w:sz w:val="24"/>
          <w:szCs w:val="24"/>
        </w:rPr>
        <w:t xml:space="preserve"> operating through franchise system</w:t>
      </w:r>
      <w:r>
        <w:rPr>
          <w:sz w:val="24"/>
          <w:szCs w:val="24"/>
        </w:rPr>
        <w:t>s</w:t>
      </w:r>
      <w:r w:rsidRPr="00C6491E">
        <w:rPr>
          <w:sz w:val="24"/>
          <w:szCs w:val="24"/>
        </w:rPr>
        <w:t>.</w:t>
      </w:r>
    </w:p>
    <w:p w14:paraId="5FEBE12E" w14:textId="6A3F13C0" w:rsidR="005462CE" w:rsidRPr="00F00D89" w:rsidRDefault="005462CE" w:rsidP="005462CE">
      <w:pPr>
        <w:jc w:val="both"/>
        <w:rPr>
          <w:sz w:val="24"/>
          <w:szCs w:val="24"/>
          <w:lang w:val="en-CA"/>
        </w:rPr>
      </w:pPr>
      <w:r>
        <w:rPr>
          <w:b/>
          <w:bCs/>
          <w:sz w:val="24"/>
          <w:szCs w:val="24"/>
        </w:rPr>
        <w:t>D</w:t>
      </w:r>
      <w:proofErr w:type="spellStart"/>
      <w:r w:rsidRPr="00F250E3">
        <w:rPr>
          <w:b/>
          <w:bCs/>
          <w:sz w:val="24"/>
          <w:szCs w:val="24"/>
          <w:lang w:val="en-US"/>
        </w:rPr>
        <w:t>omestic</w:t>
      </w:r>
      <w:proofErr w:type="spellEnd"/>
      <w:r w:rsidRPr="00F250E3">
        <w:rPr>
          <w:b/>
          <w:bCs/>
          <w:sz w:val="24"/>
          <w:szCs w:val="24"/>
          <w:lang w:val="en-US"/>
        </w:rPr>
        <w:t xml:space="preserve"> violence</w:t>
      </w:r>
      <w:r>
        <w:rPr>
          <w:b/>
          <w:bCs/>
          <w:sz w:val="24"/>
          <w:szCs w:val="24"/>
          <w:lang w:val="en-US"/>
        </w:rPr>
        <w:t xml:space="preserve">. </w:t>
      </w:r>
      <w:r w:rsidRPr="009B301D">
        <w:rPr>
          <w:sz w:val="24"/>
          <w:szCs w:val="24"/>
          <w:lang w:val="en-US"/>
        </w:rPr>
        <w:t xml:space="preserve">The </w:t>
      </w:r>
      <w:r w:rsidRPr="00CC61F6">
        <w:rPr>
          <w:sz w:val="24"/>
          <w:szCs w:val="24"/>
          <w:lang w:val="en-CA"/>
        </w:rPr>
        <w:t>p</w:t>
      </w:r>
      <w:r w:rsidRPr="00F250E3">
        <w:rPr>
          <w:sz w:val="24"/>
          <w:szCs w:val="24"/>
          <w:lang w:val="en-CA"/>
        </w:rPr>
        <w:t xml:space="preserve">reamble of </w:t>
      </w:r>
      <w:r>
        <w:rPr>
          <w:sz w:val="24"/>
          <w:szCs w:val="24"/>
          <w:lang w:val="en-CA"/>
        </w:rPr>
        <w:t xml:space="preserve">ILO </w:t>
      </w:r>
      <w:r w:rsidRPr="00F250E3">
        <w:rPr>
          <w:sz w:val="24"/>
          <w:szCs w:val="24"/>
          <w:lang w:val="en-CA"/>
        </w:rPr>
        <w:t>C</w:t>
      </w:r>
      <w:r>
        <w:rPr>
          <w:sz w:val="24"/>
          <w:szCs w:val="24"/>
          <w:lang w:val="en-CA"/>
        </w:rPr>
        <w:t xml:space="preserve">onvention </w:t>
      </w:r>
      <w:r w:rsidRPr="00F250E3">
        <w:rPr>
          <w:sz w:val="24"/>
          <w:szCs w:val="24"/>
          <w:lang w:val="en-CA"/>
        </w:rPr>
        <w:t xml:space="preserve">190 notes that </w:t>
      </w:r>
      <w:r>
        <w:rPr>
          <w:sz w:val="24"/>
          <w:szCs w:val="24"/>
          <w:lang w:val="en-CA"/>
        </w:rPr>
        <w:t>“</w:t>
      </w:r>
      <w:r w:rsidRPr="00F250E3">
        <w:rPr>
          <w:sz w:val="24"/>
          <w:szCs w:val="24"/>
          <w:lang w:val="en-CA"/>
        </w:rPr>
        <w:t>domestic violence can affect employment, productivity and health and safety</w:t>
      </w:r>
      <w:r>
        <w:rPr>
          <w:sz w:val="24"/>
          <w:szCs w:val="24"/>
          <w:lang w:val="en-CA"/>
        </w:rPr>
        <w:t xml:space="preserve"> (…).” W</w:t>
      </w:r>
      <w:r w:rsidRPr="00F250E3">
        <w:rPr>
          <w:sz w:val="24"/>
          <w:szCs w:val="24"/>
          <w:lang w:val="en-CA"/>
        </w:rPr>
        <w:t xml:space="preserve">orkers suffering from domestic violence do not leave their pain and worries caused by it at home. Abused workers can be threatened with dismissal because of </w:t>
      </w:r>
      <w:r>
        <w:rPr>
          <w:sz w:val="24"/>
          <w:szCs w:val="24"/>
          <w:lang w:val="en-CA"/>
        </w:rPr>
        <w:t xml:space="preserve">perceived </w:t>
      </w:r>
      <w:r w:rsidRPr="00F250E3">
        <w:rPr>
          <w:sz w:val="24"/>
          <w:szCs w:val="24"/>
          <w:lang w:val="en-CA"/>
        </w:rPr>
        <w:t>poor performance</w:t>
      </w:r>
      <w:r>
        <w:rPr>
          <w:sz w:val="24"/>
          <w:szCs w:val="24"/>
          <w:lang w:val="en-CA"/>
        </w:rPr>
        <w:t>, and t</w:t>
      </w:r>
      <w:r w:rsidRPr="00F250E3">
        <w:rPr>
          <w:sz w:val="24"/>
          <w:szCs w:val="24"/>
          <w:lang w:val="en-CA"/>
        </w:rPr>
        <w:t>heir health and safety and even their lives are also at risk.</w:t>
      </w:r>
      <w:r w:rsidRPr="00F250E3">
        <w:rPr>
          <w:rStyle w:val="FootnoteReference"/>
          <w:sz w:val="24"/>
          <w:szCs w:val="24"/>
          <w:lang w:val="en-CA"/>
        </w:rPr>
        <w:t xml:space="preserve"> </w:t>
      </w:r>
      <w:r w:rsidRPr="00F250E3">
        <w:rPr>
          <w:rStyle w:val="FootnoteReference"/>
          <w:sz w:val="24"/>
          <w:szCs w:val="24"/>
          <w:lang w:val="en-CA"/>
        </w:rPr>
        <w:footnoteReference w:id="2"/>
      </w:r>
      <w:r w:rsidRPr="00F250E3">
        <w:rPr>
          <w:sz w:val="24"/>
          <w:szCs w:val="24"/>
          <w:lang w:val="en-CA"/>
        </w:rPr>
        <w:t xml:space="preserve"> </w:t>
      </w:r>
      <w:r>
        <w:rPr>
          <w:sz w:val="24"/>
          <w:szCs w:val="24"/>
          <w:lang w:val="en-CA"/>
        </w:rPr>
        <w:t xml:space="preserve">According to </w:t>
      </w:r>
      <w:hyperlink r:id="rId24" w:history="1">
        <w:r w:rsidRPr="00CC61F6">
          <w:rPr>
            <w:rStyle w:val="Hyperlink"/>
            <w:sz w:val="24"/>
            <w:szCs w:val="24"/>
            <w:lang w:val="en-CA"/>
          </w:rPr>
          <w:t>the ILO</w:t>
        </w:r>
      </w:hyperlink>
      <w:r>
        <w:rPr>
          <w:sz w:val="24"/>
          <w:szCs w:val="24"/>
          <w:lang w:val="en-CA"/>
        </w:rPr>
        <w:t>, e</w:t>
      </w:r>
      <w:r w:rsidRPr="00F250E3">
        <w:rPr>
          <w:sz w:val="24"/>
          <w:szCs w:val="24"/>
          <w:lang w:val="en-CA"/>
        </w:rPr>
        <w:t>conomic violence is also a facet of domestic violence, an attempt to create the victim’s economic dependence on the perpetrator.</w:t>
      </w:r>
      <w:r>
        <w:rPr>
          <w:sz w:val="24"/>
          <w:szCs w:val="24"/>
          <w:lang w:val="en-US"/>
        </w:rPr>
        <w:t xml:space="preserve"> </w:t>
      </w:r>
      <w:r w:rsidRPr="00F250E3">
        <w:rPr>
          <w:bCs/>
          <w:sz w:val="24"/>
          <w:szCs w:val="24"/>
          <w:lang w:val="en-CA"/>
        </w:rPr>
        <w:t>Women are disproportionately affected,</w:t>
      </w:r>
      <w:r w:rsidRPr="00F250E3">
        <w:rPr>
          <w:sz w:val="24"/>
          <w:szCs w:val="24"/>
          <w:lang w:val="en-CA"/>
        </w:rPr>
        <w:t xml:space="preserve"> accounting for nearly 8 out of 10 those who experience domestic violence. Domestic violence is more likely to be severe when women are the targets. </w:t>
      </w:r>
      <w:hyperlink r:id="rId25" w:history="1">
        <w:r w:rsidRPr="00CC61F6">
          <w:rPr>
            <w:rStyle w:val="Hyperlink"/>
            <w:sz w:val="24"/>
            <w:szCs w:val="24"/>
            <w:lang w:val="en-CA"/>
          </w:rPr>
          <w:t>According to Women’s Aid</w:t>
        </w:r>
      </w:hyperlink>
      <w:r>
        <w:rPr>
          <w:sz w:val="24"/>
          <w:szCs w:val="24"/>
          <w:lang w:val="en-CA"/>
        </w:rPr>
        <w:t>, a UK charity working to end domestic abuse against women and children, w</w:t>
      </w:r>
      <w:r w:rsidRPr="00F250E3">
        <w:rPr>
          <w:sz w:val="24"/>
          <w:szCs w:val="24"/>
          <w:lang w:val="en-CA"/>
        </w:rPr>
        <w:t>hen death is the outcome, almost all victims are women and almost all perpetrators are men.</w:t>
      </w:r>
      <w:r>
        <w:rPr>
          <w:sz w:val="24"/>
          <w:szCs w:val="24"/>
          <w:lang w:val="en-CA"/>
        </w:rPr>
        <w:t xml:space="preserve"> </w:t>
      </w:r>
      <w:r w:rsidRPr="00F250E3">
        <w:rPr>
          <w:sz w:val="24"/>
          <w:szCs w:val="24"/>
          <w:lang w:val="en-US"/>
        </w:rPr>
        <w:t>Addressing the impact of domestic violence in food systems is crucial</w:t>
      </w:r>
      <w:r w:rsidRPr="00F250E3">
        <w:rPr>
          <w:sz w:val="24"/>
          <w:szCs w:val="24"/>
          <w:lang w:val="en-CA"/>
        </w:rPr>
        <w:t xml:space="preserve">. </w:t>
      </w:r>
      <w:r>
        <w:rPr>
          <w:sz w:val="24"/>
          <w:szCs w:val="24"/>
          <w:lang w:val="en-CA"/>
        </w:rPr>
        <w:t>A</w:t>
      </w:r>
      <w:r w:rsidRPr="00F250E3">
        <w:rPr>
          <w:sz w:val="24"/>
          <w:szCs w:val="24"/>
          <w:lang w:val="en-CA"/>
        </w:rPr>
        <w:t xml:space="preserve"> list of appropriate measures for ILO member </w:t>
      </w:r>
      <w:r>
        <w:rPr>
          <w:sz w:val="24"/>
          <w:szCs w:val="24"/>
          <w:lang w:val="en-CA"/>
        </w:rPr>
        <w:t>S</w:t>
      </w:r>
      <w:r w:rsidRPr="00F250E3">
        <w:rPr>
          <w:sz w:val="24"/>
          <w:szCs w:val="24"/>
          <w:lang w:val="en-CA"/>
        </w:rPr>
        <w:t xml:space="preserve">tates is detailed in </w:t>
      </w:r>
      <w:r>
        <w:rPr>
          <w:sz w:val="24"/>
          <w:szCs w:val="24"/>
          <w:lang w:val="en-CA"/>
        </w:rPr>
        <w:t>article</w:t>
      </w:r>
      <w:r w:rsidRPr="00F250E3">
        <w:rPr>
          <w:sz w:val="24"/>
          <w:szCs w:val="24"/>
          <w:lang w:val="en-CA"/>
        </w:rPr>
        <w:t xml:space="preserve"> 18 of </w:t>
      </w:r>
      <w:r>
        <w:rPr>
          <w:sz w:val="24"/>
          <w:szCs w:val="24"/>
          <w:lang w:val="en-CA"/>
        </w:rPr>
        <w:t xml:space="preserve">the ILO’s </w:t>
      </w:r>
      <w:r w:rsidRPr="00F250E3">
        <w:rPr>
          <w:sz w:val="24"/>
          <w:szCs w:val="24"/>
          <w:lang w:val="en-CA"/>
        </w:rPr>
        <w:t>R</w:t>
      </w:r>
      <w:r>
        <w:rPr>
          <w:sz w:val="24"/>
          <w:szCs w:val="24"/>
          <w:lang w:val="en-CA"/>
        </w:rPr>
        <w:t xml:space="preserve">ecommendation </w:t>
      </w:r>
      <w:r w:rsidRPr="00F250E3">
        <w:rPr>
          <w:sz w:val="24"/>
          <w:szCs w:val="24"/>
          <w:lang w:val="en-CA"/>
        </w:rPr>
        <w:t>206.</w:t>
      </w:r>
    </w:p>
    <w:p w14:paraId="772A7CD2" w14:textId="1C4D2EB6" w:rsidR="005462CE" w:rsidRDefault="005462CE" w:rsidP="005462CE">
      <w:pPr>
        <w:pBdr>
          <w:bottom w:val="none" w:sz="0" w:space="11" w:color="auto"/>
        </w:pBdr>
        <w:shd w:val="clear" w:color="auto" w:fill="FFFFFF"/>
        <w:jc w:val="both"/>
        <w:rPr>
          <w:sz w:val="24"/>
          <w:szCs w:val="24"/>
        </w:rPr>
      </w:pPr>
    </w:p>
    <w:p w14:paraId="5805BF54" w14:textId="6F89D0BB" w:rsidR="00C13220" w:rsidRDefault="00C13220" w:rsidP="005462CE">
      <w:pPr>
        <w:pBdr>
          <w:bottom w:val="none" w:sz="0" w:space="11" w:color="auto"/>
        </w:pBdr>
        <w:shd w:val="clear" w:color="auto" w:fill="FFFFFF"/>
        <w:jc w:val="both"/>
        <w:rPr>
          <w:sz w:val="24"/>
          <w:szCs w:val="24"/>
        </w:rPr>
      </w:pPr>
    </w:p>
    <w:p w14:paraId="73C88CF2" w14:textId="77777777" w:rsidR="00C13220" w:rsidRDefault="00C13220" w:rsidP="005462CE">
      <w:pPr>
        <w:pBdr>
          <w:bottom w:val="none" w:sz="0" w:space="11" w:color="auto"/>
        </w:pBdr>
        <w:shd w:val="clear" w:color="auto" w:fill="FFFFFF"/>
        <w:jc w:val="both"/>
        <w:rPr>
          <w:sz w:val="24"/>
          <w:szCs w:val="24"/>
        </w:rPr>
      </w:pPr>
    </w:p>
    <w:p w14:paraId="34037FB2" w14:textId="77777777" w:rsidR="005462CE" w:rsidRPr="005B7F6F" w:rsidRDefault="005462CE" w:rsidP="005462CE">
      <w:pPr>
        <w:pBdr>
          <w:bottom w:val="none" w:sz="0" w:space="11" w:color="auto"/>
        </w:pBdr>
        <w:shd w:val="clear" w:color="auto" w:fill="FFFFFF"/>
        <w:jc w:val="center"/>
        <w:rPr>
          <w:b/>
          <w:bCs/>
          <w:sz w:val="24"/>
          <w:szCs w:val="24"/>
        </w:rPr>
      </w:pPr>
      <w:r w:rsidRPr="005B7F6F">
        <w:rPr>
          <w:b/>
          <w:bCs/>
          <w:sz w:val="24"/>
          <w:szCs w:val="24"/>
        </w:rPr>
        <w:lastRenderedPageBreak/>
        <w:t>List of relevant ILO Conventions</w:t>
      </w:r>
    </w:p>
    <w:p w14:paraId="0546AFCD" w14:textId="77777777" w:rsidR="005462CE" w:rsidRDefault="005462CE" w:rsidP="005462CE">
      <w:pPr>
        <w:pBdr>
          <w:bottom w:val="none" w:sz="0" w:space="11" w:color="auto"/>
        </w:pBdr>
        <w:shd w:val="clear" w:color="auto" w:fill="FFFFFF"/>
        <w:jc w:val="both"/>
        <w:rPr>
          <w:color w:val="000000" w:themeColor="text1"/>
          <w:sz w:val="24"/>
          <w:szCs w:val="24"/>
        </w:rPr>
      </w:pPr>
      <w:r w:rsidRPr="00050766">
        <w:rPr>
          <w:color w:val="000000" w:themeColor="text1"/>
          <w:sz w:val="24"/>
          <w:szCs w:val="24"/>
          <w:lang w:val="en-US"/>
        </w:rPr>
        <w:t xml:space="preserve">ILO </w:t>
      </w:r>
      <w:r w:rsidRPr="00050766">
        <w:rPr>
          <w:color w:val="000000" w:themeColor="text1"/>
          <w:sz w:val="24"/>
          <w:szCs w:val="24"/>
        </w:rPr>
        <w:t xml:space="preserve">Convention </w:t>
      </w:r>
      <w:hyperlink r:id="rId26" w:history="1">
        <w:r w:rsidRPr="003864D3">
          <w:rPr>
            <w:rStyle w:val="Hyperlink"/>
            <w:sz w:val="24"/>
            <w:szCs w:val="24"/>
          </w:rPr>
          <w:t>111 on Discrimination (Employment and Occupation)</w:t>
        </w:r>
      </w:hyperlink>
      <w:r w:rsidRPr="00050766">
        <w:rPr>
          <w:color w:val="000000" w:themeColor="text1"/>
          <w:sz w:val="24"/>
          <w:szCs w:val="24"/>
        </w:rPr>
        <w:t xml:space="preserve"> </w:t>
      </w:r>
    </w:p>
    <w:p w14:paraId="03D300AD" w14:textId="77777777" w:rsidR="005462CE" w:rsidRPr="00CE5366" w:rsidRDefault="005462CE" w:rsidP="005462CE">
      <w:pPr>
        <w:pBdr>
          <w:bottom w:val="none" w:sz="0" w:space="11" w:color="auto"/>
        </w:pBdr>
        <w:shd w:val="clear" w:color="auto" w:fill="FFFFFF"/>
        <w:jc w:val="both"/>
        <w:rPr>
          <w:rStyle w:val="Hyperlink"/>
          <w:color w:val="000000" w:themeColor="text1"/>
          <w:sz w:val="24"/>
          <w:szCs w:val="24"/>
          <w:lang w:val="en-US"/>
        </w:rPr>
      </w:pPr>
      <w:r>
        <w:rPr>
          <w:color w:val="000000" w:themeColor="text1"/>
          <w:sz w:val="24"/>
          <w:szCs w:val="24"/>
        </w:rPr>
        <w:t>ILO</w:t>
      </w:r>
      <w:r w:rsidRPr="00050766">
        <w:rPr>
          <w:color w:val="000000" w:themeColor="text1"/>
          <w:sz w:val="24"/>
          <w:szCs w:val="24"/>
        </w:rPr>
        <w:t xml:space="preserve"> </w:t>
      </w:r>
      <w:hyperlink r:id="rId27" w:history="1">
        <w:r w:rsidRPr="003864D3">
          <w:rPr>
            <w:rStyle w:val="Hyperlink"/>
            <w:sz w:val="24"/>
            <w:szCs w:val="24"/>
            <w:lang w:val="en-US"/>
          </w:rPr>
          <w:t>Convention 1</w:t>
        </w:r>
        <w:r w:rsidRPr="003864D3">
          <w:rPr>
            <w:rStyle w:val="Hyperlink"/>
            <w:sz w:val="24"/>
            <w:szCs w:val="24"/>
          </w:rPr>
          <w:t>84 on Safety and Health in Agriculture</w:t>
        </w:r>
      </w:hyperlink>
    </w:p>
    <w:p w14:paraId="50CD9EF9" w14:textId="77777777" w:rsidR="005462CE" w:rsidRPr="00CE5366" w:rsidRDefault="005462CE" w:rsidP="005462CE">
      <w:pPr>
        <w:pBdr>
          <w:bottom w:val="none" w:sz="0" w:space="11" w:color="auto"/>
        </w:pBdr>
        <w:shd w:val="clear" w:color="auto" w:fill="FFFFFF"/>
        <w:jc w:val="both"/>
        <w:rPr>
          <w:color w:val="0563C1" w:themeColor="hyperlink"/>
          <w:sz w:val="24"/>
          <w:szCs w:val="24"/>
          <w:u w:val="single"/>
          <w:lang w:val="en-US"/>
        </w:rPr>
      </w:pPr>
      <w:r>
        <w:t xml:space="preserve">ILO </w:t>
      </w:r>
      <w:hyperlink r:id="rId28" w:history="1">
        <w:r w:rsidRPr="00CE5366">
          <w:rPr>
            <w:rStyle w:val="Hyperlink"/>
          </w:rPr>
          <w:t>Convention 190 on Violence and Harassment Convention</w:t>
        </w:r>
      </w:hyperlink>
    </w:p>
    <w:p w14:paraId="7B58A426" w14:textId="77777777" w:rsidR="005462CE" w:rsidRDefault="005462CE" w:rsidP="005462CE">
      <w:pPr>
        <w:pBdr>
          <w:bottom w:val="none" w:sz="0" w:space="11" w:color="auto"/>
        </w:pBdr>
        <w:shd w:val="clear" w:color="auto" w:fill="FFFFFF"/>
        <w:jc w:val="both"/>
        <w:rPr>
          <w:sz w:val="24"/>
          <w:szCs w:val="24"/>
        </w:rPr>
      </w:pPr>
    </w:p>
    <w:p w14:paraId="129E4303" w14:textId="77777777" w:rsidR="005462CE" w:rsidRPr="005B7F6F" w:rsidRDefault="005462CE" w:rsidP="005462CE">
      <w:pPr>
        <w:jc w:val="center"/>
        <w:rPr>
          <w:b/>
          <w:bCs/>
          <w:sz w:val="24"/>
          <w:szCs w:val="24"/>
        </w:rPr>
      </w:pPr>
      <w:r w:rsidRPr="005B7F6F">
        <w:rPr>
          <w:b/>
          <w:bCs/>
          <w:sz w:val="24"/>
          <w:szCs w:val="24"/>
        </w:rPr>
        <w:t xml:space="preserve">List of sexual harassment </w:t>
      </w:r>
      <w:hyperlink r:id="rId29" w:history="1">
        <w:r w:rsidRPr="005B7F6F">
          <w:rPr>
            <w:rStyle w:val="Hyperlink"/>
            <w:b/>
            <w:bCs/>
            <w:sz w:val="24"/>
            <w:szCs w:val="24"/>
          </w:rPr>
          <w:t>agreements between IUF and companies</w:t>
        </w:r>
      </w:hyperlink>
    </w:p>
    <w:p w14:paraId="5C7D91A5" w14:textId="77777777" w:rsidR="005462CE" w:rsidRPr="00357D56" w:rsidRDefault="005462CE" w:rsidP="005462CE">
      <w:pPr>
        <w:jc w:val="both"/>
        <w:rPr>
          <w:sz w:val="24"/>
          <w:szCs w:val="24"/>
          <w:lang w:val="en-US"/>
        </w:rPr>
      </w:pPr>
      <w:hyperlink r:id="rId30" w:history="1">
        <w:r w:rsidRPr="00357D56">
          <w:rPr>
            <w:rStyle w:val="Hyperlink"/>
            <w:sz w:val="24"/>
            <w:szCs w:val="24"/>
            <w:lang w:val="en-US"/>
          </w:rPr>
          <w:t xml:space="preserve">2013 Chiquita Appendix on Sexual </w:t>
        </w:r>
        <w:proofErr w:type="spellStart"/>
        <w:r w:rsidRPr="00357D56">
          <w:rPr>
            <w:rStyle w:val="Hyperlink"/>
            <w:sz w:val="24"/>
            <w:szCs w:val="24"/>
            <w:lang w:val="en-US"/>
          </w:rPr>
          <w:t>Harassement</w:t>
        </w:r>
        <w:proofErr w:type="spellEnd"/>
      </w:hyperlink>
      <w:r w:rsidRPr="00357D56">
        <w:rPr>
          <w:sz w:val="24"/>
          <w:szCs w:val="24"/>
          <w:lang w:val="en-US"/>
        </w:rPr>
        <w:t xml:space="preserve"> </w:t>
      </w:r>
    </w:p>
    <w:p w14:paraId="584952B0" w14:textId="77777777" w:rsidR="005462CE" w:rsidRDefault="005462CE" w:rsidP="005462CE">
      <w:pPr>
        <w:jc w:val="both"/>
        <w:rPr>
          <w:sz w:val="24"/>
          <w:szCs w:val="24"/>
          <w:lang w:val="en-US"/>
        </w:rPr>
      </w:pPr>
      <w:hyperlink r:id="rId31" w:history="1">
        <w:r w:rsidRPr="00C83D96">
          <w:rPr>
            <w:rStyle w:val="Hyperlink"/>
            <w:sz w:val="24"/>
            <w:szCs w:val="24"/>
            <w:lang w:val="en-US"/>
          </w:rPr>
          <w:t>IUF-</w:t>
        </w:r>
        <w:proofErr w:type="spellStart"/>
        <w:r w:rsidRPr="00C83D96">
          <w:rPr>
            <w:rStyle w:val="Hyperlink"/>
            <w:sz w:val="24"/>
            <w:szCs w:val="24"/>
            <w:lang w:val="en-US"/>
          </w:rPr>
          <w:t>Industriall</w:t>
        </w:r>
        <w:proofErr w:type="spellEnd"/>
        <w:r w:rsidRPr="00C83D96">
          <w:rPr>
            <w:rStyle w:val="Hyperlink"/>
            <w:sz w:val="24"/>
            <w:szCs w:val="24"/>
            <w:lang w:val="en-US"/>
          </w:rPr>
          <w:t>-Unilever Joint Commitment</w:t>
        </w:r>
      </w:hyperlink>
      <w:r>
        <w:rPr>
          <w:sz w:val="24"/>
          <w:szCs w:val="24"/>
          <w:lang w:val="en-US"/>
        </w:rPr>
        <w:t xml:space="preserve"> on preventing sexual harassment </w:t>
      </w:r>
    </w:p>
    <w:p w14:paraId="0FF60B6C" w14:textId="77777777" w:rsidR="005462CE" w:rsidRDefault="005462CE" w:rsidP="005462CE">
      <w:pPr>
        <w:jc w:val="both"/>
        <w:rPr>
          <w:sz w:val="24"/>
          <w:szCs w:val="24"/>
          <w:lang w:val="en-US"/>
        </w:rPr>
      </w:pPr>
      <w:hyperlink r:id="rId32" w:history="1">
        <w:r w:rsidRPr="0029520F">
          <w:rPr>
            <w:rStyle w:val="Hyperlink"/>
            <w:sz w:val="24"/>
            <w:szCs w:val="24"/>
            <w:lang w:val="en-US"/>
          </w:rPr>
          <w:t xml:space="preserve">2019 </w:t>
        </w:r>
        <w:proofErr w:type="spellStart"/>
        <w:r w:rsidRPr="0029520F">
          <w:rPr>
            <w:rStyle w:val="Hyperlink"/>
            <w:sz w:val="24"/>
            <w:szCs w:val="24"/>
            <w:lang w:val="en-US"/>
          </w:rPr>
          <w:t>AccorInvest</w:t>
        </w:r>
        <w:proofErr w:type="spellEnd"/>
        <w:r w:rsidRPr="0029520F">
          <w:rPr>
            <w:rStyle w:val="Hyperlink"/>
            <w:sz w:val="24"/>
            <w:szCs w:val="24"/>
            <w:lang w:val="en-US"/>
          </w:rPr>
          <w:t xml:space="preserve"> – IUF Agreement</w:t>
        </w:r>
      </w:hyperlink>
      <w:r>
        <w:rPr>
          <w:sz w:val="24"/>
          <w:szCs w:val="24"/>
          <w:lang w:val="en-US"/>
        </w:rPr>
        <w:t xml:space="preserve"> on fighting Against Sexual Harassment </w:t>
      </w:r>
    </w:p>
    <w:p w14:paraId="6D20EDC5" w14:textId="77777777" w:rsidR="005462CE" w:rsidRDefault="005462CE" w:rsidP="005462CE">
      <w:pPr>
        <w:jc w:val="both"/>
        <w:rPr>
          <w:sz w:val="24"/>
          <w:szCs w:val="24"/>
          <w:lang w:val="en-US"/>
        </w:rPr>
      </w:pPr>
      <w:hyperlink r:id="rId33" w:history="1">
        <w:r w:rsidRPr="0029520F">
          <w:rPr>
            <w:rStyle w:val="Hyperlink"/>
            <w:sz w:val="24"/>
            <w:szCs w:val="24"/>
            <w:lang w:val="en-US"/>
          </w:rPr>
          <w:t>2017 Sodexo-IUF Joint Commitment</w:t>
        </w:r>
      </w:hyperlink>
      <w:r>
        <w:rPr>
          <w:sz w:val="24"/>
          <w:szCs w:val="24"/>
          <w:lang w:val="en-US"/>
        </w:rPr>
        <w:t xml:space="preserve"> on preventing sexual harassment </w:t>
      </w:r>
    </w:p>
    <w:p w14:paraId="234E9FF8" w14:textId="77777777" w:rsidR="005462CE" w:rsidRDefault="005462CE" w:rsidP="005462CE">
      <w:pPr>
        <w:jc w:val="both"/>
        <w:rPr>
          <w:sz w:val="24"/>
          <w:szCs w:val="24"/>
          <w:lang w:val="en-US"/>
        </w:rPr>
      </w:pPr>
      <w:hyperlink r:id="rId34" w:history="1">
        <w:r w:rsidRPr="00C01165">
          <w:rPr>
            <w:rStyle w:val="Hyperlink"/>
            <w:sz w:val="24"/>
            <w:szCs w:val="24"/>
            <w:lang w:val="en-US"/>
          </w:rPr>
          <w:t>IUF-RIU Hotels &amp; Resorts Agreement</w:t>
        </w:r>
      </w:hyperlink>
      <w:r>
        <w:rPr>
          <w:sz w:val="24"/>
          <w:szCs w:val="24"/>
          <w:lang w:val="en-US"/>
        </w:rPr>
        <w:t xml:space="preserve"> to eradicate sexual harassment </w:t>
      </w:r>
    </w:p>
    <w:p w14:paraId="1A5BBB3F" w14:textId="77777777" w:rsidR="005462CE" w:rsidRDefault="005462CE" w:rsidP="005462CE">
      <w:pPr>
        <w:jc w:val="both"/>
        <w:rPr>
          <w:sz w:val="24"/>
          <w:szCs w:val="24"/>
          <w:lang w:val="en-US"/>
        </w:rPr>
      </w:pPr>
      <w:hyperlink r:id="rId35" w:history="1">
        <w:r w:rsidRPr="00C01165">
          <w:rPr>
            <w:rStyle w:val="Hyperlink"/>
            <w:sz w:val="24"/>
            <w:szCs w:val="24"/>
            <w:lang w:val="en-US"/>
          </w:rPr>
          <w:t>2019 Melia-IUF Joint Commitment</w:t>
        </w:r>
      </w:hyperlink>
      <w:r>
        <w:rPr>
          <w:sz w:val="24"/>
          <w:szCs w:val="24"/>
          <w:lang w:val="en-US"/>
        </w:rPr>
        <w:t xml:space="preserve"> on preventing sexual harassment </w:t>
      </w:r>
    </w:p>
    <w:p w14:paraId="4C2B24AC" w14:textId="77777777" w:rsidR="005462CE" w:rsidRPr="00C83D96" w:rsidRDefault="005462CE" w:rsidP="005462CE">
      <w:pPr>
        <w:jc w:val="both"/>
        <w:rPr>
          <w:sz w:val="24"/>
          <w:szCs w:val="24"/>
          <w:lang w:val="en-US"/>
        </w:rPr>
      </w:pPr>
      <w:hyperlink r:id="rId36" w:history="1">
        <w:r w:rsidRPr="002D6CC8">
          <w:rPr>
            <w:rStyle w:val="Hyperlink"/>
            <w:sz w:val="24"/>
            <w:szCs w:val="24"/>
            <w:lang w:val="en-US"/>
          </w:rPr>
          <w:t>2019 Arla-IUF agreement</w:t>
        </w:r>
      </w:hyperlink>
      <w:r>
        <w:rPr>
          <w:sz w:val="24"/>
          <w:szCs w:val="24"/>
          <w:lang w:val="en-US"/>
        </w:rPr>
        <w:t xml:space="preserve"> to fight sexual harassment </w:t>
      </w:r>
    </w:p>
    <w:p w14:paraId="2E2AAA96" w14:textId="77777777" w:rsidR="005462CE" w:rsidRPr="00C83D96" w:rsidRDefault="005462CE" w:rsidP="005462CE">
      <w:pPr>
        <w:jc w:val="both"/>
        <w:rPr>
          <w:sz w:val="24"/>
          <w:szCs w:val="24"/>
          <w:lang w:val="en-US"/>
        </w:rPr>
      </w:pPr>
    </w:p>
    <w:p w14:paraId="3567B828" w14:textId="77777777" w:rsidR="00D043F6" w:rsidRPr="005462CE" w:rsidRDefault="00D043F6">
      <w:pPr>
        <w:rPr>
          <w:lang w:val="en-US"/>
        </w:rPr>
      </w:pPr>
    </w:p>
    <w:sectPr w:rsidR="00D043F6" w:rsidRPr="005462CE">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539F2" w14:textId="77777777" w:rsidR="00E576EC" w:rsidRDefault="00E576EC" w:rsidP="005462CE">
      <w:pPr>
        <w:spacing w:line="240" w:lineRule="auto"/>
      </w:pPr>
      <w:r>
        <w:separator/>
      </w:r>
    </w:p>
  </w:endnote>
  <w:endnote w:type="continuationSeparator" w:id="0">
    <w:p w14:paraId="4D7054A6" w14:textId="77777777" w:rsidR="00E576EC" w:rsidRDefault="00E576EC" w:rsidP="005462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F39B2" w14:textId="77777777" w:rsidR="00E576EC" w:rsidRDefault="00E576EC" w:rsidP="005462CE">
      <w:pPr>
        <w:spacing w:line="240" w:lineRule="auto"/>
      </w:pPr>
      <w:r>
        <w:separator/>
      </w:r>
    </w:p>
  </w:footnote>
  <w:footnote w:type="continuationSeparator" w:id="0">
    <w:p w14:paraId="5527DEFE" w14:textId="77777777" w:rsidR="00E576EC" w:rsidRDefault="00E576EC" w:rsidP="005462CE">
      <w:pPr>
        <w:spacing w:line="240" w:lineRule="auto"/>
      </w:pPr>
      <w:r>
        <w:continuationSeparator/>
      </w:r>
    </w:p>
  </w:footnote>
  <w:footnote w:id="1">
    <w:p w14:paraId="45A8A341" w14:textId="77777777" w:rsidR="005462CE" w:rsidRDefault="005462CE" w:rsidP="005462CE">
      <w:pPr>
        <w:pStyle w:val="FootnoteText"/>
        <w:ind w:left="142" w:hanging="142"/>
      </w:pPr>
      <w:r>
        <w:rPr>
          <w:rStyle w:val="FootnoteReference"/>
        </w:rPr>
        <w:footnoteRef/>
      </w:r>
      <w:r>
        <w:t xml:space="preserve"> </w:t>
      </w:r>
      <w:r>
        <w:tab/>
        <w:t>ETUC document “</w:t>
      </w:r>
      <w:hyperlink r:id="rId1" w:history="1">
        <w:r w:rsidRPr="00F22523">
          <w:rPr>
            <w:rStyle w:val="Hyperlink"/>
          </w:rPr>
          <w:t>Safe at home, safe at work</w:t>
        </w:r>
      </w:hyperlink>
      <w:r>
        <w:t>”, 2015.</w:t>
      </w:r>
    </w:p>
  </w:footnote>
  <w:footnote w:id="2">
    <w:p w14:paraId="718BDEDC" w14:textId="77777777" w:rsidR="005462CE" w:rsidRDefault="005462CE" w:rsidP="005462CE">
      <w:pPr>
        <w:pStyle w:val="FootnoteText"/>
        <w:ind w:left="142" w:hanging="142"/>
      </w:pPr>
      <w:r>
        <w:rPr>
          <w:rStyle w:val="FootnoteReference"/>
        </w:rPr>
        <w:footnoteRef/>
      </w:r>
      <w:r>
        <w:t xml:space="preserve"> </w:t>
      </w:r>
      <w:r>
        <w:tab/>
      </w:r>
      <w:r w:rsidRPr="00A637C5">
        <w:t xml:space="preserve">Domestic violence </w:t>
      </w:r>
      <w:r>
        <w:t>can</w:t>
      </w:r>
      <w:r w:rsidRPr="00A637C5">
        <w:t xml:space="preserve"> cause absenteeism, low morale, poor performance and high turnover. It impact</w:t>
      </w:r>
      <w:r>
        <w:t>s</w:t>
      </w:r>
      <w:r w:rsidRPr="00A637C5">
        <w:t xml:space="preserve"> on the victim’s ability to get to work, and abuse </w:t>
      </w:r>
      <w:r>
        <w:t>can</w:t>
      </w:r>
      <w:r w:rsidRPr="00A637C5">
        <w:t xml:space="preserve"> take place at, or close to, the workplace, </w:t>
      </w:r>
      <w:proofErr w:type="gramStart"/>
      <w:r w:rsidRPr="00A637C5">
        <w:t>and also</w:t>
      </w:r>
      <w:proofErr w:type="gramEnd"/>
      <w:r w:rsidRPr="00A637C5">
        <w:t xml:space="preserve"> affect co-workers. There </w:t>
      </w:r>
      <w:r>
        <w:t>has</w:t>
      </w:r>
      <w:r w:rsidRPr="00A637C5">
        <w:t xml:space="preserve"> been an increase in reported incidents of domestic violence targeting victims at work, with an impact on the worker, </w:t>
      </w:r>
      <w:proofErr w:type="gramStart"/>
      <w:r w:rsidRPr="00A637C5">
        <w:t>co-workers</w:t>
      </w:r>
      <w:proofErr w:type="gramEnd"/>
      <w:r w:rsidRPr="00A637C5">
        <w:t xml:space="preserve"> and the enterprise</w:t>
      </w:r>
      <w:r>
        <w:t xml:space="preserve"> (increased workloads, stress, calls or visits from their co-worker’s abuser, and other potential safety risks)</w:t>
      </w:r>
      <w:r w:rsidRPr="00A637C5">
        <w:t xml:space="preserve">. </w:t>
      </w:r>
      <w:r>
        <w:t>On the other hand, th</w:t>
      </w:r>
      <w:r w:rsidRPr="00A637C5">
        <w:t xml:space="preserve">e workplace </w:t>
      </w:r>
      <w:r>
        <w:t>can</w:t>
      </w:r>
      <w:r w:rsidRPr="00A637C5">
        <w:t xml:space="preserve"> also be a refuge for victims</w:t>
      </w:r>
      <w:r>
        <w:t>,</w:t>
      </w:r>
      <w:r w:rsidRPr="00A637C5">
        <w:t xml:space="preserve"> </w:t>
      </w:r>
      <w:r>
        <w:t>but</w:t>
      </w:r>
      <w:r w:rsidRPr="00A637C5">
        <w:t xml:space="preserve"> could be a place where perpetrators </w:t>
      </w:r>
      <w:r>
        <w:t>can</w:t>
      </w:r>
      <w:r w:rsidRPr="00A637C5">
        <w:t xml:space="preserve"> easily find and harm them. In either case, victims of domestic violence should be able to earn a living as that </w:t>
      </w:r>
      <w:r>
        <w:t>is</w:t>
      </w:r>
      <w:r w:rsidRPr="00A637C5">
        <w:t xml:space="preserve"> essential for them to be able to leave violent relationships.</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2CE"/>
    <w:rsid w:val="00174973"/>
    <w:rsid w:val="005462CE"/>
    <w:rsid w:val="005B7F6F"/>
    <w:rsid w:val="007C1689"/>
    <w:rsid w:val="00820E25"/>
    <w:rsid w:val="00C13220"/>
    <w:rsid w:val="00D043F6"/>
    <w:rsid w:val="00D65E96"/>
    <w:rsid w:val="00E576EC"/>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E85F2"/>
  <w15:chartTrackingRefBased/>
  <w15:docId w15:val="{0FCC9E02-93DD-45FC-9695-F99BF20B5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2CE"/>
    <w:pPr>
      <w:spacing w:after="0" w:line="276" w:lineRule="auto"/>
    </w:pPr>
    <w:rPr>
      <w:rFonts w:ascii="Arial" w:eastAsia="Arial" w:hAnsi="Arial" w:cs="Arial"/>
      <w:lang w:val="en" w:eastAsia="en-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462CE"/>
    <w:pPr>
      <w:spacing w:line="240" w:lineRule="auto"/>
    </w:pPr>
    <w:rPr>
      <w:rFonts w:asciiTheme="minorHAnsi" w:eastAsiaTheme="minorHAnsi" w:hAnsiTheme="minorHAnsi" w:cstheme="minorBidi"/>
      <w:sz w:val="20"/>
      <w:szCs w:val="20"/>
      <w:lang w:val="en-GB" w:eastAsia="en-US"/>
    </w:rPr>
  </w:style>
  <w:style w:type="character" w:customStyle="1" w:styleId="FootnoteTextChar">
    <w:name w:val="Footnote Text Char"/>
    <w:basedOn w:val="DefaultParagraphFont"/>
    <w:link w:val="FootnoteText"/>
    <w:uiPriority w:val="99"/>
    <w:semiHidden/>
    <w:rsid w:val="005462CE"/>
    <w:rPr>
      <w:sz w:val="20"/>
      <w:szCs w:val="20"/>
      <w:lang w:val="en-GB"/>
    </w:rPr>
  </w:style>
  <w:style w:type="character" w:styleId="FootnoteReference">
    <w:name w:val="footnote reference"/>
    <w:basedOn w:val="DefaultParagraphFont"/>
    <w:uiPriority w:val="99"/>
    <w:semiHidden/>
    <w:unhideWhenUsed/>
    <w:rsid w:val="005462CE"/>
    <w:rPr>
      <w:vertAlign w:val="superscript"/>
    </w:rPr>
  </w:style>
  <w:style w:type="character" w:styleId="Hyperlink">
    <w:name w:val="Hyperlink"/>
    <w:basedOn w:val="DefaultParagraphFont"/>
    <w:uiPriority w:val="99"/>
    <w:unhideWhenUsed/>
    <w:rsid w:val="005462CE"/>
    <w:rPr>
      <w:color w:val="0563C1" w:themeColor="hyperlink"/>
      <w:u w:val="single"/>
    </w:rPr>
  </w:style>
  <w:style w:type="character" w:styleId="CommentReference">
    <w:name w:val="annotation reference"/>
    <w:basedOn w:val="DefaultParagraphFont"/>
    <w:uiPriority w:val="99"/>
    <w:semiHidden/>
    <w:unhideWhenUsed/>
    <w:rsid w:val="005462CE"/>
    <w:rPr>
      <w:sz w:val="16"/>
      <w:szCs w:val="16"/>
    </w:rPr>
  </w:style>
  <w:style w:type="paragraph" w:styleId="CommentText">
    <w:name w:val="annotation text"/>
    <w:basedOn w:val="Normal"/>
    <w:link w:val="CommentTextChar"/>
    <w:uiPriority w:val="99"/>
    <w:unhideWhenUsed/>
    <w:rsid w:val="005462CE"/>
    <w:pPr>
      <w:spacing w:line="240" w:lineRule="auto"/>
    </w:pPr>
    <w:rPr>
      <w:sz w:val="20"/>
      <w:szCs w:val="20"/>
    </w:rPr>
  </w:style>
  <w:style w:type="character" w:customStyle="1" w:styleId="CommentTextChar">
    <w:name w:val="Comment Text Char"/>
    <w:basedOn w:val="DefaultParagraphFont"/>
    <w:link w:val="CommentText"/>
    <w:uiPriority w:val="99"/>
    <w:rsid w:val="005462CE"/>
    <w:rPr>
      <w:rFonts w:ascii="Arial" w:eastAsia="Arial" w:hAnsi="Arial" w:cs="Arial"/>
      <w:sz w:val="20"/>
      <w:szCs w:val="20"/>
      <w:lang w:val="en" w:eastAsia="en-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o.org/dyn/normlex/en/f?p=NORMLEXPUB:12100:0::NO:12100:P12100_INSTRUMENT_ID:4000085:NO" TargetMode="External"/><Relationship Id="rId13" Type="http://schemas.openxmlformats.org/officeDocument/2006/relationships/hyperlink" Target="https://www.ilo.org/wcmsp5/groups/public/---dgreports/---inst/documents/publication/wcms_630672.pdf" TargetMode="External"/><Relationship Id="rId18" Type="http://schemas.openxmlformats.org/officeDocument/2006/relationships/hyperlink" Target="https://www.handsoffpantson.org/" TargetMode="External"/><Relationship Id="rId26" Type="http://schemas.openxmlformats.org/officeDocument/2006/relationships/hyperlink" Target="https://www.ilo.org/dyn/normlex/en/f?p=NORMLEXPUB:12100:0::NO::P12100_ILO_CODE:C111" TargetMode="External"/><Relationship Id="rId3" Type="http://schemas.openxmlformats.org/officeDocument/2006/relationships/webSettings" Target="webSettings.xml"/><Relationship Id="rId21" Type="http://schemas.openxmlformats.org/officeDocument/2006/relationships/hyperlink" Target="https://hartresearch.com/wp-content/uploads/2016/10/Fast-Food-Worker-Survey-Memo-10-5-16.pdf" TargetMode="External"/><Relationship Id="rId34" Type="http://schemas.openxmlformats.org/officeDocument/2006/relationships/hyperlink" Target="https://www.iuf.org/wp-content/uploads/2021/12/IUF_RIU-Agreement-to-eradicate-sexual-harassment-at-workplace-e.pdf" TargetMode="External"/><Relationship Id="rId7" Type="http://schemas.openxmlformats.org/officeDocument/2006/relationships/hyperlink" Target="https://www.ilo.org/dyn/normlex/en/f?p=NORMLEXPUB:12100:::NO:12100:P12100_ILO_CODE:C190:NO" TargetMode="External"/><Relationship Id="rId12" Type="http://schemas.openxmlformats.org/officeDocument/2006/relationships/hyperlink" Target="https://www.ilo.org/dyn/normlex/en/f?p=NORMLEXPUB:12100:0::NO::P12100_ILO_CODE:R206" TargetMode="External"/><Relationship Id="rId17" Type="http://schemas.openxmlformats.org/officeDocument/2006/relationships/hyperlink" Target="https://hospitalitymanagementdegrees.net/features/sexual-harassment-in-hospitality-infographic/" TargetMode="External"/><Relationship Id="rId25" Type="http://schemas.openxmlformats.org/officeDocument/2006/relationships/hyperlink" Target="https://www.womensaid.org.uk/information-support/what-is-domestic-abuse/domestic-abuse-is-a-gendered-crime/" TargetMode="External"/><Relationship Id="rId33" Type="http://schemas.openxmlformats.org/officeDocument/2006/relationships/hyperlink" Target="https://www.iuf.org/wp-content/uploads/2017-Sodexo-IUF-Joint-Commitment-on-preventing-sexual-harassment.pdf"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ilo.org/dyn/normlex/en/f?p=NORMLEXPUB:12100:0::NO::P12100_INSTRUMENT_ID:4000085" TargetMode="External"/><Relationship Id="rId20" Type="http://schemas.openxmlformats.org/officeDocument/2006/relationships/hyperlink" Target="https://hartresearch.com/fast-food-worker-harassment-survey-findings/" TargetMode="External"/><Relationship Id="rId29" Type="http://schemas.openxmlformats.org/officeDocument/2006/relationships/hyperlink" Target="https://www.iuf.org/what-we-do/fighting-against-sexual-harassment/"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lo.org/global/industries-and-sectors/agriculture-plantations-other-rural-sectors/lang--en/index.htm" TargetMode="External"/><Relationship Id="rId24" Type="http://schemas.openxmlformats.org/officeDocument/2006/relationships/hyperlink" Target="https://www.ilo.org/wcmsp5/groups/public/---dgreports/---gender/documents/briefingnote/wcms_738117.pdf" TargetMode="External"/><Relationship Id="rId32" Type="http://schemas.openxmlformats.org/officeDocument/2006/relationships/hyperlink" Target="https://www.iuf.org/wp-content/uploads/2019-AccorInvest-IUF-Agreement-on-Fighting-Against-Sexual-Harassment.pdf"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ilo.org/dyn/normlex/en/f?p=NORMLEXPUB:12100:::NO:12100:P12100_ILO_CODE:C184:NO" TargetMode="External"/><Relationship Id="rId23" Type="http://schemas.openxmlformats.org/officeDocument/2006/relationships/hyperlink" Target="https://effat.org/in-the-spotlight/mcdonalds-workers-speak-out-at-european-parliament-about-corporate-violence-and-abuse-2/" TargetMode="External"/><Relationship Id="rId28" Type="http://schemas.openxmlformats.org/officeDocument/2006/relationships/hyperlink" Target="https://www.ilo.org/dyn/normlex/en/f?p=NORMLEXPUB:12100:::NO:12100:P12100_ILO_CODE:C190:NO" TargetMode="External"/><Relationship Id="rId36" Type="http://schemas.openxmlformats.org/officeDocument/2006/relationships/hyperlink" Target="https://www.iuf.org/wp-content/uploads/2019-Arla-IUF-agreement-to-fight-sexual-harassment.pdf" TargetMode="External"/><Relationship Id="rId10" Type="http://schemas.openxmlformats.org/officeDocument/2006/relationships/hyperlink" Target="https://www.iuf.org/wp-content/uploads/2021/07/C11-anniversary-study.pdf" TargetMode="External"/><Relationship Id="rId19" Type="http://schemas.openxmlformats.org/officeDocument/2006/relationships/hyperlink" Target="https://www.nordichrct.org/nyheder/report-on-sexual-harassment" TargetMode="External"/><Relationship Id="rId31" Type="http://schemas.openxmlformats.org/officeDocument/2006/relationships/hyperlink" Target="https://www.iuf.org/wp-content/uploads/2020/12/1-2016-IUF-IndustriAll-Unilever-Joint-Commitment-on-preventing-sexual-harassment.pdf" TargetMode="External"/><Relationship Id="rId4" Type="http://schemas.openxmlformats.org/officeDocument/2006/relationships/footnotes" Target="footnotes.xml"/><Relationship Id="rId9" Type="http://schemas.openxmlformats.org/officeDocument/2006/relationships/hyperlink" Target="https://www.ilo.org/wcmsp5/groups/public/---ed_dialogue/---actrav/documents/publication/wcms_546645.pdf" TargetMode="External"/><Relationship Id="rId14" Type="http://schemas.openxmlformats.org/officeDocument/2006/relationships/hyperlink" Target="https://www.ilo.org/dyn/normlex/en/f?p=NORMLEXPUB:12100:0::NO::P12100_ILO_CODE:C111" TargetMode="External"/><Relationship Id="rId22" Type="http://schemas.openxmlformats.org/officeDocument/2006/relationships/hyperlink" Target="https://www.thenation.com/article/society/mcdonalds-sexual-harassment/" TargetMode="External"/><Relationship Id="rId27" Type="http://schemas.openxmlformats.org/officeDocument/2006/relationships/hyperlink" Target="https://www.ilo.org/dyn/normlex/en/f?p=NORMLEXPUB:12100:::NO:12100:P12100_ILO_CODE:C184:NO" TargetMode="External"/><Relationship Id="rId30" Type="http://schemas.openxmlformats.org/officeDocument/2006/relationships/hyperlink" Target="https://www.iuf.org/wp-content/uploads/2013-Chiquita-Appendix-on-Sexual-Harassment.pdf" TargetMode="External"/><Relationship Id="rId35" Type="http://schemas.openxmlformats.org/officeDocument/2006/relationships/hyperlink" Target="https://www.iuf.org/wp-content/uploads/2019-Melia-IUF-Joint-Commitment-on-preventing-sexual-harassment.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c-csi.org/safe-at-home-safe-at-work-tr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2664</Words>
  <Characters>15190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Boincean</dc:creator>
  <cp:keywords/>
  <dc:description/>
  <cp:lastModifiedBy>Svetlana Boincean</cp:lastModifiedBy>
  <cp:revision>7</cp:revision>
  <dcterms:created xsi:type="dcterms:W3CDTF">2022-11-17T12:56:00Z</dcterms:created>
  <dcterms:modified xsi:type="dcterms:W3CDTF">2022-11-17T13:24:00Z</dcterms:modified>
</cp:coreProperties>
</file>