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383D" w:rsidRDefault="00000000">
      <w:pPr>
        <w:jc w:val="both"/>
        <w:rPr>
          <w:rFonts w:ascii="Times" w:eastAsia="Times" w:hAnsi="Times" w:cs="Times"/>
          <w:color w:val="000000"/>
          <w:sz w:val="22"/>
          <w:szCs w:val="22"/>
        </w:rPr>
      </w:pPr>
      <w:r>
        <w:rPr>
          <w:rFonts w:ascii="Times" w:eastAsia="Times" w:hAnsi="Times" w:cs="Times"/>
          <w:b/>
          <w:color w:val="000000"/>
          <w:sz w:val="22"/>
          <w:szCs w:val="22"/>
        </w:rPr>
        <w:t>Violence in Food Systems: LGBTIQ Food Insecurity in Crisis</w:t>
      </w:r>
    </w:p>
    <w:p w14:paraId="00000002" w14:textId="77777777" w:rsidR="000B383D" w:rsidRDefault="000B383D">
      <w:pPr>
        <w:jc w:val="both"/>
        <w:rPr>
          <w:rFonts w:ascii="Times" w:eastAsia="Times" w:hAnsi="Times" w:cs="Times"/>
          <w:color w:val="000000"/>
          <w:sz w:val="22"/>
          <w:szCs w:val="22"/>
        </w:rPr>
      </w:pPr>
    </w:p>
    <w:p w14:paraId="00000003" w14:textId="77777777" w:rsidR="000B383D" w:rsidRDefault="00000000">
      <w:pPr>
        <w:jc w:val="both"/>
        <w:rPr>
          <w:rFonts w:ascii="Times" w:eastAsia="Times" w:hAnsi="Times" w:cs="Times"/>
          <w:sz w:val="22"/>
          <w:szCs w:val="22"/>
        </w:rPr>
      </w:pPr>
      <w:r>
        <w:rPr>
          <w:rFonts w:ascii="Times" w:eastAsia="Times" w:hAnsi="Times" w:cs="Times"/>
          <w:sz w:val="22"/>
          <w:szCs w:val="22"/>
        </w:rPr>
        <w:t>Outright International (“Outright”) works with partners around the globe to strengthen the capacity of the LGBTIQ</w:t>
      </w:r>
      <w:r>
        <w:rPr>
          <w:rFonts w:ascii="Times" w:eastAsia="Times" w:hAnsi="Times" w:cs="Times"/>
          <w:sz w:val="22"/>
          <w:szCs w:val="22"/>
          <w:vertAlign w:val="superscript"/>
        </w:rPr>
        <w:footnoteReference w:id="1"/>
      </w:r>
      <w:r>
        <w:rPr>
          <w:rFonts w:ascii="Times" w:eastAsia="Times" w:hAnsi="Times" w:cs="Times"/>
          <w:sz w:val="22"/>
          <w:szCs w:val="22"/>
        </w:rPr>
        <w:t xml:space="preserve"> human rights movement, document and amplify human rights violations against LGBTIQ people, and advocate for inclusion and equality. Outright works with the United Nations, regional human rights monitoring bodies and civil society partners. Outright holds consultative status at the United Nations where it serves as the secretariat of the UN LGBTI Core Group. We are pleased to present this submission to inform the report of the Special Rapporteur on the right to food on the nature, degree, and cause of violence present in food systems. </w:t>
      </w:r>
    </w:p>
    <w:p w14:paraId="00000004" w14:textId="77777777" w:rsidR="000B383D" w:rsidRDefault="000B383D">
      <w:pPr>
        <w:jc w:val="both"/>
        <w:rPr>
          <w:rFonts w:ascii="Times" w:eastAsia="Times" w:hAnsi="Times" w:cs="Times"/>
          <w:sz w:val="22"/>
          <w:szCs w:val="22"/>
        </w:rPr>
      </w:pPr>
    </w:p>
    <w:p w14:paraId="00000005" w14:textId="77777777" w:rsidR="000B383D" w:rsidRDefault="00000000">
      <w:pPr>
        <w:numPr>
          <w:ilvl w:val="0"/>
          <w:numId w:val="1"/>
        </w:numPr>
        <w:pBdr>
          <w:top w:val="nil"/>
          <w:left w:val="nil"/>
          <w:bottom w:val="nil"/>
          <w:right w:val="nil"/>
          <w:between w:val="nil"/>
        </w:pBdr>
        <w:jc w:val="both"/>
        <w:rPr>
          <w:rFonts w:ascii="Times" w:eastAsia="Times" w:hAnsi="Times" w:cs="Times"/>
          <w:b/>
          <w:color w:val="000000"/>
          <w:sz w:val="22"/>
          <w:szCs w:val="22"/>
        </w:rPr>
      </w:pPr>
      <w:r>
        <w:rPr>
          <w:rFonts w:ascii="Times" w:eastAsia="Times" w:hAnsi="Times" w:cs="Times"/>
          <w:b/>
          <w:color w:val="000000"/>
          <w:sz w:val="22"/>
          <w:szCs w:val="22"/>
        </w:rPr>
        <w:t xml:space="preserve">Describe the nature and degree of violence prevalent in different parts of a food system in your country or community-based organization. </w:t>
      </w:r>
    </w:p>
    <w:p w14:paraId="00000006" w14:textId="77777777" w:rsidR="000B383D" w:rsidRDefault="000B383D">
      <w:pPr>
        <w:jc w:val="both"/>
        <w:rPr>
          <w:rFonts w:ascii="Times" w:eastAsia="Times" w:hAnsi="Times" w:cs="Times"/>
          <w:sz w:val="22"/>
          <w:szCs w:val="22"/>
        </w:rPr>
      </w:pPr>
    </w:p>
    <w:p w14:paraId="00000007" w14:textId="77777777" w:rsidR="000B383D" w:rsidRDefault="00000000">
      <w:pPr>
        <w:jc w:val="both"/>
        <w:rPr>
          <w:rFonts w:ascii="Times" w:eastAsia="Times" w:hAnsi="Times" w:cs="Times"/>
          <w:sz w:val="22"/>
          <w:szCs w:val="22"/>
        </w:rPr>
      </w:pPr>
      <w:r>
        <w:rPr>
          <w:rFonts w:ascii="Times" w:eastAsia="Times" w:hAnsi="Times" w:cs="Times"/>
          <w:sz w:val="22"/>
          <w:szCs w:val="22"/>
        </w:rPr>
        <w:t>The Special Rapporteur defines violence as the result of one party forcing another into an unequal relationship based on domination, humiliation, or exploitation.</w:t>
      </w:r>
      <w:r>
        <w:rPr>
          <w:rFonts w:ascii="Times" w:eastAsia="Times" w:hAnsi="Times" w:cs="Times"/>
          <w:sz w:val="22"/>
          <w:szCs w:val="22"/>
          <w:vertAlign w:val="superscript"/>
        </w:rPr>
        <w:footnoteReference w:id="2"/>
      </w:r>
      <w:r>
        <w:rPr>
          <w:rFonts w:ascii="Times" w:eastAsia="Times" w:hAnsi="Times" w:cs="Times"/>
          <w:sz w:val="22"/>
          <w:szCs w:val="22"/>
        </w:rPr>
        <w:t xml:space="preserve"> The Special Rapporteur highlighted forms violence takes, including erasure and discrimination. Erasure of people through laws, policies, beliefs, and processes stems from the assumption those people should not exist.</w:t>
      </w:r>
      <w:r>
        <w:rPr>
          <w:rFonts w:ascii="Times" w:eastAsia="Times" w:hAnsi="Times" w:cs="Times"/>
          <w:sz w:val="22"/>
          <w:szCs w:val="22"/>
          <w:vertAlign w:val="superscript"/>
        </w:rPr>
        <w:footnoteReference w:id="3"/>
      </w:r>
      <w:r>
        <w:rPr>
          <w:rFonts w:ascii="Times" w:eastAsia="Times" w:hAnsi="Times" w:cs="Times"/>
          <w:sz w:val="22"/>
          <w:szCs w:val="22"/>
        </w:rPr>
        <w:t xml:space="preserve"> Discrimination targets populations who deviate from a constructed notion of normality.</w:t>
      </w:r>
      <w:r>
        <w:rPr>
          <w:rFonts w:ascii="Times" w:eastAsia="Times" w:hAnsi="Times" w:cs="Times"/>
          <w:sz w:val="22"/>
          <w:szCs w:val="22"/>
          <w:vertAlign w:val="superscript"/>
        </w:rPr>
        <w:footnoteReference w:id="4"/>
      </w:r>
      <w:r>
        <w:rPr>
          <w:rFonts w:ascii="Times" w:eastAsia="Times" w:hAnsi="Times" w:cs="Times"/>
          <w:sz w:val="22"/>
          <w:szCs w:val="22"/>
        </w:rPr>
        <w:t xml:space="preserve"> </w:t>
      </w:r>
    </w:p>
    <w:p w14:paraId="00000008" w14:textId="77777777" w:rsidR="000B383D" w:rsidRDefault="000B383D">
      <w:pPr>
        <w:jc w:val="both"/>
        <w:rPr>
          <w:rFonts w:ascii="Times" w:eastAsia="Times" w:hAnsi="Times" w:cs="Times"/>
          <w:sz w:val="22"/>
          <w:szCs w:val="22"/>
        </w:rPr>
      </w:pPr>
    </w:p>
    <w:p w14:paraId="00000009" w14:textId="14E80C0C" w:rsidR="000B383D" w:rsidRDefault="00000000">
      <w:pPr>
        <w:jc w:val="both"/>
        <w:rPr>
          <w:rFonts w:ascii="Times" w:eastAsia="Times" w:hAnsi="Times" w:cs="Times"/>
          <w:sz w:val="22"/>
          <w:szCs w:val="22"/>
        </w:rPr>
      </w:pPr>
      <w:r>
        <w:rPr>
          <w:rFonts w:ascii="Times" w:eastAsia="Times" w:hAnsi="Times" w:cs="Times"/>
          <w:sz w:val="22"/>
          <w:szCs w:val="22"/>
        </w:rPr>
        <w:t>LGBTIQ people experience erasure through exclusionary laws and policies which imply they should not exist.</w:t>
      </w:r>
      <w:r>
        <w:rPr>
          <w:rFonts w:ascii="Times" w:eastAsia="Times" w:hAnsi="Times" w:cs="Times"/>
          <w:sz w:val="22"/>
          <w:szCs w:val="22"/>
          <w:vertAlign w:val="superscript"/>
        </w:rPr>
        <w:footnoteReference w:id="5"/>
      </w:r>
      <w:r>
        <w:rPr>
          <w:rFonts w:ascii="Times" w:eastAsia="Times" w:hAnsi="Times" w:cs="Times"/>
          <w:sz w:val="22"/>
          <w:szCs w:val="22"/>
        </w:rPr>
        <w:t xml:space="preserve"> Discrimination against LGBTIQ people for not aligning with gender norms can manifest in harassment and exclusion.</w:t>
      </w:r>
      <w:r>
        <w:rPr>
          <w:rFonts w:ascii="Times" w:eastAsia="Times" w:hAnsi="Times" w:cs="Times"/>
          <w:sz w:val="22"/>
          <w:szCs w:val="22"/>
          <w:vertAlign w:val="superscript"/>
        </w:rPr>
        <w:footnoteReference w:id="6"/>
      </w:r>
      <w:r>
        <w:rPr>
          <w:rFonts w:ascii="Times" w:eastAsia="Times" w:hAnsi="Times" w:cs="Times"/>
          <w:sz w:val="22"/>
          <w:szCs w:val="22"/>
        </w:rPr>
        <w:t xml:space="preserve"> Violence LGBTIQ people experience during peace is amplified in crisis through a process the Independent Expert on Sexual Orientation and Gender Identity describes as “the weaponization of prejudice.”</w:t>
      </w:r>
      <w:r>
        <w:rPr>
          <w:rFonts w:ascii="Times" w:eastAsia="Times" w:hAnsi="Times" w:cs="Times"/>
          <w:sz w:val="22"/>
          <w:szCs w:val="22"/>
          <w:vertAlign w:val="superscript"/>
        </w:rPr>
        <w:footnoteReference w:id="7"/>
      </w:r>
      <w:r>
        <w:rPr>
          <w:rFonts w:ascii="Times" w:eastAsia="Times" w:hAnsi="Times" w:cs="Times"/>
          <w:sz w:val="22"/>
          <w:szCs w:val="22"/>
        </w:rPr>
        <w:t xml:space="preserve"> Through the weaponization of prejudice, pre-existing discrimination is “deepened by the lack of State responses and community support” during crisis.</w:t>
      </w:r>
      <w:r>
        <w:rPr>
          <w:rFonts w:ascii="Times" w:eastAsia="Times" w:hAnsi="Times" w:cs="Times"/>
          <w:sz w:val="22"/>
          <w:szCs w:val="22"/>
          <w:vertAlign w:val="superscript"/>
        </w:rPr>
        <w:footnoteReference w:id="8"/>
      </w:r>
      <w:r>
        <w:rPr>
          <w:rFonts w:ascii="Times" w:eastAsia="Times" w:hAnsi="Times" w:cs="Times"/>
          <w:sz w:val="22"/>
          <w:szCs w:val="22"/>
        </w:rPr>
        <w:t xml:space="preserve">  The exacerbation of pre-existing prejudices against LGBTIQ people can lead to food insecurity, described below. </w:t>
      </w:r>
    </w:p>
    <w:p w14:paraId="0000000A" w14:textId="77777777" w:rsidR="000B383D" w:rsidRDefault="000B383D">
      <w:pPr>
        <w:jc w:val="both"/>
        <w:rPr>
          <w:rFonts w:ascii="Times" w:eastAsia="Times" w:hAnsi="Times" w:cs="Times"/>
          <w:sz w:val="22"/>
          <w:szCs w:val="22"/>
        </w:rPr>
      </w:pPr>
    </w:p>
    <w:p w14:paraId="0000000B" w14:textId="77777777" w:rsidR="000B383D" w:rsidRDefault="00000000">
      <w:pPr>
        <w:numPr>
          <w:ilvl w:val="0"/>
          <w:numId w:val="1"/>
        </w:numPr>
        <w:pBdr>
          <w:top w:val="nil"/>
          <w:left w:val="nil"/>
          <w:bottom w:val="nil"/>
          <w:right w:val="nil"/>
          <w:between w:val="nil"/>
        </w:pBdr>
        <w:jc w:val="both"/>
        <w:rPr>
          <w:rFonts w:ascii="Times" w:eastAsia="Times" w:hAnsi="Times" w:cs="Times"/>
          <w:b/>
          <w:color w:val="000000"/>
          <w:sz w:val="22"/>
          <w:szCs w:val="22"/>
        </w:rPr>
      </w:pPr>
      <w:r>
        <w:rPr>
          <w:rFonts w:ascii="Times" w:eastAsia="Times" w:hAnsi="Times" w:cs="Times"/>
          <w:b/>
          <w:color w:val="000000"/>
          <w:sz w:val="22"/>
          <w:szCs w:val="22"/>
        </w:rPr>
        <w:t>Provide examples of laws, policies, or campaigns that have successfully prevented or reduced violence in a food system, held perpetrators accountable, or provided reparation.</w:t>
      </w:r>
    </w:p>
    <w:p w14:paraId="0000000C" w14:textId="77777777" w:rsidR="000B383D" w:rsidRDefault="000B383D">
      <w:pPr>
        <w:jc w:val="both"/>
        <w:rPr>
          <w:rFonts w:ascii="Times" w:eastAsia="Times" w:hAnsi="Times" w:cs="Times"/>
          <w:sz w:val="22"/>
          <w:szCs w:val="22"/>
        </w:rPr>
      </w:pPr>
    </w:p>
    <w:p w14:paraId="0000000D" w14:textId="2E41D43A" w:rsidR="000B383D" w:rsidRDefault="00000000">
      <w:pPr>
        <w:jc w:val="both"/>
        <w:rPr>
          <w:rFonts w:ascii="Times" w:eastAsia="Times" w:hAnsi="Times" w:cs="Times"/>
          <w:color w:val="000000"/>
          <w:sz w:val="22"/>
          <w:szCs w:val="22"/>
        </w:rPr>
      </w:pPr>
      <w:r>
        <w:rPr>
          <w:rFonts w:ascii="Times" w:eastAsia="Times" w:hAnsi="Times" w:cs="Times"/>
          <w:sz w:val="22"/>
          <w:szCs w:val="22"/>
        </w:rPr>
        <w:t xml:space="preserve">Outright conducted interviews </w:t>
      </w:r>
      <w:r>
        <w:rPr>
          <w:rFonts w:ascii="Times" w:eastAsia="Times" w:hAnsi="Times" w:cs="Times"/>
          <w:color w:val="000000"/>
          <w:sz w:val="22"/>
          <w:szCs w:val="22"/>
        </w:rPr>
        <w:t>with LGBTIQ individuals across 5 regions during COVID-19</w:t>
      </w:r>
      <w:r w:rsidR="00133F0C">
        <w:rPr>
          <w:rFonts w:ascii="Times" w:eastAsia="Times" w:hAnsi="Times" w:cs="Times"/>
          <w:color w:val="000000"/>
          <w:sz w:val="22"/>
          <w:szCs w:val="22"/>
        </w:rPr>
        <w:t>. These interviews</w:t>
      </w:r>
      <w:r>
        <w:rPr>
          <w:rFonts w:ascii="Times" w:eastAsia="Times" w:hAnsi="Times" w:cs="Times"/>
          <w:color w:val="000000"/>
          <w:sz w:val="22"/>
          <w:szCs w:val="22"/>
        </w:rPr>
        <w:t xml:space="preserve"> revealed that </w:t>
      </w:r>
      <w:r w:rsidR="00133F0C">
        <w:rPr>
          <w:rFonts w:ascii="Times" w:eastAsia="Times" w:hAnsi="Times" w:cs="Times"/>
          <w:color w:val="000000"/>
          <w:sz w:val="22"/>
          <w:szCs w:val="22"/>
        </w:rPr>
        <w:t>LGBTIQ people</w:t>
      </w:r>
      <w:r>
        <w:rPr>
          <w:rFonts w:ascii="Times" w:eastAsia="Times" w:hAnsi="Times" w:cs="Times"/>
          <w:color w:val="000000"/>
          <w:sz w:val="22"/>
          <w:szCs w:val="22"/>
        </w:rPr>
        <w:t xml:space="preserve"> were not receiving adequate assistance.</w:t>
      </w:r>
      <w:r>
        <w:rPr>
          <w:rFonts w:ascii="Times" w:eastAsia="Times" w:hAnsi="Times" w:cs="Times"/>
          <w:color w:val="000000"/>
          <w:sz w:val="22"/>
          <w:szCs w:val="22"/>
          <w:vertAlign w:val="superscript"/>
        </w:rPr>
        <w:t xml:space="preserve"> </w:t>
      </w:r>
      <w:r>
        <w:rPr>
          <w:rFonts w:ascii="Times" w:eastAsia="Times" w:hAnsi="Times" w:cs="Times"/>
          <w:color w:val="000000"/>
          <w:sz w:val="22"/>
          <w:szCs w:val="22"/>
          <w:vertAlign w:val="superscript"/>
        </w:rPr>
        <w:footnoteReference w:id="9"/>
      </w:r>
      <w:r>
        <w:rPr>
          <w:rFonts w:ascii="Times" w:eastAsia="Times" w:hAnsi="Times" w:cs="Times"/>
          <w:color w:val="000000"/>
          <w:sz w:val="22"/>
          <w:szCs w:val="22"/>
        </w:rPr>
        <w:t xml:space="preserve"> Outright mobilized </w:t>
      </w:r>
      <w:r>
        <w:rPr>
          <w:rFonts w:ascii="Times" w:eastAsia="Times" w:hAnsi="Times" w:cs="Times"/>
          <w:sz w:val="22"/>
          <w:szCs w:val="22"/>
        </w:rPr>
        <w:t xml:space="preserve">to make support available for LGBTIQ people by launching the COVID-19 Global LGBTIQ Emergency Fund, which provided grants for LGBTIQ individuals and communities. When Outright began receiving </w:t>
      </w:r>
      <w:r>
        <w:rPr>
          <w:rFonts w:ascii="Times" w:eastAsia="Times" w:hAnsi="Times" w:cs="Times"/>
          <w:sz w:val="22"/>
          <w:szCs w:val="22"/>
        </w:rPr>
        <w:lastRenderedPageBreak/>
        <w:t>applications, 55% of applicants requested food assistance.</w:t>
      </w:r>
      <w:r>
        <w:rPr>
          <w:rFonts w:ascii="Times" w:eastAsia="Times" w:hAnsi="Times" w:cs="Times"/>
          <w:sz w:val="22"/>
          <w:szCs w:val="22"/>
          <w:vertAlign w:val="superscript"/>
        </w:rPr>
        <w:footnoteReference w:id="10"/>
      </w:r>
      <w:r>
        <w:rPr>
          <w:rFonts w:ascii="Times" w:eastAsia="Times" w:hAnsi="Times" w:cs="Times"/>
          <w:sz w:val="22"/>
          <w:szCs w:val="22"/>
        </w:rPr>
        <w:t xml:space="preserve"> A year later, 21% of applicants requested funds for food.</w:t>
      </w:r>
      <w:r>
        <w:rPr>
          <w:rFonts w:ascii="Times" w:eastAsia="Times" w:hAnsi="Times" w:cs="Times"/>
          <w:sz w:val="22"/>
          <w:szCs w:val="22"/>
          <w:vertAlign w:val="superscript"/>
        </w:rPr>
        <w:footnoteReference w:id="11"/>
      </w:r>
      <w:r>
        <w:rPr>
          <w:rFonts w:ascii="Times" w:eastAsia="Times" w:hAnsi="Times" w:cs="Times"/>
          <w:sz w:val="22"/>
          <w:szCs w:val="22"/>
        </w:rPr>
        <w:t xml:space="preserve"> By delivering monetary assistance directly to LGBTIQ people, Outright was able to reduce hunger experienced by this population.</w:t>
      </w:r>
      <w:r>
        <w:rPr>
          <w:rFonts w:ascii="Times" w:eastAsia="Times" w:hAnsi="Times" w:cs="Times"/>
          <w:sz w:val="22"/>
          <w:szCs w:val="22"/>
          <w:vertAlign w:val="superscript"/>
        </w:rPr>
        <w:footnoteReference w:id="12"/>
      </w:r>
      <w:r>
        <w:rPr>
          <w:rFonts w:ascii="Times" w:eastAsia="Times" w:hAnsi="Times" w:cs="Times"/>
          <w:color w:val="000000"/>
          <w:sz w:val="22"/>
          <w:szCs w:val="22"/>
        </w:rPr>
        <w:t xml:space="preserve"> </w:t>
      </w:r>
      <w:r>
        <w:rPr>
          <w:rFonts w:ascii="Times" w:eastAsia="Times" w:hAnsi="Times" w:cs="Times"/>
          <w:sz w:val="22"/>
          <w:szCs w:val="22"/>
        </w:rPr>
        <w:t>Support for LGBTIQ people from local governments can also reduce violence in food systems, such as when the health minister in Kerala, India, sent food kits to 1000 transgender people during COVID-19.</w:t>
      </w:r>
      <w:r>
        <w:rPr>
          <w:rFonts w:ascii="Times" w:eastAsia="Times" w:hAnsi="Times" w:cs="Times"/>
          <w:sz w:val="22"/>
          <w:szCs w:val="22"/>
          <w:vertAlign w:val="superscript"/>
        </w:rPr>
        <w:footnoteReference w:id="13"/>
      </w:r>
    </w:p>
    <w:p w14:paraId="0000000E" w14:textId="77777777" w:rsidR="000B383D" w:rsidRDefault="000B383D">
      <w:pPr>
        <w:jc w:val="both"/>
        <w:rPr>
          <w:rFonts w:ascii="Times" w:eastAsia="Times" w:hAnsi="Times" w:cs="Times"/>
          <w:b/>
          <w:color w:val="000000"/>
          <w:sz w:val="22"/>
          <w:szCs w:val="22"/>
        </w:rPr>
      </w:pPr>
    </w:p>
    <w:p w14:paraId="0000000F" w14:textId="77777777" w:rsidR="000B383D" w:rsidRDefault="00000000">
      <w:pPr>
        <w:numPr>
          <w:ilvl w:val="0"/>
          <w:numId w:val="1"/>
        </w:numPr>
        <w:pBdr>
          <w:top w:val="nil"/>
          <w:left w:val="nil"/>
          <w:bottom w:val="nil"/>
          <w:right w:val="nil"/>
          <w:between w:val="nil"/>
        </w:pBdr>
        <w:jc w:val="both"/>
        <w:rPr>
          <w:rFonts w:ascii="Times" w:eastAsia="Times" w:hAnsi="Times" w:cs="Times"/>
          <w:b/>
          <w:color w:val="000000"/>
          <w:sz w:val="22"/>
          <w:szCs w:val="22"/>
        </w:rPr>
      </w:pPr>
      <w:r>
        <w:rPr>
          <w:rFonts w:ascii="Times" w:eastAsia="Times" w:hAnsi="Times" w:cs="Times"/>
          <w:b/>
          <w:color w:val="000000"/>
          <w:sz w:val="22"/>
          <w:szCs w:val="22"/>
        </w:rPr>
        <w:t xml:space="preserve">Indicate and describe what population groups and peoples are targets of this violence? </w:t>
      </w:r>
    </w:p>
    <w:p w14:paraId="00000010" w14:textId="77777777" w:rsidR="000B383D" w:rsidRDefault="000B383D">
      <w:pPr>
        <w:jc w:val="both"/>
        <w:rPr>
          <w:rFonts w:ascii="Times" w:eastAsia="Times" w:hAnsi="Times" w:cs="Times"/>
          <w:sz w:val="22"/>
          <w:szCs w:val="22"/>
        </w:rPr>
      </w:pPr>
    </w:p>
    <w:p w14:paraId="00000011" w14:textId="77777777" w:rsidR="000B383D" w:rsidRDefault="00000000">
      <w:pPr>
        <w:jc w:val="both"/>
        <w:rPr>
          <w:rFonts w:ascii="Times" w:eastAsia="Times" w:hAnsi="Times" w:cs="Times"/>
          <w:sz w:val="22"/>
          <w:szCs w:val="22"/>
        </w:rPr>
      </w:pPr>
      <w:r>
        <w:rPr>
          <w:rFonts w:ascii="Times" w:eastAsia="Times" w:hAnsi="Times" w:cs="Times"/>
          <w:sz w:val="22"/>
          <w:szCs w:val="22"/>
        </w:rPr>
        <w:t>During COVID-19, access to food was hampered by discriminatory policies. In Panama, Colombia, and Peru, officials mandated separate food shopping days for men and women.</w:t>
      </w:r>
      <w:r w:rsidRPr="00133F0C">
        <w:rPr>
          <w:rFonts w:ascii="Times" w:eastAsia="Times" w:hAnsi="Times" w:cs="Times"/>
          <w:sz w:val="22"/>
          <w:szCs w:val="22"/>
          <w:vertAlign w:val="superscript"/>
        </w:rPr>
        <w:footnoteReference w:id="14"/>
      </w:r>
      <w:r>
        <w:rPr>
          <w:rFonts w:ascii="Times" w:eastAsia="Times" w:hAnsi="Times" w:cs="Times"/>
          <w:sz w:val="22"/>
          <w:szCs w:val="22"/>
        </w:rPr>
        <w:t xml:space="preserve"> These policies led to abuse and arrest of transgender and non-binary people perceived to be violating mandates.</w:t>
      </w:r>
      <w:r>
        <w:rPr>
          <w:rFonts w:ascii="Times" w:eastAsia="Times" w:hAnsi="Times" w:cs="Times"/>
          <w:sz w:val="22"/>
          <w:szCs w:val="22"/>
          <w:vertAlign w:val="superscript"/>
        </w:rPr>
        <w:footnoteReference w:id="15"/>
      </w:r>
    </w:p>
    <w:p w14:paraId="3CFE4F78" w14:textId="77777777" w:rsidR="00133F0C" w:rsidRDefault="00133F0C">
      <w:pPr>
        <w:pBdr>
          <w:top w:val="nil"/>
          <w:left w:val="nil"/>
          <w:bottom w:val="nil"/>
          <w:right w:val="nil"/>
          <w:between w:val="nil"/>
        </w:pBdr>
        <w:jc w:val="both"/>
        <w:rPr>
          <w:rFonts w:ascii="Times" w:eastAsia="Times" w:hAnsi="Times" w:cs="Times"/>
          <w:color w:val="000000"/>
          <w:sz w:val="22"/>
          <w:szCs w:val="22"/>
        </w:rPr>
      </w:pPr>
    </w:p>
    <w:p w14:paraId="1383CDF4" w14:textId="77777777" w:rsidR="002C0491" w:rsidRDefault="002C0491" w:rsidP="002C0491">
      <w:pPr>
        <w:pBdr>
          <w:top w:val="nil"/>
          <w:left w:val="nil"/>
          <w:bottom w:val="nil"/>
          <w:right w:val="nil"/>
          <w:between w:val="nil"/>
        </w:pBdr>
        <w:jc w:val="both"/>
        <w:rPr>
          <w:rFonts w:ascii="Times" w:eastAsia="Times" w:hAnsi="Times" w:cs="Times"/>
          <w:color w:val="000000"/>
          <w:sz w:val="36"/>
          <w:szCs w:val="36"/>
          <w:vertAlign w:val="superscript"/>
        </w:rPr>
      </w:pPr>
      <w:r>
        <w:rPr>
          <w:rFonts w:ascii="Times" w:eastAsia="Times" w:hAnsi="Times" w:cs="Times"/>
          <w:color w:val="000000"/>
          <w:sz w:val="22"/>
          <w:szCs w:val="22"/>
        </w:rPr>
        <w:t>In the Philippines, two lesbian interviewees said that Barangay (district) officials denied them food assistance because their relationships did not fit a narrow definition of “family.” One was told she and her partner were ineligible to receive food packs unlike similarly situated heterosexual couples.</w:t>
      </w:r>
      <w:r>
        <w:rPr>
          <w:rFonts w:ascii="Times" w:eastAsia="Times" w:hAnsi="Times" w:cs="Times"/>
          <w:color w:val="000000"/>
          <w:sz w:val="22"/>
          <w:szCs w:val="22"/>
          <w:vertAlign w:val="superscript"/>
        </w:rPr>
        <w:footnoteReference w:id="16"/>
      </w:r>
      <w:r>
        <w:rPr>
          <w:rFonts w:ascii="Times" w:eastAsia="Times" w:hAnsi="Times" w:cs="Times"/>
          <w:color w:val="000000"/>
          <w:sz w:val="22"/>
          <w:szCs w:val="22"/>
        </w:rPr>
        <w:t xml:space="preserve"> The other was told she could not have food because she did not have a husband or child.</w:t>
      </w:r>
      <w:r>
        <w:rPr>
          <w:rFonts w:ascii="Times" w:eastAsia="Times" w:hAnsi="Times" w:cs="Times"/>
          <w:color w:val="000000"/>
          <w:sz w:val="22"/>
          <w:szCs w:val="22"/>
          <w:vertAlign w:val="superscript"/>
        </w:rPr>
        <w:footnoteReference w:id="17"/>
      </w:r>
      <w:r>
        <w:rPr>
          <w:rFonts w:ascii="Times" w:eastAsia="Times" w:hAnsi="Times" w:cs="Times"/>
          <w:color w:val="000000"/>
          <w:sz w:val="36"/>
          <w:szCs w:val="36"/>
          <w:vertAlign w:val="superscript"/>
        </w:rPr>
        <w:t xml:space="preserve">  </w:t>
      </w:r>
    </w:p>
    <w:p w14:paraId="1CAECA5B" w14:textId="77777777" w:rsidR="00133F0C" w:rsidRDefault="00133F0C">
      <w:pPr>
        <w:pBdr>
          <w:top w:val="nil"/>
          <w:left w:val="nil"/>
          <w:bottom w:val="nil"/>
          <w:right w:val="nil"/>
          <w:between w:val="nil"/>
        </w:pBdr>
        <w:jc w:val="both"/>
        <w:rPr>
          <w:rFonts w:ascii="Times" w:eastAsia="Times" w:hAnsi="Times" w:cs="Times"/>
          <w:color w:val="000000"/>
          <w:sz w:val="22"/>
          <w:szCs w:val="22"/>
        </w:rPr>
      </w:pPr>
    </w:p>
    <w:p w14:paraId="287416B4" w14:textId="77777777" w:rsidR="002C0491" w:rsidRDefault="00000000" w:rsidP="002C0491">
      <w:pPr>
        <w:jc w:val="both"/>
        <w:rPr>
          <w:rFonts w:ascii="Times" w:eastAsia="Times" w:hAnsi="Times" w:cs="Times"/>
          <w:sz w:val="22"/>
          <w:szCs w:val="22"/>
        </w:rPr>
      </w:pPr>
      <w:r>
        <w:rPr>
          <w:rFonts w:ascii="Times" w:eastAsia="Times" w:hAnsi="Times" w:cs="Times"/>
          <w:sz w:val="22"/>
          <w:szCs w:val="22"/>
        </w:rPr>
        <w:t>Due to workplace discrimination and social exclusion, LGBTIQ people are disproportionately represented in the informal work sector and experience high rates of poverty.</w:t>
      </w:r>
      <w:r>
        <w:rPr>
          <w:rFonts w:ascii="Times" w:eastAsia="Times" w:hAnsi="Times" w:cs="Times"/>
          <w:sz w:val="22"/>
          <w:szCs w:val="22"/>
          <w:vertAlign w:val="superscript"/>
        </w:rPr>
        <w:footnoteReference w:id="18"/>
      </w:r>
      <w:r>
        <w:rPr>
          <w:rFonts w:ascii="Times" w:eastAsia="Times" w:hAnsi="Times" w:cs="Times"/>
          <w:sz w:val="22"/>
          <w:szCs w:val="22"/>
        </w:rPr>
        <w:t xml:space="preserve"> Therefore, the economic impact of COVID-19 led to food insecurity among many LGBTIQ people. </w:t>
      </w:r>
      <w:r w:rsidR="002C0491">
        <w:rPr>
          <w:rFonts w:ascii="Times" w:eastAsia="Times" w:hAnsi="Times" w:cs="Times"/>
          <w:sz w:val="22"/>
          <w:szCs w:val="22"/>
        </w:rPr>
        <w:t>One applicant to Outright’s COVID-19 fund said ongoing hunger experienced by LGBTIQ people was leading to a rise in suicide rates.</w:t>
      </w:r>
      <w:r w:rsidR="002C0491">
        <w:rPr>
          <w:rFonts w:ascii="Times" w:eastAsia="Times" w:hAnsi="Times" w:cs="Times"/>
          <w:sz w:val="22"/>
          <w:szCs w:val="22"/>
          <w:vertAlign w:val="superscript"/>
        </w:rPr>
        <w:footnoteReference w:id="19"/>
      </w:r>
      <w:r w:rsidR="002C0491">
        <w:rPr>
          <w:rFonts w:ascii="Times" w:eastAsia="Times" w:hAnsi="Times" w:cs="Times"/>
          <w:sz w:val="22"/>
          <w:szCs w:val="22"/>
        </w:rPr>
        <w:t xml:space="preserve"> A St. Lucia-based grantee </w:t>
      </w:r>
      <w:proofErr w:type="gramStart"/>
      <w:r w:rsidR="002C0491">
        <w:rPr>
          <w:rFonts w:ascii="Times" w:eastAsia="Times" w:hAnsi="Times" w:cs="Times"/>
          <w:sz w:val="22"/>
          <w:szCs w:val="22"/>
        </w:rPr>
        <w:t>told</w:t>
      </w:r>
      <w:proofErr w:type="gramEnd"/>
      <w:r w:rsidR="002C0491">
        <w:rPr>
          <w:rFonts w:ascii="Times" w:eastAsia="Times" w:hAnsi="Times" w:cs="Times"/>
          <w:sz w:val="22"/>
          <w:szCs w:val="22"/>
        </w:rPr>
        <w:t xml:space="preserve"> Outright about a beneficiary living with HIV who was unable to afford both food and HIV medicine, and had gone hungry.</w:t>
      </w:r>
      <w:r w:rsidR="002C0491">
        <w:rPr>
          <w:rFonts w:ascii="Times" w:eastAsia="Times" w:hAnsi="Times" w:cs="Times"/>
          <w:sz w:val="22"/>
          <w:szCs w:val="22"/>
          <w:vertAlign w:val="superscript"/>
        </w:rPr>
        <w:footnoteReference w:id="20"/>
      </w:r>
      <w:r w:rsidR="002C0491">
        <w:rPr>
          <w:rFonts w:ascii="Times" w:eastAsia="Times" w:hAnsi="Times" w:cs="Times"/>
          <w:sz w:val="22"/>
          <w:szCs w:val="22"/>
        </w:rPr>
        <w:t xml:space="preserve"> </w:t>
      </w:r>
    </w:p>
    <w:p w14:paraId="00000014" w14:textId="0897CC96" w:rsidR="000B383D" w:rsidRDefault="000B383D">
      <w:pPr>
        <w:jc w:val="both"/>
        <w:rPr>
          <w:rFonts w:ascii="Times" w:eastAsia="Times" w:hAnsi="Times" w:cs="Times"/>
          <w:sz w:val="22"/>
          <w:szCs w:val="22"/>
        </w:rPr>
      </w:pPr>
    </w:p>
    <w:p w14:paraId="2A40D652" w14:textId="77777777" w:rsidR="002C0491" w:rsidRDefault="002C0491" w:rsidP="002C0491">
      <w:pPr>
        <w:jc w:val="both"/>
        <w:rPr>
          <w:rFonts w:ascii="Times" w:eastAsia="Times" w:hAnsi="Times" w:cs="Times"/>
          <w:sz w:val="22"/>
          <w:szCs w:val="22"/>
        </w:rPr>
      </w:pPr>
      <w:r>
        <w:rPr>
          <w:rFonts w:ascii="Times" w:eastAsia="Times" w:hAnsi="Times" w:cs="Times"/>
          <w:sz w:val="22"/>
          <w:szCs w:val="22"/>
        </w:rPr>
        <w:t xml:space="preserve">Discrimination in service delivery contributes to food insecurity. According to UNAIDS, </w:t>
      </w:r>
      <w:proofErr w:type="spellStart"/>
      <w:r>
        <w:rPr>
          <w:rFonts w:ascii="Times" w:eastAsia="Times" w:hAnsi="Times" w:cs="Times"/>
          <w:sz w:val="22"/>
          <w:szCs w:val="22"/>
        </w:rPr>
        <w:t>Sanggar</w:t>
      </w:r>
      <w:proofErr w:type="spellEnd"/>
      <w:r>
        <w:rPr>
          <w:rFonts w:ascii="Times" w:eastAsia="Times" w:hAnsi="Times" w:cs="Times"/>
          <w:sz w:val="22"/>
          <w:szCs w:val="22"/>
        </w:rPr>
        <w:t xml:space="preserve"> </w:t>
      </w:r>
      <w:proofErr w:type="spellStart"/>
      <w:r>
        <w:rPr>
          <w:rFonts w:ascii="Times" w:eastAsia="Times" w:hAnsi="Times" w:cs="Times"/>
          <w:sz w:val="22"/>
          <w:szCs w:val="22"/>
        </w:rPr>
        <w:t>Swara</w:t>
      </w:r>
      <w:proofErr w:type="spellEnd"/>
      <w:r>
        <w:rPr>
          <w:rFonts w:ascii="Times" w:eastAsia="Times" w:hAnsi="Times" w:cs="Times"/>
          <w:sz w:val="22"/>
          <w:szCs w:val="22"/>
        </w:rPr>
        <w:t>, an Indonesian organization for transgender women, reported that in some cases transgender women were denied food aid due to their gender identity.</w:t>
      </w:r>
      <w:r>
        <w:rPr>
          <w:rFonts w:ascii="Times" w:eastAsia="Times" w:hAnsi="Times" w:cs="Times"/>
          <w:sz w:val="22"/>
          <w:szCs w:val="22"/>
          <w:vertAlign w:val="superscript"/>
        </w:rPr>
        <w:footnoteReference w:id="21"/>
      </w:r>
      <w:r>
        <w:rPr>
          <w:rFonts w:ascii="Times" w:eastAsia="Times" w:hAnsi="Times" w:cs="Times"/>
          <w:sz w:val="22"/>
          <w:szCs w:val="22"/>
        </w:rPr>
        <w:t xml:space="preserve"> </w:t>
      </w:r>
    </w:p>
    <w:p w14:paraId="00000016" w14:textId="77777777" w:rsidR="000B383D" w:rsidRDefault="000B383D">
      <w:pPr>
        <w:jc w:val="both"/>
        <w:rPr>
          <w:rFonts w:ascii="Times" w:eastAsia="Times" w:hAnsi="Times" w:cs="Times"/>
          <w:sz w:val="22"/>
          <w:szCs w:val="22"/>
        </w:rPr>
      </w:pPr>
    </w:p>
    <w:p w14:paraId="00000017" w14:textId="122C23FF" w:rsidR="000B383D" w:rsidRDefault="00000000">
      <w:pPr>
        <w:jc w:val="both"/>
        <w:rPr>
          <w:rFonts w:ascii="Times" w:eastAsia="Times" w:hAnsi="Times" w:cs="Times"/>
          <w:sz w:val="22"/>
          <w:szCs w:val="22"/>
        </w:rPr>
      </w:pPr>
      <w:r>
        <w:rPr>
          <w:rFonts w:ascii="Times" w:eastAsia="Times" w:hAnsi="Times" w:cs="Times"/>
          <w:sz w:val="22"/>
          <w:szCs w:val="22"/>
        </w:rPr>
        <w:t xml:space="preserve">Provision of aid from locations that have historically been unsafe for LGBTIQ people further restricts food access. An activist from Sri Lanka described how police stations were giving out food rations. However, </w:t>
      </w:r>
      <w:r w:rsidR="00317E04">
        <w:rPr>
          <w:rFonts w:ascii="Times" w:eastAsia="Times" w:hAnsi="Times" w:cs="Times"/>
          <w:sz w:val="22"/>
          <w:szCs w:val="22"/>
        </w:rPr>
        <w:t xml:space="preserve">some </w:t>
      </w:r>
      <w:r>
        <w:rPr>
          <w:rFonts w:ascii="Times" w:eastAsia="Times" w:hAnsi="Times" w:cs="Times"/>
          <w:sz w:val="22"/>
          <w:szCs w:val="22"/>
        </w:rPr>
        <w:t>LGBTIQ people did not feel safe going to the police, so could not access food.</w:t>
      </w:r>
      <w:r>
        <w:rPr>
          <w:rFonts w:ascii="Times" w:eastAsia="Times" w:hAnsi="Times" w:cs="Times"/>
          <w:sz w:val="22"/>
          <w:szCs w:val="22"/>
          <w:vertAlign w:val="superscript"/>
        </w:rPr>
        <w:footnoteReference w:id="22"/>
      </w:r>
    </w:p>
    <w:p w14:paraId="00000018" w14:textId="77777777" w:rsidR="000B383D" w:rsidRDefault="000B383D">
      <w:pPr>
        <w:jc w:val="both"/>
        <w:rPr>
          <w:rFonts w:ascii="Times" w:eastAsia="Times" w:hAnsi="Times" w:cs="Times"/>
          <w:b/>
          <w:color w:val="000000"/>
          <w:sz w:val="22"/>
          <w:szCs w:val="22"/>
        </w:rPr>
      </w:pPr>
    </w:p>
    <w:p w14:paraId="00000019" w14:textId="77777777" w:rsidR="000B383D" w:rsidRDefault="00000000">
      <w:pPr>
        <w:numPr>
          <w:ilvl w:val="0"/>
          <w:numId w:val="1"/>
        </w:numPr>
        <w:pBdr>
          <w:top w:val="nil"/>
          <w:left w:val="nil"/>
          <w:bottom w:val="nil"/>
          <w:right w:val="nil"/>
          <w:between w:val="nil"/>
        </w:pBdr>
        <w:jc w:val="both"/>
        <w:rPr>
          <w:rFonts w:ascii="Times" w:eastAsia="Times" w:hAnsi="Times" w:cs="Times"/>
          <w:b/>
          <w:color w:val="000000"/>
          <w:sz w:val="22"/>
          <w:szCs w:val="22"/>
        </w:rPr>
      </w:pPr>
      <w:r>
        <w:rPr>
          <w:rFonts w:ascii="Times" w:eastAsia="Times" w:hAnsi="Times" w:cs="Times"/>
          <w:b/>
          <w:color w:val="000000"/>
          <w:sz w:val="22"/>
          <w:szCs w:val="22"/>
        </w:rPr>
        <w:t>How have authorities and people created spaces of sanctuary or protection from violence within food systems?</w:t>
      </w:r>
    </w:p>
    <w:p w14:paraId="0000001A" w14:textId="77777777" w:rsidR="000B383D" w:rsidRDefault="000B383D">
      <w:pPr>
        <w:jc w:val="both"/>
        <w:rPr>
          <w:rFonts w:ascii="Times" w:eastAsia="Times" w:hAnsi="Times" w:cs="Times"/>
          <w:color w:val="000000"/>
          <w:sz w:val="22"/>
          <w:szCs w:val="22"/>
        </w:rPr>
      </w:pPr>
    </w:p>
    <w:p w14:paraId="1F886000" w14:textId="77777777" w:rsidR="00A422F3" w:rsidRDefault="00A422F3" w:rsidP="00A422F3">
      <w:pPr>
        <w:jc w:val="both"/>
        <w:rPr>
          <w:rFonts w:ascii="Times" w:eastAsia="Times" w:hAnsi="Times" w:cs="Times"/>
          <w:color w:val="000000"/>
          <w:sz w:val="22"/>
          <w:szCs w:val="22"/>
        </w:rPr>
      </w:pPr>
      <w:r>
        <w:rPr>
          <w:rFonts w:ascii="Times" w:eastAsia="Times" w:hAnsi="Times" w:cs="Times"/>
          <w:color w:val="000000"/>
          <w:sz w:val="22"/>
          <w:szCs w:val="22"/>
        </w:rPr>
        <w:lastRenderedPageBreak/>
        <w:t xml:space="preserve">Outright is unaware of spaces </w:t>
      </w:r>
      <w:r>
        <w:rPr>
          <w:rFonts w:ascii="Times" w:eastAsia="Times" w:hAnsi="Times" w:cs="Times"/>
          <w:sz w:val="22"/>
          <w:szCs w:val="22"/>
        </w:rPr>
        <w:t xml:space="preserve">that offer </w:t>
      </w:r>
      <w:r>
        <w:rPr>
          <w:rFonts w:ascii="Times" w:eastAsia="Times" w:hAnsi="Times" w:cs="Times"/>
          <w:color w:val="000000"/>
          <w:sz w:val="22"/>
          <w:szCs w:val="22"/>
        </w:rPr>
        <w:t xml:space="preserve">protection from violence within food systems. However, </w:t>
      </w:r>
      <w:r>
        <w:rPr>
          <w:rFonts w:ascii="Times" w:eastAsia="Times" w:hAnsi="Times" w:cs="Times"/>
          <w:sz w:val="22"/>
          <w:szCs w:val="22"/>
        </w:rPr>
        <w:t xml:space="preserve">we advocate </w:t>
      </w:r>
      <w:r>
        <w:rPr>
          <w:rFonts w:ascii="Times" w:eastAsia="Times" w:hAnsi="Times" w:cs="Times"/>
          <w:color w:val="000000"/>
          <w:sz w:val="22"/>
          <w:szCs w:val="22"/>
        </w:rPr>
        <w:t xml:space="preserve">working with LGBTIQ-led organizations and individuals </w:t>
      </w:r>
      <w:proofErr w:type="gramStart"/>
      <w:r>
        <w:rPr>
          <w:rFonts w:ascii="Times" w:eastAsia="Times" w:hAnsi="Times" w:cs="Times"/>
          <w:color w:val="000000"/>
          <w:sz w:val="22"/>
          <w:szCs w:val="22"/>
        </w:rPr>
        <w:t>in order to</w:t>
      </w:r>
      <w:proofErr w:type="gramEnd"/>
      <w:r>
        <w:rPr>
          <w:rFonts w:ascii="Times" w:eastAsia="Times" w:hAnsi="Times" w:cs="Times"/>
          <w:color w:val="000000"/>
          <w:sz w:val="22"/>
          <w:szCs w:val="22"/>
        </w:rPr>
        <w:t xml:space="preserve"> understand and adequately respond to their needs </w:t>
      </w:r>
      <w:r>
        <w:rPr>
          <w:rFonts w:ascii="Times" w:eastAsia="Times" w:hAnsi="Times" w:cs="Times"/>
          <w:sz w:val="22"/>
          <w:szCs w:val="22"/>
        </w:rPr>
        <w:t>for</w:t>
      </w:r>
      <w:r>
        <w:rPr>
          <w:rFonts w:ascii="Times" w:eastAsia="Times" w:hAnsi="Times" w:cs="Times"/>
          <w:color w:val="000000"/>
          <w:sz w:val="22"/>
          <w:szCs w:val="22"/>
        </w:rPr>
        <w:t xml:space="preserve"> food and nutrition assistance. </w:t>
      </w:r>
    </w:p>
    <w:p w14:paraId="0000001C" w14:textId="77777777" w:rsidR="000B383D" w:rsidRDefault="000B383D">
      <w:pPr>
        <w:jc w:val="both"/>
        <w:rPr>
          <w:rFonts w:ascii="Times" w:eastAsia="Times" w:hAnsi="Times" w:cs="Times"/>
          <w:sz w:val="22"/>
          <w:szCs w:val="22"/>
        </w:rPr>
      </w:pPr>
    </w:p>
    <w:p w14:paraId="0000001D" w14:textId="77777777" w:rsidR="000B383D" w:rsidRDefault="000B383D">
      <w:pPr>
        <w:jc w:val="both"/>
        <w:rPr>
          <w:rFonts w:ascii="Times" w:eastAsia="Times" w:hAnsi="Times" w:cs="Times"/>
          <w:color w:val="000000"/>
          <w:sz w:val="22"/>
          <w:szCs w:val="22"/>
        </w:rPr>
      </w:pPr>
    </w:p>
    <w:p w14:paraId="0000001E" w14:textId="77777777" w:rsidR="000B383D" w:rsidRDefault="000B383D">
      <w:pPr>
        <w:jc w:val="both"/>
        <w:rPr>
          <w:rFonts w:ascii="Times" w:eastAsia="Times" w:hAnsi="Times" w:cs="Times"/>
          <w:sz w:val="22"/>
          <w:szCs w:val="22"/>
        </w:rPr>
      </w:pPr>
    </w:p>
    <w:sectPr w:rsidR="000B383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A576" w14:textId="77777777" w:rsidR="00886641" w:rsidRDefault="00886641">
      <w:r>
        <w:separator/>
      </w:r>
    </w:p>
  </w:endnote>
  <w:endnote w:type="continuationSeparator" w:id="0">
    <w:p w14:paraId="3CE60BD7" w14:textId="77777777" w:rsidR="00886641" w:rsidRDefault="0088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707F" w14:textId="77777777" w:rsidR="00886641" w:rsidRDefault="00886641">
      <w:r>
        <w:separator/>
      </w:r>
    </w:p>
  </w:footnote>
  <w:footnote w:type="continuationSeparator" w:id="0">
    <w:p w14:paraId="20DBDFB6" w14:textId="77777777" w:rsidR="00886641" w:rsidRDefault="00886641">
      <w:r>
        <w:continuationSeparator/>
      </w:r>
    </w:p>
  </w:footnote>
  <w:footnote w:id="1">
    <w:p w14:paraId="0000001F"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OutRight International uses the acronym LGBTIQ to denote lesbian, gay, bisexual, transgender, intersex, and queer people. We believe this acronym is inclusive of a broad range of people. It is not exhaustive, nor is it universally accepted or used.</w:t>
      </w:r>
    </w:p>
  </w:footnote>
  <w:footnote w:id="2">
    <w:p w14:paraId="00000020"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Special Rapporteur on the right to food, </w:t>
      </w:r>
      <w:r w:rsidRPr="00133F0C">
        <w:rPr>
          <w:rFonts w:ascii="Times" w:eastAsia="Times" w:hAnsi="Times" w:cs="Times"/>
          <w:i/>
          <w:color w:val="000000"/>
          <w:sz w:val="18"/>
          <w:szCs w:val="18"/>
        </w:rPr>
        <w:t>Call for Input: Violence and the Right to Food</w:t>
      </w:r>
      <w:r w:rsidRPr="00133F0C">
        <w:rPr>
          <w:rFonts w:ascii="Times" w:eastAsia="Times" w:hAnsi="Times" w:cs="Times"/>
          <w:color w:val="000000"/>
          <w:sz w:val="18"/>
          <w:szCs w:val="18"/>
        </w:rPr>
        <w:t xml:space="preserve">, </w:t>
      </w:r>
      <w:hyperlink r:id="rId1">
        <w:r w:rsidRPr="00133F0C">
          <w:rPr>
            <w:rFonts w:ascii="Times" w:eastAsia="Times" w:hAnsi="Times" w:cs="Times"/>
            <w:color w:val="0563C1"/>
            <w:sz w:val="18"/>
            <w:szCs w:val="18"/>
            <w:u w:val="single"/>
          </w:rPr>
          <w:t>https://www.ohchr.org/en/calls-for-input/2022/call-input-violence-and-right-food</w:t>
        </w:r>
      </w:hyperlink>
      <w:r w:rsidRPr="00133F0C">
        <w:rPr>
          <w:rFonts w:ascii="Times" w:eastAsia="Times" w:hAnsi="Times" w:cs="Times"/>
          <w:color w:val="000000"/>
          <w:sz w:val="18"/>
          <w:szCs w:val="18"/>
        </w:rPr>
        <w:t xml:space="preserve">. </w:t>
      </w:r>
    </w:p>
  </w:footnote>
  <w:footnote w:id="3">
    <w:p w14:paraId="00000021" w14:textId="77777777" w:rsidR="000B383D" w:rsidRPr="00133F0C" w:rsidRDefault="00000000">
      <w:pPr>
        <w:pBdr>
          <w:top w:val="nil"/>
          <w:left w:val="nil"/>
          <w:bottom w:val="nil"/>
          <w:right w:val="nil"/>
          <w:between w:val="nil"/>
        </w:pBdr>
        <w:rPr>
          <w:rFonts w:ascii="Times" w:eastAsia="Times" w:hAnsi="Times" w:cs="Times"/>
          <w:i/>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 xml:space="preserve">Id. </w:t>
      </w:r>
    </w:p>
  </w:footnote>
  <w:footnote w:id="4">
    <w:p w14:paraId="00000022" w14:textId="77777777" w:rsidR="000B383D" w:rsidRPr="00133F0C" w:rsidRDefault="00000000">
      <w:pPr>
        <w:pBdr>
          <w:top w:val="nil"/>
          <w:left w:val="nil"/>
          <w:bottom w:val="nil"/>
          <w:right w:val="nil"/>
          <w:between w:val="nil"/>
        </w:pBdr>
        <w:rPr>
          <w:rFonts w:ascii="Times" w:eastAsia="Times" w:hAnsi="Times" w:cs="Times"/>
          <w:i/>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 xml:space="preserve">Id. </w:t>
      </w:r>
    </w:p>
  </w:footnote>
  <w:footnote w:id="5">
    <w:p w14:paraId="00000023"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 xml:space="preserve">See, </w:t>
      </w:r>
      <w:r w:rsidRPr="00133F0C">
        <w:rPr>
          <w:rFonts w:ascii="Times" w:eastAsia="Times" w:hAnsi="Times" w:cs="Times"/>
          <w:color w:val="000000"/>
          <w:sz w:val="18"/>
          <w:szCs w:val="18"/>
        </w:rPr>
        <w:t xml:space="preserve">Graeme Reid, </w:t>
      </w:r>
      <w:r w:rsidRPr="00133F0C">
        <w:rPr>
          <w:rFonts w:ascii="Times" w:eastAsia="Times" w:hAnsi="Times" w:cs="Times"/>
          <w:i/>
          <w:color w:val="000000"/>
          <w:sz w:val="18"/>
          <w:szCs w:val="18"/>
        </w:rPr>
        <w:t>“Traditional Values”: A Potent Weapon Against LGBT Rights</w:t>
      </w:r>
      <w:r w:rsidRPr="00133F0C">
        <w:rPr>
          <w:rFonts w:ascii="Times" w:eastAsia="Times" w:hAnsi="Times" w:cs="Times"/>
          <w:color w:val="000000"/>
          <w:sz w:val="18"/>
          <w:szCs w:val="18"/>
        </w:rPr>
        <w:t xml:space="preserve">, </w:t>
      </w:r>
      <w:hyperlink r:id="rId2">
        <w:r w:rsidRPr="00133F0C">
          <w:rPr>
            <w:rFonts w:ascii="Times" w:eastAsia="Times" w:hAnsi="Times" w:cs="Times"/>
            <w:color w:val="0563C1"/>
            <w:sz w:val="18"/>
            <w:szCs w:val="18"/>
            <w:u w:val="single"/>
          </w:rPr>
          <w:t>https://www.hrw.org/news/2017/11/06/traditional-values-potent-weapon-against-lgbt-rights</w:t>
        </w:r>
      </w:hyperlink>
      <w:r w:rsidRPr="00133F0C">
        <w:rPr>
          <w:rFonts w:ascii="Times" w:eastAsia="Times" w:hAnsi="Times" w:cs="Times"/>
          <w:color w:val="000000"/>
          <w:sz w:val="18"/>
          <w:szCs w:val="18"/>
        </w:rPr>
        <w:t xml:space="preserve"> (reporting on global “propaganda” laws framing LGBTIQ people’s existence in opposition to “normal” ways of life.) </w:t>
      </w:r>
    </w:p>
  </w:footnote>
  <w:footnote w:id="6">
    <w:p w14:paraId="00000024"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UN Women, </w:t>
      </w:r>
      <w:r w:rsidRPr="00133F0C">
        <w:rPr>
          <w:rFonts w:ascii="Times" w:eastAsia="Times" w:hAnsi="Times" w:cs="Times"/>
          <w:i/>
          <w:color w:val="000000"/>
          <w:sz w:val="18"/>
          <w:szCs w:val="18"/>
        </w:rPr>
        <w:t>Identifying Gender Persecution in Conflict and Atrocities</w:t>
      </w:r>
      <w:r w:rsidRPr="00133F0C">
        <w:rPr>
          <w:rFonts w:ascii="Times" w:eastAsia="Times" w:hAnsi="Times" w:cs="Times"/>
          <w:color w:val="000000"/>
          <w:sz w:val="18"/>
          <w:szCs w:val="18"/>
        </w:rPr>
        <w:t xml:space="preserve">, </w:t>
      </w:r>
      <w:hyperlink r:id="rId3">
        <w:r w:rsidRPr="00133F0C">
          <w:rPr>
            <w:rFonts w:ascii="Times" w:eastAsia="Times" w:hAnsi="Times" w:cs="Times"/>
            <w:color w:val="0563C1"/>
            <w:sz w:val="18"/>
            <w:szCs w:val="18"/>
            <w:u w:val="single"/>
          </w:rPr>
          <w:t>https://www.unwomen.org/sites/default/files/2022-01/Identifying-gender-persecution-in-conflict-and-atrocities-en.pdf</w:t>
        </w:r>
      </w:hyperlink>
      <w:r w:rsidRPr="00133F0C">
        <w:rPr>
          <w:rFonts w:ascii="Times" w:eastAsia="Times" w:hAnsi="Times" w:cs="Times"/>
          <w:color w:val="000000"/>
          <w:sz w:val="18"/>
          <w:szCs w:val="18"/>
        </w:rPr>
        <w:t xml:space="preserve"> at 12. </w:t>
      </w:r>
    </w:p>
  </w:footnote>
  <w:footnote w:id="7">
    <w:p w14:paraId="00000025"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UN General Assembly, Report of the Independent Expert on protection against violence and discrimination based on sexual orientation and gender identity Victor Madrigal-</w:t>
      </w:r>
      <w:proofErr w:type="spellStart"/>
      <w:r w:rsidRPr="00133F0C">
        <w:rPr>
          <w:rFonts w:ascii="Times" w:eastAsia="Times" w:hAnsi="Times" w:cs="Times"/>
          <w:color w:val="000000"/>
          <w:sz w:val="18"/>
          <w:szCs w:val="18"/>
        </w:rPr>
        <w:t>Borloz</w:t>
      </w:r>
      <w:proofErr w:type="spellEnd"/>
      <w:r w:rsidRPr="00133F0C">
        <w:rPr>
          <w:rFonts w:ascii="Times" w:eastAsia="Times" w:hAnsi="Times" w:cs="Times"/>
          <w:color w:val="000000"/>
          <w:sz w:val="18"/>
          <w:szCs w:val="18"/>
        </w:rPr>
        <w:t>, A/75/235, at ¶43.</w:t>
      </w:r>
    </w:p>
  </w:footnote>
  <w:footnote w:id="8">
    <w:p w14:paraId="00000026"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Id.</w:t>
      </w:r>
      <w:r w:rsidRPr="00133F0C">
        <w:rPr>
          <w:rFonts w:ascii="Times" w:eastAsia="Times" w:hAnsi="Times" w:cs="Times"/>
          <w:color w:val="000000"/>
          <w:sz w:val="18"/>
          <w:szCs w:val="18"/>
        </w:rPr>
        <w:t xml:space="preserve"> at ¶44.</w:t>
      </w:r>
    </w:p>
  </w:footnote>
  <w:footnote w:id="9">
    <w:p w14:paraId="00000027" w14:textId="77777777" w:rsidR="000B383D" w:rsidRPr="00133F0C" w:rsidRDefault="00000000">
      <w:pPr>
        <w:pBdr>
          <w:top w:val="nil"/>
          <w:left w:val="nil"/>
          <w:bottom w:val="nil"/>
          <w:right w:val="nil"/>
          <w:between w:val="nil"/>
        </w:pBdr>
        <w:rPr>
          <w:rFonts w:ascii="Times" w:hAnsi="Times"/>
          <w:color w:val="000000"/>
          <w:sz w:val="18"/>
          <w:szCs w:val="18"/>
        </w:rPr>
      </w:pPr>
      <w:r w:rsidRPr="00133F0C">
        <w:rPr>
          <w:rStyle w:val="FootnoteReference"/>
          <w:rFonts w:ascii="Times" w:hAnsi="Times"/>
          <w:sz w:val="18"/>
          <w:szCs w:val="18"/>
        </w:rPr>
        <w:footnoteRef/>
      </w:r>
      <w:r w:rsidRPr="00133F0C">
        <w:rPr>
          <w:rFonts w:ascii="Times" w:hAnsi="Times"/>
          <w:color w:val="000000"/>
          <w:sz w:val="18"/>
          <w:szCs w:val="18"/>
        </w:rPr>
        <w:t xml:space="preserve"> </w:t>
      </w:r>
      <w:r w:rsidRPr="00133F0C">
        <w:rPr>
          <w:rFonts w:ascii="Times" w:eastAsia="Times" w:hAnsi="Times" w:cs="Times"/>
          <w:color w:val="000000"/>
          <w:sz w:val="18"/>
          <w:szCs w:val="18"/>
        </w:rPr>
        <w:t xml:space="preserve">Outright Action International, </w:t>
      </w:r>
      <w:r w:rsidRPr="00133F0C">
        <w:rPr>
          <w:rFonts w:ascii="Times" w:eastAsia="Times" w:hAnsi="Times" w:cs="Times"/>
          <w:i/>
          <w:color w:val="000000"/>
          <w:sz w:val="18"/>
          <w:szCs w:val="18"/>
        </w:rPr>
        <w:t xml:space="preserve">Vulnerability Amplified: The Impact of the COVID-19 Pandemic on LGBTIQ People </w:t>
      </w:r>
      <w:r w:rsidRPr="00133F0C">
        <w:rPr>
          <w:rFonts w:ascii="Times" w:eastAsia="Times" w:hAnsi="Times" w:cs="Times"/>
          <w:color w:val="000000"/>
          <w:sz w:val="18"/>
          <w:szCs w:val="18"/>
        </w:rPr>
        <w:t>(</w:t>
      </w:r>
      <w:r w:rsidRPr="00133F0C">
        <w:rPr>
          <w:rFonts w:ascii="Times" w:eastAsia="Times" w:hAnsi="Times" w:cs="Times"/>
          <w:i/>
          <w:color w:val="000000"/>
          <w:sz w:val="18"/>
          <w:szCs w:val="18"/>
        </w:rPr>
        <w:t>Vulnerability Amplified</w:t>
      </w:r>
      <w:r w:rsidRPr="00133F0C">
        <w:rPr>
          <w:rFonts w:ascii="Times" w:eastAsia="Times" w:hAnsi="Times" w:cs="Times"/>
          <w:color w:val="000000"/>
          <w:sz w:val="18"/>
          <w:szCs w:val="18"/>
        </w:rPr>
        <w:t xml:space="preserve">) </w:t>
      </w:r>
      <w:hyperlink r:id="rId4">
        <w:r w:rsidRPr="00133F0C">
          <w:rPr>
            <w:rFonts w:ascii="Times" w:eastAsia="Times" w:hAnsi="Times" w:cs="Times"/>
            <w:color w:val="0563C1"/>
            <w:sz w:val="18"/>
            <w:szCs w:val="18"/>
            <w:u w:val="single"/>
          </w:rPr>
          <w:t>https://outrightinternational.org/sites/default/files/2022-10/COVIDsReportDesign_FINAL_LR_0.pdf</w:t>
        </w:r>
      </w:hyperlink>
      <w:r w:rsidRPr="00133F0C">
        <w:rPr>
          <w:rFonts w:ascii="Times" w:eastAsia="Times" w:hAnsi="Times" w:cs="Times"/>
          <w:color w:val="0563C1"/>
          <w:sz w:val="18"/>
          <w:szCs w:val="18"/>
          <w:u w:val="single"/>
        </w:rPr>
        <w:t>.</w:t>
      </w:r>
    </w:p>
  </w:footnote>
  <w:footnote w:id="10">
    <w:p w14:paraId="00000028"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OutRight Action International, </w:t>
      </w:r>
      <w:r w:rsidRPr="00133F0C">
        <w:rPr>
          <w:rFonts w:ascii="Times" w:eastAsia="Times" w:hAnsi="Times" w:cs="Times"/>
          <w:i/>
          <w:color w:val="000000"/>
          <w:sz w:val="18"/>
          <w:szCs w:val="18"/>
        </w:rPr>
        <w:t xml:space="preserve">Responding to a Crisis: Meet the Grantees of OutRight’s COVID-19 Global LGBTIQ Emergency Fund </w:t>
      </w:r>
      <w:r w:rsidRPr="00133F0C">
        <w:rPr>
          <w:rFonts w:ascii="Times" w:eastAsia="Times" w:hAnsi="Times" w:cs="Times"/>
          <w:color w:val="000000"/>
          <w:sz w:val="18"/>
          <w:szCs w:val="18"/>
        </w:rPr>
        <w:t>(</w:t>
      </w:r>
      <w:r w:rsidRPr="00133F0C">
        <w:rPr>
          <w:rFonts w:ascii="Times" w:eastAsia="Times" w:hAnsi="Times" w:cs="Times"/>
          <w:i/>
          <w:color w:val="000000"/>
          <w:sz w:val="18"/>
          <w:szCs w:val="18"/>
        </w:rPr>
        <w:t>Meet the Grantees)</w:t>
      </w:r>
      <w:r w:rsidRPr="00133F0C">
        <w:rPr>
          <w:rFonts w:ascii="Times" w:eastAsia="Times" w:hAnsi="Times" w:cs="Times"/>
          <w:color w:val="000000"/>
          <w:sz w:val="18"/>
          <w:szCs w:val="18"/>
        </w:rPr>
        <w:t xml:space="preserve">, </w:t>
      </w:r>
      <w:hyperlink r:id="rId5">
        <w:r w:rsidRPr="00133F0C">
          <w:rPr>
            <w:rFonts w:ascii="Times" w:eastAsia="Times" w:hAnsi="Times" w:cs="Times"/>
            <w:color w:val="0563C1"/>
            <w:sz w:val="18"/>
            <w:szCs w:val="18"/>
            <w:u w:val="single"/>
          </w:rPr>
          <w:t>https://outrightinternational.org/sites/default/files/2022-10/BriefingPaperNov2020WDonors.pdf</w:t>
        </w:r>
      </w:hyperlink>
      <w:r w:rsidRPr="00133F0C">
        <w:rPr>
          <w:rFonts w:ascii="Times" w:eastAsia="Times" w:hAnsi="Times" w:cs="Times"/>
          <w:color w:val="0563C1"/>
          <w:sz w:val="18"/>
          <w:szCs w:val="18"/>
          <w:u w:val="single"/>
        </w:rPr>
        <w:t xml:space="preserve"> </w:t>
      </w:r>
      <w:r w:rsidRPr="00133F0C">
        <w:rPr>
          <w:rFonts w:ascii="Times" w:eastAsia="Times" w:hAnsi="Times" w:cs="Times"/>
          <w:color w:val="000000"/>
          <w:sz w:val="18"/>
          <w:szCs w:val="18"/>
        </w:rPr>
        <w:t xml:space="preserve">at 5. </w:t>
      </w:r>
    </w:p>
  </w:footnote>
  <w:footnote w:id="11">
    <w:p w14:paraId="00000029" w14:textId="77777777" w:rsidR="000B383D" w:rsidRPr="00133F0C" w:rsidRDefault="00000000">
      <w:pPr>
        <w:pBdr>
          <w:top w:val="nil"/>
          <w:left w:val="nil"/>
          <w:bottom w:val="nil"/>
          <w:right w:val="nil"/>
          <w:between w:val="nil"/>
        </w:pBdr>
        <w:rPr>
          <w:rFonts w:ascii="Times" w:eastAsia="Times" w:hAnsi="Times" w:cs="Times"/>
          <w:i/>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 xml:space="preserve">Id. </w:t>
      </w:r>
    </w:p>
  </w:footnote>
  <w:footnote w:id="12">
    <w:p w14:paraId="0000002A"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 xml:space="preserve">Id. </w:t>
      </w:r>
      <w:r w:rsidRPr="00133F0C">
        <w:rPr>
          <w:rFonts w:ascii="Times" w:eastAsia="Times" w:hAnsi="Times" w:cs="Times"/>
          <w:color w:val="000000"/>
          <w:sz w:val="18"/>
          <w:szCs w:val="18"/>
        </w:rPr>
        <w:t xml:space="preserve"> </w:t>
      </w:r>
    </w:p>
  </w:footnote>
  <w:footnote w:id="13">
    <w:p w14:paraId="0000002B"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Vulnerability Amplified</w:t>
      </w:r>
      <w:r w:rsidRPr="00133F0C">
        <w:rPr>
          <w:rFonts w:ascii="Times" w:eastAsia="Times" w:hAnsi="Times" w:cs="Times"/>
          <w:color w:val="000000"/>
          <w:sz w:val="18"/>
          <w:szCs w:val="18"/>
        </w:rPr>
        <w:t xml:space="preserve"> at 19. </w:t>
      </w:r>
    </w:p>
  </w:footnote>
  <w:footnote w:id="14">
    <w:p w14:paraId="0000002C"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Id.</w:t>
      </w:r>
      <w:r w:rsidRPr="00133F0C">
        <w:rPr>
          <w:rFonts w:ascii="Times" w:eastAsia="Times" w:hAnsi="Times" w:cs="Times"/>
          <w:color w:val="000000"/>
          <w:sz w:val="18"/>
          <w:szCs w:val="18"/>
        </w:rPr>
        <w:t xml:space="preserve"> at 23. </w:t>
      </w:r>
    </w:p>
  </w:footnote>
  <w:footnote w:id="15">
    <w:p w14:paraId="0000002D"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Id.</w:t>
      </w:r>
      <w:r w:rsidRPr="00133F0C">
        <w:rPr>
          <w:rFonts w:ascii="Times" w:eastAsia="Times" w:hAnsi="Times" w:cs="Times"/>
          <w:color w:val="333333"/>
          <w:sz w:val="18"/>
          <w:szCs w:val="18"/>
        </w:rPr>
        <w:t xml:space="preserve"> </w:t>
      </w:r>
    </w:p>
  </w:footnote>
  <w:footnote w:id="16">
    <w:p w14:paraId="62E0972B" w14:textId="77777777" w:rsidR="002C0491" w:rsidRPr="00133F0C" w:rsidRDefault="002C0491" w:rsidP="002C0491">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Id.</w:t>
      </w:r>
      <w:r w:rsidRPr="00133F0C">
        <w:rPr>
          <w:rFonts w:ascii="Times" w:eastAsia="Times" w:hAnsi="Times" w:cs="Times"/>
          <w:color w:val="000000"/>
          <w:sz w:val="18"/>
          <w:szCs w:val="18"/>
        </w:rPr>
        <w:t xml:space="preserve"> at 24. </w:t>
      </w:r>
    </w:p>
  </w:footnote>
  <w:footnote w:id="17">
    <w:p w14:paraId="5D143658" w14:textId="77777777" w:rsidR="002C0491" w:rsidRPr="00133F0C" w:rsidRDefault="002C0491" w:rsidP="002C0491">
      <w:pPr>
        <w:pBdr>
          <w:top w:val="nil"/>
          <w:left w:val="nil"/>
          <w:bottom w:val="nil"/>
          <w:right w:val="nil"/>
          <w:between w:val="nil"/>
        </w:pBdr>
        <w:rPr>
          <w:rFonts w:ascii="Times" w:eastAsia="Times" w:hAnsi="Times" w:cs="Times"/>
          <w:i/>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 xml:space="preserve">Id. </w:t>
      </w:r>
    </w:p>
  </w:footnote>
  <w:footnote w:id="18">
    <w:p w14:paraId="00000030"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Id.</w:t>
      </w:r>
      <w:r w:rsidRPr="00133F0C">
        <w:rPr>
          <w:rFonts w:ascii="Times" w:eastAsia="Times" w:hAnsi="Times" w:cs="Times"/>
          <w:color w:val="000000"/>
          <w:sz w:val="18"/>
          <w:szCs w:val="18"/>
        </w:rPr>
        <w:t xml:space="preserve"> at 23.</w:t>
      </w:r>
    </w:p>
  </w:footnote>
  <w:footnote w:id="19">
    <w:p w14:paraId="3777BDFA" w14:textId="77777777" w:rsidR="002C0491" w:rsidRPr="00133F0C" w:rsidRDefault="002C0491" w:rsidP="002C0491">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OutRight Action International, </w:t>
      </w:r>
      <w:r w:rsidRPr="00133F0C">
        <w:rPr>
          <w:rFonts w:ascii="Times" w:eastAsia="Times" w:hAnsi="Times" w:cs="Times"/>
          <w:i/>
          <w:color w:val="000000"/>
          <w:sz w:val="18"/>
          <w:szCs w:val="18"/>
        </w:rPr>
        <w:t>Responding to a Crisis: Insights from OutRight’s COVID-19 Global LGBTIQ Emergency Fund 2021</w:t>
      </w:r>
      <w:r w:rsidRPr="00133F0C">
        <w:rPr>
          <w:rFonts w:ascii="Times" w:eastAsia="Times" w:hAnsi="Times" w:cs="Times"/>
          <w:color w:val="000000"/>
          <w:sz w:val="18"/>
          <w:szCs w:val="18"/>
        </w:rPr>
        <w:t xml:space="preserve">, </w:t>
      </w:r>
      <w:hyperlink r:id="rId6">
        <w:r w:rsidRPr="00133F0C">
          <w:rPr>
            <w:rFonts w:ascii="Times" w:eastAsia="Times" w:hAnsi="Times" w:cs="Times"/>
            <w:color w:val="0563C1"/>
            <w:sz w:val="18"/>
            <w:szCs w:val="18"/>
            <w:u w:val="single"/>
          </w:rPr>
          <w:t>https://outrightinternational.org/sites/default/files/2022-09/BriefingPaper_0821.pdf</w:t>
        </w:r>
      </w:hyperlink>
      <w:r w:rsidRPr="00133F0C">
        <w:rPr>
          <w:rFonts w:ascii="Times" w:eastAsia="Times" w:hAnsi="Times" w:cs="Times"/>
          <w:color w:val="000000"/>
          <w:sz w:val="18"/>
          <w:szCs w:val="18"/>
        </w:rPr>
        <w:t xml:space="preserve"> at 9. </w:t>
      </w:r>
    </w:p>
  </w:footnote>
  <w:footnote w:id="20">
    <w:p w14:paraId="07BFFD2F" w14:textId="77777777" w:rsidR="002C0491" w:rsidRPr="00133F0C" w:rsidRDefault="002C0491" w:rsidP="002C0491">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Meet the Grantees</w:t>
      </w:r>
      <w:r w:rsidRPr="00133F0C">
        <w:rPr>
          <w:rFonts w:ascii="Times" w:eastAsia="Times" w:hAnsi="Times" w:cs="Times"/>
          <w:color w:val="000000"/>
          <w:sz w:val="18"/>
          <w:szCs w:val="18"/>
        </w:rPr>
        <w:t xml:space="preserve"> at 7. </w:t>
      </w:r>
    </w:p>
  </w:footnote>
  <w:footnote w:id="21">
    <w:p w14:paraId="61760525" w14:textId="1D2F181B" w:rsidR="002C0491" w:rsidRPr="00133F0C" w:rsidRDefault="002C0491" w:rsidP="002C0491">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Pr>
          <w:rFonts w:ascii="Times" w:eastAsia="Times" w:hAnsi="Times" w:cs="Times"/>
          <w:color w:val="000000"/>
          <w:sz w:val="18"/>
          <w:szCs w:val="18"/>
        </w:rPr>
        <w:t xml:space="preserve">UNAIDS, Supporting Transgender People During the COVID-19 Pandemic, </w:t>
      </w:r>
      <w:hyperlink r:id="rId7" w:history="1">
        <w:r w:rsidRPr="00B82B9F">
          <w:rPr>
            <w:rStyle w:val="Hyperlink"/>
            <w:rFonts w:ascii="Times" w:eastAsia="Times" w:hAnsi="Times" w:cs="Times"/>
            <w:sz w:val="18"/>
            <w:szCs w:val="18"/>
          </w:rPr>
          <w:t>https://www.unaids.org/en/resources/presscentre/featurestories/2020/april/20200406_transg</w:t>
        </w:r>
        <w:r w:rsidRPr="00B82B9F">
          <w:rPr>
            <w:rStyle w:val="Hyperlink"/>
            <w:rFonts w:ascii="Times" w:eastAsia="Times" w:hAnsi="Times" w:cs="Times"/>
            <w:sz w:val="18"/>
            <w:szCs w:val="18"/>
          </w:rPr>
          <w:t>e</w:t>
        </w:r>
        <w:r w:rsidRPr="00B82B9F">
          <w:rPr>
            <w:rStyle w:val="Hyperlink"/>
            <w:rFonts w:ascii="Times" w:eastAsia="Times" w:hAnsi="Times" w:cs="Times"/>
            <w:sz w:val="18"/>
            <w:szCs w:val="18"/>
          </w:rPr>
          <w:t>nder_covid19</w:t>
        </w:r>
      </w:hyperlink>
      <w:r>
        <w:rPr>
          <w:rFonts w:ascii="Times" w:eastAsia="Times" w:hAnsi="Times" w:cs="Times"/>
          <w:color w:val="000000"/>
          <w:sz w:val="18"/>
          <w:szCs w:val="18"/>
        </w:rPr>
        <w:t xml:space="preserve"> </w:t>
      </w:r>
    </w:p>
  </w:footnote>
  <w:footnote w:id="22">
    <w:p w14:paraId="00000034" w14:textId="77777777" w:rsidR="000B383D" w:rsidRPr="00133F0C" w:rsidRDefault="00000000">
      <w:pPr>
        <w:pBdr>
          <w:top w:val="nil"/>
          <w:left w:val="nil"/>
          <w:bottom w:val="nil"/>
          <w:right w:val="nil"/>
          <w:between w:val="nil"/>
        </w:pBdr>
        <w:rPr>
          <w:rFonts w:ascii="Times" w:eastAsia="Times" w:hAnsi="Times" w:cs="Times"/>
          <w:color w:val="000000"/>
          <w:sz w:val="18"/>
          <w:szCs w:val="18"/>
        </w:rPr>
      </w:pPr>
      <w:r w:rsidRPr="00133F0C">
        <w:rPr>
          <w:rStyle w:val="FootnoteReference"/>
          <w:rFonts w:ascii="Times" w:hAnsi="Times"/>
          <w:sz w:val="18"/>
          <w:szCs w:val="18"/>
        </w:rPr>
        <w:footnoteRef/>
      </w:r>
      <w:r w:rsidRPr="00133F0C">
        <w:rPr>
          <w:rFonts w:ascii="Times" w:eastAsia="Times" w:hAnsi="Times" w:cs="Times"/>
          <w:color w:val="000000"/>
          <w:sz w:val="18"/>
          <w:szCs w:val="18"/>
        </w:rPr>
        <w:t xml:space="preserve"> </w:t>
      </w:r>
      <w:r w:rsidRPr="00133F0C">
        <w:rPr>
          <w:rFonts w:ascii="Times" w:eastAsia="Times" w:hAnsi="Times" w:cs="Times"/>
          <w:i/>
          <w:color w:val="000000"/>
          <w:sz w:val="18"/>
          <w:szCs w:val="18"/>
        </w:rPr>
        <w:t>Vulnerability Amplified</w:t>
      </w:r>
      <w:r w:rsidRPr="00133F0C">
        <w:rPr>
          <w:rFonts w:ascii="Times" w:eastAsia="Times" w:hAnsi="Times" w:cs="Times"/>
          <w:color w:val="000000"/>
          <w:sz w:val="18"/>
          <w:szCs w:val="18"/>
        </w:rPr>
        <w:t xml:space="preserve"> at 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0E8F"/>
    <w:multiLevelType w:val="multilevel"/>
    <w:tmpl w:val="4990A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138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3D"/>
    <w:rsid w:val="000B383D"/>
    <w:rsid w:val="00133F0C"/>
    <w:rsid w:val="00171E52"/>
    <w:rsid w:val="002C0491"/>
    <w:rsid w:val="00317E04"/>
    <w:rsid w:val="00641C42"/>
    <w:rsid w:val="00886641"/>
    <w:rsid w:val="00A422F3"/>
    <w:rsid w:val="00CA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B1925"/>
  <w15:docId w15:val="{CD064C77-A2D6-4B49-8D19-60ACE243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E7EBE"/>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1E7EBE"/>
    <w:rPr>
      <w:sz w:val="20"/>
      <w:szCs w:val="20"/>
    </w:rPr>
  </w:style>
  <w:style w:type="character" w:customStyle="1" w:styleId="FootnoteTextChar">
    <w:name w:val="Footnote Text Char"/>
    <w:basedOn w:val="DefaultParagraphFont"/>
    <w:link w:val="FootnoteText"/>
    <w:uiPriority w:val="99"/>
    <w:rsid w:val="001E7EBE"/>
    <w:rPr>
      <w:sz w:val="20"/>
      <w:szCs w:val="20"/>
    </w:rPr>
  </w:style>
  <w:style w:type="character" w:styleId="FootnoteReference">
    <w:name w:val="footnote reference"/>
    <w:basedOn w:val="DefaultParagraphFont"/>
    <w:uiPriority w:val="99"/>
    <w:semiHidden/>
    <w:unhideWhenUsed/>
    <w:rsid w:val="001E7EBE"/>
    <w:rPr>
      <w:vertAlign w:val="superscript"/>
    </w:rPr>
  </w:style>
  <w:style w:type="paragraph" w:styleId="ListParagraph">
    <w:name w:val="List Paragraph"/>
    <w:basedOn w:val="Normal"/>
    <w:uiPriority w:val="34"/>
    <w:qFormat/>
    <w:rsid w:val="001E7EBE"/>
    <w:pPr>
      <w:ind w:left="720"/>
      <w:contextualSpacing/>
    </w:pPr>
  </w:style>
  <w:style w:type="character" w:styleId="Hyperlink">
    <w:name w:val="Hyperlink"/>
    <w:basedOn w:val="DefaultParagraphFont"/>
    <w:uiPriority w:val="99"/>
    <w:unhideWhenUsed/>
    <w:rsid w:val="00E31E31"/>
    <w:rPr>
      <w:color w:val="0563C1" w:themeColor="hyperlink"/>
      <w:u w:val="single"/>
    </w:rPr>
  </w:style>
  <w:style w:type="character" w:styleId="CommentReference">
    <w:name w:val="annotation reference"/>
    <w:basedOn w:val="DefaultParagraphFont"/>
    <w:uiPriority w:val="99"/>
    <w:semiHidden/>
    <w:unhideWhenUsed/>
    <w:rsid w:val="00E31E31"/>
    <w:rPr>
      <w:sz w:val="16"/>
      <w:szCs w:val="16"/>
    </w:rPr>
  </w:style>
  <w:style w:type="character" w:styleId="FollowedHyperlink">
    <w:name w:val="FollowedHyperlink"/>
    <w:basedOn w:val="DefaultParagraphFont"/>
    <w:uiPriority w:val="99"/>
    <w:semiHidden/>
    <w:unhideWhenUsed/>
    <w:rsid w:val="00817A3A"/>
    <w:rPr>
      <w:color w:val="954F72" w:themeColor="followedHyperlink"/>
      <w:u w:val="single"/>
    </w:rPr>
  </w:style>
  <w:style w:type="paragraph" w:styleId="CommentText">
    <w:name w:val="annotation text"/>
    <w:basedOn w:val="Normal"/>
    <w:link w:val="CommentTextChar"/>
    <w:uiPriority w:val="99"/>
    <w:semiHidden/>
    <w:unhideWhenUsed/>
    <w:rsid w:val="00042EFA"/>
    <w:rPr>
      <w:sz w:val="20"/>
      <w:szCs w:val="20"/>
    </w:rPr>
  </w:style>
  <w:style w:type="character" w:customStyle="1" w:styleId="CommentTextChar">
    <w:name w:val="Comment Text Char"/>
    <w:basedOn w:val="DefaultParagraphFont"/>
    <w:link w:val="CommentText"/>
    <w:uiPriority w:val="99"/>
    <w:semiHidden/>
    <w:rsid w:val="00042EFA"/>
    <w:rPr>
      <w:sz w:val="20"/>
      <w:szCs w:val="20"/>
    </w:rPr>
  </w:style>
  <w:style w:type="paragraph" w:styleId="CommentSubject">
    <w:name w:val="annotation subject"/>
    <w:basedOn w:val="CommentText"/>
    <w:next w:val="CommentText"/>
    <w:link w:val="CommentSubjectChar"/>
    <w:uiPriority w:val="99"/>
    <w:semiHidden/>
    <w:unhideWhenUsed/>
    <w:rsid w:val="00042EFA"/>
    <w:rPr>
      <w:b/>
      <w:bCs/>
    </w:rPr>
  </w:style>
  <w:style w:type="character" w:customStyle="1" w:styleId="CommentSubjectChar">
    <w:name w:val="Comment Subject Char"/>
    <w:basedOn w:val="CommentTextChar"/>
    <w:link w:val="CommentSubject"/>
    <w:uiPriority w:val="99"/>
    <w:semiHidden/>
    <w:rsid w:val="00042EF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C0491"/>
    <w:rPr>
      <w:color w:val="605E5C"/>
      <w:shd w:val="clear" w:color="auto" w:fill="E1DFDD"/>
    </w:rPr>
  </w:style>
  <w:style w:type="paragraph" w:styleId="Revision">
    <w:name w:val="Revision"/>
    <w:hidden/>
    <w:uiPriority w:val="99"/>
    <w:semiHidden/>
    <w:rsid w:val="0031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women.org/sites/default/files/2022-01/Identifying-gender-persecution-in-conflict-and-atrocities-en.pdf" TargetMode="External"/><Relationship Id="rId7" Type="http://schemas.openxmlformats.org/officeDocument/2006/relationships/hyperlink" Target="https://www.unaids.org/en/resources/presscentre/featurestories/2020/april/20200406_transgender_covid19" TargetMode="External"/><Relationship Id="rId2" Type="http://schemas.openxmlformats.org/officeDocument/2006/relationships/hyperlink" Target="https://www.hrw.org/news/2017/11/06/traditional-values-potent-weapon-against-lgbt-rights" TargetMode="External"/><Relationship Id="rId1" Type="http://schemas.openxmlformats.org/officeDocument/2006/relationships/hyperlink" Target="https://www.ohchr.org/en/calls-for-input/2022/call-input-violence-and-right-food" TargetMode="External"/><Relationship Id="rId6" Type="http://schemas.openxmlformats.org/officeDocument/2006/relationships/hyperlink" Target="https://outrightinternational.org/sites/default/files/2022-09/BriefingPaper_0821.pdf" TargetMode="External"/><Relationship Id="rId5" Type="http://schemas.openxmlformats.org/officeDocument/2006/relationships/hyperlink" Target="https://outrightinternational.org/sites/default/files/2022-10/BriefingPaperNov2020WDonors.pdf" TargetMode="External"/><Relationship Id="rId4" Type="http://schemas.openxmlformats.org/officeDocument/2006/relationships/hyperlink" Target="https://outrightinternational.org/sites/default/files/2022-10/COVIDsReportDesign_FINAL_LR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904RA5T1xarPFfI26gHp3oUtQA==">AMUW2mWNAGI7xWPYaJi7PG8hMStSPDRrCTCpMtgBBscE/1qLfqYRbBPs82/pS593dfGw6nyV72PB4ZWvgmufIfWV6MCyHmAEDVliqc2kHjVbCE8jDi3gxXM=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Kohn</dc:creator>
  <cp:lastModifiedBy>Hannah Kohn</cp:lastModifiedBy>
  <cp:revision>2</cp:revision>
  <dcterms:created xsi:type="dcterms:W3CDTF">2022-11-21T21:09:00Z</dcterms:created>
  <dcterms:modified xsi:type="dcterms:W3CDTF">2022-11-21T21:09:00Z</dcterms:modified>
</cp:coreProperties>
</file>