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E0AF" w14:textId="77777777" w:rsidR="00455077" w:rsidRPr="00AE2A7E" w:rsidRDefault="00455077" w:rsidP="00016AE7">
      <w:pPr>
        <w:jc w:val="center"/>
        <w:rPr>
          <w:rFonts w:cstheme="minorHAnsi"/>
          <w:sz w:val="18"/>
          <w:szCs w:val="18"/>
          <w:lang w:val="en-US"/>
        </w:rPr>
      </w:pPr>
    </w:p>
    <w:p w14:paraId="314935C0" w14:textId="77777777" w:rsidR="00455077" w:rsidRPr="00AE2A7E" w:rsidRDefault="00455077" w:rsidP="00016AE7">
      <w:pPr>
        <w:jc w:val="center"/>
        <w:rPr>
          <w:rFonts w:cstheme="minorHAnsi"/>
          <w:sz w:val="18"/>
          <w:szCs w:val="18"/>
          <w:lang w:val="en-US"/>
        </w:rPr>
      </w:pPr>
    </w:p>
    <w:p w14:paraId="6D75752F" w14:textId="77777777" w:rsidR="00455077" w:rsidRPr="00AE2A7E" w:rsidRDefault="00455077" w:rsidP="00016AE7">
      <w:pPr>
        <w:jc w:val="center"/>
        <w:rPr>
          <w:rFonts w:cstheme="minorHAnsi"/>
          <w:sz w:val="18"/>
          <w:szCs w:val="18"/>
          <w:lang w:val="en-US"/>
        </w:rPr>
      </w:pPr>
    </w:p>
    <w:p w14:paraId="0E117553" w14:textId="77777777" w:rsidR="00791705" w:rsidRPr="00AE2A7E" w:rsidRDefault="00791705" w:rsidP="00016AE7">
      <w:pPr>
        <w:jc w:val="center"/>
        <w:rPr>
          <w:rFonts w:cstheme="minorHAnsi"/>
          <w:sz w:val="18"/>
          <w:szCs w:val="18"/>
          <w:lang w:val="en-US"/>
        </w:rPr>
      </w:pPr>
    </w:p>
    <w:p w14:paraId="6A071537" w14:textId="77777777" w:rsidR="00791705" w:rsidRPr="00AE2A7E" w:rsidRDefault="00791705" w:rsidP="00016AE7">
      <w:pPr>
        <w:jc w:val="center"/>
        <w:rPr>
          <w:rFonts w:cstheme="minorHAnsi"/>
          <w:sz w:val="18"/>
          <w:szCs w:val="18"/>
          <w:lang w:val="en-US"/>
        </w:rPr>
      </w:pPr>
    </w:p>
    <w:p w14:paraId="3D94454F" w14:textId="77777777" w:rsidR="00791705" w:rsidRPr="00AE2A7E" w:rsidRDefault="00791705" w:rsidP="00016AE7">
      <w:pPr>
        <w:jc w:val="center"/>
        <w:rPr>
          <w:rFonts w:cstheme="minorHAnsi"/>
          <w:sz w:val="18"/>
          <w:szCs w:val="18"/>
          <w:lang w:val="en-US"/>
        </w:rPr>
      </w:pPr>
    </w:p>
    <w:p w14:paraId="6652D6CC" w14:textId="77777777" w:rsidR="00791705" w:rsidRPr="00AE2A7E" w:rsidRDefault="00791705" w:rsidP="00016AE7">
      <w:pPr>
        <w:jc w:val="center"/>
        <w:rPr>
          <w:rFonts w:cstheme="minorHAnsi"/>
          <w:sz w:val="18"/>
          <w:szCs w:val="18"/>
          <w:lang w:val="en-US"/>
        </w:rPr>
      </w:pPr>
    </w:p>
    <w:p w14:paraId="79235E6C" w14:textId="7C33B279" w:rsidR="00016AE7" w:rsidRPr="00C263FD" w:rsidRDefault="00016AE7" w:rsidP="00016AE7">
      <w:pPr>
        <w:jc w:val="center"/>
        <w:rPr>
          <w:rFonts w:cstheme="minorHAnsi"/>
          <w:sz w:val="24"/>
          <w:szCs w:val="24"/>
          <w:lang w:val="en-US"/>
        </w:rPr>
      </w:pPr>
      <w:r w:rsidRPr="00C263FD">
        <w:rPr>
          <w:rFonts w:cstheme="minorHAnsi"/>
          <w:sz w:val="24"/>
          <w:szCs w:val="24"/>
          <w:lang w:val="en-US"/>
        </w:rPr>
        <w:t>Contribution submitted by Fastenaktion</w:t>
      </w:r>
      <w:r w:rsidRPr="00C263FD">
        <w:rPr>
          <w:rStyle w:val="Funotenzeichen"/>
          <w:rFonts w:cstheme="minorHAnsi"/>
          <w:sz w:val="24"/>
          <w:szCs w:val="24"/>
          <w:lang w:val="en-US"/>
        </w:rPr>
        <w:footnoteReference w:id="1"/>
      </w:r>
    </w:p>
    <w:p w14:paraId="22195B40" w14:textId="36443C9C" w:rsidR="00016AE7" w:rsidRPr="00C263FD" w:rsidRDefault="00016AE7" w:rsidP="00016AE7">
      <w:pPr>
        <w:jc w:val="center"/>
        <w:rPr>
          <w:rFonts w:cstheme="minorHAnsi"/>
          <w:sz w:val="24"/>
          <w:szCs w:val="24"/>
          <w:lang w:val="en-US"/>
        </w:rPr>
      </w:pPr>
    </w:p>
    <w:p w14:paraId="72D5EC35" w14:textId="13D3AEA8" w:rsidR="00680701" w:rsidRPr="00C263FD" w:rsidRDefault="00680701" w:rsidP="00016AE7">
      <w:pPr>
        <w:jc w:val="center"/>
        <w:rPr>
          <w:rFonts w:cstheme="minorHAnsi"/>
          <w:sz w:val="24"/>
          <w:szCs w:val="24"/>
          <w:lang w:val="en-US"/>
        </w:rPr>
      </w:pPr>
    </w:p>
    <w:p w14:paraId="3AE0312F" w14:textId="77777777" w:rsidR="00680701" w:rsidRPr="00C263FD" w:rsidRDefault="00680701" w:rsidP="00016AE7">
      <w:pPr>
        <w:jc w:val="center"/>
        <w:rPr>
          <w:rFonts w:cstheme="minorHAnsi"/>
          <w:sz w:val="24"/>
          <w:szCs w:val="24"/>
          <w:lang w:val="en-US"/>
        </w:rPr>
      </w:pPr>
    </w:p>
    <w:p w14:paraId="2B01865F" w14:textId="0015A31E" w:rsidR="00455077" w:rsidRPr="00C263FD" w:rsidRDefault="00016AE7" w:rsidP="00791705">
      <w:pPr>
        <w:spacing w:after="120" w:line="240" w:lineRule="auto"/>
        <w:jc w:val="center"/>
        <w:rPr>
          <w:rFonts w:cstheme="minorHAnsi"/>
          <w:sz w:val="24"/>
          <w:szCs w:val="24"/>
          <w:lang w:val="en-US"/>
        </w:rPr>
      </w:pPr>
      <w:r w:rsidRPr="00C263FD">
        <w:rPr>
          <w:rFonts w:cstheme="minorHAnsi"/>
          <w:sz w:val="24"/>
          <w:szCs w:val="24"/>
          <w:lang w:val="en-US"/>
        </w:rPr>
        <w:t xml:space="preserve">in response to the call for inputs for the report </w:t>
      </w:r>
    </w:p>
    <w:p w14:paraId="276DEB0C" w14:textId="7A2C027E" w:rsidR="00791705" w:rsidRPr="00C263FD" w:rsidRDefault="00791705" w:rsidP="00791705">
      <w:pPr>
        <w:spacing w:after="120" w:line="240" w:lineRule="auto"/>
        <w:jc w:val="center"/>
        <w:rPr>
          <w:rFonts w:cstheme="minorHAnsi"/>
          <w:b/>
          <w:bCs/>
          <w:sz w:val="24"/>
          <w:szCs w:val="24"/>
          <w:lang w:val="en-US"/>
        </w:rPr>
      </w:pPr>
      <w:r w:rsidRPr="00C263FD">
        <w:rPr>
          <w:rFonts w:cstheme="minorHAnsi"/>
          <w:b/>
          <w:bCs/>
          <w:sz w:val="24"/>
          <w:szCs w:val="24"/>
          <w:lang w:val="en-US"/>
        </w:rPr>
        <w:t>“T</w:t>
      </w:r>
      <w:r w:rsidR="008B196C" w:rsidRPr="00C263FD">
        <w:rPr>
          <w:rFonts w:cstheme="minorHAnsi"/>
          <w:b/>
          <w:bCs/>
          <w:sz w:val="24"/>
          <w:szCs w:val="24"/>
          <w:lang w:val="en-US"/>
        </w:rPr>
        <w:t>he nature, degree, and cause of violence present in food systems</w:t>
      </w:r>
      <w:r w:rsidRPr="00C263FD">
        <w:rPr>
          <w:rFonts w:cstheme="minorHAnsi"/>
          <w:b/>
          <w:bCs/>
          <w:sz w:val="24"/>
          <w:szCs w:val="24"/>
          <w:lang w:val="en-US"/>
        </w:rPr>
        <w:t>”</w:t>
      </w:r>
    </w:p>
    <w:p w14:paraId="1BA5DC4C" w14:textId="05D60F4D" w:rsidR="00791705" w:rsidRPr="00C263FD" w:rsidRDefault="00791705" w:rsidP="00791705">
      <w:pPr>
        <w:spacing w:after="120" w:line="240" w:lineRule="auto"/>
        <w:jc w:val="center"/>
        <w:rPr>
          <w:rFonts w:cstheme="minorHAnsi"/>
          <w:sz w:val="24"/>
          <w:szCs w:val="24"/>
          <w:lang w:val="en-US"/>
        </w:rPr>
      </w:pPr>
      <w:r w:rsidRPr="00C263FD">
        <w:rPr>
          <w:rFonts w:cstheme="minorHAnsi"/>
          <w:sz w:val="24"/>
          <w:szCs w:val="24"/>
          <w:lang w:val="en-US"/>
        </w:rPr>
        <w:t>by the Special Rapporteur on the Right to Food.</w:t>
      </w:r>
    </w:p>
    <w:p w14:paraId="72638E49" w14:textId="4500FE11" w:rsidR="008B196C" w:rsidRPr="00C263FD" w:rsidRDefault="008B196C" w:rsidP="00791705">
      <w:pPr>
        <w:spacing w:after="120" w:line="240" w:lineRule="auto"/>
        <w:jc w:val="center"/>
        <w:rPr>
          <w:rFonts w:cstheme="minorHAnsi"/>
          <w:b/>
          <w:bCs/>
          <w:sz w:val="24"/>
          <w:szCs w:val="24"/>
          <w:lang w:val="en-US"/>
        </w:rPr>
      </w:pPr>
    </w:p>
    <w:p w14:paraId="2AC08837" w14:textId="695BD2BD" w:rsidR="008B196C" w:rsidRPr="00C263FD" w:rsidRDefault="008B196C" w:rsidP="00791705">
      <w:pPr>
        <w:spacing w:after="120" w:line="240" w:lineRule="auto"/>
        <w:rPr>
          <w:rFonts w:cstheme="minorHAnsi"/>
          <w:sz w:val="24"/>
          <w:szCs w:val="24"/>
          <w:lang w:val="en-US"/>
        </w:rPr>
      </w:pPr>
    </w:p>
    <w:p w14:paraId="02B08796" w14:textId="494E40AF" w:rsidR="00680701" w:rsidRPr="00C263FD" w:rsidRDefault="00680701" w:rsidP="00680701">
      <w:pPr>
        <w:spacing w:after="120"/>
        <w:rPr>
          <w:rFonts w:cstheme="minorHAnsi"/>
          <w:sz w:val="24"/>
          <w:szCs w:val="24"/>
          <w:lang w:val="en-US"/>
        </w:rPr>
      </w:pPr>
    </w:p>
    <w:p w14:paraId="5A146672" w14:textId="5BAB1155" w:rsidR="00680701" w:rsidRPr="00C263FD" w:rsidRDefault="00680701" w:rsidP="00680701">
      <w:pPr>
        <w:spacing w:after="120"/>
        <w:rPr>
          <w:rFonts w:cstheme="minorHAnsi"/>
          <w:sz w:val="24"/>
          <w:szCs w:val="24"/>
          <w:lang w:val="en-US"/>
        </w:rPr>
      </w:pPr>
    </w:p>
    <w:p w14:paraId="4CC4D5A0" w14:textId="77777777" w:rsidR="00680701" w:rsidRPr="00C263FD" w:rsidRDefault="00680701" w:rsidP="00680701">
      <w:pPr>
        <w:spacing w:after="120"/>
        <w:rPr>
          <w:rFonts w:cstheme="minorHAnsi"/>
          <w:sz w:val="24"/>
          <w:szCs w:val="24"/>
          <w:lang w:val="en-US"/>
        </w:rPr>
      </w:pPr>
    </w:p>
    <w:p w14:paraId="71903330" w14:textId="22047438" w:rsidR="00016AE7" w:rsidRPr="00C263FD" w:rsidRDefault="00016AE7" w:rsidP="00016AE7">
      <w:pPr>
        <w:jc w:val="center"/>
        <w:rPr>
          <w:rFonts w:cstheme="minorHAnsi"/>
          <w:sz w:val="24"/>
          <w:szCs w:val="24"/>
          <w:lang w:val="en-US"/>
        </w:rPr>
      </w:pPr>
      <w:r w:rsidRPr="00C263FD">
        <w:rPr>
          <w:rFonts w:cstheme="minorHAnsi"/>
          <w:sz w:val="24"/>
          <w:szCs w:val="24"/>
          <w:lang w:val="en-US"/>
        </w:rPr>
        <w:t>21. November 2022</w:t>
      </w:r>
    </w:p>
    <w:p w14:paraId="4408B139" w14:textId="5BE9BF8B" w:rsidR="00016AE7" w:rsidRPr="00C263FD" w:rsidRDefault="00016AE7" w:rsidP="00791705">
      <w:pPr>
        <w:tabs>
          <w:tab w:val="left" w:pos="3134"/>
        </w:tabs>
        <w:textAlignment w:val="baseline"/>
        <w:rPr>
          <w:rFonts w:eastAsia="Times New Roman" w:cstheme="minorHAnsi"/>
          <w:sz w:val="24"/>
          <w:szCs w:val="24"/>
          <w:lang w:val="en-US"/>
        </w:rPr>
      </w:pPr>
      <w:r w:rsidRPr="00C263FD">
        <w:rPr>
          <w:rFonts w:eastAsia="Times New Roman" w:cstheme="minorHAnsi"/>
          <w:sz w:val="24"/>
          <w:szCs w:val="24"/>
          <w:lang w:val="en-US"/>
        </w:rPr>
        <w:t> </w:t>
      </w:r>
      <w:r w:rsidR="00791705" w:rsidRPr="00C263FD">
        <w:rPr>
          <w:rFonts w:eastAsia="Times New Roman" w:cstheme="minorHAnsi"/>
          <w:sz w:val="24"/>
          <w:szCs w:val="24"/>
          <w:lang w:val="en-US"/>
        </w:rPr>
        <w:tab/>
      </w:r>
    </w:p>
    <w:p w14:paraId="601E08A3" w14:textId="77777777" w:rsidR="00016AE7" w:rsidRPr="00AE2A7E" w:rsidRDefault="00016AE7">
      <w:pPr>
        <w:rPr>
          <w:rFonts w:cstheme="minorHAnsi"/>
          <w:sz w:val="18"/>
          <w:szCs w:val="18"/>
          <w:lang w:val="en-US"/>
        </w:rPr>
      </w:pPr>
    </w:p>
    <w:p w14:paraId="11D117A5" w14:textId="1D84DE39" w:rsidR="008B196C" w:rsidRPr="00AE2A7E" w:rsidRDefault="008B196C">
      <w:pPr>
        <w:rPr>
          <w:rFonts w:cstheme="minorHAnsi"/>
          <w:sz w:val="18"/>
          <w:szCs w:val="18"/>
          <w:lang w:val="en-US"/>
        </w:rPr>
      </w:pPr>
    </w:p>
    <w:p w14:paraId="33DEFFFA" w14:textId="77777777" w:rsidR="00791705" w:rsidRPr="00AE2A7E" w:rsidRDefault="00791705">
      <w:pPr>
        <w:rPr>
          <w:rFonts w:eastAsia="Times New Roman" w:cstheme="minorHAnsi"/>
          <w:sz w:val="18"/>
          <w:szCs w:val="18"/>
          <w:lang w:val="en-US" w:eastAsia="de-CH"/>
        </w:rPr>
      </w:pPr>
      <w:r w:rsidRPr="00AE2A7E">
        <w:rPr>
          <w:rFonts w:eastAsia="Times New Roman" w:cstheme="minorHAnsi"/>
          <w:sz w:val="18"/>
          <w:szCs w:val="18"/>
          <w:lang w:val="en-US" w:eastAsia="de-CH"/>
        </w:rPr>
        <w:br w:type="page"/>
      </w:r>
    </w:p>
    <w:p w14:paraId="1D5DC0FF" w14:textId="480E557A" w:rsidR="009678C1" w:rsidRPr="00011945" w:rsidRDefault="004D145D" w:rsidP="00C66574">
      <w:pPr>
        <w:spacing w:after="60" w:line="240" w:lineRule="auto"/>
        <w:rPr>
          <w:rFonts w:eastAsia="Times New Roman" w:cstheme="minorHAnsi"/>
          <w:i/>
          <w:iCs/>
          <w:sz w:val="18"/>
          <w:szCs w:val="18"/>
          <w:highlight w:val="lightGray"/>
          <w:lang w:val="en-US" w:eastAsia="de-CH"/>
        </w:rPr>
      </w:pPr>
      <w:r>
        <w:rPr>
          <w:rFonts w:eastAsia="Times New Roman" w:cstheme="minorHAnsi"/>
          <w:i/>
          <w:iCs/>
          <w:sz w:val="18"/>
          <w:szCs w:val="18"/>
          <w:highlight w:val="lightGray"/>
          <w:lang w:val="en-US" w:eastAsia="de-CH"/>
        </w:rPr>
        <w:lastRenderedPageBreak/>
        <w:t>N</w:t>
      </w:r>
      <w:r w:rsidR="008B196C" w:rsidRPr="008B196C">
        <w:rPr>
          <w:rFonts w:eastAsia="Times New Roman" w:cstheme="minorHAnsi"/>
          <w:i/>
          <w:iCs/>
          <w:sz w:val="18"/>
          <w:szCs w:val="18"/>
          <w:highlight w:val="lightGray"/>
          <w:lang w:val="en-US" w:eastAsia="de-CH"/>
        </w:rPr>
        <w:t xml:space="preserve">ature and degree of violence prevalent in different parts of </w:t>
      </w:r>
      <w:r w:rsidR="009678C1" w:rsidRPr="0087340F">
        <w:rPr>
          <w:rFonts w:eastAsia="Times New Roman" w:cstheme="minorHAnsi"/>
          <w:i/>
          <w:iCs/>
          <w:sz w:val="18"/>
          <w:szCs w:val="18"/>
          <w:highlight w:val="lightGray"/>
          <w:lang w:val="en-US" w:eastAsia="de-CH"/>
        </w:rPr>
        <w:t xml:space="preserve">the </w:t>
      </w:r>
      <w:r w:rsidR="008B196C" w:rsidRPr="008B196C">
        <w:rPr>
          <w:rFonts w:eastAsia="Times New Roman" w:cstheme="minorHAnsi"/>
          <w:i/>
          <w:iCs/>
          <w:sz w:val="18"/>
          <w:szCs w:val="18"/>
          <w:highlight w:val="lightGray"/>
          <w:lang w:val="en-US" w:eastAsia="de-CH"/>
        </w:rPr>
        <w:t>food system in your country</w:t>
      </w:r>
      <w:r w:rsidR="009611ED">
        <w:rPr>
          <w:rFonts w:eastAsia="Times New Roman" w:cstheme="minorHAnsi"/>
          <w:i/>
          <w:iCs/>
          <w:sz w:val="18"/>
          <w:szCs w:val="18"/>
          <w:highlight w:val="lightGray"/>
          <w:lang w:val="en-US" w:eastAsia="de-CH"/>
        </w:rPr>
        <w:t>/</w:t>
      </w:r>
      <w:r w:rsidR="008B196C" w:rsidRPr="0087340F">
        <w:rPr>
          <w:rFonts w:eastAsia="Times New Roman" w:cstheme="minorHAnsi"/>
          <w:i/>
          <w:iCs/>
          <w:sz w:val="18"/>
          <w:szCs w:val="18"/>
          <w:highlight w:val="lightGray"/>
          <w:lang w:val="en-US" w:eastAsia="de-CH"/>
        </w:rPr>
        <w:t>community</w:t>
      </w:r>
      <w:r w:rsidR="00011945" w:rsidRPr="00011945">
        <w:rPr>
          <w:rFonts w:eastAsia="Times New Roman" w:cstheme="minorHAnsi"/>
          <w:i/>
          <w:iCs/>
          <w:sz w:val="18"/>
          <w:szCs w:val="18"/>
          <w:highlight w:val="lightGray"/>
          <w:lang w:val="en-US" w:eastAsia="de-CH"/>
        </w:rPr>
        <w:t>:</w:t>
      </w:r>
    </w:p>
    <w:tbl>
      <w:tblPr>
        <w:tblStyle w:val="Tabellenraster"/>
        <w:tblW w:w="0" w:type="auto"/>
        <w:tblLook w:val="04A0" w:firstRow="1" w:lastRow="0" w:firstColumn="1" w:lastColumn="0" w:noHBand="0" w:noVBand="1"/>
      </w:tblPr>
      <w:tblGrid>
        <w:gridCol w:w="9062"/>
      </w:tblGrid>
      <w:tr w:rsidR="00AE2A7E" w:rsidRPr="00847D2F" w14:paraId="7F8307A4" w14:textId="77777777" w:rsidTr="00AE2A7E">
        <w:tc>
          <w:tcPr>
            <w:tcW w:w="9062" w:type="dxa"/>
          </w:tcPr>
          <w:p w14:paraId="22C9817B" w14:textId="77777777" w:rsidR="00BD77C8" w:rsidRPr="00BD77C8" w:rsidRDefault="00BD77C8" w:rsidP="001D7C20">
            <w:pPr>
              <w:spacing w:after="120"/>
              <w:rPr>
                <w:rFonts w:cstheme="minorHAnsi"/>
                <w:color w:val="000000"/>
                <w:sz w:val="18"/>
                <w:szCs w:val="18"/>
                <w:lang w:val="en-US"/>
              </w:rPr>
            </w:pPr>
            <w:r w:rsidRPr="00BD77C8">
              <w:rPr>
                <w:rFonts w:cstheme="minorHAnsi"/>
                <w:color w:val="000000"/>
                <w:sz w:val="18"/>
                <w:szCs w:val="18"/>
                <w:lang w:val="en-US"/>
              </w:rPr>
              <w:t>The following manifestations of violence have occurred in Guatemala.</w:t>
            </w:r>
          </w:p>
          <w:p w14:paraId="31101535" w14:textId="77777777" w:rsidR="001D7C20" w:rsidRDefault="00BD77C8" w:rsidP="00C300AB">
            <w:pPr>
              <w:spacing w:after="60"/>
              <w:rPr>
                <w:rFonts w:cstheme="minorHAnsi"/>
                <w:b/>
                <w:bCs/>
                <w:color w:val="000000"/>
                <w:sz w:val="18"/>
                <w:szCs w:val="18"/>
                <w:lang w:val="en-US"/>
              </w:rPr>
            </w:pPr>
            <w:r w:rsidRPr="009D7FA8">
              <w:rPr>
                <w:rFonts w:cstheme="minorHAnsi"/>
                <w:b/>
                <w:bCs/>
                <w:color w:val="000000"/>
                <w:sz w:val="18"/>
                <w:szCs w:val="18"/>
                <w:lang w:val="en-US"/>
              </w:rPr>
              <w:t>Suppression</w:t>
            </w:r>
            <w:r w:rsidR="001D7C20">
              <w:rPr>
                <w:rFonts w:cstheme="minorHAnsi"/>
                <w:b/>
                <w:bCs/>
                <w:color w:val="000000"/>
                <w:sz w:val="18"/>
                <w:szCs w:val="18"/>
                <w:lang w:val="en-US"/>
              </w:rPr>
              <w:t xml:space="preserve">: </w:t>
            </w:r>
          </w:p>
          <w:p w14:paraId="6BF50A9E" w14:textId="264E9DFF" w:rsidR="00BD77C8" w:rsidRPr="00BD77C8" w:rsidRDefault="00BD77C8" w:rsidP="001D7C20">
            <w:pPr>
              <w:spacing w:after="120"/>
              <w:rPr>
                <w:rFonts w:cstheme="minorHAnsi"/>
                <w:color w:val="000000"/>
                <w:sz w:val="18"/>
                <w:szCs w:val="18"/>
                <w:lang w:val="en-US"/>
              </w:rPr>
            </w:pPr>
            <w:r w:rsidRPr="00BD77C8">
              <w:rPr>
                <w:rFonts w:cstheme="minorHAnsi"/>
                <w:color w:val="000000"/>
                <w:sz w:val="18"/>
                <w:szCs w:val="18"/>
                <w:lang w:val="en-US"/>
              </w:rPr>
              <w:t>Because the Government of Guatemala, through the Congress of the Republic, has attempted to create laws that demonstrate violence against the right to food, for example:</w:t>
            </w:r>
          </w:p>
          <w:p w14:paraId="32A54F61" w14:textId="65EF07D5" w:rsidR="00BD77C8" w:rsidRPr="00BD77C8" w:rsidRDefault="001D7C20" w:rsidP="00182910">
            <w:pPr>
              <w:spacing w:after="120"/>
              <w:ind w:left="708"/>
              <w:rPr>
                <w:rFonts w:cstheme="minorHAnsi"/>
                <w:color w:val="000000"/>
                <w:sz w:val="18"/>
                <w:szCs w:val="18"/>
                <w:lang w:val="en-US"/>
              </w:rPr>
            </w:pPr>
            <w:r>
              <w:rPr>
                <w:rFonts w:cstheme="minorHAnsi"/>
                <w:b/>
                <w:bCs/>
                <w:color w:val="000000"/>
                <w:sz w:val="18"/>
                <w:szCs w:val="18"/>
                <w:lang w:val="en-US"/>
              </w:rPr>
              <w:t xml:space="preserve">The </w:t>
            </w:r>
            <w:r w:rsidR="00BD77C8" w:rsidRPr="00FD1043">
              <w:rPr>
                <w:rFonts w:cstheme="minorHAnsi"/>
                <w:b/>
                <w:bCs/>
                <w:color w:val="000000"/>
                <w:sz w:val="18"/>
                <w:szCs w:val="18"/>
                <w:lang w:val="en-US"/>
              </w:rPr>
              <w:t>Law for the Protection of Plant Varieties</w:t>
            </w:r>
          </w:p>
          <w:p w14:paraId="0AE2F902" w14:textId="544D9CE8" w:rsidR="00BD77C8" w:rsidRDefault="00BD77C8" w:rsidP="001D7C20">
            <w:pPr>
              <w:spacing w:after="120"/>
              <w:rPr>
                <w:rFonts w:cstheme="minorHAnsi"/>
                <w:color w:val="000000"/>
                <w:sz w:val="18"/>
                <w:szCs w:val="18"/>
                <w:lang w:val="en-US"/>
              </w:rPr>
            </w:pPr>
            <w:r w:rsidRPr="00BD77C8">
              <w:rPr>
                <w:rFonts w:cstheme="minorHAnsi"/>
                <w:color w:val="000000"/>
                <w:sz w:val="18"/>
                <w:szCs w:val="18"/>
                <w:lang w:val="en-US"/>
              </w:rPr>
              <w:t>This law was intended to privatize the native seeds (mainly corn and beans) of the original Mayan peoples. This law is also called "Monsanto Law" by its detractors, in allusion to a transnational company that is accused of taking advantage of this type of regulation to patent seeds in the countries. The regulation proposes the privatization of the country's genetic resources, which will leave farmers vulnerable to price speculation, shortages and food crisis in the short term.</w:t>
            </w:r>
          </w:p>
          <w:p w14:paraId="4077811E" w14:textId="5A10B55D" w:rsidR="00BD77C8" w:rsidRPr="001D7C20" w:rsidRDefault="001D7C20" w:rsidP="00182910">
            <w:pPr>
              <w:spacing w:after="120"/>
              <w:ind w:left="708"/>
              <w:rPr>
                <w:rFonts w:cstheme="minorHAnsi"/>
                <w:b/>
                <w:bCs/>
                <w:color w:val="000000"/>
                <w:sz w:val="18"/>
                <w:szCs w:val="18"/>
                <w:lang w:val="en-US"/>
              </w:rPr>
            </w:pPr>
            <w:r w:rsidRPr="001D7C20">
              <w:rPr>
                <w:rFonts w:cstheme="minorHAnsi"/>
                <w:b/>
                <w:bCs/>
                <w:color w:val="000000"/>
                <w:sz w:val="18"/>
                <w:szCs w:val="18"/>
                <w:lang w:val="en-US"/>
              </w:rPr>
              <w:t xml:space="preserve">The </w:t>
            </w:r>
            <w:r w:rsidR="00BD77C8" w:rsidRPr="001D7C20">
              <w:rPr>
                <w:rFonts w:cstheme="minorHAnsi"/>
                <w:b/>
                <w:bCs/>
                <w:color w:val="000000"/>
                <w:sz w:val="18"/>
                <w:szCs w:val="18"/>
                <w:lang w:val="en-US"/>
              </w:rPr>
              <w:t>Governmental Agreement No. 97- 2020</w:t>
            </w:r>
            <w:r w:rsidR="00C77DCD">
              <w:rPr>
                <w:rStyle w:val="Funotenzeichen"/>
                <w:rFonts w:cstheme="minorHAnsi"/>
                <w:b/>
                <w:bCs/>
                <w:color w:val="000000"/>
                <w:sz w:val="18"/>
                <w:szCs w:val="18"/>
                <w:lang w:val="en-US"/>
              </w:rPr>
              <w:footnoteReference w:id="2"/>
            </w:r>
            <w:r w:rsidR="00BD77C8" w:rsidRPr="001D7C20">
              <w:rPr>
                <w:rFonts w:cstheme="minorHAnsi"/>
                <w:b/>
                <w:bCs/>
                <w:color w:val="000000"/>
                <w:sz w:val="18"/>
                <w:szCs w:val="18"/>
                <w:lang w:val="en-US"/>
              </w:rPr>
              <w:t xml:space="preserve"> </w:t>
            </w:r>
          </w:p>
          <w:p w14:paraId="0193A0E5" w14:textId="4E46CC76" w:rsidR="00C77DCD" w:rsidRDefault="00BD77C8" w:rsidP="00C77DCD">
            <w:pPr>
              <w:spacing w:after="120"/>
              <w:rPr>
                <w:rFonts w:cstheme="minorHAnsi"/>
                <w:color w:val="000000"/>
                <w:sz w:val="18"/>
                <w:szCs w:val="18"/>
                <w:lang w:val="en-US"/>
              </w:rPr>
            </w:pPr>
            <w:r w:rsidRPr="00BD77C8">
              <w:rPr>
                <w:rFonts w:cstheme="minorHAnsi"/>
                <w:color w:val="000000"/>
                <w:sz w:val="18"/>
                <w:szCs w:val="18"/>
                <w:lang w:val="en-US"/>
              </w:rPr>
              <w:t xml:space="preserve">This agreement repealed Governmental Agreement No. 136-2002 and its respective reforms, which created the Secretary of Agrarian Affairs of the Presidency of the Republic. This violates the rights of the original Mayan peoples, mainly </w:t>
            </w:r>
            <w:r w:rsidR="004D145D" w:rsidRPr="00BD77C8">
              <w:rPr>
                <w:rFonts w:cstheme="minorHAnsi"/>
                <w:color w:val="000000"/>
                <w:sz w:val="18"/>
                <w:szCs w:val="18"/>
                <w:lang w:val="en-US"/>
              </w:rPr>
              <w:t>in</w:t>
            </w:r>
            <w:r w:rsidRPr="00BD77C8">
              <w:rPr>
                <w:rFonts w:cstheme="minorHAnsi"/>
                <w:color w:val="000000"/>
                <w:sz w:val="18"/>
                <w:szCs w:val="18"/>
                <w:lang w:val="en-US"/>
              </w:rPr>
              <w:t xml:space="preserve"> </w:t>
            </w:r>
            <w:r w:rsidRPr="00FD1043">
              <w:rPr>
                <w:rFonts w:cstheme="minorHAnsi"/>
                <w:b/>
                <w:bCs/>
                <w:color w:val="000000"/>
                <w:sz w:val="18"/>
                <w:szCs w:val="18"/>
                <w:lang w:val="en-US"/>
              </w:rPr>
              <w:t>access and defense of Mother Earth</w:t>
            </w:r>
            <w:r w:rsidRPr="00BD77C8">
              <w:rPr>
                <w:rFonts w:cstheme="minorHAnsi"/>
                <w:color w:val="000000"/>
                <w:sz w:val="18"/>
                <w:szCs w:val="18"/>
                <w:lang w:val="en-US"/>
              </w:rPr>
              <w:t>, since the Secretary of Agrarian Affairs SAA performed a mediating and accompanying function between farmers and peasants in cases of agrarian problems.</w:t>
            </w:r>
            <w:r w:rsidR="00C77DCD">
              <w:rPr>
                <w:rFonts w:cstheme="minorHAnsi"/>
                <w:color w:val="000000"/>
                <w:sz w:val="18"/>
                <w:szCs w:val="18"/>
                <w:lang w:val="en-US"/>
              </w:rPr>
              <w:t xml:space="preserve"> It is of great concern that </w:t>
            </w:r>
            <w:r w:rsidR="00C77DCD" w:rsidRPr="00C77DCD">
              <w:rPr>
                <w:rFonts w:cstheme="minorHAnsi"/>
                <w:color w:val="000000"/>
                <w:sz w:val="18"/>
                <w:szCs w:val="18"/>
                <w:lang w:val="en-US"/>
              </w:rPr>
              <w:t>the disappearance of the secretariat will have the following implications</w:t>
            </w:r>
            <w:r w:rsidR="00C77DCD">
              <w:rPr>
                <w:rFonts w:cstheme="minorHAnsi"/>
                <w:color w:val="000000"/>
                <w:sz w:val="18"/>
                <w:szCs w:val="18"/>
                <w:lang w:val="en-US"/>
              </w:rPr>
              <w:t xml:space="preserve">: </w:t>
            </w:r>
            <w:r w:rsidR="00C77DCD" w:rsidRPr="00C77DCD">
              <w:rPr>
                <w:rFonts w:cstheme="minorHAnsi"/>
                <w:color w:val="000000"/>
                <w:sz w:val="18"/>
                <w:szCs w:val="18"/>
                <w:lang w:val="en-US"/>
              </w:rPr>
              <w:t>Increased agrarian conflict in Guatemala.</w:t>
            </w:r>
            <w:r w:rsidR="00C77DCD">
              <w:rPr>
                <w:rFonts w:cstheme="minorHAnsi"/>
                <w:color w:val="000000"/>
                <w:sz w:val="18"/>
                <w:szCs w:val="18"/>
                <w:lang w:val="en-US"/>
              </w:rPr>
              <w:t xml:space="preserve"> </w:t>
            </w:r>
            <w:r w:rsidR="00C77DCD" w:rsidRPr="00C77DCD">
              <w:rPr>
                <w:rFonts w:cstheme="minorHAnsi"/>
                <w:color w:val="000000"/>
                <w:sz w:val="18"/>
                <w:szCs w:val="18"/>
                <w:lang w:val="en-US"/>
              </w:rPr>
              <w:t xml:space="preserve">Increase in evictions and violation of the human rights of </w:t>
            </w:r>
            <w:r w:rsidR="00C77DCD" w:rsidRPr="00344789">
              <w:rPr>
                <w:rFonts w:cstheme="minorHAnsi"/>
                <w:color w:val="000000"/>
                <w:sz w:val="18"/>
                <w:szCs w:val="18"/>
                <w:lang w:val="en-US"/>
              </w:rPr>
              <w:t>peasants over</w:t>
            </w:r>
            <w:r w:rsidR="000959E8" w:rsidRPr="00344789">
              <w:rPr>
                <w:rFonts w:cstheme="minorHAnsi"/>
                <w:color w:val="000000"/>
                <w:sz w:val="18"/>
                <w:szCs w:val="18"/>
                <w:lang w:val="en-US"/>
              </w:rPr>
              <w:t xml:space="preserve"> access to</w:t>
            </w:r>
            <w:r w:rsidR="00C77DCD" w:rsidRPr="00344789">
              <w:rPr>
                <w:rFonts w:cstheme="minorHAnsi"/>
                <w:color w:val="000000"/>
                <w:sz w:val="18"/>
                <w:szCs w:val="18"/>
                <w:lang w:val="en-US"/>
              </w:rPr>
              <w:t xml:space="preserve"> land</w:t>
            </w:r>
            <w:r w:rsidR="00C77DCD" w:rsidRPr="00C77DCD">
              <w:rPr>
                <w:rFonts w:cstheme="minorHAnsi"/>
                <w:color w:val="000000"/>
                <w:sz w:val="18"/>
                <w:szCs w:val="18"/>
                <w:lang w:val="en-US"/>
              </w:rPr>
              <w:t>.</w:t>
            </w:r>
            <w:r w:rsidR="00C77DCD">
              <w:rPr>
                <w:rFonts w:cstheme="minorHAnsi"/>
                <w:color w:val="000000"/>
                <w:sz w:val="18"/>
                <w:szCs w:val="18"/>
                <w:lang w:val="en-US"/>
              </w:rPr>
              <w:t xml:space="preserve"> </w:t>
            </w:r>
            <w:r w:rsidR="00C77DCD" w:rsidRPr="00C77DCD">
              <w:rPr>
                <w:rFonts w:cstheme="minorHAnsi"/>
                <w:color w:val="000000"/>
                <w:sz w:val="18"/>
                <w:szCs w:val="18"/>
                <w:lang w:val="en-US"/>
              </w:rPr>
              <w:t>Currently, peasants do not have a government institution to turn to in case of violation of land rights, since the SAA is no longer in place.</w:t>
            </w:r>
          </w:p>
          <w:p w14:paraId="18AEBB52" w14:textId="0536F83B" w:rsidR="00BD77C8" w:rsidRPr="001D7C20" w:rsidRDefault="001D7C20" w:rsidP="00182910">
            <w:pPr>
              <w:spacing w:after="120"/>
              <w:ind w:left="708"/>
              <w:rPr>
                <w:rFonts w:cstheme="minorHAnsi"/>
                <w:b/>
                <w:bCs/>
                <w:color w:val="000000"/>
                <w:sz w:val="18"/>
                <w:szCs w:val="18"/>
                <w:lang w:val="en-US"/>
              </w:rPr>
            </w:pPr>
            <w:r w:rsidRPr="001D7C20">
              <w:rPr>
                <w:rFonts w:cstheme="minorHAnsi"/>
                <w:b/>
                <w:bCs/>
                <w:color w:val="000000"/>
                <w:sz w:val="18"/>
                <w:szCs w:val="18"/>
                <w:lang w:val="en-US"/>
              </w:rPr>
              <w:t xml:space="preserve">The </w:t>
            </w:r>
            <w:r w:rsidR="00BD77C8" w:rsidRPr="001D7C20">
              <w:rPr>
                <w:rFonts w:cstheme="minorHAnsi"/>
                <w:b/>
                <w:bCs/>
                <w:color w:val="000000"/>
                <w:sz w:val="18"/>
                <w:szCs w:val="18"/>
                <w:lang w:val="en-US"/>
              </w:rPr>
              <w:t>Decree 4-2020</w:t>
            </w:r>
            <w:r w:rsidR="00D04F5B" w:rsidRPr="001D7C20">
              <w:rPr>
                <w:rStyle w:val="Funotenzeichen"/>
                <w:rFonts w:cstheme="minorHAnsi"/>
                <w:b/>
                <w:bCs/>
                <w:color w:val="000000"/>
                <w:sz w:val="18"/>
                <w:szCs w:val="18"/>
                <w:lang w:val="en-US"/>
              </w:rPr>
              <w:footnoteReference w:id="3"/>
            </w:r>
            <w:r w:rsidRPr="001D7C20">
              <w:rPr>
                <w:rFonts w:cstheme="minorHAnsi"/>
                <w:b/>
                <w:bCs/>
                <w:color w:val="000000"/>
                <w:sz w:val="18"/>
                <w:szCs w:val="18"/>
                <w:lang w:val="en-US"/>
              </w:rPr>
              <w:t xml:space="preserve"> on the NGO law</w:t>
            </w:r>
          </w:p>
          <w:p w14:paraId="731D8413" w14:textId="4341B511" w:rsidR="00862180" w:rsidRDefault="00BD77C8" w:rsidP="001D7C20">
            <w:pPr>
              <w:spacing w:after="120"/>
              <w:rPr>
                <w:rFonts w:cstheme="minorHAnsi"/>
                <w:color w:val="000000"/>
                <w:sz w:val="18"/>
                <w:szCs w:val="18"/>
                <w:lang w:val="en-US"/>
              </w:rPr>
            </w:pPr>
            <w:r w:rsidRPr="00BD77C8">
              <w:rPr>
                <w:rFonts w:cstheme="minorHAnsi"/>
                <w:color w:val="000000"/>
                <w:sz w:val="18"/>
                <w:szCs w:val="18"/>
                <w:lang w:val="en-US"/>
              </w:rPr>
              <w:t xml:space="preserve">Reforms to the </w:t>
            </w:r>
            <w:r w:rsidRPr="00FD1043">
              <w:rPr>
                <w:rFonts w:cstheme="minorHAnsi"/>
                <w:b/>
                <w:bCs/>
                <w:color w:val="000000"/>
                <w:sz w:val="18"/>
                <w:szCs w:val="18"/>
                <w:lang w:val="en-US"/>
              </w:rPr>
              <w:t>Non-Governmental Organizations Law</w:t>
            </w:r>
            <w:r w:rsidRPr="00BD77C8">
              <w:rPr>
                <w:rFonts w:cstheme="minorHAnsi"/>
                <w:color w:val="000000"/>
                <w:sz w:val="18"/>
                <w:szCs w:val="18"/>
                <w:lang w:val="en-US"/>
              </w:rPr>
              <w:t xml:space="preserve">, decree 2-2003. The NGO law is unconstitutional and violates the fundamental rights of the population. The NGO law is a perverse law that wants to restrict the fundamental rights of all Guatemalans. Considering that </w:t>
            </w:r>
            <w:r w:rsidR="004D145D" w:rsidRPr="00BD77C8">
              <w:rPr>
                <w:rFonts w:cstheme="minorHAnsi"/>
                <w:color w:val="000000"/>
                <w:sz w:val="18"/>
                <w:szCs w:val="18"/>
                <w:lang w:val="en-US"/>
              </w:rPr>
              <w:t>most</w:t>
            </w:r>
            <w:r w:rsidRPr="00BD77C8">
              <w:rPr>
                <w:rFonts w:cstheme="minorHAnsi"/>
                <w:color w:val="000000"/>
                <w:sz w:val="18"/>
                <w:szCs w:val="18"/>
                <w:lang w:val="en-US"/>
              </w:rPr>
              <w:t xml:space="preserve"> NGOs defend the fundamental rights</w:t>
            </w:r>
            <w:r w:rsidR="00D04F5B">
              <w:rPr>
                <w:rFonts w:cstheme="minorHAnsi"/>
                <w:color w:val="000000"/>
                <w:sz w:val="18"/>
                <w:szCs w:val="18"/>
                <w:lang w:val="en-US"/>
              </w:rPr>
              <w:t xml:space="preserve">, such as the right to </w:t>
            </w:r>
            <w:r w:rsidRPr="00BD77C8">
              <w:rPr>
                <w:rFonts w:cstheme="minorHAnsi"/>
                <w:color w:val="000000"/>
                <w:sz w:val="18"/>
                <w:szCs w:val="18"/>
                <w:lang w:val="en-US"/>
              </w:rPr>
              <w:t xml:space="preserve">Food, promotion of development, education, health, right to land and prevention of violence against women. </w:t>
            </w:r>
            <w:r w:rsidR="00D04F5B" w:rsidRPr="00D04F5B">
              <w:rPr>
                <w:rFonts w:cstheme="minorHAnsi"/>
                <w:color w:val="000000"/>
                <w:sz w:val="18"/>
                <w:szCs w:val="18"/>
                <w:lang w:val="en-US"/>
              </w:rPr>
              <w:t xml:space="preserve">This decree violates human rights, especially the right to freedom of association, peaceful </w:t>
            </w:r>
            <w:r w:rsidR="004D145D" w:rsidRPr="00D04F5B">
              <w:rPr>
                <w:rFonts w:cstheme="minorHAnsi"/>
                <w:color w:val="000000"/>
                <w:sz w:val="18"/>
                <w:szCs w:val="18"/>
                <w:lang w:val="en-US"/>
              </w:rPr>
              <w:t>assembly,</w:t>
            </w:r>
            <w:r w:rsidR="00D04F5B" w:rsidRPr="00D04F5B">
              <w:rPr>
                <w:rFonts w:cstheme="minorHAnsi"/>
                <w:color w:val="000000"/>
                <w:sz w:val="18"/>
                <w:szCs w:val="18"/>
                <w:lang w:val="en-US"/>
              </w:rPr>
              <w:t xml:space="preserve"> and expression; several unconstitutionality actions have been filed before the Constitutional Court, but the highest court has not yet issued a ruling. </w:t>
            </w:r>
          </w:p>
          <w:p w14:paraId="703C727D" w14:textId="15FFE659" w:rsidR="00862180" w:rsidRPr="00862180" w:rsidRDefault="00862180" w:rsidP="00182910">
            <w:pPr>
              <w:spacing w:after="120"/>
              <w:ind w:left="708"/>
              <w:rPr>
                <w:rFonts w:cstheme="minorHAnsi"/>
                <w:b/>
                <w:bCs/>
                <w:color w:val="000000"/>
                <w:sz w:val="18"/>
                <w:szCs w:val="18"/>
                <w:lang w:val="en-US"/>
              </w:rPr>
            </w:pPr>
            <w:r w:rsidRPr="00862180">
              <w:rPr>
                <w:rFonts w:cstheme="minorHAnsi"/>
                <w:b/>
                <w:bCs/>
                <w:color w:val="000000"/>
                <w:sz w:val="18"/>
                <w:szCs w:val="18"/>
                <w:lang w:val="en-US"/>
              </w:rPr>
              <w:t>The law on biodiversity and ancestral knowledge</w:t>
            </w:r>
            <w:r>
              <w:rPr>
                <w:rStyle w:val="Funotenzeichen"/>
                <w:rFonts w:cstheme="minorHAnsi"/>
                <w:b/>
                <w:bCs/>
                <w:color w:val="000000"/>
                <w:sz w:val="18"/>
                <w:szCs w:val="18"/>
                <w:lang w:val="en-US"/>
              </w:rPr>
              <w:footnoteReference w:id="4"/>
            </w:r>
          </w:p>
          <w:p w14:paraId="2614424F" w14:textId="4A9585CB" w:rsidR="00D04F5B" w:rsidRDefault="00862180" w:rsidP="001D7C20">
            <w:pPr>
              <w:spacing w:after="120"/>
              <w:rPr>
                <w:rFonts w:cstheme="minorHAnsi"/>
                <w:color w:val="000000"/>
                <w:sz w:val="18"/>
                <w:szCs w:val="18"/>
                <w:lang w:val="en-US"/>
              </w:rPr>
            </w:pPr>
            <w:r w:rsidRPr="00B308C0">
              <w:rPr>
                <w:rFonts w:cstheme="minorHAnsi"/>
                <w:color w:val="000000"/>
                <w:sz w:val="18"/>
                <w:szCs w:val="18"/>
                <w:lang w:val="en-US"/>
              </w:rPr>
              <w:t xml:space="preserve">Likewise, elements of life of the Mayan population are being suppressed by not recognizing their own organization and not approving legislative proposals that try to recover the organization, </w:t>
            </w:r>
            <w:r w:rsidR="00821629" w:rsidRPr="00B308C0">
              <w:rPr>
                <w:rFonts w:cstheme="minorHAnsi"/>
                <w:color w:val="000000"/>
                <w:sz w:val="18"/>
                <w:szCs w:val="18"/>
                <w:lang w:val="en-US"/>
              </w:rPr>
              <w:t>knowledge,</w:t>
            </w:r>
            <w:r w:rsidRPr="00B308C0">
              <w:rPr>
                <w:rFonts w:cstheme="minorHAnsi"/>
                <w:color w:val="000000"/>
                <w:sz w:val="18"/>
                <w:szCs w:val="18"/>
                <w:lang w:val="en-US"/>
              </w:rPr>
              <w:t xml:space="preserve"> and protection of biodiversity (</w:t>
            </w:r>
            <w:r w:rsidRPr="001D7C20">
              <w:rPr>
                <w:rFonts w:cstheme="minorHAnsi"/>
                <w:b/>
                <w:bCs/>
                <w:color w:val="000000"/>
                <w:sz w:val="18"/>
                <w:szCs w:val="18"/>
                <w:lang w:val="en-US"/>
              </w:rPr>
              <w:t>Initiative law 6086</w:t>
            </w:r>
            <w:r w:rsidRPr="00B308C0">
              <w:rPr>
                <w:rFonts w:cstheme="minorHAnsi"/>
                <w:color w:val="000000"/>
                <w:sz w:val="18"/>
                <w:szCs w:val="18"/>
                <w:lang w:val="en-US"/>
              </w:rPr>
              <w:t xml:space="preserve">). </w:t>
            </w:r>
            <w:r w:rsidR="00821629">
              <w:rPr>
                <w:rFonts w:cstheme="minorHAnsi"/>
                <w:color w:val="000000"/>
                <w:sz w:val="18"/>
                <w:szCs w:val="18"/>
                <w:lang w:val="en-US"/>
              </w:rPr>
              <w:t>Currently there is no</w:t>
            </w:r>
            <w:r w:rsidRPr="00B308C0">
              <w:rPr>
                <w:rFonts w:cstheme="minorHAnsi"/>
                <w:color w:val="000000"/>
                <w:sz w:val="18"/>
                <w:szCs w:val="18"/>
                <w:lang w:val="en-US"/>
              </w:rPr>
              <w:t xml:space="preserve"> control over the entry of transgenic seeds into the country</w:t>
            </w:r>
            <w:r w:rsidR="00821629">
              <w:rPr>
                <w:rFonts w:cstheme="minorHAnsi"/>
                <w:color w:val="000000"/>
                <w:sz w:val="18"/>
                <w:szCs w:val="18"/>
                <w:lang w:val="en-US"/>
              </w:rPr>
              <w:t xml:space="preserve"> in place</w:t>
            </w:r>
            <w:r w:rsidRPr="00B308C0">
              <w:rPr>
                <w:rFonts w:cstheme="minorHAnsi"/>
                <w:color w:val="000000"/>
                <w:sz w:val="18"/>
                <w:szCs w:val="18"/>
                <w:lang w:val="en-US"/>
              </w:rPr>
              <w:t>, which is threatening the food sovereignty of the people. This is complemented by the lack of attention and political position of the State of Guatemala by not ratifying UNDROP.</w:t>
            </w:r>
          </w:p>
          <w:p w14:paraId="31B97166" w14:textId="7768F10B" w:rsidR="00D04F5B" w:rsidRPr="001D7C20" w:rsidRDefault="001D7C20" w:rsidP="00C300AB">
            <w:pPr>
              <w:spacing w:after="60"/>
              <w:rPr>
                <w:rFonts w:cstheme="minorHAnsi"/>
                <w:b/>
                <w:bCs/>
                <w:color w:val="000000"/>
                <w:sz w:val="18"/>
                <w:szCs w:val="18"/>
                <w:lang w:val="en-US"/>
              </w:rPr>
            </w:pPr>
            <w:r w:rsidRPr="001D7C20">
              <w:rPr>
                <w:rFonts w:cstheme="minorHAnsi"/>
                <w:b/>
                <w:bCs/>
                <w:color w:val="000000"/>
                <w:sz w:val="18"/>
                <w:szCs w:val="18"/>
                <w:lang w:val="en-US"/>
              </w:rPr>
              <w:t>Discrimination:</w:t>
            </w:r>
          </w:p>
          <w:p w14:paraId="0F1AD3E2" w14:textId="1586DE5C" w:rsidR="009D7FA8" w:rsidRDefault="004D145D" w:rsidP="001D7C20">
            <w:pPr>
              <w:spacing w:after="120"/>
              <w:rPr>
                <w:rFonts w:cstheme="minorHAnsi"/>
                <w:color w:val="000000"/>
                <w:sz w:val="18"/>
                <w:szCs w:val="18"/>
                <w:lang w:val="en-US"/>
              </w:rPr>
            </w:pPr>
            <w:r>
              <w:rPr>
                <w:rFonts w:cstheme="minorHAnsi"/>
                <w:color w:val="000000"/>
                <w:sz w:val="18"/>
                <w:szCs w:val="18"/>
                <w:lang w:val="en-US"/>
              </w:rPr>
              <w:t>T</w:t>
            </w:r>
            <w:r w:rsidR="00BD77C8" w:rsidRPr="00BD77C8">
              <w:rPr>
                <w:rFonts w:cstheme="minorHAnsi"/>
                <w:color w:val="000000"/>
                <w:sz w:val="18"/>
                <w:szCs w:val="18"/>
                <w:lang w:val="en-US"/>
              </w:rPr>
              <w:t xml:space="preserve">here has been </w:t>
            </w:r>
            <w:r w:rsidR="00BD77C8" w:rsidRPr="009D7FA8">
              <w:rPr>
                <w:rFonts w:cstheme="minorHAnsi"/>
                <w:b/>
                <w:bCs/>
                <w:color w:val="000000"/>
                <w:sz w:val="18"/>
                <w:szCs w:val="18"/>
                <w:lang w:val="en-US"/>
              </w:rPr>
              <w:t>discrimination and ecological violence</w:t>
            </w:r>
            <w:r w:rsidR="00BD77C8" w:rsidRPr="00BD77C8">
              <w:rPr>
                <w:rFonts w:cstheme="minorHAnsi"/>
                <w:color w:val="000000"/>
                <w:sz w:val="18"/>
                <w:szCs w:val="18"/>
                <w:lang w:val="en-US"/>
              </w:rPr>
              <w:t xml:space="preserve"> because the Guatemalan government has responded only to the interests of the traditional Guatemalan oligarchy (sugar mills, factories, maquilas, cement factories, local landowners), interests of transnational corporations (hydroelectric, monoculture, mining) and interests of the officials in office (presidential cabinet, deputies, ministers, secretaries). Meanwhile, the original Mayan, Garifuna and </w:t>
            </w:r>
            <w:proofErr w:type="spellStart"/>
            <w:r w:rsidR="00BD77C8" w:rsidRPr="00BD77C8">
              <w:rPr>
                <w:rFonts w:cstheme="minorHAnsi"/>
                <w:color w:val="000000"/>
                <w:sz w:val="18"/>
                <w:szCs w:val="18"/>
                <w:lang w:val="en-US"/>
              </w:rPr>
              <w:t>Xinca</w:t>
            </w:r>
            <w:proofErr w:type="spellEnd"/>
            <w:r w:rsidR="00BD77C8" w:rsidRPr="00BD77C8">
              <w:rPr>
                <w:rFonts w:cstheme="minorHAnsi"/>
                <w:color w:val="000000"/>
                <w:sz w:val="18"/>
                <w:szCs w:val="18"/>
                <w:lang w:val="en-US"/>
              </w:rPr>
              <w:t xml:space="preserve"> peoples have been excluded and marginalized.</w:t>
            </w:r>
          </w:p>
          <w:p w14:paraId="0C7BAC06" w14:textId="2A131A09" w:rsidR="00B308C0" w:rsidRPr="009D7FA8" w:rsidRDefault="00B308C0" w:rsidP="001D7C20">
            <w:pPr>
              <w:spacing w:after="120"/>
              <w:rPr>
                <w:rFonts w:cstheme="minorHAnsi"/>
                <w:color w:val="000000"/>
                <w:sz w:val="18"/>
                <w:szCs w:val="18"/>
                <w:lang w:val="en-US"/>
              </w:rPr>
            </w:pPr>
            <w:r>
              <w:rPr>
                <w:rFonts w:cstheme="minorHAnsi"/>
                <w:color w:val="000000"/>
                <w:sz w:val="18"/>
                <w:szCs w:val="18"/>
                <w:lang w:val="en-US"/>
              </w:rPr>
              <w:t>In addition, t</w:t>
            </w:r>
            <w:r w:rsidRPr="00B308C0">
              <w:rPr>
                <w:rFonts w:cstheme="minorHAnsi"/>
                <w:color w:val="000000"/>
                <w:sz w:val="18"/>
                <w:szCs w:val="18"/>
                <w:lang w:val="en-US"/>
              </w:rPr>
              <w:t xml:space="preserve">he degree of </w:t>
            </w:r>
            <w:r w:rsidRPr="00B308C0">
              <w:rPr>
                <w:rFonts w:cstheme="minorHAnsi"/>
                <w:b/>
                <w:bCs/>
                <w:color w:val="000000"/>
                <w:sz w:val="18"/>
                <w:szCs w:val="18"/>
                <w:lang w:val="en-US"/>
              </w:rPr>
              <w:t>violence</w:t>
            </w:r>
            <w:r w:rsidRPr="00B308C0">
              <w:rPr>
                <w:rFonts w:cstheme="minorHAnsi"/>
                <w:color w:val="000000"/>
                <w:sz w:val="18"/>
                <w:szCs w:val="18"/>
                <w:lang w:val="en-US"/>
              </w:rPr>
              <w:t xml:space="preserve"> is high, since state resources are invested in </w:t>
            </w:r>
            <w:proofErr w:type="spellStart"/>
            <w:r w:rsidRPr="00B308C0">
              <w:rPr>
                <w:rFonts w:cstheme="minorHAnsi"/>
                <w:color w:val="000000"/>
                <w:sz w:val="18"/>
                <w:szCs w:val="18"/>
                <w:lang w:val="en-US"/>
              </w:rPr>
              <w:t>agro</w:t>
            </w:r>
            <w:proofErr w:type="spellEnd"/>
            <w:r w:rsidRPr="00B308C0">
              <w:rPr>
                <w:rFonts w:cstheme="minorHAnsi"/>
                <w:color w:val="000000"/>
                <w:sz w:val="18"/>
                <w:szCs w:val="18"/>
                <w:lang w:val="en-US"/>
              </w:rPr>
              <w:t>-exporting companies of coffee, honey, cardamom and other non-traditional products, leaving aside the needs and conditions of poverty that are aggravated at the rural level and mainly in areas with a high indigenous population.</w:t>
            </w:r>
          </w:p>
        </w:tc>
      </w:tr>
    </w:tbl>
    <w:p w14:paraId="4928850B" w14:textId="77777777" w:rsidR="004D145D" w:rsidRDefault="004D145D" w:rsidP="00E57713">
      <w:pPr>
        <w:spacing w:after="60" w:line="240" w:lineRule="auto"/>
        <w:rPr>
          <w:rFonts w:eastAsia="Times New Roman" w:cstheme="minorHAnsi"/>
          <w:i/>
          <w:iCs/>
          <w:sz w:val="18"/>
          <w:szCs w:val="18"/>
          <w:highlight w:val="lightGray"/>
          <w:lang w:val="en-US" w:eastAsia="de-CH"/>
        </w:rPr>
      </w:pPr>
    </w:p>
    <w:p w14:paraId="34DAABF2" w14:textId="7C01E572" w:rsidR="0087340F" w:rsidRPr="0087340F" w:rsidRDefault="004D145D" w:rsidP="00E57713">
      <w:pPr>
        <w:spacing w:after="60" w:line="240" w:lineRule="auto"/>
        <w:rPr>
          <w:rFonts w:eastAsia="Times New Roman" w:cstheme="minorHAnsi"/>
          <w:i/>
          <w:iCs/>
          <w:sz w:val="18"/>
          <w:szCs w:val="18"/>
          <w:highlight w:val="lightGray"/>
          <w:lang w:val="en-US" w:eastAsia="de-CH"/>
        </w:rPr>
      </w:pPr>
      <w:r>
        <w:rPr>
          <w:rFonts w:eastAsia="Times New Roman" w:cstheme="minorHAnsi"/>
          <w:i/>
          <w:iCs/>
          <w:sz w:val="18"/>
          <w:szCs w:val="18"/>
          <w:highlight w:val="lightGray"/>
          <w:lang w:val="en-US" w:eastAsia="de-CH"/>
        </w:rPr>
        <w:lastRenderedPageBreak/>
        <w:t>E</w:t>
      </w:r>
      <w:r w:rsidR="0087340F" w:rsidRPr="008B196C">
        <w:rPr>
          <w:rFonts w:eastAsia="Times New Roman" w:cstheme="minorHAnsi"/>
          <w:i/>
          <w:iCs/>
          <w:sz w:val="18"/>
          <w:szCs w:val="18"/>
          <w:highlight w:val="lightGray"/>
          <w:lang w:val="en-US" w:eastAsia="de-CH"/>
        </w:rPr>
        <w:t>xamples of laws, policies, or campaigns that have successfully prevented or reduced violence in a food system, held perpetrators accountable, or provided reparation</w:t>
      </w:r>
    </w:p>
    <w:tbl>
      <w:tblPr>
        <w:tblStyle w:val="Tabellenraster"/>
        <w:tblW w:w="0" w:type="auto"/>
        <w:tblLook w:val="04A0" w:firstRow="1" w:lastRow="0" w:firstColumn="1" w:lastColumn="0" w:noHBand="0" w:noVBand="1"/>
      </w:tblPr>
      <w:tblGrid>
        <w:gridCol w:w="9062"/>
      </w:tblGrid>
      <w:tr w:rsidR="00AC7331" w:rsidRPr="00847D2F" w14:paraId="71DF4AB7" w14:textId="77777777" w:rsidTr="00AC7331">
        <w:tc>
          <w:tcPr>
            <w:tcW w:w="9062" w:type="dxa"/>
          </w:tcPr>
          <w:p w14:paraId="7366A934" w14:textId="77777777" w:rsidR="008F37C7" w:rsidRDefault="0087340F" w:rsidP="00E57713">
            <w:pPr>
              <w:spacing w:after="120"/>
              <w:rPr>
                <w:rFonts w:eastAsia="Times New Roman" w:cstheme="minorHAnsi"/>
                <w:sz w:val="18"/>
                <w:szCs w:val="18"/>
                <w:lang w:val="en-US" w:eastAsia="de-CH"/>
              </w:rPr>
            </w:pPr>
            <w:r w:rsidRPr="0087340F">
              <w:rPr>
                <w:rFonts w:eastAsia="Times New Roman" w:cstheme="minorHAnsi"/>
                <w:sz w:val="18"/>
                <w:szCs w:val="18"/>
                <w:lang w:val="en-US" w:eastAsia="de-CH"/>
              </w:rPr>
              <w:t>The campaigns at national and regional level that have been successful have been all those developed by alliances and non-governmental social collectives, for example the case of the repeal of the law o</w:t>
            </w:r>
            <w:r w:rsidR="008F37C7">
              <w:rPr>
                <w:rFonts w:eastAsia="Times New Roman" w:cstheme="minorHAnsi"/>
                <w:sz w:val="18"/>
                <w:szCs w:val="18"/>
                <w:lang w:val="en-US" w:eastAsia="de-CH"/>
              </w:rPr>
              <w:t>n the</w:t>
            </w:r>
            <w:r w:rsidRPr="0087340F">
              <w:rPr>
                <w:rFonts w:eastAsia="Times New Roman" w:cstheme="minorHAnsi"/>
                <w:sz w:val="18"/>
                <w:szCs w:val="18"/>
                <w:lang w:val="en-US" w:eastAsia="de-CH"/>
              </w:rPr>
              <w:t xml:space="preserve"> protection </w:t>
            </w:r>
            <w:r w:rsidR="008F37C7">
              <w:rPr>
                <w:rFonts w:eastAsia="Times New Roman" w:cstheme="minorHAnsi"/>
                <w:sz w:val="18"/>
                <w:szCs w:val="18"/>
                <w:lang w:val="en-US" w:eastAsia="de-CH"/>
              </w:rPr>
              <w:t>of new plant varieties</w:t>
            </w:r>
            <w:r w:rsidRPr="0087340F">
              <w:rPr>
                <w:rFonts w:eastAsia="Times New Roman" w:cstheme="minorHAnsi"/>
                <w:sz w:val="18"/>
                <w:szCs w:val="18"/>
                <w:lang w:val="en-US" w:eastAsia="de-CH"/>
              </w:rPr>
              <w:t>.</w:t>
            </w:r>
          </w:p>
          <w:p w14:paraId="189D9EBC" w14:textId="4E92F857" w:rsidR="00AC7331" w:rsidRPr="00AC7331" w:rsidRDefault="0087340F" w:rsidP="00E57713">
            <w:pPr>
              <w:spacing w:after="120"/>
              <w:rPr>
                <w:rFonts w:eastAsia="Times New Roman" w:cstheme="minorHAnsi"/>
                <w:sz w:val="18"/>
                <w:szCs w:val="18"/>
                <w:lang w:val="en-US" w:eastAsia="de-CH"/>
              </w:rPr>
            </w:pPr>
            <w:r w:rsidRPr="0087340F">
              <w:rPr>
                <w:rFonts w:eastAsia="Times New Roman" w:cstheme="minorHAnsi"/>
                <w:sz w:val="18"/>
                <w:szCs w:val="18"/>
                <w:lang w:val="en-US" w:eastAsia="de-CH"/>
              </w:rPr>
              <w:t xml:space="preserve">At the local level, the campaigns on the </w:t>
            </w:r>
            <w:r w:rsidR="00C446A9">
              <w:rPr>
                <w:rFonts w:eastAsia="Times New Roman" w:cstheme="minorHAnsi"/>
                <w:sz w:val="18"/>
                <w:szCs w:val="18"/>
                <w:lang w:val="en-US" w:eastAsia="de-CH"/>
              </w:rPr>
              <w:t>“</w:t>
            </w:r>
            <w:proofErr w:type="spellStart"/>
            <w:r w:rsidR="00C446A9">
              <w:rPr>
                <w:rFonts w:eastAsia="Times New Roman" w:cstheme="minorHAnsi"/>
                <w:sz w:val="18"/>
                <w:szCs w:val="18"/>
                <w:lang w:val="en-US" w:eastAsia="de-CH"/>
              </w:rPr>
              <w:t>buen</w:t>
            </w:r>
            <w:proofErr w:type="spellEnd"/>
            <w:r w:rsidR="00C446A9">
              <w:rPr>
                <w:rFonts w:eastAsia="Times New Roman" w:cstheme="minorHAnsi"/>
                <w:sz w:val="18"/>
                <w:szCs w:val="18"/>
                <w:lang w:val="en-US" w:eastAsia="de-CH"/>
              </w:rPr>
              <w:t xml:space="preserve"> </w:t>
            </w:r>
            <w:proofErr w:type="spellStart"/>
            <w:r w:rsidR="00C446A9">
              <w:rPr>
                <w:rFonts w:eastAsia="Times New Roman" w:cstheme="minorHAnsi"/>
                <w:sz w:val="18"/>
                <w:szCs w:val="18"/>
                <w:lang w:val="en-US" w:eastAsia="de-CH"/>
              </w:rPr>
              <w:t>vivir</w:t>
            </w:r>
            <w:proofErr w:type="spellEnd"/>
            <w:r w:rsidR="00C446A9">
              <w:rPr>
                <w:rFonts w:eastAsia="Times New Roman" w:cstheme="minorHAnsi"/>
                <w:sz w:val="18"/>
                <w:szCs w:val="18"/>
                <w:lang w:val="en-US" w:eastAsia="de-CH"/>
              </w:rPr>
              <w:t>”</w:t>
            </w:r>
            <w:r w:rsidRPr="0087340F">
              <w:rPr>
                <w:rFonts w:eastAsia="Times New Roman" w:cstheme="minorHAnsi"/>
                <w:sz w:val="18"/>
                <w:szCs w:val="18"/>
                <w:lang w:val="en-US" w:eastAsia="de-CH"/>
              </w:rPr>
              <w:t xml:space="preserve">, supported by Fastenaktion and </w:t>
            </w:r>
            <w:r>
              <w:rPr>
                <w:rFonts w:eastAsia="Times New Roman" w:cstheme="minorHAnsi"/>
                <w:sz w:val="18"/>
                <w:szCs w:val="18"/>
                <w:lang w:val="en-US" w:eastAsia="de-CH"/>
              </w:rPr>
              <w:t xml:space="preserve">its </w:t>
            </w:r>
            <w:r w:rsidRPr="0087340F">
              <w:rPr>
                <w:rFonts w:eastAsia="Times New Roman" w:cstheme="minorHAnsi"/>
                <w:sz w:val="18"/>
                <w:szCs w:val="18"/>
                <w:lang w:val="en-US" w:eastAsia="de-CH"/>
              </w:rPr>
              <w:t>local partners, have been successful because the projects promote the conservation, production and consumption of healthy food produced through agroecological systems.</w:t>
            </w:r>
          </w:p>
        </w:tc>
      </w:tr>
    </w:tbl>
    <w:p w14:paraId="6E718D00" w14:textId="77777777" w:rsidR="00BD1B0B" w:rsidRDefault="00BD1B0B" w:rsidP="00B308C0">
      <w:pPr>
        <w:spacing w:after="0" w:line="240" w:lineRule="auto"/>
        <w:rPr>
          <w:rFonts w:eastAsia="Times New Roman" w:cstheme="minorHAnsi"/>
          <w:sz w:val="18"/>
          <w:szCs w:val="18"/>
          <w:highlight w:val="lightGray"/>
          <w:lang w:val="en-US" w:eastAsia="de-CH"/>
        </w:rPr>
      </w:pPr>
    </w:p>
    <w:p w14:paraId="49053A1B" w14:textId="7ACC9DFC" w:rsidR="008B196C" w:rsidRPr="00AE2A7E" w:rsidRDefault="004D145D" w:rsidP="006509E5">
      <w:pPr>
        <w:spacing w:after="60" w:line="240" w:lineRule="auto"/>
        <w:rPr>
          <w:rFonts w:eastAsia="Times New Roman" w:cstheme="minorHAnsi"/>
          <w:sz w:val="18"/>
          <w:szCs w:val="18"/>
          <w:lang w:val="en-US" w:eastAsia="de-CH"/>
        </w:rPr>
      </w:pPr>
      <w:r>
        <w:rPr>
          <w:rFonts w:eastAsia="Times New Roman" w:cstheme="minorHAnsi"/>
          <w:i/>
          <w:iCs/>
          <w:sz w:val="18"/>
          <w:szCs w:val="18"/>
          <w:highlight w:val="lightGray"/>
          <w:lang w:val="en-US" w:eastAsia="de-CH"/>
        </w:rPr>
        <w:t>P</w:t>
      </w:r>
      <w:r w:rsidR="008B196C" w:rsidRPr="008B196C">
        <w:rPr>
          <w:rFonts w:eastAsia="Times New Roman" w:cstheme="minorHAnsi"/>
          <w:i/>
          <w:iCs/>
          <w:sz w:val="18"/>
          <w:szCs w:val="18"/>
          <w:highlight w:val="lightGray"/>
          <w:lang w:val="en-US" w:eastAsia="de-CH"/>
        </w:rPr>
        <w:t xml:space="preserve">opulation groups and peoples </w:t>
      </w:r>
      <w:r>
        <w:rPr>
          <w:rFonts w:eastAsia="Times New Roman" w:cstheme="minorHAnsi"/>
          <w:i/>
          <w:iCs/>
          <w:sz w:val="18"/>
          <w:szCs w:val="18"/>
          <w:highlight w:val="lightGray"/>
          <w:lang w:val="en-US" w:eastAsia="de-CH"/>
        </w:rPr>
        <w:t xml:space="preserve">that </w:t>
      </w:r>
      <w:r w:rsidR="008B196C" w:rsidRPr="008B196C">
        <w:rPr>
          <w:rFonts w:eastAsia="Times New Roman" w:cstheme="minorHAnsi"/>
          <w:i/>
          <w:iCs/>
          <w:sz w:val="18"/>
          <w:szCs w:val="18"/>
          <w:highlight w:val="lightGray"/>
          <w:lang w:val="en-US" w:eastAsia="de-CH"/>
        </w:rPr>
        <w:t>are targets of this violence</w:t>
      </w:r>
    </w:p>
    <w:tbl>
      <w:tblPr>
        <w:tblStyle w:val="Tabellenraster"/>
        <w:tblW w:w="0" w:type="auto"/>
        <w:tblInd w:w="-5" w:type="dxa"/>
        <w:tblLook w:val="04A0" w:firstRow="1" w:lastRow="0" w:firstColumn="1" w:lastColumn="0" w:noHBand="0" w:noVBand="1"/>
      </w:tblPr>
      <w:tblGrid>
        <w:gridCol w:w="9067"/>
      </w:tblGrid>
      <w:tr w:rsidR="00E82A0E" w:rsidRPr="00847D2F" w14:paraId="76824F85" w14:textId="77777777" w:rsidTr="008F37C7">
        <w:tc>
          <w:tcPr>
            <w:tcW w:w="9067" w:type="dxa"/>
          </w:tcPr>
          <w:p w14:paraId="61F8D9DE" w14:textId="77777777" w:rsidR="00E82A0E" w:rsidRDefault="008F37C7" w:rsidP="00272817">
            <w:pPr>
              <w:spacing w:after="120"/>
              <w:rPr>
                <w:rFonts w:eastAsia="Times New Roman" w:cstheme="minorHAnsi"/>
                <w:sz w:val="18"/>
                <w:szCs w:val="18"/>
                <w:lang w:val="en-US" w:eastAsia="de-CH"/>
              </w:rPr>
            </w:pPr>
            <w:r w:rsidRPr="008F37C7">
              <w:rPr>
                <w:rFonts w:eastAsia="Times New Roman" w:cstheme="minorHAnsi"/>
                <w:sz w:val="18"/>
                <w:szCs w:val="18"/>
                <w:lang w:val="en-US" w:eastAsia="de-CH"/>
              </w:rPr>
              <w:t xml:space="preserve">The affected population are native Mayan, Garifuna and </w:t>
            </w:r>
            <w:proofErr w:type="spellStart"/>
            <w:r w:rsidRPr="008F37C7">
              <w:rPr>
                <w:rFonts w:eastAsia="Times New Roman" w:cstheme="minorHAnsi"/>
                <w:sz w:val="18"/>
                <w:szCs w:val="18"/>
                <w:lang w:val="en-US" w:eastAsia="de-CH"/>
              </w:rPr>
              <w:t>Xinca</w:t>
            </w:r>
            <w:proofErr w:type="spellEnd"/>
            <w:r w:rsidRPr="008F37C7">
              <w:rPr>
                <w:rFonts w:eastAsia="Times New Roman" w:cstheme="minorHAnsi"/>
                <w:sz w:val="18"/>
                <w:szCs w:val="18"/>
                <w:lang w:val="en-US" w:eastAsia="de-CH"/>
              </w:rPr>
              <w:t xml:space="preserve"> peoples, mainly because the majority of the Guatemalan population lives in poverty and extreme poverty, basing their economy on subsistence agricultural production, services and a few on commerce.</w:t>
            </w:r>
          </w:p>
          <w:p w14:paraId="25E6D503" w14:textId="77777777" w:rsidR="00B308C0" w:rsidRDefault="00B308C0" w:rsidP="00272817">
            <w:pPr>
              <w:spacing w:after="120"/>
              <w:rPr>
                <w:rFonts w:eastAsia="Times New Roman" w:cstheme="minorHAnsi"/>
                <w:sz w:val="18"/>
                <w:szCs w:val="18"/>
                <w:lang w:val="en-US" w:eastAsia="de-CH"/>
              </w:rPr>
            </w:pPr>
            <w:r w:rsidRPr="00B308C0">
              <w:rPr>
                <w:rFonts w:eastAsia="Times New Roman" w:cstheme="minorHAnsi"/>
                <w:sz w:val="18"/>
                <w:szCs w:val="18"/>
                <w:lang w:val="en-US" w:eastAsia="de-CH"/>
              </w:rPr>
              <w:t xml:space="preserve">The experience of accompanying community agricultural and women's organizations in communities of the department of Quetzaltenango, </w:t>
            </w:r>
            <w:proofErr w:type="spellStart"/>
            <w:r w:rsidRPr="00B308C0">
              <w:rPr>
                <w:rFonts w:eastAsia="Times New Roman" w:cstheme="minorHAnsi"/>
                <w:sz w:val="18"/>
                <w:szCs w:val="18"/>
                <w:lang w:val="en-US" w:eastAsia="de-CH"/>
              </w:rPr>
              <w:t>Kiché</w:t>
            </w:r>
            <w:proofErr w:type="spellEnd"/>
            <w:r w:rsidRPr="00B308C0">
              <w:rPr>
                <w:rFonts w:eastAsia="Times New Roman" w:cstheme="minorHAnsi"/>
                <w:sz w:val="18"/>
                <w:szCs w:val="18"/>
                <w:lang w:val="en-US" w:eastAsia="de-CH"/>
              </w:rPr>
              <w:t xml:space="preserve"> and Mam population, is taken as a reference.</w:t>
            </w:r>
          </w:p>
          <w:p w14:paraId="1F89ADB8" w14:textId="1BCBF217" w:rsidR="002E5D36" w:rsidRPr="002E5D36" w:rsidRDefault="002E5D36" w:rsidP="00272817">
            <w:pPr>
              <w:spacing w:after="120"/>
              <w:rPr>
                <w:rFonts w:eastAsia="Times New Roman" w:cstheme="minorHAnsi"/>
                <w:sz w:val="18"/>
                <w:szCs w:val="18"/>
                <w:lang w:val="en-US" w:eastAsia="de-CH"/>
              </w:rPr>
            </w:pPr>
            <w:r w:rsidRPr="002E5D36">
              <w:rPr>
                <w:rFonts w:eastAsia="Times New Roman" w:cstheme="minorHAnsi"/>
                <w:sz w:val="18"/>
                <w:szCs w:val="18"/>
                <w:lang w:val="en-US" w:eastAsia="de-CH"/>
              </w:rPr>
              <w:t>Discrimination prevails in the following sectors: women and small-scale (subsistence) farmers, since they are not subject to technical assistance and other programs that provide them with livelihoods to increase access to and availability of food.</w:t>
            </w:r>
            <w:r>
              <w:rPr>
                <w:rFonts w:eastAsia="Times New Roman" w:cstheme="minorHAnsi"/>
                <w:sz w:val="18"/>
                <w:szCs w:val="18"/>
                <w:lang w:val="en-US" w:eastAsia="de-CH"/>
              </w:rPr>
              <w:t xml:space="preserve"> </w:t>
            </w:r>
            <w:r w:rsidRPr="002E5D36">
              <w:rPr>
                <w:rFonts w:eastAsia="Times New Roman" w:cstheme="minorHAnsi"/>
                <w:sz w:val="18"/>
                <w:szCs w:val="18"/>
                <w:lang w:val="en-US" w:eastAsia="de-CH"/>
              </w:rPr>
              <w:t>The women are mainly adults (30 to 70 years old), indigenous, with little schooling; up to third grade. They are unmarried or married and have an average of 5 children. Without land ownership, they dedicate their time to household chores and produce handicrafts, mainly textiles.</w:t>
            </w:r>
          </w:p>
          <w:p w14:paraId="1DF90D5C" w14:textId="071DD001" w:rsidR="00B308C0" w:rsidRPr="002E5D36" w:rsidRDefault="002E5D36" w:rsidP="00272817">
            <w:pPr>
              <w:spacing w:after="120"/>
              <w:rPr>
                <w:rFonts w:eastAsia="Times New Roman" w:cstheme="minorHAnsi"/>
                <w:sz w:val="18"/>
                <w:szCs w:val="18"/>
                <w:lang w:val="en-US" w:eastAsia="de-CH"/>
              </w:rPr>
            </w:pPr>
            <w:r w:rsidRPr="002E5D36">
              <w:rPr>
                <w:rFonts w:eastAsia="Times New Roman" w:cstheme="minorHAnsi"/>
                <w:sz w:val="18"/>
                <w:szCs w:val="18"/>
                <w:lang w:val="en-US" w:eastAsia="de-CH"/>
              </w:rPr>
              <w:t>The small-scale producers are adult men and women (30 to 70 years old), indigenous, located in mountainous areas, with low schooling, the men up to 6th grade, the women some up to 3rd grade and others do not know how to read and write and mainly speak their mother tongue (Mam)</w:t>
            </w:r>
            <w:r w:rsidR="0010277C">
              <w:rPr>
                <w:rFonts w:eastAsia="Times New Roman" w:cstheme="minorHAnsi"/>
                <w:sz w:val="18"/>
                <w:szCs w:val="18"/>
                <w:lang w:val="en-US" w:eastAsia="de-CH"/>
              </w:rPr>
              <w:t>.</w:t>
            </w:r>
            <w:r w:rsidRPr="002E5D36">
              <w:rPr>
                <w:rFonts w:eastAsia="Times New Roman" w:cstheme="minorHAnsi"/>
                <w:sz w:val="18"/>
                <w:szCs w:val="18"/>
                <w:lang w:val="en-US" w:eastAsia="de-CH"/>
              </w:rPr>
              <w:t xml:space="preserve"> </w:t>
            </w:r>
            <w:r w:rsidR="0010277C">
              <w:rPr>
                <w:rFonts w:eastAsia="Times New Roman" w:cstheme="minorHAnsi"/>
                <w:sz w:val="18"/>
                <w:szCs w:val="18"/>
                <w:lang w:val="en-US" w:eastAsia="de-CH"/>
              </w:rPr>
              <w:t>T</w:t>
            </w:r>
            <w:r w:rsidRPr="002E5D36">
              <w:rPr>
                <w:rFonts w:eastAsia="Times New Roman" w:cstheme="minorHAnsi"/>
                <w:sz w:val="18"/>
                <w:szCs w:val="18"/>
                <w:lang w:val="en-US" w:eastAsia="de-CH"/>
              </w:rPr>
              <w:t xml:space="preserve">hey have an average of 5 </w:t>
            </w:r>
            <w:r w:rsidR="0010277C">
              <w:rPr>
                <w:rFonts w:eastAsia="Times New Roman" w:cstheme="minorHAnsi"/>
                <w:sz w:val="18"/>
                <w:szCs w:val="18"/>
                <w:lang w:val="en-US" w:eastAsia="de-CH"/>
              </w:rPr>
              <w:t>“</w:t>
            </w:r>
            <w:proofErr w:type="spellStart"/>
            <w:r w:rsidRPr="002E5D36">
              <w:rPr>
                <w:rFonts w:eastAsia="Times New Roman" w:cstheme="minorHAnsi"/>
                <w:sz w:val="18"/>
                <w:szCs w:val="18"/>
                <w:lang w:val="en-US" w:eastAsia="de-CH"/>
              </w:rPr>
              <w:t>cuerdas</w:t>
            </w:r>
            <w:proofErr w:type="spellEnd"/>
            <w:r w:rsidR="0010277C">
              <w:rPr>
                <w:rFonts w:eastAsia="Times New Roman" w:cstheme="minorHAnsi"/>
                <w:sz w:val="18"/>
                <w:szCs w:val="18"/>
                <w:lang w:val="en-US" w:eastAsia="de-CH"/>
              </w:rPr>
              <w:t>”</w:t>
            </w:r>
            <w:r w:rsidR="0010277C">
              <w:rPr>
                <w:rStyle w:val="Funotenzeichen"/>
                <w:rFonts w:eastAsia="Times New Roman" w:cstheme="minorHAnsi"/>
                <w:sz w:val="18"/>
                <w:szCs w:val="18"/>
                <w:lang w:val="en-US" w:eastAsia="de-CH"/>
              </w:rPr>
              <w:footnoteReference w:id="5"/>
            </w:r>
            <w:r w:rsidRPr="002E5D36">
              <w:rPr>
                <w:rFonts w:eastAsia="Times New Roman" w:cstheme="minorHAnsi"/>
                <w:sz w:val="18"/>
                <w:szCs w:val="18"/>
                <w:lang w:val="en-US" w:eastAsia="de-CH"/>
              </w:rPr>
              <w:t xml:space="preserve"> of land where they produce </w:t>
            </w:r>
            <w:r w:rsidRPr="008A18BC">
              <w:rPr>
                <w:rFonts w:eastAsia="Times New Roman" w:cstheme="minorHAnsi"/>
                <w:sz w:val="18"/>
                <w:szCs w:val="18"/>
                <w:lang w:val="en-US" w:eastAsia="de-CH"/>
              </w:rPr>
              <w:t>food</w:t>
            </w:r>
            <w:r w:rsidR="0010277C" w:rsidRPr="008A18BC">
              <w:rPr>
                <w:rFonts w:eastAsia="Times New Roman" w:cstheme="minorHAnsi"/>
                <w:sz w:val="18"/>
                <w:szCs w:val="18"/>
                <w:lang w:val="en-US" w:eastAsia="de-CH"/>
              </w:rPr>
              <w:t xml:space="preserve"> and</w:t>
            </w:r>
            <w:r w:rsidR="00182910" w:rsidRPr="008A18BC">
              <w:rPr>
                <w:rFonts w:eastAsia="Times New Roman" w:cstheme="minorHAnsi"/>
                <w:sz w:val="18"/>
                <w:szCs w:val="18"/>
                <w:lang w:val="en-US" w:eastAsia="de-CH"/>
              </w:rPr>
              <w:t xml:space="preserve"> where they</w:t>
            </w:r>
            <w:r w:rsidR="0010277C" w:rsidRPr="008A18BC">
              <w:rPr>
                <w:rFonts w:eastAsia="Times New Roman" w:cstheme="minorHAnsi"/>
                <w:sz w:val="18"/>
                <w:szCs w:val="18"/>
                <w:lang w:val="en-US" w:eastAsia="de-CH"/>
              </w:rPr>
              <w:t xml:space="preserve"> live</w:t>
            </w:r>
            <w:r w:rsidR="0010277C">
              <w:rPr>
                <w:rFonts w:eastAsia="Times New Roman" w:cstheme="minorHAnsi"/>
                <w:sz w:val="18"/>
                <w:szCs w:val="18"/>
                <w:lang w:val="en-US" w:eastAsia="de-CH"/>
              </w:rPr>
              <w:t>.</w:t>
            </w:r>
            <w:r w:rsidRPr="002E5D36">
              <w:rPr>
                <w:rFonts w:eastAsia="Times New Roman" w:cstheme="minorHAnsi"/>
                <w:sz w:val="18"/>
                <w:szCs w:val="18"/>
                <w:lang w:val="en-US" w:eastAsia="de-CH"/>
              </w:rPr>
              <w:t xml:space="preserve"> </w:t>
            </w:r>
            <w:r w:rsidR="0010277C">
              <w:rPr>
                <w:rFonts w:eastAsia="Times New Roman" w:cstheme="minorHAnsi"/>
                <w:sz w:val="18"/>
                <w:szCs w:val="18"/>
                <w:lang w:val="en-US" w:eastAsia="de-CH"/>
              </w:rPr>
              <w:t>G</w:t>
            </w:r>
            <w:r w:rsidRPr="002E5D36">
              <w:rPr>
                <w:rFonts w:eastAsia="Times New Roman" w:cstheme="minorHAnsi"/>
                <w:sz w:val="18"/>
                <w:szCs w:val="18"/>
                <w:lang w:val="en-US" w:eastAsia="de-CH"/>
              </w:rPr>
              <w:t>enerally</w:t>
            </w:r>
            <w:r w:rsidR="00C300AB">
              <w:rPr>
                <w:rFonts w:eastAsia="Times New Roman" w:cstheme="minorHAnsi"/>
                <w:sz w:val="18"/>
                <w:szCs w:val="18"/>
                <w:lang w:val="en-US" w:eastAsia="de-CH"/>
              </w:rPr>
              <w:t>,</w:t>
            </w:r>
            <w:r w:rsidRPr="002E5D36">
              <w:rPr>
                <w:rFonts w:eastAsia="Times New Roman" w:cstheme="minorHAnsi"/>
                <w:sz w:val="18"/>
                <w:szCs w:val="18"/>
                <w:lang w:val="en-US" w:eastAsia="de-CH"/>
              </w:rPr>
              <w:t xml:space="preserve"> </w:t>
            </w:r>
            <w:r w:rsidR="0010277C">
              <w:rPr>
                <w:rFonts w:eastAsia="Times New Roman" w:cstheme="minorHAnsi"/>
                <w:sz w:val="18"/>
                <w:szCs w:val="18"/>
                <w:lang w:val="en-US" w:eastAsia="de-CH"/>
              </w:rPr>
              <w:t>their</w:t>
            </w:r>
            <w:r w:rsidR="0010277C" w:rsidRPr="002E5D36">
              <w:rPr>
                <w:rFonts w:eastAsia="Times New Roman" w:cstheme="minorHAnsi"/>
                <w:sz w:val="18"/>
                <w:szCs w:val="18"/>
                <w:lang w:val="en-US" w:eastAsia="de-CH"/>
              </w:rPr>
              <w:t xml:space="preserve"> </w:t>
            </w:r>
            <w:r w:rsidRPr="002E5D36">
              <w:rPr>
                <w:rFonts w:eastAsia="Times New Roman" w:cstheme="minorHAnsi"/>
                <w:sz w:val="18"/>
                <w:szCs w:val="18"/>
                <w:lang w:val="en-US" w:eastAsia="de-CH"/>
              </w:rPr>
              <w:t xml:space="preserve">children </w:t>
            </w:r>
            <w:r w:rsidR="0010277C">
              <w:rPr>
                <w:rFonts w:eastAsia="Times New Roman" w:cstheme="minorHAnsi"/>
                <w:sz w:val="18"/>
                <w:szCs w:val="18"/>
                <w:lang w:val="en-US" w:eastAsia="de-CH"/>
              </w:rPr>
              <w:t>build</w:t>
            </w:r>
            <w:r w:rsidRPr="002E5D36">
              <w:rPr>
                <w:rFonts w:eastAsia="Times New Roman" w:cstheme="minorHAnsi"/>
                <w:sz w:val="18"/>
                <w:szCs w:val="18"/>
                <w:lang w:val="en-US" w:eastAsia="de-CH"/>
              </w:rPr>
              <w:t xml:space="preserve"> their house </w:t>
            </w:r>
            <w:r w:rsidR="0010277C">
              <w:rPr>
                <w:rFonts w:eastAsia="Times New Roman" w:cstheme="minorHAnsi"/>
                <w:sz w:val="18"/>
                <w:szCs w:val="18"/>
                <w:lang w:val="en-US" w:eastAsia="de-CH"/>
              </w:rPr>
              <w:t>o</w:t>
            </w:r>
            <w:r w:rsidRPr="002E5D36">
              <w:rPr>
                <w:rFonts w:eastAsia="Times New Roman" w:cstheme="minorHAnsi"/>
                <w:sz w:val="18"/>
                <w:szCs w:val="18"/>
                <w:lang w:val="en-US" w:eastAsia="de-CH"/>
              </w:rPr>
              <w:t xml:space="preserve">n this same land, their economic </w:t>
            </w:r>
            <w:r w:rsidR="0010277C">
              <w:rPr>
                <w:rFonts w:eastAsia="Times New Roman" w:cstheme="minorHAnsi"/>
                <w:sz w:val="18"/>
                <w:szCs w:val="18"/>
                <w:lang w:val="en-US" w:eastAsia="de-CH"/>
              </w:rPr>
              <w:t>income is diverse: they</w:t>
            </w:r>
            <w:r w:rsidRPr="002E5D36">
              <w:rPr>
                <w:rFonts w:eastAsia="Times New Roman" w:cstheme="minorHAnsi"/>
                <w:sz w:val="18"/>
                <w:szCs w:val="18"/>
                <w:lang w:val="en-US" w:eastAsia="de-CH"/>
              </w:rPr>
              <w:t xml:space="preserve"> sell their labor, trade through </w:t>
            </w:r>
            <w:r w:rsidR="00C300AB" w:rsidRPr="002E5D36">
              <w:rPr>
                <w:rFonts w:eastAsia="Times New Roman" w:cstheme="minorHAnsi"/>
                <w:sz w:val="18"/>
                <w:szCs w:val="18"/>
                <w:lang w:val="en-US" w:eastAsia="de-CH"/>
              </w:rPr>
              <w:t>door-to-door</w:t>
            </w:r>
            <w:r w:rsidRPr="002E5D36">
              <w:rPr>
                <w:rFonts w:eastAsia="Times New Roman" w:cstheme="minorHAnsi"/>
                <w:sz w:val="18"/>
                <w:szCs w:val="18"/>
                <w:lang w:val="en-US" w:eastAsia="de-CH"/>
              </w:rPr>
              <w:t xml:space="preserve"> sales, handicrafts, receive remittances (average of 100 dollars per month).</w:t>
            </w:r>
          </w:p>
        </w:tc>
      </w:tr>
    </w:tbl>
    <w:p w14:paraId="41527048" w14:textId="77777777" w:rsidR="001D7C20" w:rsidRDefault="001D7C20" w:rsidP="001D7C20">
      <w:pPr>
        <w:spacing w:after="0" w:line="240" w:lineRule="auto"/>
        <w:rPr>
          <w:rFonts w:eastAsia="Times New Roman" w:cstheme="minorHAnsi"/>
          <w:sz w:val="18"/>
          <w:szCs w:val="18"/>
          <w:highlight w:val="lightGray"/>
          <w:lang w:val="en-US" w:eastAsia="de-CH"/>
        </w:rPr>
      </w:pPr>
    </w:p>
    <w:p w14:paraId="2D50B932" w14:textId="77777777" w:rsidR="001D7C20" w:rsidRDefault="001D7C20" w:rsidP="001D7C20">
      <w:pPr>
        <w:spacing w:after="0" w:line="240" w:lineRule="auto"/>
        <w:rPr>
          <w:rFonts w:eastAsia="Times New Roman" w:cstheme="minorHAnsi"/>
          <w:sz w:val="18"/>
          <w:szCs w:val="18"/>
          <w:highlight w:val="lightGray"/>
          <w:lang w:val="en-US" w:eastAsia="de-CH"/>
        </w:rPr>
      </w:pPr>
    </w:p>
    <w:p w14:paraId="6893080E" w14:textId="5015E012" w:rsidR="008B196C" w:rsidRPr="00E57713" w:rsidRDefault="004D145D" w:rsidP="00E57713">
      <w:pPr>
        <w:spacing w:after="60" w:line="240" w:lineRule="auto"/>
        <w:rPr>
          <w:rFonts w:eastAsia="Times New Roman" w:cstheme="minorHAnsi"/>
          <w:i/>
          <w:iCs/>
          <w:sz w:val="18"/>
          <w:szCs w:val="18"/>
          <w:highlight w:val="lightGray"/>
          <w:lang w:val="en-US" w:eastAsia="de-CH"/>
        </w:rPr>
      </w:pPr>
      <w:r>
        <w:rPr>
          <w:rFonts w:eastAsia="Times New Roman" w:cstheme="minorHAnsi"/>
          <w:i/>
          <w:iCs/>
          <w:sz w:val="18"/>
          <w:szCs w:val="18"/>
          <w:highlight w:val="lightGray"/>
          <w:lang w:val="en-US" w:eastAsia="de-CH"/>
        </w:rPr>
        <w:t>S</w:t>
      </w:r>
      <w:r w:rsidR="008B196C" w:rsidRPr="008B196C">
        <w:rPr>
          <w:rFonts w:eastAsia="Times New Roman" w:cstheme="minorHAnsi"/>
          <w:i/>
          <w:iCs/>
          <w:sz w:val="18"/>
          <w:szCs w:val="18"/>
          <w:highlight w:val="lightGray"/>
          <w:lang w:val="en-US" w:eastAsia="de-CH"/>
        </w:rPr>
        <w:t>paces of sanctuary or protection from violence within food systems</w:t>
      </w:r>
    </w:p>
    <w:tbl>
      <w:tblPr>
        <w:tblStyle w:val="Tabellenraster"/>
        <w:tblW w:w="0" w:type="auto"/>
        <w:tblLook w:val="04A0" w:firstRow="1" w:lastRow="0" w:firstColumn="1" w:lastColumn="0" w:noHBand="0" w:noVBand="1"/>
      </w:tblPr>
      <w:tblGrid>
        <w:gridCol w:w="9062"/>
      </w:tblGrid>
      <w:tr w:rsidR="00227D6C" w:rsidRPr="00847D2F" w14:paraId="0F93F9A4" w14:textId="77777777" w:rsidTr="00227D6C">
        <w:tc>
          <w:tcPr>
            <w:tcW w:w="9062" w:type="dxa"/>
          </w:tcPr>
          <w:p w14:paraId="64A2CFA5" w14:textId="272AEC6C" w:rsidR="00227D6C" w:rsidRDefault="00227D6C" w:rsidP="00272817">
            <w:pPr>
              <w:spacing w:after="120"/>
              <w:rPr>
                <w:rFonts w:cstheme="minorHAnsi"/>
                <w:sz w:val="18"/>
                <w:szCs w:val="18"/>
                <w:lang w:val="en-US"/>
              </w:rPr>
            </w:pPr>
            <w:r>
              <w:rPr>
                <w:rFonts w:cstheme="minorHAnsi"/>
                <w:sz w:val="18"/>
                <w:szCs w:val="18"/>
                <w:lang w:val="en-US"/>
              </w:rPr>
              <w:t>The majority of</w:t>
            </w:r>
            <w:r w:rsidRPr="00227D6C">
              <w:rPr>
                <w:rFonts w:cstheme="minorHAnsi"/>
                <w:sz w:val="18"/>
                <w:szCs w:val="18"/>
                <w:lang w:val="en-US"/>
              </w:rPr>
              <w:t xml:space="preserve"> people have </w:t>
            </w:r>
            <w:r>
              <w:rPr>
                <w:rFonts w:cstheme="minorHAnsi"/>
                <w:sz w:val="18"/>
                <w:szCs w:val="18"/>
                <w:lang w:val="en-US"/>
              </w:rPr>
              <w:t>turned to</w:t>
            </w:r>
            <w:r w:rsidRPr="00227D6C">
              <w:rPr>
                <w:rFonts w:cstheme="minorHAnsi"/>
                <w:sz w:val="18"/>
                <w:szCs w:val="18"/>
                <w:lang w:val="en-US"/>
              </w:rPr>
              <w:t xml:space="preserve"> social organizations that defend rights and at the same time, social organizations have created networks and alliances in order to advocate for the repeal of proposed laws that threaten the rights of the population.</w:t>
            </w:r>
          </w:p>
          <w:p w14:paraId="4482ABE6" w14:textId="59564461" w:rsidR="00227D6C" w:rsidRDefault="0010277C" w:rsidP="00272817">
            <w:pPr>
              <w:spacing w:after="120"/>
              <w:rPr>
                <w:rFonts w:cstheme="minorHAnsi"/>
                <w:sz w:val="18"/>
                <w:szCs w:val="18"/>
                <w:lang w:val="en-US"/>
              </w:rPr>
            </w:pPr>
            <w:r>
              <w:rPr>
                <w:rFonts w:cstheme="minorHAnsi"/>
                <w:sz w:val="18"/>
                <w:szCs w:val="18"/>
                <w:lang w:val="en-US"/>
              </w:rPr>
              <w:t>The</w:t>
            </w:r>
            <w:r w:rsidR="002E5D36" w:rsidRPr="002E5D36">
              <w:rPr>
                <w:rFonts w:cstheme="minorHAnsi"/>
                <w:sz w:val="18"/>
                <w:szCs w:val="18"/>
                <w:lang w:val="en-US"/>
              </w:rPr>
              <w:t xml:space="preserve"> organized communities have always worked </w:t>
            </w:r>
            <w:r>
              <w:rPr>
                <w:rFonts w:cstheme="minorHAnsi"/>
                <w:sz w:val="18"/>
                <w:szCs w:val="18"/>
                <w:lang w:val="en-US"/>
              </w:rPr>
              <w:t>o</w:t>
            </w:r>
            <w:r w:rsidR="002E5D36" w:rsidRPr="002E5D36">
              <w:rPr>
                <w:rFonts w:cstheme="minorHAnsi"/>
                <w:sz w:val="18"/>
                <w:szCs w:val="18"/>
                <w:lang w:val="en-US"/>
              </w:rPr>
              <w:t>n the care of their territory and their food culture</w:t>
            </w:r>
            <w:r>
              <w:rPr>
                <w:rFonts w:cstheme="minorHAnsi"/>
                <w:sz w:val="18"/>
                <w:szCs w:val="18"/>
                <w:lang w:val="en-US"/>
              </w:rPr>
              <w:t>.</w:t>
            </w:r>
            <w:r w:rsidR="002E5D36" w:rsidRPr="002E5D36">
              <w:rPr>
                <w:rFonts w:cstheme="minorHAnsi"/>
                <w:sz w:val="18"/>
                <w:szCs w:val="18"/>
                <w:lang w:val="en-US"/>
              </w:rPr>
              <w:t xml:space="preserve"> </w:t>
            </w:r>
            <w:r>
              <w:rPr>
                <w:rFonts w:cstheme="minorHAnsi"/>
                <w:sz w:val="18"/>
                <w:szCs w:val="18"/>
                <w:lang w:val="en-US"/>
              </w:rPr>
              <w:t>T</w:t>
            </w:r>
            <w:r w:rsidR="002E5D36" w:rsidRPr="002E5D36">
              <w:rPr>
                <w:rFonts w:cstheme="minorHAnsi"/>
                <w:sz w:val="18"/>
                <w:szCs w:val="18"/>
                <w:lang w:val="en-US"/>
              </w:rPr>
              <w:t>here are actions of solidarity in the face of food shortage problems, they exchange food and seeds.</w:t>
            </w:r>
          </w:p>
          <w:p w14:paraId="05685BBC" w14:textId="342EDC6D" w:rsidR="0010277C" w:rsidRPr="002E5D36" w:rsidRDefault="0010277C" w:rsidP="00272817">
            <w:pPr>
              <w:spacing w:after="120"/>
              <w:rPr>
                <w:rFonts w:cstheme="minorHAnsi"/>
                <w:sz w:val="18"/>
                <w:szCs w:val="18"/>
                <w:lang w:val="en-US"/>
              </w:rPr>
            </w:pPr>
            <w:r>
              <w:rPr>
                <w:rFonts w:cstheme="minorHAnsi"/>
                <w:sz w:val="18"/>
                <w:szCs w:val="18"/>
                <w:lang w:val="en-US"/>
              </w:rPr>
              <w:t>State authorities are not a protective actor within food systems.</w:t>
            </w:r>
          </w:p>
        </w:tc>
      </w:tr>
    </w:tbl>
    <w:p w14:paraId="21915922" w14:textId="546E425D" w:rsidR="002971B4" w:rsidRDefault="002971B4">
      <w:pPr>
        <w:rPr>
          <w:rFonts w:cstheme="minorHAnsi"/>
          <w:sz w:val="18"/>
          <w:szCs w:val="18"/>
          <w:lang w:val="en-US"/>
        </w:rPr>
      </w:pPr>
    </w:p>
    <w:p w14:paraId="24F4D65C" w14:textId="5FD04277" w:rsidR="00847D2F" w:rsidRDefault="00847D2F">
      <w:pPr>
        <w:rPr>
          <w:rFonts w:cstheme="minorHAnsi"/>
          <w:sz w:val="18"/>
          <w:szCs w:val="18"/>
          <w:lang w:val="en-US"/>
        </w:rPr>
      </w:pPr>
    </w:p>
    <w:p w14:paraId="5392AE2A" w14:textId="5F7A5507" w:rsidR="00847D2F" w:rsidRDefault="00847D2F">
      <w:pPr>
        <w:rPr>
          <w:rFonts w:cstheme="minorHAnsi"/>
          <w:sz w:val="18"/>
          <w:szCs w:val="18"/>
          <w:lang w:val="en-US"/>
        </w:rPr>
      </w:pPr>
      <w:r>
        <w:rPr>
          <w:rFonts w:cstheme="minorHAnsi"/>
          <w:sz w:val="18"/>
          <w:szCs w:val="18"/>
          <w:lang w:val="en-US"/>
        </w:rPr>
        <w:t>Lucerne, 21.11.2022</w:t>
      </w:r>
    </w:p>
    <w:p w14:paraId="0DDB60C1" w14:textId="77777777" w:rsidR="00847D2F" w:rsidRPr="00847D2F" w:rsidRDefault="00847D2F" w:rsidP="00847D2F">
      <w:pPr>
        <w:spacing w:after="0"/>
        <w:rPr>
          <w:rFonts w:cstheme="minorHAnsi"/>
          <w:sz w:val="18"/>
          <w:szCs w:val="18"/>
        </w:rPr>
      </w:pPr>
      <w:r w:rsidRPr="00847D2F">
        <w:rPr>
          <w:rFonts w:cstheme="minorHAnsi"/>
          <w:sz w:val="18"/>
          <w:szCs w:val="18"/>
        </w:rPr>
        <w:t>Fastenaktion</w:t>
      </w:r>
    </w:p>
    <w:p w14:paraId="7EF63D58" w14:textId="77777777" w:rsidR="00847D2F" w:rsidRDefault="00847D2F" w:rsidP="00847D2F">
      <w:pPr>
        <w:spacing w:after="0"/>
        <w:rPr>
          <w:rFonts w:cstheme="minorHAnsi"/>
          <w:sz w:val="18"/>
          <w:szCs w:val="18"/>
        </w:rPr>
      </w:pPr>
      <w:r w:rsidRPr="00847D2F">
        <w:rPr>
          <w:rFonts w:cstheme="minorHAnsi"/>
          <w:sz w:val="18"/>
          <w:szCs w:val="18"/>
        </w:rPr>
        <w:t>Alpenquai 4, Postfach</w:t>
      </w:r>
      <w:r w:rsidRPr="00847D2F">
        <w:rPr>
          <w:rFonts w:cstheme="minorHAnsi"/>
          <w:sz w:val="18"/>
          <w:szCs w:val="18"/>
        </w:rPr>
        <w:br/>
        <w:t>CH - 6002 Luzern</w:t>
      </w:r>
    </w:p>
    <w:p w14:paraId="6E190875" w14:textId="77777777" w:rsidR="00847D2F" w:rsidRDefault="00847D2F" w:rsidP="00847D2F">
      <w:pPr>
        <w:spacing w:after="0"/>
        <w:rPr>
          <w:rFonts w:cstheme="minorHAnsi"/>
          <w:sz w:val="18"/>
          <w:szCs w:val="18"/>
        </w:rPr>
      </w:pPr>
      <w:hyperlink r:id="rId8" w:history="1">
        <w:r w:rsidRPr="004C5704">
          <w:rPr>
            <w:rStyle w:val="Hyperlink"/>
            <w:rFonts w:cstheme="minorHAnsi"/>
            <w:sz w:val="18"/>
            <w:szCs w:val="18"/>
          </w:rPr>
          <w:t>www.fastenaktion.ch</w:t>
        </w:r>
      </w:hyperlink>
      <w:r>
        <w:rPr>
          <w:rFonts w:cstheme="minorHAnsi"/>
          <w:sz w:val="18"/>
          <w:szCs w:val="18"/>
        </w:rPr>
        <w:t xml:space="preserve"> </w:t>
      </w:r>
    </w:p>
    <w:p w14:paraId="14A9AFFF" w14:textId="5FE668D6" w:rsidR="00847D2F" w:rsidRPr="00847D2F" w:rsidRDefault="00847D2F" w:rsidP="00847D2F">
      <w:pPr>
        <w:spacing w:after="0"/>
        <w:rPr>
          <w:rFonts w:cstheme="minorHAnsi"/>
          <w:sz w:val="18"/>
          <w:szCs w:val="18"/>
        </w:rPr>
      </w:pPr>
      <w:r w:rsidRPr="00847D2F">
        <w:rPr>
          <w:rFonts w:cstheme="minorHAnsi"/>
          <w:sz w:val="18"/>
          <w:szCs w:val="18"/>
        </w:rPr>
        <w:br/>
      </w:r>
    </w:p>
    <w:sectPr w:rsidR="00847D2F" w:rsidRPr="00847D2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9AEB" w14:textId="77777777" w:rsidR="006014E3" w:rsidRDefault="006014E3" w:rsidP="00016AE7">
      <w:pPr>
        <w:spacing w:after="0" w:line="240" w:lineRule="auto"/>
      </w:pPr>
      <w:r>
        <w:separator/>
      </w:r>
    </w:p>
  </w:endnote>
  <w:endnote w:type="continuationSeparator" w:id="0">
    <w:p w14:paraId="2785F30C" w14:textId="77777777" w:rsidR="006014E3" w:rsidRDefault="006014E3" w:rsidP="0001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C7B8" w14:textId="77777777" w:rsidR="006014E3" w:rsidRDefault="006014E3" w:rsidP="00016AE7">
      <w:pPr>
        <w:spacing w:after="0" w:line="240" w:lineRule="auto"/>
      </w:pPr>
      <w:r>
        <w:separator/>
      </w:r>
    </w:p>
  </w:footnote>
  <w:footnote w:type="continuationSeparator" w:id="0">
    <w:p w14:paraId="11B162E7" w14:textId="77777777" w:rsidR="006014E3" w:rsidRDefault="006014E3" w:rsidP="00016AE7">
      <w:pPr>
        <w:spacing w:after="0" w:line="240" w:lineRule="auto"/>
      </w:pPr>
      <w:r>
        <w:continuationSeparator/>
      </w:r>
    </w:p>
  </w:footnote>
  <w:footnote w:id="1">
    <w:p w14:paraId="18886786" w14:textId="6CEAB8BD" w:rsidR="00016AE7" w:rsidRPr="001D7C20" w:rsidRDefault="00016AE7">
      <w:pPr>
        <w:pStyle w:val="Funotentext"/>
        <w:rPr>
          <w:sz w:val="18"/>
          <w:szCs w:val="18"/>
          <w:lang w:val="en-US"/>
        </w:rPr>
      </w:pPr>
      <w:r w:rsidRPr="001D7C20">
        <w:rPr>
          <w:rStyle w:val="Funotenzeichen"/>
          <w:sz w:val="18"/>
          <w:szCs w:val="18"/>
        </w:rPr>
        <w:footnoteRef/>
      </w:r>
      <w:r w:rsidRPr="001D7C20">
        <w:rPr>
          <w:sz w:val="18"/>
          <w:szCs w:val="18"/>
          <w:lang w:val="en-US"/>
        </w:rPr>
        <w:t xml:space="preserve"> </w:t>
      </w:r>
      <w:r w:rsidRPr="001D7C20">
        <w:rPr>
          <w:rFonts w:cstheme="minorHAnsi"/>
          <w:sz w:val="18"/>
          <w:szCs w:val="18"/>
          <w:lang w:val="en-GB"/>
        </w:rPr>
        <w:t xml:space="preserve">This submission is based on information </w:t>
      </w:r>
      <w:r w:rsidR="004D145D">
        <w:rPr>
          <w:rFonts w:cstheme="minorHAnsi"/>
          <w:sz w:val="18"/>
          <w:szCs w:val="18"/>
          <w:lang w:val="en-GB"/>
        </w:rPr>
        <w:t>of</w:t>
      </w:r>
      <w:r w:rsidRPr="001D7C20">
        <w:rPr>
          <w:rFonts w:cstheme="minorHAnsi"/>
          <w:sz w:val="18"/>
          <w:szCs w:val="18"/>
          <w:lang w:val="en-GB"/>
        </w:rPr>
        <w:t xml:space="preserve"> our partner organizations</w:t>
      </w:r>
      <w:r w:rsidR="0010277C">
        <w:rPr>
          <w:rFonts w:cstheme="minorHAnsi"/>
          <w:sz w:val="18"/>
          <w:szCs w:val="18"/>
          <w:lang w:val="en-GB"/>
        </w:rPr>
        <w:t xml:space="preserve"> </w:t>
      </w:r>
      <w:proofErr w:type="spellStart"/>
      <w:r w:rsidR="0010277C">
        <w:rPr>
          <w:rFonts w:cstheme="minorHAnsi"/>
          <w:sz w:val="18"/>
          <w:szCs w:val="18"/>
          <w:lang w:val="en-GB"/>
        </w:rPr>
        <w:t>Asociación</w:t>
      </w:r>
      <w:proofErr w:type="spellEnd"/>
      <w:r w:rsidR="00AE3D64">
        <w:rPr>
          <w:rFonts w:cstheme="minorHAnsi"/>
          <w:sz w:val="18"/>
          <w:szCs w:val="18"/>
          <w:lang w:val="en-GB"/>
        </w:rPr>
        <w:t xml:space="preserve"> </w:t>
      </w:r>
      <w:proofErr w:type="spellStart"/>
      <w:r w:rsidR="00AE3D64" w:rsidRPr="00AE3D64">
        <w:rPr>
          <w:rFonts w:cstheme="minorHAnsi"/>
          <w:sz w:val="18"/>
          <w:szCs w:val="18"/>
          <w:lang w:val="en-GB"/>
        </w:rPr>
        <w:t>Aj</w:t>
      </w:r>
      <w:proofErr w:type="spellEnd"/>
      <w:r w:rsidR="00AE3D64" w:rsidRPr="00AE3D64">
        <w:rPr>
          <w:rFonts w:cstheme="minorHAnsi"/>
          <w:sz w:val="18"/>
          <w:szCs w:val="18"/>
          <w:lang w:val="en-GB"/>
        </w:rPr>
        <w:t xml:space="preserve"> </w:t>
      </w:r>
      <w:proofErr w:type="spellStart"/>
      <w:r w:rsidR="00AE3D64" w:rsidRPr="00AE3D64">
        <w:rPr>
          <w:rFonts w:cstheme="minorHAnsi"/>
          <w:sz w:val="18"/>
          <w:szCs w:val="18"/>
          <w:lang w:val="en-GB"/>
        </w:rPr>
        <w:t>Awineleb</w:t>
      </w:r>
      <w:proofErr w:type="spellEnd"/>
      <w:r w:rsidR="00AE3D64" w:rsidRPr="00AE3D64">
        <w:rPr>
          <w:rFonts w:cstheme="minorHAnsi"/>
          <w:sz w:val="18"/>
          <w:szCs w:val="18"/>
          <w:lang w:val="en-GB"/>
        </w:rPr>
        <w:t>' Re</w:t>
      </w:r>
      <w:r w:rsidR="0010277C">
        <w:rPr>
          <w:rFonts w:cstheme="minorHAnsi"/>
          <w:sz w:val="18"/>
          <w:szCs w:val="18"/>
          <w:lang w:val="en-GB"/>
        </w:rPr>
        <w:t xml:space="preserve"> </w:t>
      </w:r>
      <w:proofErr w:type="spellStart"/>
      <w:r w:rsidR="0010277C">
        <w:rPr>
          <w:rFonts w:cstheme="minorHAnsi"/>
          <w:sz w:val="18"/>
          <w:szCs w:val="18"/>
          <w:lang w:val="en-GB"/>
        </w:rPr>
        <w:t>Tzuul</w:t>
      </w:r>
      <w:proofErr w:type="spellEnd"/>
      <w:r w:rsidR="0010277C">
        <w:rPr>
          <w:rFonts w:cstheme="minorHAnsi"/>
          <w:sz w:val="18"/>
          <w:szCs w:val="18"/>
          <w:lang w:val="en-GB"/>
        </w:rPr>
        <w:t xml:space="preserve"> </w:t>
      </w:r>
      <w:proofErr w:type="spellStart"/>
      <w:r w:rsidR="0010277C">
        <w:rPr>
          <w:rFonts w:cstheme="minorHAnsi"/>
          <w:sz w:val="18"/>
          <w:szCs w:val="18"/>
          <w:lang w:val="en-GB"/>
        </w:rPr>
        <w:t>Taq’a</w:t>
      </w:r>
      <w:proofErr w:type="spellEnd"/>
      <w:r w:rsidR="0010277C">
        <w:rPr>
          <w:rFonts w:cstheme="minorHAnsi"/>
          <w:sz w:val="18"/>
          <w:szCs w:val="18"/>
          <w:lang w:val="en-GB"/>
        </w:rPr>
        <w:t xml:space="preserve"> and </w:t>
      </w:r>
      <w:proofErr w:type="spellStart"/>
      <w:r w:rsidR="00AE3D64" w:rsidRPr="00AE3D64">
        <w:rPr>
          <w:rFonts w:cstheme="minorHAnsi"/>
          <w:sz w:val="18"/>
          <w:szCs w:val="18"/>
          <w:lang w:val="en-GB"/>
        </w:rPr>
        <w:t>Asosiación</w:t>
      </w:r>
      <w:proofErr w:type="spellEnd"/>
      <w:r w:rsidR="00AE3D64" w:rsidRPr="00AE3D64">
        <w:rPr>
          <w:rFonts w:cstheme="minorHAnsi"/>
          <w:sz w:val="18"/>
          <w:szCs w:val="18"/>
          <w:lang w:val="en-GB"/>
        </w:rPr>
        <w:t xml:space="preserve"> para </w:t>
      </w:r>
      <w:proofErr w:type="spellStart"/>
      <w:r w:rsidR="00AE3D64" w:rsidRPr="00AE3D64">
        <w:rPr>
          <w:rFonts w:cstheme="minorHAnsi"/>
          <w:sz w:val="18"/>
          <w:szCs w:val="18"/>
          <w:lang w:val="en-GB"/>
        </w:rPr>
        <w:t>el</w:t>
      </w:r>
      <w:proofErr w:type="spellEnd"/>
      <w:r w:rsidR="00AE3D64" w:rsidRPr="00AE3D64">
        <w:rPr>
          <w:rFonts w:cstheme="minorHAnsi"/>
          <w:sz w:val="18"/>
          <w:szCs w:val="18"/>
          <w:lang w:val="en-GB"/>
        </w:rPr>
        <w:t xml:space="preserve"> Desarrollo </w:t>
      </w:r>
      <w:proofErr w:type="spellStart"/>
      <w:r w:rsidR="00AE3D64">
        <w:rPr>
          <w:rFonts w:cstheme="minorHAnsi"/>
          <w:sz w:val="18"/>
          <w:szCs w:val="18"/>
          <w:lang w:val="en-GB"/>
        </w:rPr>
        <w:t>Comunitario</w:t>
      </w:r>
      <w:proofErr w:type="spellEnd"/>
      <w:r w:rsidR="00AE3D64">
        <w:rPr>
          <w:rFonts w:cstheme="minorHAnsi"/>
          <w:sz w:val="18"/>
          <w:szCs w:val="18"/>
          <w:lang w:val="en-GB"/>
        </w:rPr>
        <w:t xml:space="preserve"> (ASERJUS)</w:t>
      </w:r>
      <w:r w:rsidRPr="001D7C20">
        <w:rPr>
          <w:rFonts w:cstheme="minorHAnsi"/>
          <w:sz w:val="18"/>
          <w:szCs w:val="18"/>
          <w:lang w:val="en-GB"/>
        </w:rPr>
        <w:t xml:space="preserve"> in Guatemala</w:t>
      </w:r>
      <w:r w:rsidR="00AE3D64">
        <w:rPr>
          <w:rFonts w:cstheme="minorHAnsi"/>
          <w:sz w:val="18"/>
          <w:szCs w:val="18"/>
          <w:lang w:val="en-GB"/>
        </w:rPr>
        <w:t>.</w:t>
      </w:r>
    </w:p>
  </w:footnote>
  <w:footnote w:id="2">
    <w:p w14:paraId="4E0A871A" w14:textId="78A84757" w:rsidR="00C77DCD" w:rsidRPr="00C77DCD" w:rsidRDefault="00C77DCD" w:rsidP="00C77DCD">
      <w:pPr>
        <w:pStyle w:val="Funotentext"/>
        <w:jc w:val="both"/>
        <w:rPr>
          <w:sz w:val="16"/>
          <w:szCs w:val="16"/>
          <w:lang w:val="en-US"/>
        </w:rPr>
      </w:pPr>
      <w:r>
        <w:rPr>
          <w:rStyle w:val="Funotenzeichen"/>
        </w:rPr>
        <w:footnoteRef/>
      </w:r>
      <w:r w:rsidRPr="00C77DCD">
        <w:rPr>
          <w:lang w:val="en-US"/>
        </w:rPr>
        <w:t xml:space="preserve"> </w:t>
      </w:r>
      <w:r w:rsidRPr="00C77DCD">
        <w:rPr>
          <w:sz w:val="16"/>
          <w:szCs w:val="16"/>
          <w:lang w:val="en-US"/>
        </w:rPr>
        <w:t>The Governmental Agreement 97-2020 was created in the year 2000. During his political campaign, the current president had promised to eliminate the secretariat of administrative affairs and security SAAS, considering that the budget assigned to it was high and that its function was unnecessary. However, by political strategy he continued with the SAAS and with this agreement he made the SAA, which is the Secretary of Agrarian Affairs, disappear by mistake or due to the influence of the landowners of Guatemala. The Secretariat determine</w:t>
      </w:r>
      <w:r w:rsidR="000959E8">
        <w:rPr>
          <w:sz w:val="16"/>
          <w:szCs w:val="16"/>
          <w:lang w:val="en-US"/>
        </w:rPr>
        <w:t>d</w:t>
      </w:r>
      <w:r w:rsidRPr="00C77DCD">
        <w:rPr>
          <w:sz w:val="16"/>
          <w:szCs w:val="16"/>
          <w:lang w:val="en-US"/>
        </w:rPr>
        <w:t xml:space="preserve"> and promote</w:t>
      </w:r>
      <w:r w:rsidR="000959E8">
        <w:rPr>
          <w:sz w:val="16"/>
          <w:szCs w:val="16"/>
          <w:lang w:val="en-US"/>
        </w:rPr>
        <w:t>d</w:t>
      </w:r>
      <w:r w:rsidRPr="00C77DCD">
        <w:rPr>
          <w:sz w:val="16"/>
          <w:szCs w:val="16"/>
          <w:lang w:val="en-US"/>
        </w:rPr>
        <w:t>, through the corresponding legal instances, the necessary actions to define the institutional legal framework related to the development and strengthening of land ownership and has effective participation in the search for conciliatory solutions related to the exercise of the right of possession and ownership of land.</w:t>
      </w:r>
    </w:p>
  </w:footnote>
  <w:footnote w:id="3">
    <w:p w14:paraId="1541FAC3" w14:textId="1DE05DB4" w:rsidR="00D04F5B" w:rsidRPr="00C77DCD" w:rsidRDefault="00D04F5B" w:rsidP="00C77DCD">
      <w:pPr>
        <w:spacing w:after="0" w:line="240" w:lineRule="auto"/>
        <w:jc w:val="both"/>
        <w:rPr>
          <w:rFonts w:cstheme="minorHAnsi"/>
          <w:color w:val="000000"/>
          <w:sz w:val="16"/>
          <w:szCs w:val="16"/>
          <w:lang w:val="en-US"/>
        </w:rPr>
      </w:pPr>
      <w:r>
        <w:rPr>
          <w:rStyle w:val="Funotenzeichen"/>
        </w:rPr>
        <w:footnoteRef/>
      </w:r>
      <w:r w:rsidRPr="00D04F5B">
        <w:rPr>
          <w:lang w:val="en-US"/>
        </w:rPr>
        <w:t xml:space="preserve"> </w:t>
      </w:r>
      <w:r w:rsidRPr="00C77DCD">
        <w:rPr>
          <w:sz w:val="16"/>
          <w:szCs w:val="16"/>
          <w:lang w:val="en-US"/>
        </w:rPr>
        <w:t xml:space="preserve">Article 23 of Decree 4-2020 states that organizations that do not update their data within 6 months will be cancelled. According to information from the Registry of Legal Entities (in charge of registering CSOs) </w:t>
      </w:r>
      <w:r w:rsidR="004D145D">
        <w:rPr>
          <w:sz w:val="16"/>
          <w:szCs w:val="16"/>
          <w:lang w:val="en-US"/>
        </w:rPr>
        <w:t>only 198 out of 1412 organizations updated their data. I</w:t>
      </w:r>
      <w:r w:rsidRPr="00C77DCD">
        <w:rPr>
          <w:sz w:val="16"/>
          <w:szCs w:val="16"/>
          <w:lang w:val="en-US"/>
        </w:rPr>
        <w:t>t is expected that 1214 organizations will be cancelled, which makes the presence of legal professionals necessary for many organizations that will find themselves helpless in the cancellation process</w:t>
      </w:r>
      <w:r w:rsidR="00821629">
        <w:rPr>
          <w:sz w:val="16"/>
          <w:szCs w:val="16"/>
          <w:lang w:val="en-US"/>
        </w:rPr>
        <w:t xml:space="preserve"> (situation in April 2022, might have slightly changed since then)</w:t>
      </w:r>
      <w:r w:rsidRPr="00C77DCD">
        <w:rPr>
          <w:sz w:val="16"/>
          <w:szCs w:val="16"/>
          <w:lang w:val="en-US"/>
        </w:rPr>
        <w:t>.</w:t>
      </w:r>
    </w:p>
  </w:footnote>
  <w:footnote w:id="4">
    <w:p w14:paraId="15349EC7" w14:textId="6E9E6E0C" w:rsidR="00862180" w:rsidRPr="00C77DCD" w:rsidRDefault="00862180" w:rsidP="00C77DCD">
      <w:pPr>
        <w:pStyle w:val="Funotentext"/>
        <w:jc w:val="both"/>
        <w:rPr>
          <w:sz w:val="16"/>
          <w:szCs w:val="16"/>
          <w:lang w:val="en-US"/>
        </w:rPr>
      </w:pPr>
      <w:r>
        <w:rPr>
          <w:rStyle w:val="Funotenzeichen"/>
        </w:rPr>
        <w:footnoteRef/>
      </w:r>
      <w:r w:rsidRPr="00862180">
        <w:rPr>
          <w:lang w:val="en-US"/>
        </w:rPr>
        <w:t xml:space="preserve"> </w:t>
      </w:r>
      <w:r w:rsidRPr="00C77DCD">
        <w:rPr>
          <w:sz w:val="16"/>
          <w:szCs w:val="16"/>
          <w:lang w:val="en-US"/>
        </w:rPr>
        <w:t xml:space="preserve">The law on biodiversity and ancestral knowledge was elaborated in a participatory process by indigenous communities and their traditional authorities, by peasant movements, social </w:t>
      </w:r>
      <w:proofErr w:type="spellStart"/>
      <w:r w:rsidRPr="00C77DCD">
        <w:rPr>
          <w:sz w:val="16"/>
          <w:szCs w:val="16"/>
          <w:lang w:val="en-US"/>
        </w:rPr>
        <w:t>organisations</w:t>
      </w:r>
      <w:proofErr w:type="spellEnd"/>
      <w:r w:rsidRPr="00C77DCD">
        <w:rPr>
          <w:sz w:val="16"/>
          <w:szCs w:val="16"/>
          <w:lang w:val="en-US"/>
        </w:rPr>
        <w:t>, academia and lawyers.</w:t>
      </w:r>
      <w:r w:rsidR="00C37A12" w:rsidRPr="00C77DCD">
        <w:rPr>
          <w:sz w:val="16"/>
          <w:szCs w:val="16"/>
          <w:lang w:val="en-US"/>
        </w:rPr>
        <w:t xml:space="preserve"> The law has not yet been approved by the government of Guatemala.</w:t>
      </w:r>
    </w:p>
  </w:footnote>
  <w:footnote w:id="5">
    <w:p w14:paraId="7008EBF1" w14:textId="20C342AD" w:rsidR="0010277C" w:rsidRPr="00C300AB" w:rsidRDefault="0010277C">
      <w:pPr>
        <w:pStyle w:val="Funotentext"/>
        <w:rPr>
          <w:sz w:val="16"/>
          <w:szCs w:val="16"/>
          <w:lang w:val="en-US"/>
        </w:rPr>
      </w:pPr>
      <w:r>
        <w:rPr>
          <w:rStyle w:val="Funotenzeichen"/>
        </w:rPr>
        <w:footnoteRef/>
      </w:r>
      <w:r w:rsidRPr="00C300AB">
        <w:rPr>
          <w:lang w:val="en-US"/>
        </w:rPr>
        <w:t xml:space="preserve">  </w:t>
      </w:r>
      <w:r w:rsidR="00003CF4">
        <w:rPr>
          <w:sz w:val="16"/>
          <w:szCs w:val="16"/>
          <w:lang w:val="en-US"/>
        </w:rPr>
        <w:t>Over</w:t>
      </w:r>
      <w:r w:rsidRPr="00C300AB">
        <w:rPr>
          <w:sz w:val="16"/>
          <w:szCs w:val="16"/>
          <w:lang w:val="en-US"/>
        </w:rPr>
        <w:t xml:space="preserve"> 400 square meters; measure for land used in Guatemala and Southern Mexico.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261B"/>
    <w:multiLevelType w:val="multilevel"/>
    <w:tmpl w:val="14CC12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64C2C"/>
    <w:multiLevelType w:val="hybridMultilevel"/>
    <w:tmpl w:val="01AA346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7A12646F"/>
    <w:multiLevelType w:val="multilevel"/>
    <w:tmpl w:val="799C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191396">
    <w:abstractNumId w:val="2"/>
  </w:num>
  <w:num w:numId="2" w16cid:durableId="2095277015">
    <w:abstractNumId w:val="0"/>
  </w:num>
  <w:num w:numId="3" w16cid:durableId="59933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6C"/>
    <w:rsid w:val="00003CF4"/>
    <w:rsid w:val="00011945"/>
    <w:rsid w:val="00016AE7"/>
    <w:rsid w:val="000460BF"/>
    <w:rsid w:val="000959E8"/>
    <w:rsid w:val="0010277C"/>
    <w:rsid w:val="00122FF5"/>
    <w:rsid w:val="00182910"/>
    <w:rsid w:val="001D7C20"/>
    <w:rsid w:val="00227D6C"/>
    <w:rsid w:val="00234728"/>
    <w:rsid w:val="00250A6E"/>
    <w:rsid w:val="00272817"/>
    <w:rsid w:val="002971B4"/>
    <w:rsid w:val="002D6781"/>
    <w:rsid w:val="002E5D36"/>
    <w:rsid w:val="00315DC2"/>
    <w:rsid w:val="00344789"/>
    <w:rsid w:val="00360A5E"/>
    <w:rsid w:val="00360BC5"/>
    <w:rsid w:val="003C255E"/>
    <w:rsid w:val="00455077"/>
    <w:rsid w:val="004D145D"/>
    <w:rsid w:val="005520C3"/>
    <w:rsid w:val="006014E3"/>
    <w:rsid w:val="006509E5"/>
    <w:rsid w:val="00680701"/>
    <w:rsid w:val="00791705"/>
    <w:rsid w:val="00821629"/>
    <w:rsid w:val="00847D2F"/>
    <w:rsid w:val="00862180"/>
    <w:rsid w:val="00866C93"/>
    <w:rsid w:val="0087340F"/>
    <w:rsid w:val="008A18BC"/>
    <w:rsid w:val="008B196C"/>
    <w:rsid w:val="008F37C7"/>
    <w:rsid w:val="00957985"/>
    <w:rsid w:val="009611ED"/>
    <w:rsid w:val="009678C1"/>
    <w:rsid w:val="009D7FA8"/>
    <w:rsid w:val="00AC7331"/>
    <w:rsid w:val="00AE2A7E"/>
    <w:rsid w:val="00AE3D64"/>
    <w:rsid w:val="00B06F16"/>
    <w:rsid w:val="00B308C0"/>
    <w:rsid w:val="00B37A28"/>
    <w:rsid w:val="00BB2B4D"/>
    <w:rsid w:val="00BD1B0B"/>
    <w:rsid w:val="00BD77C8"/>
    <w:rsid w:val="00C263FD"/>
    <w:rsid w:val="00C300AB"/>
    <w:rsid w:val="00C37A12"/>
    <w:rsid w:val="00C446A9"/>
    <w:rsid w:val="00C66574"/>
    <w:rsid w:val="00C77DCD"/>
    <w:rsid w:val="00D04839"/>
    <w:rsid w:val="00D04F5B"/>
    <w:rsid w:val="00D52CA7"/>
    <w:rsid w:val="00E57713"/>
    <w:rsid w:val="00E82A0E"/>
    <w:rsid w:val="00F63C86"/>
    <w:rsid w:val="00FD10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D481"/>
  <w15:chartTrackingRefBased/>
  <w15:docId w15:val="{A4FF0C79-13C2-4AA4-8989-AF378CC0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xt-bold">
    <w:name w:val="txt-bold"/>
    <w:basedOn w:val="Absatz-Standardschriftart"/>
    <w:rsid w:val="008B196C"/>
  </w:style>
  <w:style w:type="character" w:customStyle="1" w:styleId="text--body-copy">
    <w:name w:val="text--body-copy"/>
    <w:basedOn w:val="Absatz-Standardschriftart"/>
    <w:rsid w:val="008B196C"/>
  </w:style>
  <w:style w:type="paragraph" w:styleId="Funotentext">
    <w:name w:val="footnote text"/>
    <w:basedOn w:val="Standard"/>
    <w:link w:val="FunotentextZchn"/>
    <w:uiPriority w:val="99"/>
    <w:semiHidden/>
    <w:unhideWhenUsed/>
    <w:rsid w:val="00016AE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16AE7"/>
    <w:rPr>
      <w:sz w:val="20"/>
      <w:szCs w:val="20"/>
    </w:rPr>
  </w:style>
  <w:style w:type="character" w:styleId="Funotenzeichen">
    <w:name w:val="footnote reference"/>
    <w:basedOn w:val="Absatz-Standardschriftart"/>
    <w:uiPriority w:val="99"/>
    <w:semiHidden/>
    <w:unhideWhenUsed/>
    <w:rsid w:val="00016AE7"/>
    <w:rPr>
      <w:vertAlign w:val="superscript"/>
    </w:rPr>
  </w:style>
  <w:style w:type="paragraph" w:styleId="Kopfzeile">
    <w:name w:val="header"/>
    <w:basedOn w:val="Standard"/>
    <w:link w:val="KopfzeileZchn"/>
    <w:uiPriority w:val="99"/>
    <w:unhideWhenUsed/>
    <w:rsid w:val="00016A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AE7"/>
  </w:style>
  <w:style w:type="paragraph" w:styleId="Fuzeile">
    <w:name w:val="footer"/>
    <w:basedOn w:val="Standard"/>
    <w:link w:val="FuzeileZchn"/>
    <w:uiPriority w:val="99"/>
    <w:unhideWhenUsed/>
    <w:rsid w:val="00016A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AE7"/>
  </w:style>
  <w:style w:type="table" w:styleId="Tabellenraster">
    <w:name w:val="Table Grid"/>
    <w:basedOn w:val="NormaleTabelle"/>
    <w:uiPriority w:val="39"/>
    <w:rsid w:val="00AE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E2A7E"/>
    <w:pPr>
      <w:ind w:left="720"/>
      <w:contextualSpacing/>
    </w:pPr>
    <w:rPr>
      <w:lang w:val="es-GT"/>
    </w:rPr>
  </w:style>
  <w:style w:type="paragraph" w:styleId="berarbeitung">
    <w:name w:val="Revision"/>
    <w:hidden/>
    <w:uiPriority w:val="99"/>
    <w:semiHidden/>
    <w:rsid w:val="000959E8"/>
    <w:pPr>
      <w:spacing w:after="0" w:line="240" w:lineRule="auto"/>
    </w:pPr>
  </w:style>
  <w:style w:type="character" w:styleId="Kommentarzeichen">
    <w:name w:val="annotation reference"/>
    <w:basedOn w:val="Absatz-Standardschriftart"/>
    <w:uiPriority w:val="99"/>
    <w:semiHidden/>
    <w:unhideWhenUsed/>
    <w:rsid w:val="00821629"/>
    <w:rPr>
      <w:sz w:val="16"/>
      <w:szCs w:val="16"/>
    </w:rPr>
  </w:style>
  <w:style w:type="paragraph" w:styleId="Kommentartext">
    <w:name w:val="annotation text"/>
    <w:basedOn w:val="Standard"/>
    <w:link w:val="KommentartextZchn"/>
    <w:uiPriority w:val="99"/>
    <w:unhideWhenUsed/>
    <w:rsid w:val="00821629"/>
    <w:pPr>
      <w:spacing w:line="240" w:lineRule="auto"/>
    </w:pPr>
    <w:rPr>
      <w:sz w:val="20"/>
      <w:szCs w:val="20"/>
    </w:rPr>
  </w:style>
  <w:style w:type="character" w:customStyle="1" w:styleId="KommentartextZchn">
    <w:name w:val="Kommentartext Zchn"/>
    <w:basedOn w:val="Absatz-Standardschriftart"/>
    <w:link w:val="Kommentartext"/>
    <w:uiPriority w:val="99"/>
    <w:rsid w:val="00821629"/>
    <w:rPr>
      <w:sz w:val="20"/>
      <w:szCs w:val="20"/>
    </w:rPr>
  </w:style>
  <w:style w:type="paragraph" w:styleId="Kommentarthema">
    <w:name w:val="annotation subject"/>
    <w:basedOn w:val="Kommentartext"/>
    <w:next w:val="Kommentartext"/>
    <w:link w:val="KommentarthemaZchn"/>
    <w:uiPriority w:val="99"/>
    <w:semiHidden/>
    <w:unhideWhenUsed/>
    <w:rsid w:val="00821629"/>
    <w:rPr>
      <w:b/>
      <w:bCs/>
    </w:rPr>
  </w:style>
  <w:style w:type="character" w:customStyle="1" w:styleId="KommentarthemaZchn">
    <w:name w:val="Kommentarthema Zchn"/>
    <w:basedOn w:val="KommentartextZchn"/>
    <w:link w:val="Kommentarthema"/>
    <w:uiPriority w:val="99"/>
    <w:semiHidden/>
    <w:rsid w:val="00821629"/>
    <w:rPr>
      <w:b/>
      <w:bCs/>
      <w:sz w:val="20"/>
      <w:szCs w:val="20"/>
    </w:rPr>
  </w:style>
  <w:style w:type="character" w:styleId="Hyperlink">
    <w:name w:val="Hyperlink"/>
    <w:basedOn w:val="Absatz-Standardschriftart"/>
    <w:uiPriority w:val="99"/>
    <w:unhideWhenUsed/>
    <w:rsid w:val="00847D2F"/>
    <w:rPr>
      <w:color w:val="0563C1" w:themeColor="hyperlink"/>
      <w:u w:val="single"/>
    </w:rPr>
  </w:style>
  <w:style w:type="character" w:styleId="NichtaufgelsteErwhnung">
    <w:name w:val="Unresolved Mention"/>
    <w:basedOn w:val="Absatz-Standardschriftart"/>
    <w:uiPriority w:val="99"/>
    <w:semiHidden/>
    <w:unhideWhenUsed/>
    <w:rsid w:val="00847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tenaktion.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E5F3F-B652-4C1A-86EF-8DD37A0F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6163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Suter</dc:creator>
  <cp:keywords/>
  <dc:description/>
  <cp:lastModifiedBy>Christa Suter</cp:lastModifiedBy>
  <cp:revision>5</cp:revision>
  <dcterms:created xsi:type="dcterms:W3CDTF">2022-11-21T10:01:00Z</dcterms:created>
  <dcterms:modified xsi:type="dcterms:W3CDTF">2022-11-21T14:55:00Z</dcterms:modified>
</cp:coreProperties>
</file>