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28FE5" w14:textId="77777777" w:rsidR="005A25D0" w:rsidRPr="00D81B37" w:rsidRDefault="005A25D0" w:rsidP="005A25D0">
      <w:pPr>
        <w:pStyle w:val="paragraph"/>
        <w:shd w:val="clear" w:color="auto" w:fill="FFFFFF"/>
        <w:spacing w:after="0" w:line="276" w:lineRule="auto"/>
        <w:jc w:val="both"/>
        <w:textAlignment w:val="baseline"/>
        <w:rPr>
          <w:rStyle w:val="normaltextrun"/>
          <w:rFonts w:ascii="Open Sans" w:hAnsi="Open Sans" w:cs="Open Sans"/>
          <w:b/>
          <w:bCs/>
          <w:color w:val="212222"/>
          <w:sz w:val="22"/>
          <w:szCs w:val="22"/>
          <w:lang w:val="en-GB"/>
        </w:rPr>
      </w:pPr>
    </w:p>
    <w:p w14:paraId="7BBC32ED" w14:textId="0AB0E4E1" w:rsidR="00681A38" w:rsidRPr="00D81B37" w:rsidRDefault="00681A38" w:rsidP="4F6A152A">
      <w:pPr>
        <w:pStyle w:val="paragraph"/>
        <w:shd w:val="clear" w:color="auto" w:fill="FFFFFF" w:themeFill="background1"/>
        <w:spacing w:after="0" w:line="276" w:lineRule="auto"/>
        <w:jc w:val="both"/>
        <w:textAlignment w:val="baseline"/>
        <w:rPr>
          <w:rStyle w:val="normaltextrun"/>
          <w:rFonts w:ascii="Open Sans" w:hAnsi="Open Sans" w:cs="Open Sans"/>
          <w:b/>
          <w:bCs/>
          <w:color w:val="212222"/>
          <w:sz w:val="22"/>
          <w:szCs w:val="22"/>
          <w:lang w:val="en-GB"/>
        </w:rPr>
      </w:pPr>
      <w:r w:rsidRPr="00D81B37">
        <w:rPr>
          <w:rStyle w:val="normaltextrun"/>
          <w:rFonts w:ascii="Open Sans" w:hAnsi="Open Sans" w:cs="Open Sans"/>
          <w:b/>
          <w:bCs/>
          <w:color w:val="212222"/>
          <w:sz w:val="22"/>
          <w:szCs w:val="22"/>
          <w:lang w:val="en-GB"/>
        </w:rPr>
        <w:t>Submission to Office of the United Nations High Commissioner for Human Rights in response to the ‘Call for Contributions: Example of a Human Rights-Based Approach to Universal Health Coverage’</w:t>
      </w:r>
    </w:p>
    <w:p w14:paraId="7DFA9592" w14:textId="23431031" w:rsidR="00681A38" w:rsidRPr="00D81B37" w:rsidRDefault="00681A38" w:rsidP="00063A48">
      <w:pPr>
        <w:pStyle w:val="paragraph"/>
        <w:shd w:val="clear" w:color="auto" w:fill="FFFFFF"/>
        <w:snapToGrid w:val="0"/>
        <w:spacing w:before="120" w:beforeAutospacing="0" w:after="120" w:afterAutospacing="0" w:line="276" w:lineRule="auto"/>
        <w:jc w:val="both"/>
        <w:textAlignment w:val="baseline"/>
        <w:rPr>
          <w:rFonts w:ascii="Open Sans" w:hAnsi="Open Sans" w:cs="Open Sans"/>
          <w:sz w:val="22"/>
          <w:szCs w:val="22"/>
          <w:lang w:val="en-GB"/>
        </w:rPr>
      </w:pPr>
      <w:r w:rsidRPr="00D81B37">
        <w:rPr>
          <w:rStyle w:val="normaltextrun"/>
          <w:rFonts w:ascii="Open Sans" w:hAnsi="Open Sans" w:cs="Open Sans"/>
          <w:i/>
          <w:iCs/>
          <w:color w:val="007EC1"/>
          <w:sz w:val="22"/>
          <w:szCs w:val="22"/>
          <w:lang w:val="en-GB"/>
        </w:rPr>
        <w:t>3</w:t>
      </w:r>
      <w:r w:rsidR="00E73C75" w:rsidRPr="00D81B37">
        <w:rPr>
          <w:rStyle w:val="normaltextrun"/>
          <w:rFonts w:ascii="Open Sans" w:hAnsi="Open Sans" w:cs="Open Sans"/>
          <w:i/>
          <w:iCs/>
          <w:color w:val="007EC1"/>
          <w:sz w:val="22"/>
          <w:szCs w:val="22"/>
          <w:lang w:val="en-GB"/>
        </w:rPr>
        <w:t xml:space="preserve"> April</w:t>
      </w:r>
      <w:r w:rsidRPr="00D81B37">
        <w:rPr>
          <w:rStyle w:val="normaltextrun"/>
          <w:rFonts w:ascii="Open Sans" w:hAnsi="Open Sans" w:cs="Open Sans"/>
          <w:i/>
          <w:iCs/>
          <w:color w:val="007EC1"/>
          <w:sz w:val="22"/>
          <w:szCs w:val="22"/>
          <w:lang w:val="en-GB"/>
        </w:rPr>
        <w:t xml:space="preserve"> 2023</w:t>
      </w:r>
    </w:p>
    <w:p w14:paraId="3807A05C" w14:textId="1C406557" w:rsidR="00681A38" w:rsidRPr="00D81B37" w:rsidRDefault="00681A38" w:rsidP="00063A48">
      <w:pPr>
        <w:pStyle w:val="paragraph"/>
        <w:shd w:val="clear" w:color="auto" w:fill="FFFFFF"/>
        <w:snapToGrid w:val="0"/>
        <w:spacing w:before="120" w:beforeAutospacing="0" w:after="120" w:afterAutospacing="0" w:line="276" w:lineRule="auto"/>
        <w:jc w:val="both"/>
        <w:textAlignment w:val="baseline"/>
        <w:rPr>
          <w:rStyle w:val="normaltextrun"/>
          <w:rFonts w:ascii="Open Sans" w:hAnsi="Open Sans" w:cs="Open Sans"/>
          <w:color w:val="212222"/>
          <w:sz w:val="22"/>
          <w:szCs w:val="22"/>
          <w:lang w:val="en-GB"/>
        </w:rPr>
      </w:pPr>
      <w:r w:rsidRPr="00D81B37">
        <w:rPr>
          <w:rStyle w:val="eop"/>
          <w:rFonts w:ascii="Open Sans" w:hAnsi="Open Sans" w:cs="Open Sans"/>
          <w:sz w:val="22"/>
          <w:szCs w:val="22"/>
          <w:lang w:val="en-GB"/>
        </w:rPr>
        <w:t>T</w:t>
      </w:r>
      <w:r w:rsidRPr="00D81B37">
        <w:rPr>
          <w:rStyle w:val="normaltextrun"/>
          <w:rFonts w:ascii="Open Sans" w:hAnsi="Open Sans" w:cs="Open Sans"/>
          <w:color w:val="212222"/>
          <w:sz w:val="22"/>
          <w:szCs w:val="22"/>
          <w:lang w:val="en-GB"/>
        </w:rPr>
        <w:t xml:space="preserve">he Global Initiative for Economic, Social and Cultural Rights (GI-ESCR) </w:t>
      </w:r>
      <w:r w:rsidR="00E73C75" w:rsidRPr="00D81B37">
        <w:rPr>
          <w:rStyle w:val="normaltextrun"/>
          <w:rFonts w:ascii="Open Sans" w:hAnsi="Open Sans" w:cs="Open Sans"/>
          <w:color w:val="212222"/>
          <w:sz w:val="22"/>
          <w:szCs w:val="22"/>
          <w:lang w:val="en-GB"/>
        </w:rPr>
        <w:t>welcomes</w:t>
      </w:r>
      <w:r w:rsidRPr="00D81B37">
        <w:rPr>
          <w:rStyle w:val="normaltextrun"/>
          <w:rFonts w:ascii="Open Sans" w:hAnsi="Open Sans" w:cs="Open Sans"/>
          <w:color w:val="212222"/>
          <w:sz w:val="22"/>
          <w:szCs w:val="22"/>
          <w:lang w:val="en-GB"/>
        </w:rPr>
        <w:t xml:space="preserve"> the call for </w:t>
      </w:r>
      <w:r w:rsidR="00E73C75" w:rsidRPr="00D81B37">
        <w:rPr>
          <w:rStyle w:val="normaltextrun"/>
          <w:rFonts w:ascii="Open Sans" w:hAnsi="Open Sans" w:cs="Open Sans"/>
          <w:color w:val="212222"/>
          <w:sz w:val="22"/>
          <w:szCs w:val="22"/>
          <w:lang w:val="en-GB"/>
        </w:rPr>
        <w:t>contribution</w:t>
      </w:r>
      <w:r w:rsidRPr="00D81B37">
        <w:rPr>
          <w:rStyle w:val="normaltextrun"/>
          <w:rFonts w:ascii="Open Sans" w:hAnsi="Open Sans" w:cs="Open Sans"/>
          <w:color w:val="212222"/>
          <w:sz w:val="22"/>
          <w:szCs w:val="22"/>
          <w:lang w:val="en-GB"/>
        </w:rPr>
        <w:t xml:space="preserve">s of the United Nations </w:t>
      </w:r>
      <w:r w:rsidR="00E73C75" w:rsidRPr="00D81B37">
        <w:rPr>
          <w:rStyle w:val="normaltextrun"/>
          <w:rFonts w:ascii="Open Sans" w:hAnsi="Open Sans" w:cs="Open Sans"/>
          <w:color w:val="212222"/>
          <w:sz w:val="22"/>
          <w:szCs w:val="22"/>
          <w:lang w:val="en-GB"/>
        </w:rPr>
        <w:t xml:space="preserve">High Commissioner for Human Rights (OHCHR) in relation to its upcoming </w:t>
      </w:r>
      <w:r w:rsidR="00D26B9D" w:rsidRPr="00D81B37">
        <w:rPr>
          <w:rStyle w:val="normaltextrun"/>
          <w:rFonts w:ascii="Open Sans" w:hAnsi="Open Sans" w:cs="Open Sans"/>
          <w:color w:val="212222"/>
          <w:sz w:val="22"/>
          <w:szCs w:val="22"/>
          <w:lang w:val="en-GB"/>
        </w:rPr>
        <w:t xml:space="preserve">policy brief on realising Universal Health Coverage (UHC). </w:t>
      </w:r>
    </w:p>
    <w:p w14:paraId="2C69A182" w14:textId="05419D4C" w:rsidR="005A25D0" w:rsidRPr="00D81B37" w:rsidRDefault="00D26B9D" w:rsidP="00063A48">
      <w:pPr>
        <w:pStyle w:val="paragraph"/>
        <w:snapToGrid w:val="0"/>
        <w:spacing w:before="120" w:beforeAutospacing="0" w:after="120" w:afterAutospacing="0" w:line="276" w:lineRule="auto"/>
        <w:jc w:val="both"/>
        <w:rPr>
          <w:rStyle w:val="normaltextrun"/>
          <w:rFonts w:ascii="Open Sans" w:hAnsi="Open Sans" w:cs="Open Sans"/>
          <w:color w:val="212222"/>
          <w:sz w:val="22"/>
          <w:szCs w:val="22"/>
          <w:lang w:val="en-GB"/>
        </w:rPr>
      </w:pPr>
      <w:r w:rsidRPr="00D81B37">
        <w:rPr>
          <w:rStyle w:val="normaltextrun"/>
          <w:rFonts w:ascii="Open Sans" w:hAnsi="Open Sans" w:cs="Open Sans"/>
          <w:color w:val="212222"/>
          <w:sz w:val="22"/>
          <w:szCs w:val="22"/>
          <w:lang w:val="en-GB"/>
        </w:rPr>
        <w:t xml:space="preserve">The submission </w:t>
      </w:r>
      <w:r w:rsidR="002C0F09" w:rsidRPr="00D81B37">
        <w:rPr>
          <w:rStyle w:val="normaltextrun"/>
          <w:rFonts w:ascii="Open Sans" w:hAnsi="Open Sans" w:cs="Open Sans"/>
          <w:color w:val="212222"/>
          <w:sz w:val="22"/>
          <w:szCs w:val="22"/>
          <w:lang w:val="en-GB"/>
        </w:rPr>
        <w:t xml:space="preserve">seeks to answer question 1 of the questionnaire. It </w:t>
      </w:r>
      <w:r w:rsidRPr="00D81B37">
        <w:rPr>
          <w:rStyle w:val="normaltextrun"/>
          <w:rFonts w:ascii="Open Sans" w:hAnsi="Open Sans" w:cs="Open Sans"/>
          <w:color w:val="212222"/>
          <w:sz w:val="22"/>
          <w:szCs w:val="22"/>
          <w:lang w:val="en-GB"/>
        </w:rPr>
        <w:t xml:space="preserve">focuses on </w:t>
      </w:r>
      <w:r w:rsidR="005A25D0" w:rsidRPr="00D81B37">
        <w:rPr>
          <w:rStyle w:val="normaltextrun"/>
          <w:rFonts w:ascii="Open Sans" w:hAnsi="Open Sans" w:cs="Open Sans"/>
          <w:color w:val="212222"/>
          <w:sz w:val="22"/>
          <w:szCs w:val="22"/>
          <w:lang w:val="en-GB"/>
        </w:rPr>
        <w:t>the centrality of public healthcare provision and financing for the realisation of UHC in line with the right to health, which includes the entitlement to access universal healthcare services under international human rights law. At the same time, it highlights the risks of shifting healthcare financing and provision from the public onto the private sphere</w:t>
      </w:r>
      <w:r w:rsidR="009418CF" w:rsidRPr="00D81B37">
        <w:rPr>
          <w:rStyle w:val="normaltextrun"/>
          <w:rFonts w:ascii="Open Sans" w:hAnsi="Open Sans" w:cs="Open Sans"/>
          <w:color w:val="212222"/>
          <w:sz w:val="22"/>
          <w:szCs w:val="22"/>
          <w:lang w:val="en-GB"/>
        </w:rPr>
        <w:t xml:space="preserve"> and </w:t>
      </w:r>
      <w:r w:rsidR="005A25D0" w:rsidRPr="00D81B37">
        <w:rPr>
          <w:rStyle w:val="normaltextrun"/>
          <w:rFonts w:ascii="Open Sans" w:hAnsi="Open Sans" w:cs="Open Sans"/>
          <w:color w:val="212222"/>
          <w:sz w:val="22"/>
          <w:szCs w:val="22"/>
          <w:lang w:val="en-GB"/>
        </w:rPr>
        <w:t xml:space="preserve">highlights the potential negative human rights implications of overreliance on the concept of </w:t>
      </w:r>
      <w:r w:rsidR="00C34392" w:rsidRPr="00D81B37">
        <w:rPr>
          <w:rStyle w:val="normaltextrun"/>
          <w:rFonts w:ascii="Open Sans" w:hAnsi="Open Sans" w:cs="Open Sans"/>
          <w:color w:val="212222"/>
          <w:sz w:val="22"/>
          <w:szCs w:val="22"/>
          <w:lang w:val="en-GB"/>
        </w:rPr>
        <w:t xml:space="preserve">UHC </w:t>
      </w:r>
      <w:r w:rsidR="005A25D0" w:rsidRPr="00D81B37">
        <w:rPr>
          <w:rStyle w:val="normaltextrun"/>
          <w:rFonts w:ascii="Open Sans" w:hAnsi="Open Sans" w:cs="Open Sans"/>
          <w:color w:val="212222"/>
          <w:sz w:val="22"/>
          <w:szCs w:val="22"/>
          <w:lang w:val="en-GB"/>
        </w:rPr>
        <w:t xml:space="preserve">for the realisation of the right to health. The submission warns that </w:t>
      </w:r>
      <w:r w:rsidR="00C34392" w:rsidRPr="00D81B37">
        <w:rPr>
          <w:rStyle w:val="normaltextrun"/>
          <w:rFonts w:ascii="Open Sans" w:hAnsi="Open Sans" w:cs="Open Sans"/>
          <w:color w:val="212222"/>
          <w:sz w:val="22"/>
          <w:szCs w:val="22"/>
          <w:lang w:val="en-GB"/>
        </w:rPr>
        <w:t>UHC</w:t>
      </w:r>
      <w:r w:rsidR="005A25D0" w:rsidRPr="00D81B37">
        <w:rPr>
          <w:rStyle w:val="normaltextrun"/>
          <w:rFonts w:ascii="Open Sans" w:hAnsi="Open Sans" w:cs="Open Sans"/>
          <w:color w:val="212222"/>
          <w:sz w:val="22"/>
          <w:szCs w:val="22"/>
          <w:lang w:val="en-GB"/>
        </w:rPr>
        <w:t xml:space="preserve"> should not become a substitute or a synonym for </w:t>
      </w:r>
      <w:r w:rsidR="00387CAB" w:rsidRPr="00D81B37">
        <w:rPr>
          <w:rStyle w:val="normaltextrun"/>
          <w:rFonts w:ascii="Open Sans" w:hAnsi="Open Sans" w:cs="Open Sans"/>
          <w:color w:val="212222"/>
          <w:sz w:val="22"/>
          <w:szCs w:val="22"/>
          <w:lang w:val="en-GB"/>
        </w:rPr>
        <w:t>realising</w:t>
      </w:r>
      <w:r w:rsidR="005A25D0" w:rsidRPr="00D81B37">
        <w:rPr>
          <w:rStyle w:val="normaltextrun"/>
          <w:rFonts w:ascii="Open Sans" w:hAnsi="Open Sans" w:cs="Open Sans"/>
          <w:color w:val="212222"/>
          <w:sz w:val="22"/>
          <w:szCs w:val="22"/>
          <w:lang w:val="en-GB"/>
        </w:rPr>
        <w:t xml:space="preserve"> the right to health in health policy and global health narratives. </w:t>
      </w:r>
      <w:r w:rsidR="0BEE51DD" w:rsidRPr="00D81B37">
        <w:rPr>
          <w:rStyle w:val="normaltextrun"/>
          <w:rFonts w:ascii="Open Sans" w:hAnsi="Open Sans" w:cs="Open Sans"/>
          <w:color w:val="212222"/>
          <w:sz w:val="22"/>
          <w:szCs w:val="22"/>
          <w:lang w:val="en-GB"/>
        </w:rPr>
        <w:t>In this regard,</w:t>
      </w:r>
      <w:r w:rsidR="00C34392" w:rsidRPr="00D81B37">
        <w:rPr>
          <w:rStyle w:val="normaltextrun"/>
          <w:rFonts w:ascii="Open Sans" w:hAnsi="Open Sans" w:cs="Open Sans"/>
          <w:color w:val="212222"/>
          <w:sz w:val="22"/>
          <w:szCs w:val="22"/>
          <w:lang w:val="en-GB"/>
        </w:rPr>
        <w:t xml:space="preserve"> </w:t>
      </w:r>
      <w:r w:rsidR="00387CAB" w:rsidRPr="00D81B37">
        <w:rPr>
          <w:rStyle w:val="normaltextrun"/>
          <w:rFonts w:ascii="Open Sans" w:hAnsi="Open Sans" w:cs="Open Sans"/>
          <w:color w:val="212222"/>
          <w:sz w:val="22"/>
          <w:szCs w:val="22"/>
          <w:lang w:val="en-GB"/>
        </w:rPr>
        <w:t xml:space="preserve">it </w:t>
      </w:r>
      <w:r w:rsidR="00C34392" w:rsidRPr="00D81B37">
        <w:rPr>
          <w:rStyle w:val="normaltextrun"/>
          <w:rFonts w:ascii="Open Sans" w:hAnsi="Open Sans" w:cs="Open Sans"/>
          <w:color w:val="212222"/>
          <w:sz w:val="22"/>
          <w:szCs w:val="22"/>
          <w:lang w:val="en-GB"/>
        </w:rPr>
        <w:t>emphasises</w:t>
      </w:r>
      <w:r w:rsidR="0BEE51DD" w:rsidRPr="00D81B37">
        <w:rPr>
          <w:rStyle w:val="normaltextrun"/>
          <w:rFonts w:ascii="Open Sans" w:hAnsi="Open Sans" w:cs="Open Sans"/>
          <w:color w:val="212222"/>
          <w:sz w:val="22"/>
          <w:szCs w:val="22"/>
          <w:lang w:val="en-GB"/>
        </w:rPr>
        <w:t xml:space="preserve"> </w:t>
      </w:r>
      <w:r w:rsidR="00C34392" w:rsidRPr="00D81B37">
        <w:rPr>
          <w:rStyle w:val="normaltextrun"/>
          <w:rFonts w:ascii="Open Sans" w:hAnsi="Open Sans" w:cs="Open Sans"/>
          <w:color w:val="212222"/>
          <w:sz w:val="22"/>
          <w:szCs w:val="22"/>
          <w:lang w:val="en-GB"/>
        </w:rPr>
        <w:t xml:space="preserve">that </w:t>
      </w:r>
      <w:r w:rsidR="0BEE51DD" w:rsidRPr="00D81B37">
        <w:rPr>
          <w:rStyle w:val="normaltextrun"/>
          <w:rFonts w:ascii="Open Sans" w:hAnsi="Open Sans" w:cs="Open Sans"/>
          <w:color w:val="212222"/>
          <w:sz w:val="22"/>
          <w:szCs w:val="22"/>
          <w:lang w:val="en-GB"/>
        </w:rPr>
        <w:t>t</w:t>
      </w:r>
      <w:r w:rsidR="005A25D0" w:rsidRPr="00D81B37">
        <w:rPr>
          <w:rStyle w:val="normaltextrun"/>
          <w:rFonts w:ascii="Open Sans" w:hAnsi="Open Sans" w:cs="Open Sans"/>
          <w:color w:val="212222"/>
          <w:sz w:val="22"/>
          <w:szCs w:val="22"/>
          <w:lang w:val="en-GB"/>
        </w:rPr>
        <w:t xml:space="preserve">he right to health translates into a specific set of binding legal obligations for states that is not reflected in the UHC framework. </w:t>
      </w:r>
    </w:p>
    <w:p w14:paraId="42AA69BC" w14:textId="1DCCA4C6" w:rsidR="005A25D0" w:rsidRPr="00D81B37" w:rsidRDefault="005A25D0" w:rsidP="00063A48">
      <w:pPr>
        <w:numPr>
          <w:ilvl w:val="0"/>
          <w:numId w:val="2"/>
        </w:numPr>
        <w:snapToGrid w:val="0"/>
        <w:spacing w:before="120" w:after="120" w:line="276" w:lineRule="auto"/>
        <w:jc w:val="both"/>
        <w:rPr>
          <w:rStyle w:val="markedcontent"/>
          <w:rFonts w:ascii="Open Sans" w:eastAsia="Times New Roman" w:hAnsi="Open Sans" w:cs="Open Sans"/>
          <w:b/>
          <w:bCs/>
          <w:kern w:val="0"/>
          <w:lang w:eastAsia="it-IT"/>
          <w14:ligatures w14:val="none"/>
        </w:rPr>
      </w:pPr>
      <w:r w:rsidRPr="00D81B37">
        <w:rPr>
          <w:rFonts w:ascii="Open Sans" w:eastAsia="Times New Roman" w:hAnsi="Open Sans" w:cs="Open Sans"/>
          <w:b/>
          <w:bCs/>
          <w:kern w:val="0"/>
          <w:lang w:eastAsia="it-IT"/>
          <w14:ligatures w14:val="none"/>
        </w:rPr>
        <w:t>UHC policies and programs that explicitly prioritize health care access and financial protection for populations that are most left behind.</w:t>
      </w:r>
    </w:p>
    <w:p w14:paraId="21DB68C4" w14:textId="77777777" w:rsidR="00D81B37" w:rsidRDefault="008A4906" w:rsidP="00063A48">
      <w:pPr>
        <w:pStyle w:val="paragraph"/>
        <w:shd w:val="clear" w:color="auto" w:fill="FFFFFF" w:themeFill="background1"/>
        <w:snapToGrid w:val="0"/>
        <w:spacing w:before="120" w:beforeAutospacing="0" w:after="120" w:afterAutospacing="0" w:line="276" w:lineRule="auto"/>
        <w:jc w:val="both"/>
        <w:textAlignment w:val="baseline"/>
        <w:rPr>
          <w:rStyle w:val="markedcontent"/>
          <w:rFonts w:ascii="Open Sans" w:hAnsi="Open Sans" w:cs="Open Sans"/>
          <w:sz w:val="22"/>
          <w:szCs w:val="22"/>
          <w:lang w:val="en-GB"/>
        </w:rPr>
      </w:pPr>
      <w:r w:rsidRPr="00D81B37">
        <w:rPr>
          <w:rStyle w:val="markedcontent"/>
          <w:rFonts w:ascii="Open Sans" w:hAnsi="Open Sans" w:cs="Open Sans"/>
          <w:sz w:val="22"/>
          <w:szCs w:val="22"/>
          <w:lang w:val="en-GB"/>
        </w:rPr>
        <w:t xml:space="preserve">Public healthcare services are </w:t>
      </w:r>
      <w:r w:rsidR="00210F5E" w:rsidRPr="00D81B37">
        <w:rPr>
          <w:rStyle w:val="markedcontent"/>
          <w:rFonts w:ascii="Open Sans" w:hAnsi="Open Sans" w:cs="Open Sans"/>
          <w:sz w:val="22"/>
          <w:szCs w:val="22"/>
          <w:lang w:val="en-GB"/>
        </w:rPr>
        <w:t xml:space="preserve">essential to realise </w:t>
      </w:r>
      <w:r w:rsidRPr="00D81B37">
        <w:rPr>
          <w:rStyle w:val="markedcontent"/>
          <w:rFonts w:ascii="Open Sans" w:hAnsi="Open Sans" w:cs="Open Sans"/>
          <w:sz w:val="22"/>
          <w:szCs w:val="22"/>
          <w:lang w:val="en-GB"/>
        </w:rPr>
        <w:t xml:space="preserve">the right to health. In line with Article 12 of the International Covenant on Economic, Social and Cultural Rights (ICESCR) everyone has </w:t>
      </w:r>
      <w:r w:rsidR="00C34392" w:rsidRPr="00D81B37">
        <w:rPr>
          <w:rStyle w:val="markedcontent"/>
          <w:rFonts w:ascii="Open Sans" w:hAnsi="Open Sans" w:cs="Open Sans"/>
          <w:sz w:val="22"/>
          <w:szCs w:val="22"/>
          <w:lang w:val="en-GB"/>
        </w:rPr>
        <w:t xml:space="preserve">the </w:t>
      </w:r>
      <w:r w:rsidRPr="00D81B37">
        <w:rPr>
          <w:rStyle w:val="markedcontent"/>
          <w:rFonts w:ascii="Open Sans" w:hAnsi="Open Sans" w:cs="Open Sans"/>
          <w:sz w:val="22"/>
          <w:szCs w:val="22"/>
          <w:lang w:val="en-GB"/>
        </w:rPr>
        <w:t>right to public healthcare services that are available, accessible, acceptable</w:t>
      </w:r>
      <w:r w:rsidR="00503351" w:rsidRPr="00D81B37">
        <w:rPr>
          <w:rStyle w:val="markedcontent"/>
          <w:rFonts w:ascii="Open Sans" w:hAnsi="Open Sans" w:cs="Open Sans"/>
          <w:sz w:val="22"/>
          <w:szCs w:val="22"/>
          <w:lang w:val="en-GB"/>
        </w:rPr>
        <w:t>,</w:t>
      </w:r>
      <w:r w:rsidRPr="00D81B37">
        <w:rPr>
          <w:rStyle w:val="markedcontent"/>
          <w:rFonts w:ascii="Open Sans" w:hAnsi="Open Sans" w:cs="Open Sans"/>
          <w:sz w:val="22"/>
          <w:szCs w:val="22"/>
          <w:lang w:val="en-GB"/>
        </w:rPr>
        <w:t xml:space="preserve"> high-quality, </w:t>
      </w:r>
      <w:r w:rsidR="6DDF9C51" w:rsidRPr="00D81B37">
        <w:rPr>
          <w:rStyle w:val="markedcontent"/>
          <w:rFonts w:ascii="Open Sans" w:hAnsi="Open Sans" w:cs="Open Sans"/>
          <w:sz w:val="22"/>
          <w:szCs w:val="22"/>
          <w:lang w:val="en-GB"/>
        </w:rPr>
        <w:t xml:space="preserve">and </w:t>
      </w:r>
      <w:r w:rsidR="75D4FB9C" w:rsidRPr="00D81B37">
        <w:rPr>
          <w:rStyle w:val="markedcontent"/>
          <w:rFonts w:ascii="Open Sans" w:hAnsi="Open Sans" w:cs="Open Sans"/>
          <w:sz w:val="22"/>
          <w:szCs w:val="22"/>
          <w:lang w:val="en-GB"/>
        </w:rPr>
        <w:t>non-discriminatory</w:t>
      </w:r>
      <w:r w:rsidRPr="00D81B37">
        <w:rPr>
          <w:rStyle w:val="markedcontent"/>
          <w:rFonts w:ascii="Open Sans" w:hAnsi="Open Sans" w:cs="Open Sans"/>
          <w:sz w:val="22"/>
          <w:szCs w:val="22"/>
          <w:lang w:val="en-GB"/>
        </w:rPr>
        <w:t>.</w:t>
      </w:r>
      <w:r w:rsidRPr="00D81B37">
        <w:rPr>
          <w:rStyle w:val="FootnoteReference"/>
          <w:rFonts w:ascii="Open Sans" w:hAnsi="Open Sans" w:cs="Open Sans"/>
          <w:sz w:val="22"/>
          <w:szCs w:val="22"/>
          <w:lang w:val="en-GB"/>
        </w:rPr>
        <w:footnoteReference w:id="1"/>
      </w:r>
      <w:r w:rsidR="004E3039" w:rsidRPr="00D81B37">
        <w:rPr>
          <w:rStyle w:val="markedcontent"/>
          <w:rFonts w:ascii="Open Sans" w:hAnsi="Open Sans" w:cs="Open Sans"/>
          <w:sz w:val="22"/>
          <w:szCs w:val="22"/>
          <w:lang w:val="en-GB"/>
        </w:rPr>
        <w:t xml:space="preserve"> </w:t>
      </w:r>
    </w:p>
    <w:p w14:paraId="2242B337" w14:textId="644FD28A" w:rsidR="00534C75" w:rsidRPr="00D81B37" w:rsidRDefault="004E3039" w:rsidP="00063A48">
      <w:pPr>
        <w:pStyle w:val="paragraph"/>
        <w:shd w:val="clear" w:color="auto" w:fill="FFFFFF" w:themeFill="background1"/>
        <w:snapToGrid w:val="0"/>
        <w:spacing w:before="120" w:beforeAutospacing="0" w:after="120" w:afterAutospacing="0" w:line="276" w:lineRule="auto"/>
        <w:jc w:val="both"/>
        <w:textAlignment w:val="baseline"/>
        <w:rPr>
          <w:rStyle w:val="markedcontent"/>
          <w:rFonts w:ascii="Open Sans" w:hAnsi="Open Sans" w:cs="Open Sans"/>
          <w:sz w:val="22"/>
          <w:szCs w:val="22"/>
          <w:lang w:val="en-GB"/>
        </w:rPr>
      </w:pPr>
      <w:r w:rsidRPr="00D81B37">
        <w:rPr>
          <w:rStyle w:val="markedcontent"/>
          <w:rFonts w:ascii="Open Sans" w:hAnsi="Open Sans" w:cs="Open Sans"/>
          <w:sz w:val="22"/>
          <w:szCs w:val="22"/>
          <w:lang w:val="en-GB"/>
        </w:rPr>
        <w:t xml:space="preserve">The United </w:t>
      </w:r>
      <w:r w:rsidR="008A4906" w:rsidRPr="00D81B37">
        <w:rPr>
          <w:rStyle w:val="markedcontent"/>
          <w:rFonts w:ascii="Open Sans" w:hAnsi="Open Sans" w:cs="Open Sans"/>
          <w:sz w:val="22"/>
          <w:szCs w:val="22"/>
          <w:lang w:val="en-GB"/>
        </w:rPr>
        <w:t xml:space="preserve">Nations Committee on Economic, Social and Cultural Rights </w:t>
      </w:r>
      <w:r w:rsidR="00C34392" w:rsidRPr="00D81B37">
        <w:rPr>
          <w:rStyle w:val="markedcontent"/>
          <w:rFonts w:ascii="Open Sans" w:hAnsi="Open Sans" w:cs="Open Sans"/>
          <w:sz w:val="22"/>
          <w:szCs w:val="22"/>
          <w:lang w:val="en-GB"/>
        </w:rPr>
        <w:t xml:space="preserve">(CESCR) </w:t>
      </w:r>
      <w:r w:rsidR="008A4906" w:rsidRPr="00D81B37">
        <w:rPr>
          <w:rStyle w:val="markedcontent"/>
          <w:rFonts w:ascii="Open Sans" w:hAnsi="Open Sans" w:cs="Open Sans"/>
          <w:sz w:val="22"/>
          <w:szCs w:val="22"/>
          <w:lang w:val="en-GB"/>
        </w:rPr>
        <w:t xml:space="preserve">and the Committee on the Rights of the Child </w:t>
      </w:r>
      <w:r w:rsidR="00C34392" w:rsidRPr="00D81B37">
        <w:rPr>
          <w:rStyle w:val="markedcontent"/>
          <w:rFonts w:ascii="Open Sans" w:hAnsi="Open Sans" w:cs="Open Sans"/>
          <w:sz w:val="22"/>
          <w:szCs w:val="22"/>
          <w:lang w:val="en-GB"/>
        </w:rPr>
        <w:t xml:space="preserve">(CRC) </w:t>
      </w:r>
      <w:r w:rsidR="008A4906" w:rsidRPr="00D81B37">
        <w:rPr>
          <w:rStyle w:val="markedcontent"/>
          <w:rFonts w:ascii="Open Sans" w:hAnsi="Open Sans" w:cs="Open Sans"/>
          <w:sz w:val="22"/>
          <w:szCs w:val="22"/>
          <w:lang w:val="en-GB"/>
        </w:rPr>
        <w:t>have both called on specific States to provide public services and public healthcare.</w:t>
      </w:r>
      <w:r w:rsidR="00210F5E" w:rsidRPr="00D81B37">
        <w:rPr>
          <w:rStyle w:val="FootnoteReference"/>
          <w:rFonts w:ascii="Open Sans" w:hAnsi="Open Sans" w:cs="Open Sans"/>
          <w:sz w:val="22"/>
          <w:szCs w:val="22"/>
          <w:lang w:val="en-GB"/>
        </w:rPr>
        <w:footnoteReference w:id="2"/>
      </w:r>
      <w:r w:rsidR="008A4906" w:rsidRPr="00D81B37">
        <w:rPr>
          <w:rStyle w:val="markedcontent"/>
          <w:rFonts w:ascii="Open Sans" w:hAnsi="Open Sans" w:cs="Open Sans"/>
          <w:sz w:val="22"/>
          <w:szCs w:val="22"/>
          <w:lang w:val="en-GB"/>
        </w:rPr>
        <w:t xml:space="preserve"> </w:t>
      </w:r>
      <w:r w:rsidR="00A778CC" w:rsidRPr="00D81B37">
        <w:rPr>
          <w:rStyle w:val="markedcontent"/>
          <w:rFonts w:ascii="Open Sans" w:hAnsi="Open Sans" w:cs="Open Sans"/>
          <w:sz w:val="22"/>
          <w:szCs w:val="22"/>
          <w:lang w:val="en-GB"/>
        </w:rPr>
        <w:t xml:space="preserve">Looking at the </w:t>
      </w:r>
      <w:r w:rsidR="00796036" w:rsidRPr="00D81B37">
        <w:rPr>
          <w:rStyle w:val="markedcontent"/>
          <w:rFonts w:ascii="Open Sans" w:hAnsi="Open Sans" w:cs="Open Sans"/>
          <w:sz w:val="22"/>
          <w:szCs w:val="22"/>
          <w:lang w:val="en-GB"/>
        </w:rPr>
        <w:t>African context, in 2019, the African Commission on Human and Peoples’ Rights, affirmed the role of African States in being ‘the duty bearers for the protection and</w:t>
      </w:r>
      <w:r w:rsidR="0E5BEB1E" w:rsidRPr="00D81B37">
        <w:rPr>
          <w:rStyle w:val="markedcontent"/>
          <w:rFonts w:ascii="Open Sans" w:hAnsi="Open Sans" w:cs="Open Sans"/>
          <w:sz w:val="22"/>
          <w:szCs w:val="22"/>
          <w:lang w:val="en-GB"/>
        </w:rPr>
        <w:t xml:space="preserve"> </w:t>
      </w:r>
      <w:r w:rsidR="00796036" w:rsidRPr="00D81B37">
        <w:rPr>
          <w:rStyle w:val="markedcontent"/>
          <w:rFonts w:ascii="Open Sans" w:hAnsi="Open Sans" w:cs="Open Sans"/>
          <w:sz w:val="22"/>
          <w:szCs w:val="22"/>
          <w:lang w:val="en-GB"/>
        </w:rPr>
        <w:t xml:space="preserve">fulfilment of economic, social and cultural rights, in </w:t>
      </w:r>
      <w:r w:rsidR="00796036" w:rsidRPr="00D81B37">
        <w:rPr>
          <w:rStyle w:val="markedcontent"/>
          <w:rFonts w:ascii="Open Sans" w:hAnsi="Open Sans" w:cs="Open Sans"/>
          <w:sz w:val="22"/>
          <w:szCs w:val="22"/>
          <w:lang w:val="en-GB"/>
        </w:rPr>
        <w:lastRenderedPageBreak/>
        <w:t>particular the rights to health and</w:t>
      </w:r>
      <w:r w:rsidR="00D81B37">
        <w:rPr>
          <w:rFonts w:ascii="Open Sans" w:hAnsi="Open Sans" w:cs="Open Sans"/>
          <w:sz w:val="22"/>
          <w:szCs w:val="22"/>
          <w:lang w:val="en-GB"/>
        </w:rPr>
        <w:t xml:space="preserve"> </w:t>
      </w:r>
      <w:r w:rsidR="00796036" w:rsidRPr="00D81B37">
        <w:rPr>
          <w:rStyle w:val="markedcontent"/>
          <w:rFonts w:ascii="Open Sans" w:hAnsi="Open Sans" w:cs="Open Sans"/>
          <w:sz w:val="22"/>
          <w:szCs w:val="22"/>
          <w:lang w:val="en-GB"/>
        </w:rPr>
        <w:t xml:space="preserve">education without discrimination, for which quality </w:t>
      </w:r>
      <w:r w:rsidR="00796036" w:rsidRPr="00D81B37">
        <w:rPr>
          <w:rStyle w:val="highlight"/>
          <w:rFonts w:ascii="Open Sans" w:hAnsi="Open Sans" w:cs="Open Sans"/>
          <w:sz w:val="22"/>
          <w:szCs w:val="22"/>
          <w:lang w:val="en-GB"/>
        </w:rPr>
        <w:t>public services</w:t>
      </w:r>
      <w:r w:rsidR="00796036" w:rsidRPr="00D81B37">
        <w:rPr>
          <w:rStyle w:val="markedcontent"/>
          <w:rFonts w:ascii="Open Sans" w:hAnsi="Open Sans" w:cs="Open Sans"/>
          <w:sz w:val="22"/>
          <w:szCs w:val="22"/>
          <w:lang w:val="en-GB"/>
        </w:rPr>
        <w:t xml:space="preserve"> are essential’.</w:t>
      </w:r>
      <w:r w:rsidR="00796036" w:rsidRPr="00D81B37">
        <w:rPr>
          <w:rStyle w:val="FootnoteReference"/>
          <w:rFonts w:ascii="Open Sans" w:hAnsi="Open Sans" w:cs="Open Sans"/>
          <w:sz w:val="22"/>
          <w:szCs w:val="22"/>
          <w:lang w:val="en-GB"/>
        </w:rPr>
        <w:footnoteReference w:id="3"/>
      </w:r>
      <w:r w:rsidR="00796036" w:rsidRPr="00D81B37">
        <w:rPr>
          <w:rStyle w:val="markedcontent"/>
          <w:rFonts w:ascii="Open Sans" w:hAnsi="Open Sans" w:cs="Open Sans"/>
          <w:sz w:val="22"/>
          <w:szCs w:val="22"/>
          <w:lang w:val="en-GB"/>
        </w:rPr>
        <w:t xml:space="preserve"> </w:t>
      </w:r>
    </w:p>
    <w:p w14:paraId="3AA19BFC" w14:textId="4F92A5B7" w:rsidR="00387CAB" w:rsidRPr="00D81B37" w:rsidRDefault="00B9300F" w:rsidP="00063A48">
      <w:pPr>
        <w:pStyle w:val="paragraph"/>
        <w:shd w:val="clear" w:color="auto" w:fill="FFFFFF" w:themeFill="background1"/>
        <w:snapToGrid w:val="0"/>
        <w:spacing w:before="120" w:beforeAutospacing="0" w:after="120" w:afterAutospacing="0" w:line="276" w:lineRule="auto"/>
        <w:jc w:val="both"/>
        <w:textAlignment w:val="baseline"/>
        <w:rPr>
          <w:rStyle w:val="markedcontent"/>
          <w:rFonts w:ascii="Open Sans" w:hAnsi="Open Sans" w:cs="Open Sans"/>
          <w:sz w:val="22"/>
          <w:szCs w:val="22"/>
          <w:lang w:val="en-GB"/>
        </w:rPr>
      </w:pPr>
      <w:r w:rsidRPr="00D81B37">
        <w:rPr>
          <w:rStyle w:val="markedcontent"/>
          <w:rFonts w:ascii="Open Sans" w:hAnsi="Open Sans" w:cs="Open Sans"/>
          <w:sz w:val="22"/>
          <w:szCs w:val="22"/>
          <w:lang w:val="en-GB"/>
        </w:rPr>
        <w:t>Thus, UHC programs and policies that prioritise the right to health must include public healthcare services at their core</w:t>
      </w:r>
      <w:r w:rsidR="00176977" w:rsidRPr="00D81B37">
        <w:rPr>
          <w:rStyle w:val="markedcontent"/>
          <w:rFonts w:ascii="Open Sans" w:hAnsi="Open Sans" w:cs="Open Sans"/>
          <w:sz w:val="22"/>
          <w:szCs w:val="22"/>
          <w:lang w:val="en-GB"/>
        </w:rPr>
        <w:t>.</w:t>
      </w:r>
      <w:r w:rsidR="00176977" w:rsidRPr="00D81B37">
        <w:rPr>
          <w:rStyle w:val="FootnoteReference"/>
          <w:rFonts w:ascii="Open Sans" w:hAnsi="Open Sans" w:cs="Open Sans"/>
          <w:sz w:val="22"/>
          <w:szCs w:val="22"/>
          <w:lang w:val="en-GB"/>
        </w:rPr>
        <w:footnoteReference w:id="4"/>
      </w:r>
      <w:r w:rsidRPr="00D81B37">
        <w:rPr>
          <w:rStyle w:val="markedcontent"/>
          <w:rFonts w:ascii="Open Sans" w:hAnsi="Open Sans" w:cs="Open Sans"/>
          <w:sz w:val="22"/>
          <w:szCs w:val="22"/>
          <w:lang w:val="en-GB"/>
        </w:rPr>
        <w:t xml:space="preserve"> </w:t>
      </w:r>
      <w:r w:rsidR="000D560B" w:rsidRPr="00D81B37">
        <w:rPr>
          <w:rStyle w:val="markedcontent"/>
          <w:rFonts w:ascii="Open Sans" w:hAnsi="Open Sans" w:cs="Open Sans"/>
          <w:sz w:val="22"/>
          <w:szCs w:val="22"/>
          <w:lang w:val="en-GB"/>
        </w:rPr>
        <w:t>Moreover, w</w:t>
      </w:r>
      <w:r w:rsidRPr="00D81B37">
        <w:rPr>
          <w:rStyle w:val="markedcontent"/>
          <w:rFonts w:ascii="Open Sans" w:hAnsi="Open Sans" w:cs="Open Sans"/>
          <w:sz w:val="22"/>
          <w:szCs w:val="22"/>
          <w:lang w:val="en-GB"/>
        </w:rPr>
        <w:t>hile UHC has been termed as a ‘practical expression of the right to health’</w:t>
      </w:r>
      <w:r w:rsidR="00176977" w:rsidRPr="00D81B37">
        <w:rPr>
          <w:rStyle w:val="markedcontent"/>
          <w:rFonts w:ascii="Open Sans" w:hAnsi="Open Sans" w:cs="Open Sans"/>
          <w:sz w:val="22"/>
          <w:szCs w:val="22"/>
          <w:lang w:val="en-GB"/>
        </w:rPr>
        <w:t>,</w:t>
      </w:r>
      <w:r w:rsidRPr="00D81B37">
        <w:rPr>
          <w:rStyle w:val="FootnoteReference"/>
          <w:rFonts w:ascii="Open Sans" w:hAnsi="Open Sans" w:cs="Open Sans"/>
          <w:sz w:val="22"/>
          <w:szCs w:val="22"/>
          <w:lang w:val="en-GB"/>
        </w:rPr>
        <w:footnoteReference w:id="5"/>
      </w:r>
      <w:r w:rsidR="00176977" w:rsidRPr="00D81B37">
        <w:rPr>
          <w:rStyle w:val="markedcontent"/>
          <w:rFonts w:ascii="Open Sans" w:hAnsi="Open Sans" w:cs="Open Sans"/>
          <w:sz w:val="22"/>
          <w:szCs w:val="22"/>
          <w:lang w:val="en-GB"/>
        </w:rPr>
        <w:t xml:space="preserve"> we advise </w:t>
      </w:r>
      <w:r w:rsidR="00D81B37">
        <w:rPr>
          <w:rStyle w:val="markedcontent"/>
          <w:rFonts w:ascii="Open Sans" w:hAnsi="Open Sans" w:cs="Open Sans"/>
          <w:sz w:val="22"/>
          <w:szCs w:val="22"/>
          <w:lang w:val="en-GB"/>
        </w:rPr>
        <w:t>being</w:t>
      </w:r>
      <w:r w:rsidR="00176977" w:rsidRPr="00D81B37">
        <w:rPr>
          <w:rStyle w:val="markedcontent"/>
          <w:rFonts w:ascii="Open Sans" w:hAnsi="Open Sans" w:cs="Open Sans"/>
          <w:sz w:val="22"/>
          <w:szCs w:val="22"/>
          <w:lang w:val="en-GB"/>
        </w:rPr>
        <w:t xml:space="preserve"> extremely careful with this overlap.</w:t>
      </w:r>
      <w:r w:rsidR="00176977" w:rsidRPr="00D81B37">
        <w:rPr>
          <w:rStyle w:val="FootnoteReference"/>
          <w:rFonts w:ascii="Open Sans" w:hAnsi="Open Sans" w:cs="Open Sans"/>
          <w:sz w:val="22"/>
          <w:szCs w:val="22"/>
          <w:lang w:val="en-GB"/>
        </w:rPr>
        <w:footnoteReference w:id="6"/>
      </w:r>
      <w:r w:rsidR="00176977" w:rsidRPr="00D81B37">
        <w:rPr>
          <w:rStyle w:val="markedcontent"/>
          <w:rFonts w:ascii="Open Sans" w:hAnsi="Open Sans" w:cs="Open Sans"/>
          <w:sz w:val="22"/>
          <w:szCs w:val="22"/>
          <w:lang w:val="en-GB"/>
        </w:rPr>
        <w:t xml:space="preserve"> </w:t>
      </w:r>
      <w:r w:rsidR="00B42F4E" w:rsidRPr="00D81B37">
        <w:rPr>
          <w:rStyle w:val="markedcontent"/>
          <w:rFonts w:ascii="Open Sans" w:hAnsi="Open Sans" w:cs="Open Sans"/>
          <w:sz w:val="22"/>
          <w:szCs w:val="22"/>
          <w:lang w:val="en-GB"/>
        </w:rPr>
        <w:t xml:space="preserve">Not only the right to health </w:t>
      </w:r>
      <w:r w:rsidR="006874A4" w:rsidRPr="00D81B37">
        <w:rPr>
          <w:rStyle w:val="markedcontent"/>
          <w:rFonts w:ascii="Open Sans" w:hAnsi="Open Sans" w:cs="Open Sans"/>
          <w:sz w:val="22"/>
          <w:szCs w:val="22"/>
          <w:lang w:val="en-GB"/>
        </w:rPr>
        <w:t>is much broader than UHC, encompassing the underlying determinants of health</w:t>
      </w:r>
      <w:r w:rsidR="000D560B" w:rsidRPr="00D81B37">
        <w:rPr>
          <w:rStyle w:val="markedcontent"/>
          <w:rFonts w:ascii="Open Sans" w:hAnsi="Open Sans" w:cs="Open Sans"/>
          <w:sz w:val="22"/>
          <w:szCs w:val="22"/>
          <w:lang w:val="en-GB"/>
        </w:rPr>
        <w:t xml:space="preserve">. </w:t>
      </w:r>
      <w:proofErr w:type="spellStart"/>
      <w:r w:rsidR="000D560B" w:rsidRPr="00D81B37">
        <w:rPr>
          <w:rStyle w:val="markedcontent"/>
          <w:rFonts w:ascii="Open Sans" w:hAnsi="Open Sans" w:cs="Open Sans"/>
          <w:sz w:val="22"/>
          <w:szCs w:val="22"/>
          <w:lang w:val="en-GB"/>
        </w:rPr>
        <w:t>Dainius</w:t>
      </w:r>
      <w:proofErr w:type="spellEnd"/>
      <w:r w:rsidR="000D560B" w:rsidRPr="00D81B37">
        <w:rPr>
          <w:rStyle w:val="markedcontent"/>
          <w:rFonts w:ascii="Open Sans" w:hAnsi="Open Sans" w:cs="Open Sans"/>
          <w:sz w:val="22"/>
          <w:szCs w:val="22"/>
          <w:lang w:val="en-GB"/>
        </w:rPr>
        <w:t xml:space="preserve"> </w:t>
      </w:r>
      <w:proofErr w:type="spellStart"/>
      <w:r w:rsidR="000D560B" w:rsidRPr="00D81B37">
        <w:rPr>
          <w:rStyle w:val="markedcontent"/>
          <w:rFonts w:ascii="Open Sans" w:hAnsi="Open Sans" w:cs="Open Sans"/>
          <w:sz w:val="22"/>
          <w:szCs w:val="22"/>
          <w:lang w:val="en-GB"/>
        </w:rPr>
        <w:t>Puras</w:t>
      </w:r>
      <w:proofErr w:type="spellEnd"/>
      <w:r w:rsidR="000D560B" w:rsidRPr="00D81B37">
        <w:rPr>
          <w:rStyle w:val="markedcontent"/>
          <w:rFonts w:ascii="Open Sans" w:hAnsi="Open Sans" w:cs="Open Sans"/>
          <w:sz w:val="22"/>
          <w:szCs w:val="22"/>
          <w:lang w:val="en-GB"/>
        </w:rPr>
        <w:t xml:space="preserve">, </w:t>
      </w:r>
      <w:r w:rsidR="00D81B37">
        <w:rPr>
          <w:rStyle w:val="markedcontent"/>
          <w:rFonts w:ascii="Open Sans" w:hAnsi="Open Sans" w:cs="Open Sans"/>
          <w:sz w:val="22"/>
          <w:szCs w:val="22"/>
          <w:lang w:val="en-GB"/>
        </w:rPr>
        <w:t xml:space="preserve">the </w:t>
      </w:r>
      <w:r w:rsidR="000D560B" w:rsidRPr="00D81B37">
        <w:rPr>
          <w:rStyle w:val="markedcontent"/>
          <w:rFonts w:ascii="Open Sans" w:hAnsi="Open Sans" w:cs="Open Sans"/>
          <w:sz w:val="22"/>
          <w:szCs w:val="22"/>
          <w:lang w:val="en-GB"/>
        </w:rPr>
        <w:t xml:space="preserve">former special rapporteur on the right to health, has highlighted that healthcare systems and UHC programs </w:t>
      </w:r>
      <w:r w:rsidR="00387CAB" w:rsidRPr="00D81B37">
        <w:rPr>
          <w:rStyle w:val="markedcontent"/>
          <w:rFonts w:ascii="Open Sans" w:hAnsi="Open Sans" w:cs="Open Sans"/>
          <w:sz w:val="22"/>
          <w:szCs w:val="22"/>
          <w:lang w:val="en-GB"/>
        </w:rPr>
        <w:t>must always</w:t>
      </w:r>
      <w:r w:rsidR="000D560B" w:rsidRPr="00D81B37">
        <w:rPr>
          <w:rStyle w:val="markedcontent"/>
          <w:rFonts w:ascii="Open Sans" w:hAnsi="Open Sans" w:cs="Open Sans"/>
          <w:sz w:val="22"/>
          <w:szCs w:val="22"/>
          <w:lang w:val="en-GB"/>
        </w:rPr>
        <w:t xml:space="preserve"> incorporate the human rights principles of equality and non-discrimination, transparency, </w:t>
      </w:r>
      <w:r w:rsidR="00D81B37" w:rsidRPr="00D81B37">
        <w:rPr>
          <w:rStyle w:val="markedcontent"/>
          <w:rFonts w:ascii="Open Sans" w:hAnsi="Open Sans" w:cs="Open Sans"/>
          <w:sz w:val="22"/>
          <w:szCs w:val="22"/>
          <w:lang w:val="en-GB"/>
        </w:rPr>
        <w:t>accountability,</w:t>
      </w:r>
      <w:r w:rsidR="000D560B" w:rsidRPr="00D81B37">
        <w:rPr>
          <w:rStyle w:val="markedcontent"/>
          <w:rFonts w:ascii="Open Sans" w:hAnsi="Open Sans" w:cs="Open Sans"/>
          <w:sz w:val="22"/>
          <w:szCs w:val="22"/>
          <w:lang w:val="en-GB"/>
        </w:rPr>
        <w:t xml:space="preserve"> and participation</w:t>
      </w:r>
      <w:r w:rsidR="000D560B" w:rsidRPr="00D81B37">
        <w:rPr>
          <w:rStyle w:val="FootnoteReference"/>
          <w:rFonts w:ascii="Open Sans" w:hAnsi="Open Sans" w:cs="Open Sans"/>
          <w:sz w:val="22"/>
          <w:szCs w:val="22"/>
          <w:lang w:val="en-GB"/>
        </w:rPr>
        <w:footnoteReference w:id="7"/>
      </w:r>
      <w:r w:rsidR="00387CAB" w:rsidRPr="00D81B37">
        <w:rPr>
          <w:rStyle w:val="markedcontent"/>
          <w:rFonts w:ascii="Open Sans" w:hAnsi="Open Sans" w:cs="Open Sans"/>
          <w:sz w:val="22"/>
          <w:szCs w:val="22"/>
          <w:lang w:val="en-GB"/>
        </w:rPr>
        <w:t>,</w:t>
      </w:r>
      <w:r w:rsidR="006874A4" w:rsidRPr="00D81B37">
        <w:rPr>
          <w:rStyle w:val="markedcontent"/>
          <w:rFonts w:ascii="Open Sans" w:hAnsi="Open Sans" w:cs="Open Sans"/>
          <w:sz w:val="22"/>
          <w:szCs w:val="22"/>
          <w:lang w:val="en-GB"/>
        </w:rPr>
        <w:t xml:space="preserve"> as well as the cross-cutting dimensions of access to information and participation.</w:t>
      </w:r>
    </w:p>
    <w:p w14:paraId="73ED7783" w14:textId="7B018602" w:rsidR="00387CAB" w:rsidRPr="00D81B37" w:rsidRDefault="006874A4" w:rsidP="00063A48">
      <w:pPr>
        <w:pStyle w:val="paragraph"/>
        <w:shd w:val="clear" w:color="auto" w:fill="FFFFFF" w:themeFill="background1"/>
        <w:snapToGrid w:val="0"/>
        <w:spacing w:before="120" w:beforeAutospacing="0" w:after="120" w:afterAutospacing="0" w:line="276" w:lineRule="auto"/>
        <w:jc w:val="both"/>
        <w:textAlignment w:val="baseline"/>
        <w:rPr>
          <w:rStyle w:val="markedcontent"/>
          <w:rFonts w:ascii="Open Sans" w:hAnsi="Open Sans" w:cs="Open Sans"/>
          <w:sz w:val="22"/>
          <w:szCs w:val="22"/>
          <w:lang w:val="en-GB"/>
        </w:rPr>
      </w:pPr>
      <w:r w:rsidRPr="00D81B37">
        <w:rPr>
          <w:rStyle w:val="markedcontent"/>
          <w:rFonts w:ascii="Open Sans" w:hAnsi="Open Sans" w:cs="Open Sans"/>
          <w:sz w:val="22"/>
          <w:szCs w:val="22"/>
          <w:lang w:val="en-GB"/>
        </w:rPr>
        <w:t>Even when it comes to healthcare services and coverage, n</w:t>
      </w:r>
      <w:r w:rsidR="00176977" w:rsidRPr="00D81B37">
        <w:rPr>
          <w:rStyle w:val="markedcontent"/>
          <w:rFonts w:ascii="Open Sans" w:hAnsi="Open Sans" w:cs="Open Sans"/>
          <w:sz w:val="22"/>
          <w:szCs w:val="22"/>
          <w:lang w:val="en-GB"/>
        </w:rPr>
        <w:t xml:space="preserve">ot all pathways to expand </w:t>
      </w:r>
      <w:r w:rsidR="00387CAB" w:rsidRPr="00D81B37">
        <w:rPr>
          <w:rStyle w:val="markedcontent"/>
          <w:rFonts w:ascii="Open Sans" w:hAnsi="Open Sans" w:cs="Open Sans"/>
          <w:sz w:val="22"/>
          <w:szCs w:val="22"/>
          <w:lang w:val="en-GB"/>
        </w:rPr>
        <w:t>UHC</w:t>
      </w:r>
      <w:r w:rsidR="00176977" w:rsidRPr="00D81B37">
        <w:rPr>
          <w:rStyle w:val="markedcontent"/>
          <w:rFonts w:ascii="Open Sans" w:hAnsi="Open Sans" w:cs="Open Sans"/>
          <w:sz w:val="22"/>
          <w:szCs w:val="22"/>
          <w:lang w:val="en-GB"/>
        </w:rPr>
        <w:t xml:space="preserve"> are consistent with international human rights law</w:t>
      </w:r>
      <w:r w:rsidRPr="00D81B37">
        <w:rPr>
          <w:rStyle w:val="markedcontent"/>
          <w:rFonts w:ascii="Open Sans" w:hAnsi="Open Sans" w:cs="Open Sans"/>
          <w:sz w:val="22"/>
          <w:szCs w:val="22"/>
          <w:lang w:val="en-GB"/>
        </w:rPr>
        <w:t>. Chapman suggested that</w:t>
      </w:r>
      <w:r w:rsidR="000D560B" w:rsidRPr="00D81B37">
        <w:rPr>
          <w:rStyle w:val="markedcontent"/>
          <w:rFonts w:ascii="Open Sans" w:hAnsi="Open Sans" w:cs="Open Sans"/>
          <w:sz w:val="22"/>
          <w:szCs w:val="22"/>
          <w:lang w:val="en-GB"/>
        </w:rPr>
        <w:t>,</w:t>
      </w:r>
      <w:r w:rsidRPr="00D81B37">
        <w:rPr>
          <w:rStyle w:val="markedcontent"/>
          <w:rFonts w:ascii="Open Sans" w:hAnsi="Open Sans" w:cs="Open Sans"/>
          <w:sz w:val="22"/>
          <w:szCs w:val="22"/>
          <w:lang w:val="en-GB"/>
        </w:rPr>
        <w:t xml:space="preserve"> for achieving UHC in line with international human rights law, some criteria must be respected</w:t>
      </w:r>
      <w:r w:rsidR="00387CAB" w:rsidRPr="00D81B37">
        <w:rPr>
          <w:rStyle w:val="markedcontent"/>
          <w:rFonts w:ascii="Open Sans" w:hAnsi="Open Sans" w:cs="Open Sans"/>
          <w:sz w:val="22"/>
          <w:szCs w:val="22"/>
          <w:lang w:val="en-GB"/>
        </w:rPr>
        <w:t>,</w:t>
      </w:r>
      <w:r w:rsidRPr="00D81B37">
        <w:rPr>
          <w:rStyle w:val="markedcontent"/>
          <w:rFonts w:ascii="Open Sans" w:hAnsi="Open Sans" w:cs="Open Sans"/>
          <w:sz w:val="22"/>
          <w:szCs w:val="22"/>
          <w:lang w:val="en-GB"/>
        </w:rPr>
        <w:t xml:space="preserve"> such as that </w:t>
      </w:r>
      <w:r w:rsidR="00871613" w:rsidRPr="00D81B37">
        <w:rPr>
          <w:rStyle w:val="markedcontent"/>
          <w:rFonts w:ascii="Open Sans" w:hAnsi="Open Sans" w:cs="Open Sans"/>
          <w:sz w:val="22"/>
          <w:szCs w:val="22"/>
          <w:lang w:val="en-GB"/>
        </w:rPr>
        <w:t xml:space="preserve">states have to make </w:t>
      </w:r>
      <w:r w:rsidRPr="00D81B37">
        <w:rPr>
          <w:rStyle w:val="markedcontent"/>
          <w:rFonts w:ascii="Open Sans" w:hAnsi="Open Sans" w:cs="Open Sans"/>
          <w:sz w:val="22"/>
          <w:szCs w:val="22"/>
          <w:lang w:val="en-GB"/>
        </w:rPr>
        <w:t xml:space="preserve">access to essential services </w:t>
      </w:r>
      <w:r w:rsidR="00871613" w:rsidRPr="00D81B37">
        <w:rPr>
          <w:rStyle w:val="markedcontent"/>
          <w:rFonts w:ascii="Open Sans" w:hAnsi="Open Sans" w:cs="Open Sans"/>
          <w:sz w:val="22"/>
          <w:szCs w:val="22"/>
          <w:lang w:val="en-GB"/>
        </w:rPr>
        <w:t xml:space="preserve">a </w:t>
      </w:r>
      <w:r w:rsidRPr="00D81B37">
        <w:rPr>
          <w:rStyle w:val="markedcontent"/>
          <w:rFonts w:ascii="Open Sans" w:hAnsi="Open Sans" w:cs="Open Sans"/>
          <w:sz w:val="22"/>
          <w:szCs w:val="22"/>
          <w:lang w:val="en-GB"/>
        </w:rPr>
        <w:t>legal entitlement</w:t>
      </w:r>
      <w:r w:rsidR="00871613" w:rsidRPr="00D81B37">
        <w:rPr>
          <w:rStyle w:val="markedcontent"/>
          <w:rFonts w:ascii="Open Sans" w:hAnsi="Open Sans" w:cs="Open Sans"/>
          <w:sz w:val="22"/>
          <w:szCs w:val="22"/>
          <w:lang w:val="en-GB"/>
        </w:rPr>
        <w:t>, including providing adequate access to redress and remedies; and they have to implement a progressive and equitable system of health funding for financial protection in health, targeting the removal or amelioration of financial barriers to healthcare, especially for marginalised groups and those living in conditions of material deprivation</w:t>
      </w:r>
      <w:r w:rsidR="00387CAB" w:rsidRPr="00D81B37">
        <w:rPr>
          <w:rStyle w:val="markedcontent"/>
          <w:rFonts w:ascii="Open Sans" w:hAnsi="Open Sans" w:cs="Open Sans"/>
          <w:sz w:val="22"/>
          <w:szCs w:val="22"/>
          <w:lang w:val="en-GB"/>
        </w:rPr>
        <w:t xml:space="preserve">. He has also reminded </w:t>
      </w:r>
      <w:r w:rsidR="00871613" w:rsidRPr="00D81B37">
        <w:rPr>
          <w:rStyle w:val="markedcontent"/>
          <w:rFonts w:ascii="Open Sans" w:hAnsi="Open Sans" w:cs="Open Sans"/>
          <w:sz w:val="22"/>
          <w:szCs w:val="22"/>
          <w:lang w:val="en-GB"/>
        </w:rPr>
        <w:t xml:space="preserve">that at least 5% of the gross domestic product and 15% of the total government budget </w:t>
      </w:r>
      <w:r w:rsidR="00387CAB" w:rsidRPr="00D81B37">
        <w:rPr>
          <w:rStyle w:val="markedcontent"/>
          <w:rFonts w:ascii="Open Sans" w:hAnsi="Open Sans" w:cs="Open Sans"/>
          <w:sz w:val="22"/>
          <w:szCs w:val="22"/>
          <w:lang w:val="en-GB"/>
        </w:rPr>
        <w:t xml:space="preserve">should be </w:t>
      </w:r>
      <w:r w:rsidR="00871613" w:rsidRPr="00D81B37">
        <w:rPr>
          <w:rStyle w:val="markedcontent"/>
          <w:rFonts w:ascii="Open Sans" w:hAnsi="Open Sans" w:cs="Open Sans"/>
          <w:sz w:val="22"/>
          <w:szCs w:val="22"/>
          <w:lang w:val="en-GB"/>
        </w:rPr>
        <w:t xml:space="preserve">devoted to </w:t>
      </w:r>
      <w:r w:rsidR="00387CAB" w:rsidRPr="00D81B37">
        <w:rPr>
          <w:rStyle w:val="markedcontent"/>
          <w:rFonts w:ascii="Open Sans" w:hAnsi="Open Sans" w:cs="Open Sans"/>
          <w:sz w:val="22"/>
          <w:szCs w:val="22"/>
          <w:lang w:val="en-GB"/>
        </w:rPr>
        <w:t xml:space="preserve">the strengthening of </w:t>
      </w:r>
      <w:r w:rsidR="00871613" w:rsidRPr="00D81B37">
        <w:rPr>
          <w:rStyle w:val="markedcontent"/>
          <w:rFonts w:ascii="Open Sans" w:hAnsi="Open Sans" w:cs="Open Sans"/>
          <w:sz w:val="22"/>
          <w:szCs w:val="22"/>
          <w:lang w:val="en-GB"/>
        </w:rPr>
        <w:t>health systems and expand universal access to healthcare;</w:t>
      </w:r>
      <w:r w:rsidR="00871613" w:rsidRPr="00D81B37">
        <w:rPr>
          <w:rStyle w:val="FootnoteReference"/>
          <w:rFonts w:ascii="Open Sans" w:hAnsi="Open Sans" w:cs="Open Sans"/>
          <w:sz w:val="22"/>
          <w:szCs w:val="22"/>
          <w:lang w:val="en-GB"/>
        </w:rPr>
        <w:footnoteReference w:id="8"/>
      </w:r>
      <w:r w:rsidR="00871613" w:rsidRPr="00D81B37">
        <w:rPr>
          <w:rStyle w:val="markedcontent"/>
          <w:rFonts w:ascii="Open Sans" w:hAnsi="Open Sans" w:cs="Open Sans"/>
          <w:sz w:val="22"/>
          <w:szCs w:val="22"/>
          <w:lang w:val="en-GB"/>
        </w:rPr>
        <w:t xml:space="preserve"> and that an effective data monitoring system, including disaggregated data, is put in place to evaluate the distributional effects of UHC programs.</w:t>
      </w:r>
      <w:r w:rsidR="00871613" w:rsidRPr="00D81B37">
        <w:rPr>
          <w:rStyle w:val="FootnoteReference"/>
          <w:rFonts w:ascii="Open Sans" w:hAnsi="Open Sans" w:cs="Open Sans"/>
          <w:sz w:val="22"/>
          <w:szCs w:val="22"/>
          <w:lang w:val="en-GB"/>
        </w:rPr>
        <w:footnoteReference w:id="9"/>
      </w:r>
      <w:r w:rsidR="00871613" w:rsidRPr="00D81B37">
        <w:rPr>
          <w:rStyle w:val="markedcontent"/>
          <w:rFonts w:ascii="Open Sans" w:hAnsi="Open Sans" w:cs="Open Sans"/>
          <w:sz w:val="22"/>
          <w:szCs w:val="22"/>
          <w:lang w:val="en-GB"/>
        </w:rPr>
        <w:t xml:space="preserve"> </w:t>
      </w:r>
    </w:p>
    <w:p w14:paraId="5C1F432F" w14:textId="004EA021" w:rsidR="00B9300F" w:rsidRPr="00D81B37" w:rsidRDefault="00247807" w:rsidP="00063A48">
      <w:pPr>
        <w:pStyle w:val="paragraph"/>
        <w:shd w:val="clear" w:color="auto" w:fill="FFFFFF" w:themeFill="background1"/>
        <w:snapToGrid w:val="0"/>
        <w:spacing w:before="120" w:beforeAutospacing="0" w:after="120" w:afterAutospacing="0" w:line="276" w:lineRule="auto"/>
        <w:jc w:val="both"/>
        <w:textAlignment w:val="baseline"/>
        <w:rPr>
          <w:rStyle w:val="markedcontent"/>
          <w:rFonts w:ascii="Open Sans" w:hAnsi="Open Sans" w:cs="Open Sans"/>
          <w:sz w:val="22"/>
          <w:szCs w:val="22"/>
          <w:lang w:val="en-GB"/>
        </w:rPr>
      </w:pPr>
      <w:r w:rsidRPr="00D81B37">
        <w:rPr>
          <w:rStyle w:val="markedcontent"/>
          <w:rFonts w:ascii="Open Sans" w:hAnsi="Open Sans" w:cs="Open Sans"/>
          <w:sz w:val="22"/>
          <w:szCs w:val="22"/>
          <w:lang w:val="en-GB"/>
        </w:rPr>
        <w:t xml:space="preserve">Freeman and others have studied an interesting example of </w:t>
      </w:r>
      <w:r w:rsidR="00210410" w:rsidRPr="00D81B37">
        <w:rPr>
          <w:rStyle w:val="markedcontent"/>
          <w:rFonts w:ascii="Open Sans" w:hAnsi="Open Sans" w:cs="Open Sans"/>
          <w:sz w:val="22"/>
          <w:szCs w:val="22"/>
          <w:lang w:val="en-GB"/>
        </w:rPr>
        <w:t xml:space="preserve">an Aboriginal </w:t>
      </w:r>
      <w:r w:rsidR="00B42F4E" w:rsidRPr="00D81B37">
        <w:rPr>
          <w:rStyle w:val="markedcontent"/>
          <w:rFonts w:ascii="Open Sans" w:hAnsi="Open Sans" w:cs="Open Sans"/>
          <w:sz w:val="22"/>
          <w:szCs w:val="22"/>
          <w:lang w:val="en-GB"/>
        </w:rPr>
        <w:t>c</w:t>
      </w:r>
      <w:r w:rsidR="00210410" w:rsidRPr="00D81B37">
        <w:rPr>
          <w:rStyle w:val="markedcontent"/>
          <w:rFonts w:ascii="Open Sans" w:hAnsi="Open Sans" w:cs="Open Sans"/>
          <w:sz w:val="22"/>
          <w:szCs w:val="22"/>
          <w:lang w:val="en-GB"/>
        </w:rPr>
        <w:t>ommunity-</w:t>
      </w:r>
      <w:r w:rsidR="00B42F4E" w:rsidRPr="00D81B37">
        <w:rPr>
          <w:rStyle w:val="markedcontent"/>
          <w:rFonts w:ascii="Open Sans" w:hAnsi="Open Sans" w:cs="Open Sans"/>
          <w:sz w:val="22"/>
          <w:szCs w:val="22"/>
          <w:lang w:val="en-GB"/>
        </w:rPr>
        <w:t>c</w:t>
      </w:r>
      <w:r w:rsidR="00210410" w:rsidRPr="00D81B37">
        <w:rPr>
          <w:rStyle w:val="markedcontent"/>
          <w:rFonts w:ascii="Open Sans" w:hAnsi="Open Sans" w:cs="Open Sans"/>
          <w:sz w:val="22"/>
          <w:szCs w:val="22"/>
          <w:lang w:val="en-GB"/>
        </w:rPr>
        <w:t xml:space="preserve">ontrolled </w:t>
      </w:r>
      <w:r w:rsidR="00B42F4E" w:rsidRPr="00D81B37">
        <w:rPr>
          <w:rStyle w:val="markedcontent"/>
          <w:rFonts w:ascii="Open Sans" w:hAnsi="Open Sans" w:cs="Open Sans"/>
          <w:sz w:val="22"/>
          <w:szCs w:val="22"/>
          <w:lang w:val="en-GB"/>
        </w:rPr>
        <w:t>h</w:t>
      </w:r>
      <w:r w:rsidR="00210410" w:rsidRPr="00D81B37">
        <w:rPr>
          <w:rStyle w:val="markedcontent"/>
          <w:rFonts w:ascii="Open Sans" w:hAnsi="Open Sans" w:cs="Open Sans"/>
          <w:sz w:val="22"/>
          <w:szCs w:val="22"/>
          <w:lang w:val="en-GB"/>
        </w:rPr>
        <w:t xml:space="preserve">ealth </w:t>
      </w:r>
      <w:r w:rsidR="00B42F4E" w:rsidRPr="00D81B37">
        <w:rPr>
          <w:rStyle w:val="markedcontent"/>
          <w:rFonts w:ascii="Open Sans" w:hAnsi="Open Sans" w:cs="Open Sans"/>
          <w:sz w:val="22"/>
          <w:szCs w:val="22"/>
          <w:lang w:val="en-GB"/>
        </w:rPr>
        <w:t>s</w:t>
      </w:r>
      <w:r w:rsidR="00210410" w:rsidRPr="00D81B37">
        <w:rPr>
          <w:rStyle w:val="markedcontent"/>
          <w:rFonts w:ascii="Open Sans" w:hAnsi="Open Sans" w:cs="Open Sans"/>
          <w:sz w:val="22"/>
          <w:szCs w:val="22"/>
          <w:lang w:val="en-GB"/>
        </w:rPr>
        <w:t xml:space="preserve">ervice in Australia that is universal, rights-based, publicly funded </w:t>
      </w:r>
      <w:r w:rsidR="00210410" w:rsidRPr="00D81B37">
        <w:rPr>
          <w:rStyle w:val="markedcontent"/>
          <w:rFonts w:ascii="Open Sans" w:hAnsi="Open Sans" w:cs="Open Sans"/>
          <w:sz w:val="22"/>
          <w:szCs w:val="22"/>
          <w:lang w:val="en-GB"/>
        </w:rPr>
        <w:lastRenderedPageBreak/>
        <w:t>comprehensive primary healthcare.</w:t>
      </w:r>
      <w:r w:rsidR="00F66FD8" w:rsidRPr="00D81B37">
        <w:rPr>
          <w:rStyle w:val="FootnoteReference"/>
          <w:rFonts w:ascii="Open Sans" w:hAnsi="Open Sans" w:cs="Open Sans"/>
          <w:sz w:val="22"/>
          <w:szCs w:val="22"/>
          <w:lang w:val="en-GB"/>
        </w:rPr>
        <w:footnoteReference w:id="10"/>
      </w:r>
      <w:r w:rsidR="00210410" w:rsidRPr="00D81B37">
        <w:rPr>
          <w:rStyle w:val="markedcontent"/>
          <w:rFonts w:ascii="Open Sans" w:hAnsi="Open Sans" w:cs="Open Sans"/>
          <w:sz w:val="22"/>
          <w:szCs w:val="22"/>
          <w:lang w:val="en-GB"/>
        </w:rPr>
        <w:t xml:space="preserve"> </w:t>
      </w:r>
      <w:r w:rsidR="00B42F4E" w:rsidRPr="00D81B37">
        <w:rPr>
          <w:rStyle w:val="markedcontent"/>
          <w:rFonts w:ascii="Open Sans" w:hAnsi="Open Sans" w:cs="Open Sans"/>
          <w:sz w:val="22"/>
          <w:szCs w:val="22"/>
          <w:lang w:val="en-GB"/>
        </w:rPr>
        <w:t xml:space="preserve">Below, we provide further examples from Kenya and Nigeria. </w:t>
      </w:r>
    </w:p>
    <w:p w14:paraId="0F3D6E89" w14:textId="275C60D3" w:rsidR="006C1C13" w:rsidRPr="00D81B37" w:rsidRDefault="006C1C13" w:rsidP="00063A48">
      <w:pPr>
        <w:pStyle w:val="paragraph"/>
        <w:shd w:val="clear" w:color="auto" w:fill="FFFFFF"/>
        <w:snapToGrid w:val="0"/>
        <w:spacing w:before="120" w:beforeAutospacing="0" w:after="120" w:afterAutospacing="0" w:line="276" w:lineRule="auto"/>
        <w:jc w:val="both"/>
        <w:textAlignment w:val="baseline"/>
        <w:rPr>
          <w:rStyle w:val="markedcontent"/>
          <w:rFonts w:ascii="Open Sans" w:hAnsi="Open Sans" w:cs="Open Sans"/>
          <w:sz w:val="22"/>
          <w:szCs w:val="22"/>
          <w:lang w:val="en-GB"/>
        </w:rPr>
      </w:pPr>
      <w:r w:rsidRPr="00D81B37">
        <w:rPr>
          <w:rStyle w:val="markedcontent"/>
          <w:rFonts w:ascii="Open Sans" w:hAnsi="Open Sans" w:cs="Open Sans"/>
          <w:sz w:val="22"/>
          <w:szCs w:val="22"/>
          <w:lang w:val="en-GB"/>
        </w:rPr>
        <w:t>In Kenya</w:t>
      </w:r>
      <w:r w:rsidR="00B42F4E" w:rsidRPr="00D81B37">
        <w:rPr>
          <w:rStyle w:val="markedcontent"/>
          <w:rFonts w:ascii="Open Sans" w:hAnsi="Open Sans" w:cs="Open Sans"/>
          <w:sz w:val="22"/>
          <w:szCs w:val="22"/>
          <w:lang w:val="en-GB"/>
        </w:rPr>
        <w:t xml:space="preserve">, </w:t>
      </w:r>
      <w:r w:rsidRPr="00D81B37">
        <w:rPr>
          <w:rStyle w:val="markedcontent"/>
          <w:rFonts w:ascii="Open Sans" w:hAnsi="Open Sans" w:cs="Open Sans"/>
          <w:sz w:val="22"/>
          <w:szCs w:val="22"/>
          <w:lang w:val="en-GB"/>
        </w:rPr>
        <w:t>the right to health is protected by the Constitution and regional and international human rights treaties.</w:t>
      </w:r>
      <w:r w:rsidRPr="00D81B37">
        <w:rPr>
          <w:rStyle w:val="FootnoteReference"/>
          <w:rFonts w:ascii="Open Sans" w:hAnsi="Open Sans" w:cs="Open Sans"/>
          <w:sz w:val="22"/>
          <w:szCs w:val="22"/>
          <w:lang w:val="en-GB"/>
        </w:rPr>
        <w:footnoteReference w:id="11"/>
      </w:r>
      <w:r w:rsidRPr="00D81B37">
        <w:rPr>
          <w:rStyle w:val="markedcontent"/>
          <w:rFonts w:ascii="Open Sans" w:hAnsi="Open Sans" w:cs="Open Sans"/>
          <w:sz w:val="22"/>
          <w:szCs w:val="22"/>
          <w:lang w:val="en-GB"/>
        </w:rPr>
        <w:t xml:space="preserve"> In this context, public healthcare services have been central in advancing the target of UHC. In 2018, the public healthcare service accounted for 58% of outpatient visits and 50% of inpatient admissions,</w:t>
      </w:r>
      <w:r w:rsidRPr="00D81B37">
        <w:rPr>
          <w:rStyle w:val="FootnoteReference"/>
          <w:rFonts w:ascii="Open Sans" w:hAnsi="Open Sans" w:cs="Open Sans"/>
          <w:sz w:val="22"/>
          <w:szCs w:val="22"/>
          <w:lang w:val="en-GB"/>
        </w:rPr>
        <w:footnoteReference w:id="12"/>
      </w:r>
      <w:r w:rsidRPr="00D81B37">
        <w:rPr>
          <w:rStyle w:val="markedcontent"/>
          <w:rFonts w:ascii="Open Sans" w:hAnsi="Open Sans" w:cs="Open Sans"/>
          <w:sz w:val="22"/>
          <w:szCs w:val="22"/>
          <w:lang w:val="en-GB"/>
        </w:rPr>
        <w:t xml:space="preserve"> of which is more than for-profit, non-profit, and faith-based actors combined.</w:t>
      </w:r>
      <w:r w:rsidRPr="00D81B37">
        <w:rPr>
          <w:rStyle w:val="FootnoteReference"/>
          <w:rFonts w:ascii="Open Sans" w:hAnsi="Open Sans" w:cs="Open Sans"/>
          <w:sz w:val="22"/>
          <w:szCs w:val="22"/>
          <w:lang w:val="en-GB"/>
        </w:rPr>
        <w:footnoteReference w:id="13"/>
      </w:r>
      <w:r w:rsidRPr="00D81B37">
        <w:rPr>
          <w:rStyle w:val="markedcontent"/>
          <w:rFonts w:ascii="Open Sans" w:hAnsi="Open Sans" w:cs="Open Sans"/>
          <w:sz w:val="22"/>
          <w:szCs w:val="22"/>
          <w:lang w:val="en-GB"/>
        </w:rPr>
        <w:t xml:space="preserve"> The public healthcare sector offers a comprehensive package of medical services, including prevention, public health promotion and promotive care, employing highly qualified workers. </w:t>
      </w:r>
    </w:p>
    <w:p w14:paraId="459CD562" w14:textId="58A3AE15" w:rsidR="005A25D0" w:rsidRPr="00D81B37" w:rsidRDefault="006C1C13" w:rsidP="00063A48">
      <w:pPr>
        <w:pStyle w:val="paragraph"/>
        <w:shd w:val="clear" w:color="auto" w:fill="FFFFFF"/>
        <w:snapToGrid w:val="0"/>
        <w:spacing w:before="120" w:beforeAutospacing="0" w:after="120" w:afterAutospacing="0" w:line="276" w:lineRule="auto"/>
        <w:jc w:val="both"/>
        <w:textAlignment w:val="baseline"/>
        <w:rPr>
          <w:rStyle w:val="markedcontent"/>
          <w:rFonts w:ascii="Open Sans" w:hAnsi="Open Sans" w:cs="Open Sans"/>
          <w:sz w:val="22"/>
          <w:szCs w:val="22"/>
          <w:lang w:val="en-GB"/>
        </w:rPr>
      </w:pPr>
      <w:r w:rsidRPr="00D81B37">
        <w:rPr>
          <w:rStyle w:val="markedcontent"/>
          <w:rFonts w:ascii="Open Sans" w:hAnsi="Open Sans" w:cs="Open Sans"/>
          <w:sz w:val="22"/>
          <w:szCs w:val="22"/>
          <w:lang w:val="en-GB"/>
        </w:rPr>
        <w:t>Kenyan</w:t>
      </w:r>
      <w:r w:rsidR="00534C75" w:rsidRPr="00D81B37">
        <w:rPr>
          <w:rStyle w:val="markedcontent"/>
          <w:rFonts w:ascii="Open Sans" w:hAnsi="Open Sans" w:cs="Open Sans"/>
          <w:sz w:val="22"/>
          <w:szCs w:val="22"/>
          <w:lang w:val="en-GB"/>
        </w:rPr>
        <w:t xml:space="preserve"> public healthcare services are</w:t>
      </w:r>
      <w:r w:rsidRPr="00D81B37">
        <w:rPr>
          <w:rStyle w:val="markedcontent"/>
          <w:rFonts w:ascii="Open Sans" w:hAnsi="Open Sans" w:cs="Open Sans"/>
          <w:sz w:val="22"/>
          <w:szCs w:val="22"/>
          <w:lang w:val="en-GB"/>
        </w:rPr>
        <w:t xml:space="preserve"> also</w:t>
      </w:r>
      <w:r w:rsidR="00534C75" w:rsidRPr="00D81B37">
        <w:rPr>
          <w:rStyle w:val="markedcontent"/>
          <w:rFonts w:ascii="Open Sans" w:hAnsi="Open Sans" w:cs="Open Sans"/>
          <w:sz w:val="22"/>
          <w:szCs w:val="22"/>
          <w:lang w:val="en-GB"/>
        </w:rPr>
        <w:t xml:space="preserve"> more accessible to low-income groups </w:t>
      </w:r>
      <w:r w:rsidR="00387CAB" w:rsidRPr="00D81B37">
        <w:rPr>
          <w:rStyle w:val="markedcontent"/>
          <w:rFonts w:ascii="Open Sans" w:hAnsi="Open Sans" w:cs="Open Sans"/>
          <w:sz w:val="22"/>
          <w:szCs w:val="22"/>
          <w:lang w:val="en-GB"/>
        </w:rPr>
        <w:t>than</w:t>
      </w:r>
      <w:r w:rsidR="00534C75" w:rsidRPr="00D81B37">
        <w:rPr>
          <w:rStyle w:val="markedcontent"/>
          <w:rFonts w:ascii="Open Sans" w:hAnsi="Open Sans" w:cs="Open Sans"/>
          <w:sz w:val="22"/>
          <w:szCs w:val="22"/>
          <w:lang w:val="en-GB"/>
        </w:rPr>
        <w:t xml:space="preserve"> private facilities. For instance,</w:t>
      </w:r>
      <w:r w:rsidR="00D377F1" w:rsidRPr="00D81B37">
        <w:rPr>
          <w:rStyle w:val="markedcontent"/>
          <w:rFonts w:ascii="Open Sans" w:hAnsi="Open Sans" w:cs="Open Sans"/>
          <w:sz w:val="22"/>
          <w:szCs w:val="22"/>
          <w:lang w:val="en-GB"/>
        </w:rPr>
        <w:t xml:space="preserve"> a</w:t>
      </w:r>
      <w:r w:rsidR="005A25D0" w:rsidRPr="00D81B37">
        <w:rPr>
          <w:rStyle w:val="markedcontent"/>
          <w:rFonts w:ascii="Open Sans" w:hAnsi="Open Sans" w:cs="Open Sans"/>
          <w:sz w:val="22"/>
          <w:szCs w:val="22"/>
          <w:lang w:val="en-GB"/>
        </w:rPr>
        <w:t xml:space="preserve"> study found that, across a wide range of non-communicable </w:t>
      </w:r>
      <w:r w:rsidR="00C34392" w:rsidRPr="00D81B37">
        <w:rPr>
          <w:rStyle w:val="markedcontent"/>
          <w:rFonts w:ascii="Open Sans" w:hAnsi="Open Sans" w:cs="Open Sans"/>
          <w:sz w:val="22"/>
          <w:szCs w:val="22"/>
          <w:lang w:val="en-GB"/>
        </w:rPr>
        <w:t>disease</w:t>
      </w:r>
      <w:r w:rsidR="005A25D0" w:rsidRPr="00D81B37">
        <w:rPr>
          <w:rStyle w:val="markedcontent"/>
          <w:rFonts w:ascii="Open Sans" w:hAnsi="Open Sans" w:cs="Open Sans"/>
          <w:sz w:val="22"/>
          <w:szCs w:val="22"/>
          <w:lang w:val="en-GB"/>
        </w:rPr>
        <w:t xml:space="preserve"> treatments, private health facilities charge higher fees than public facilities for the same service.</w:t>
      </w:r>
      <w:r w:rsidR="005A25D0" w:rsidRPr="00D81B37">
        <w:rPr>
          <w:rStyle w:val="FootnoteReference"/>
          <w:rFonts w:ascii="Open Sans" w:hAnsi="Open Sans" w:cs="Open Sans"/>
          <w:sz w:val="22"/>
          <w:szCs w:val="22"/>
          <w:lang w:val="en-GB"/>
        </w:rPr>
        <w:footnoteReference w:id="14"/>
      </w:r>
      <w:r w:rsidR="005A25D0" w:rsidRPr="00D81B37">
        <w:rPr>
          <w:rStyle w:val="markedcontent"/>
          <w:rFonts w:ascii="Open Sans" w:hAnsi="Open Sans" w:cs="Open Sans"/>
          <w:sz w:val="22"/>
          <w:szCs w:val="22"/>
          <w:lang w:val="en-GB"/>
        </w:rPr>
        <w:t xml:space="preserve"> </w:t>
      </w:r>
      <w:r w:rsidR="00E05305" w:rsidRPr="00D81B37">
        <w:rPr>
          <w:rStyle w:val="markedcontent"/>
          <w:rFonts w:ascii="Open Sans" w:hAnsi="Open Sans" w:cs="Open Sans"/>
          <w:sz w:val="22"/>
          <w:szCs w:val="22"/>
          <w:lang w:val="en-GB"/>
        </w:rPr>
        <w:t xml:space="preserve"> </w:t>
      </w:r>
      <w:r w:rsidR="00534C75" w:rsidRPr="00D81B37">
        <w:rPr>
          <w:rStyle w:val="markedcontent"/>
          <w:rFonts w:ascii="Open Sans" w:hAnsi="Open Sans" w:cs="Open Sans"/>
          <w:sz w:val="22"/>
          <w:szCs w:val="22"/>
          <w:lang w:val="en-GB"/>
        </w:rPr>
        <w:t>Likewise, a</w:t>
      </w:r>
      <w:r w:rsidR="005A25D0" w:rsidRPr="00D81B37">
        <w:rPr>
          <w:rStyle w:val="markedcontent"/>
          <w:rFonts w:ascii="Open Sans" w:hAnsi="Open Sans" w:cs="Open Sans"/>
          <w:sz w:val="22"/>
          <w:szCs w:val="22"/>
          <w:lang w:val="en-GB"/>
        </w:rPr>
        <w:t xml:space="preserve"> 2019 quantitative analysis found that the private sector mainly serves the richest segment of the population, while public services deliver medical care to a much wider share of individuals from a low socio-economic background.</w:t>
      </w:r>
      <w:r w:rsidR="005A25D0" w:rsidRPr="00D81B37">
        <w:rPr>
          <w:rStyle w:val="FootnoteReference"/>
          <w:rFonts w:ascii="Open Sans" w:hAnsi="Open Sans" w:cs="Open Sans"/>
          <w:sz w:val="22"/>
          <w:szCs w:val="22"/>
          <w:lang w:val="en-GB"/>
        </w:rPr>
        <w:footnoteReference w:id="15"/>
      </w:r>
      <w:r w:rsidR="005A25D0" w:rsidRPr="00D81B37">
        <w:rPr>
          <w:rStyle w:val="markedcontent"/>
          <w:rFonts w:ascii="Open Sans" w:hAnsi="Open Sans" w:cs="Open Sans"/>
          <w:sz w:val="22"/>
          <w:szCs w:val="22"/>
          <w:lang w:val="en-GB"/>
        </w:rPr>
        <w:t xml:space="preserve"> This reflects the fact that formal, high-end private healthcare facilities are concentrated in wealthy urban areas and target upper-income patients,</w:t>
      </w:r>
      <w:r w:rsidR="005A25D0" w:rsidRPr="00D81B37">
        <w:rPr>
          <w:rStyle w:val="FootnoteReference"/>
          <w:rFonts w:ascii="Open Sans" w:hAnsi="Open Sans" w:cs="Open Sans"/>
          <w:sz w:val="22"/>
          <w:szCs w:val="22"/>
          <w:lang w:val="en-GB"/>
        </w:rPr>
        <w:footnoteReference w:id="16"/>
      </w:r>
      <w:r w:rsidR="005A25D0" w:rsidRPr="00D81B37">
        <w:rPr>
          <w:rStyle w:val="markedcontent"/>
          <w:rFonts w:ascii="Open Sans" w:hAnsi="Open Sans" w:cs="Open Sans"/>
          <w:sz w:val="22"/>
          <w:szCs w:val="22"/>
          <w:lang w:val="en-GB"/>
        </w:rPr>
        <w:t xml:space="preserve"> while public services are generally more spatially widespread and include completely free services at public centres and dispensaries (i.e. facilities of level 2-3 in Kenya’s health system).</w:t>
      </w:r>
      <w:r w:rsidR="00D01A13" w:rsidRPr="00D81B37">
        <w:rPr>
          <w:rStyle w:val="FootnoteReference"/>
          <w:rFonts w:ascii="Open Sans" w:hAnsi="Open Sans" w:cs="Open Sans"/>
          <w:sz w:val="22"/>
          <w:szCs w:val="22"/>
          <w:lang w:val="en-GB"/>
        </w:rPr>
        <w:footnoteReference w:id="17"/>
      </w:r>
      <w:r w:rsidR="005A25D0" w:rsidRPr="00D81B37">
        <w:rPr>
          <w:rStyle w:val="markedcontent"/>
          <w:rFonts w:ascii="Open Sans" w:hAnsi="Open Sans" w:cs="Open Sans"/>
          <w:sz w:val="22"/>
          <w:szCs w:val="22"/>
          <w:lang w:val="en-GB"/>
        </w:rPr>
        <w:t xml:space="preserve"> </w:t>
      </w:r>
    </w:p>
    <w:p w14:paraId="0344E475" w14:textId="520369E4" w:rsidR="005A25D0" w:rsidRPr="00D81B37" w:rsidRDefault="005A25D0" w:rsidP="00063A48">
      <w:pPr>
        <w:pStyle w:val="paragraph"/>
        <w:shd w:val="clear" w:color="auto" w:fill="FFFFFF"/>
        <w:snapToGrid w:val="0"/>
        <w:spacing w:before="120" w:beforeAutospacing="0" w:after="120" w:afterAutospacing="0" w:line="276" w:lineRule="auto"/>
        <w:jc w:val="both"/>
        <w:textAlignment w:val="baseline"/>
        <w:rPr>
          <w:rStyle w:val="markedcontent"/>
          <w:rFonts w:ascii="Open Sans" w:hAnsi="Open Sans" w:cs="Open Sans"/>
          <w:sz w:val="22"/>
          <w:szCs w:val="22"/>
          <w:lang w:val="en-GB"/>
        </w:rPr>
      </w:pPr>
      <w:r w:rsidRPr="00D81B37">
        <w:rPr>
          <w:rStyle w:val="markedcontent"/>
          <w:rFonts w:ascii="Open Sans" w:hAnsi="Open Sans" w:cs="Open Sans"/>
          <w:sz w:val="22"/>
          <w:szCs w:val="22"/>
          <w:lang w:val="en-GB"/>
        </w:rPr>
        <w:t xml:space="preserve">Several policy developments in public healthcare facilities shows beneficial effects on the right to health and UHC. In 2004, user fees at lower-level public facilities were replaced with </w:t>
      </w:r>
      <w:r w:rsidRPr="00D81B37">
        <w:rPr>
          <w:rStyle w:val="markedcontent"/>
          <w:rFonts w:ascii="Open Sans" w:hAnsi="Open Sans" w:cs="Open Sans"/>
          <w:sz w:val="22"/>
          <w:szCs w:val="22"/>
          <w:lang w:val="en-GB"/>
        </w:rPr>
        <w:lastRenderedPageBreak/>
        <w:t>modest registration fees</w:t>
      </w:r>
      <w:r w:rsidR="00D648C8" w:rsidRPr="00D81B37">
        <w:rPr>
          <w:rStyle w:val="markedcontent"/>
          <w:rFonts w:ascii="Open Sans" w:hAnsi="Open Sans" w:cs="Open Sans"/>
          <w:sz w:val="22"/>
          <w:szCs w:val="22"/>
          <w:lang w:val="en-GB"/>
        </w:rPr>
        <w:t>. Also,</w:t>
      </w:r>
      <w:r w:rsidRPr="00D81B37">
        <w:rPr>
          <w:rStyle w:val="markedcontent"/>
          <w:rFonts w:ascii="Open Sans" w:hAnsi="Open Sans" w:cs="Open Sans"/>
          <w:sz w:val="22"/>
          <w:szCs w:val="22"/>
          <w:lang w:val="en-GB"/>
        </w:rPr>
        <w:t xml:space="preserve"> services for children under five and treatment for a range of critical conditions were exempted from payment. This was correlated with a spike in healthcare use at 70 </w:t>
      </w:r>
      <w:r w:rsidR="0059176B" w:rsidRPr="00D81B37">
        <w:rPr>
          <w:rStyle w:val="markedcontent"/>
          <w:rFonts w:ascii="Open Sans" w:hAnsi="Open Sans" w:cs="Open Sans"/>
          <w:sz w:val="22"/>
          <w:szCs w:val="22"/>
          <w:lang w:val="en-GB"/>
        </w:rPr>
        <w:t>per cent</w:t>
      </w:r>
      <w:r w:rsidRPr="00D81B37">
        <w:rPr>
          <w:rStyle w:val="markedcontent"/>
          <w:rFonts w:ascii="Open Sans" w:hAnsi="Open Sans" w:cs="Open Sans"/>
          <w:sz w:val="22"/>
          <w:szCs w:val="22"/>
          <w:lang w:val="en-GB"/>
        </w:rPr>
        <w:t xml:space="preserve"> higher than before.</w:t>
      </w:r>
      <w:r w:rsidRPr="00D81B37">
        <w:rPr>
          <w:rStyle w:val="FootnoteReference"/>
          <w:rFonts w:ascii="Open Sans" w:hAnsi="Open Sans" w:cs="Open Sans"/>
          <w:sz w:val="22"/>
          <w:szCs w:val="22"/>
          <w:lang w:val="en-GB"/>
        </w:rPr>
        <w:footnoteReference w:id="18"/>
      </w:r>
      <w:r w:rsidRPr="00D81B37">
        <w:rPr>
          <w:rStyle w:val="markedcontent"/>
          <w:rFonts w:ascii="Open Sans" w:hAnsi="Open Sans" w:cs="Open Sans"/>
          <w:sz w:val="22"/>
          <w:szCs w:val="22"/>
          <w:lang w:val="en-GB"/>
        </w:rPr>
        <w:t xml:space="preserve"> Similarly, when user fees in public dispensaries were abolished in health centres in 2013, healthcare use rose by 37% for all patients over five</w:t>
      </w:r>
      <w:r w:rsidR="0059176B" w:rsidRPr="00D81B37">
        <w:rPr>
          <w:rStyle w:val="markedcontent"/>
          <w:rFonts w:ascii="Open Sans" w:hAnsi="Open Sans" w:cs="Open Sans"/>
          <w:sz w:val="22"/>
          <w:szCs w:val="22"/>
          <w:lang w:val="en-GB"/>
        </w:rPr>
        <w:t xml:space="preserve"> years of age</w:t>
      </w:r>
      <w:r w:rsidRPr="00D81B37">
        <w:rPr>
          <w:rStyle w:val="markedcontent"/>
          <w:rFonts w:ascii="Open Sans" w:hAnsi="Open Sans" w:cs="Open Sans"/>
          <w:sz w:val="22"/>
          <w:szCs w:val="22"/>
          <w:lang w:val="en-GB"/>
        </w:rPr>
        <w:t>.</w:t>
      </w:r>
      <w:r w:rsidRPr="00D81B37">
        <w:rPr>
          <w:rStyle w:val="FootnoteReference"/>
          <w:rFonts w:ascii="Open Sans" w:hAnsi="Open Sans" w:cs="Open Sans"/>
          <w:sz w:val="22"/>
          <w:szCs w:val="22"/>
          <w:lang w:val="en-GB"/>
        </w:rPr>
        <w:footnoteReference w:id="19"/>
      </w:r>
    </w:p>
    <w:p w14:paraId="4CC33854" w14:textId="134EBC6C" w:rsidR="005A25D0" w:rsidRPr="00D81B37" w:rsidRDefault="005A25D0" w:rsidP="00063A48">
      <w:pPr>
        <w:pStyle w:val="paragraph"/>
        <w:shd w:val="clear" w:color="auto" w:fill="FFFFFF"/>
        <w:snapToGrid w:val="0"/>
        <w:spacing w:before="120" w:beforeAutospacing="0" w:after="120" w:afterAutospacing="0" w:line="276" w:lineRule="auto"/>
        <w:jc w:val="both"/>
        <w:textAlignment w:val="baseline"/>
        <w:rPr>
          <w:rStyle w:val="markedcontent"/>
          <w:rFonts w:ascii="Open Sans" w:hAnsi="Open Sans" w:cs="Open Sans"/>
          <w:sz w:val="22"/>
          <w:szCs w:val="22"/>
          <w:lang w:val="en-GB"/>
        </w:rPr>
      </w:pPr>
      <w:r w:rsidRPr="00D81B37">
        <w:rPr>
          <w:rStyle w:val="markedcontent"/>
          <w:rFonts w:ascii="Open Sans" w:hAnsi="Open Sans" w:cs="Open Sans"/>
          <w:sz w:val="22"/>
          <w:szCs w:val="22"/>
          <w:lang w:val="en-GB"/>
        </w:rPr>
        <w:t xml:space="preserve">More recently, the pilot phase of </w:t>
      </w:r>
      <w:r w:rsidR="0059176B" w:rsidRPr="00D81B37">
        <w:rPr>
          <w:rStyle w:val="markedcontent"/>
          <w:rFonts w:ascii="Open Sans" w:hAnsi="Open Sans" w:cs="Open Sans"/>
          <w:sz w:val="22"/>
          <w:szCs w:val="22"/>
          <w:lang w:val="en-GB"/>
        </w:rPr>
        <w:t>UHC</w:t>
      </w:r>
      <w:r w:rsidRPr="00D81B37">
        <w:rPr>
          <w:rStyle w:val="markedcontent"/>
          <w:rFonts w:ascii="Open Sans" w:hAnsi="Open Sans" w:cs="Open Sans"/>
          <w:sz w:val="22"/>
          <w:szCs w:val="22"/>
          <w:lang w:val="en-GB"/>
        </w:rPr>
        <w:t xml:space="preserve"> entailed removing user fees at public facilities for healthcare services in four Kenyan counties in 2018 and 2019. This led to increased use of healthcare services and treatments.</w:t>
      </w:r>
      <w:r w:rsidRPr="00D81B37">
        <w:rPr>
          <w:rStyle w:val="FootnoteReference"/>
          <w:rFonts w:ascii="Open Sans" w:hAnsi="Open Sans" w:cs="Open Sans"/>
          <w:sz w:val="22"/>
          <w:szCs w:val="22"/>
          <w:lang w:val="en-GB"/>
        </w:rPr>
        <w:footnoteReference w:id="20"/>
      </w:r>
      <w:r w:rsidR="00DA59AF" w:rsidRPr="00D81B37">
        <w:rPr>
          <w:rStyle w:val="markedcontent"/>
          <w:rFonts w:ascii="Open Sans" w:hAnsi="Open Sans" w:cs="Open Sans"/>
          <w:sz w:val="22"/>
          <w:szCs w:val="22"/>
          <w:lang w:val="en-GB"/>
        </w:rPr>
        <w:t xml:space="preserve"> </w:t>
      </w:r>
      <w:r w:rsidRPr="00D81B37">
        <w:rPr>
          <w:rStyle w:val="markedcontent"/>
          <w:rFonts w:ascii="Open Sans" w:hAnsi="Open Sans" w:cs="Open Sans"/>
          <w:sz w:val="22"/>
          <w:szCs w:val="22"/>
          <w:lang w:val="en-GB"/>
        </w:rPr>
        <w:t xml:space="preserve">A report found that in the county of </w:t>
      </w:r>
      <w:proofErr w:type="spellStart"/>
      <w:r w:rsidRPr="00D81B37">
        <w:rPr>
          <w:rStyle w:val="markedcontent"/>
          <w:rFonts w:ascii="Open Sans" w:hAnsi="Open Sans" w:cs="Open Sans"/>
          <w:sz w:val="22"/>
          <w:szCs w:val="22"/>
          <w:lang w:val="en-GB"/>
        </w:rPr>
        <w:t>Isiolo</w:t>
      </w:r>
      <w:proofErr w:type="spellEnd"/>
      <w:r w:rsidRPr="00D81B37">
        <w:rPr>
          <w:rStyle w:val="markedcontent"/>
          <w:rFonts w:ascii="Open Sans" w:hAnsi="Open Sans" w:cs="Open Sans"/>
          <w:sz w:val="22"/>
          <w:szCs w:val="22"/>
          <w:lang w:val="en-GB"/>
        </w:rPr>
        <w:t xml:space="preserve">, one of the UHC pilot areas, interviewees offered exceptionally strong praise for the public program, highlighting the value of the public system. Community members, healthcare volunteers, and healthcare workers reported </w:t>
      </w:r>
      <w:r w:rsidR="00D648C8" w:rsidRPr="00D81B37">
        <w:rPr>
          <w:rStyle w:val="markedcontent"/>
          <w:rFonts w:ascii="Open Sans" w:hAnsi="Open Sans" w:cs="Open Sans"/>
          <w:sz w:val="22"/>
          <w:szCs w:val="22"/>
          <w:lang w:val="en-GB"/>
        </w:rPr>
        <w:t xml:space="preserve">that the public services </w:t>
      </w:r>
      <w:r w:rsidRPr="00D81B37">
        <w:rPr>
          <w:rStyle w:val="markedcontent"/>
          <w:rFonts w:ascii="Open Sans" w:hAnsi="Open Sans" w:cs="Open Sans"/>
          <w:sz w:val="22"/>
          <w:szCs w:val="22"/>
          <w:lang w:val="en-GB"/>
        </w:rPr>
        <w:t>ensured access to previously unaffordable specialist care and drugs regardless of wealth.</w:t>
      </w:r>
      <w:r w:rsidR="00890DE5" w:rsidRPr="00D81B37">
        <w:rPr>
          <w:rStyle w:val="FootnoteReference"/>
          <w:rFonts w:ascii="Open Sans" w:hAnsi="Open Sans" w:cs="Open Sans"/>
          <w:sz w:val="22"/>
          <w:szCs w:val="22"/>
          <w:lang w:val="en-GB"/>
        </w:rPr>
        <w:footnoteReference w:id="21"/>
      </w:r>
      <w:r w:rsidRPr="00D81B37">
        <w:rPr>
          <w:rStyle w:val="markedcontent"/>
          <w:rFonts w:ascii="Open Sans" w:hAnsi="Open Sans" w:cs="Open Sans"/>
          <w:sz w:val="22"/>
          <w:szCs w:val="22"/>
          <w:lang w:val="en-GB"/>
        </w:rPr>
        <w:t xml:space="preserve"> Similarly, some county authorities are undertaking programs to improve access to public healthcare. For example, Nairobi Metropolitan Services recently constructed six new health facilities</w:t>
      </w:r>
      <w:r w:rsidR="0059176B" w:rsidRPr="00D81B37">
        <w:rPr>
          <w:rStyle w:val="markedcontent"/>
          <w:rFonts w:ascii="Open Sans" w:hAnsi="Open Sans" w:cs="Open Sans"/>
          <w:sz w:val="22"/>
          <w:szCs w:val="22"/>
          <w:lang w:val="en-GB"/>
        </w:rPr>
        <w:t xml:space="preserve"> that treated more than 70,000 patients between March and June </w:t>
      </w:r>
      <w:r w:rsidRPr="00D81B37">
        <w:rPr>
          <w:rStyle w:val="markedcontent"/>
          <w:rFonts w:ascii="Open Sans" w:hAnsi="Open Sans" w:cs="Open Sans"/>
          <w:sz w:val="22"/>
          <w:szCs w:val="22"/>
          <w:lang w:val="en-GB"/>
        </w:rPr>
        <w:t>2021.</w:t>
      </w:r>
      <w:r w:rsidR="00DA59AF" w:rsidRPr="00D81B37">
        <w:rPr>
          <w:rStyle w:val="FootnoteReference"/>
          <w:rFonts w:ascii="Open Sans" w:hAnsi="Open Sans" w:cs="Open Sans"/>
          <w:sz w:val="22"/>
          <w:szCs w:val="22"/>
          <w:lang w:val="en-GB"/>
        </w:rPr>
        <w:footnoteReference w:id="22"/>
      </w:r>
    </w:p>
    <w:p w14:paraId="1054E586" w14:textId="4CC142ED" w:rsidR="000F61D8" w:rsidRPr="00D81B37" w:rsidRDefault="00890DE5" w:rsidP="00063A48">
      <w:pPr>
        <w:snapToGrid w:val="0"/>
        <w:spacing w:before="120" w:after="120" w:line="276" w:lineRule="auto"/>
        <w:jc w:val="both"/>
        <w:rPr>
          <w:rStyle w:val="markedcontent"/>
          <w:rFonts w:ascii="Open Sans" w:hAnsi="Open Sans" w:cs="Open Sans"/>
        </w:rPr>
      </w:pPr>
      <w:r w:rsidRPr="00D81B37">
        <w:rPr>
          <w:rFonts w:ascii="Open Sans" w:hAnsi="Open Sans" w:cs="Open Sans"/>
        </w:rPr>
        <w:t xml:space="preserve">Public healthcare services are thus achieving remarkable results for the right to health, including universal health coverage targets. </w:t>
      </w:r>
      <w:r w:rsidR="00DA59AF" w:rsidRPr="00D81B37">
        <w:rPr>
          <w:rFonts w:ascii="Open Sans" w:hAnsi="Open Sans" w:cs="Open Sans"/>
        </w:rPr>
        <w:t>This despite the fact that they are starved with resources; domestic spending on health was as low as 9% of the national budget in 2020,</w:t>
      </w:r>
      <w:r w:rsidR="00DA59AF" w:rsidRPr="00D81B37">
        <w:rPr>
          <w:rStyle w:val="FootnoteReference"/>
          <w:rFonts w:ascii="Open Sans" w:hAnsi="Open Sans" w:cs="Open Sans"/>
        </w:rPr>
        <w:footnoteReference w:id="23"/>
      </w:r>
      <w:r w:rsidR="00DA59AF" w:rsidRPr="00D81B37">
        <w:rPr>
          <w:rFonts w:ascii="Open Sans" w:hAnsi="Open Sans" w:cs="Open Sans"/>
        </w:rPr>
        <w:t xml:space="preserve"> far below the target of 15% to which the African Union States committed in the Abuja Declaration.</w:t>
      </w:r>
      <w:r w:rsidR="00DA59AF" w:rsidRPr="00D81B37">
        <w:rPr>
          <w:rStyle w:val="FootnoteReference"/>
          <w:rFonts w:ascii="Open Sans" w:hAnsi="Open Sans" w:cs="Open Sans"/>
        </w:rPr>
        <w:footnoteReference w:id="24"/>
      </w:r>
      <w:r w:rsidR="00DA59AF" w:rsidRPr="00D81B37">
        <w:rPr>
          <w:rFonts w:ascii="Open Sans" w:hAnsi="Open Sans" w:cs="Open Sans"/>
        </w:rPr>
        <w:t xml:space="preserve"> </w:t>
      </w:r>
      <w:r w:rsidR="00D648C8" w:rsidRPr="00D81B37">
        <w:rPr>
          <w:rStyle w:val="markedcontent"/>
          <w:rFonts w:ascii="Open Sans" w:hAnsi="Open Sans" w:cs="Open Sans"/>
        </w:rPr>
        <w:t xml:space="preserve">The </w:t>
      </w:r>
      <w:r w:rsidR="008A4906" w:rsidRPr="00D81B37">
        <w:rPr>
          <w:rStyle w:val="markedcontent"/>
          <w:rFonts w:ascii="Open Sans" w:hAnsi="Open Sans" w:cs="Open Sans"/>
        </w:rPr>
        <w:t xml:space="preserve">lack </w:t>
      </w:r>
      <w:r w:rsidR="0059176B" w:rsidRPr="00D81B37">
        <w:rPr>
          <w:rStyle w:val="markedcontent"/>
          <w:rFonts w:ascii="Open Sans" w:hAnsi="Open Sans" w:cs="Open Sans"/>
        </w:rPr>
        <w:t>of</w:t>
      </w:r>
      <w:r w:rsidR="008A4906" w:rsidRPr="00D81B37">
        <w:rPr>
          <w:rStyle w:val="markedcontent"/>
          <w:rFonts w:ascii="Open Sans" w:hAnsi="Open Sans" w:cs="Open Sans"/>
        </w:rPr>
        <w:t xml:space="preserve"> resources means that there are not enough public healthcare services for all in Kenya</w:t>
      </w:r>
      <w:r w:rsidR="0014020E" w:rsidRPr="00D81B37">
        <w:rPr>
          <w:rStyle w:val="markedcontent"/>
          <w:rFonts w:ascii="Open Sans" w:hAnsi="Open Sans" w:cs="Open Sans"/>
        </w:rPr>
        <w:t>. Strengthening</w:t>
      </w:r>
      <w:r w:rsidR="005A25D0" w:rsidRPr="00D81B37">
        <w:rPr>
          <w:rStyle w:val="markedcontent"/>
          <w:rFonts w:ascii="Open Sans" w:hAnsi="Open Sans" w:cs="Open Sans"/>
        </w:rPr>
        <w:t xml:space="preserve"> public healthcare systems is the most viable solution to improve UHC for all, in line with international human rights standards. </w:t>
      </w:r>
    </w:p>
    <w:p w14:paraId="49061F29" w14:textId="703C51EB" w:rsidR="00C35671" w:rsidRPr="00D81B37" w:rsidRDefault="00AD64AF" w:rsidP="00063A48">
      <w:pPr>
        <w:pStyle w:val="paragraph"/>
        <w:shd w:val="clear" w:color="auto" w:fill="FFFFFF"/>
        <w:snapToGrid w:val="0"/>
        <w:spacing w:before="120" w:beforeAutospacing="0" w:after="120" w:afterAutospacing="0" w:line="276" w:lineRule="auto"/>
        <w:jc w:val="both"/>
        <w:textAlignment w:val="baseline"/>
        <w:rPr>
          <w:rStyle w:val="markedcontent"/>
          <w:rFonts w:ascii="Open Sans" w:hAnsi="Open Sans" w:cs="Open Sans"/>
          <w:sz w:val="22"/>
          <w:szCs w:val="22"/>
          <w:lang w:val="en-GB"/>
        </w:rPr>
      </w:pPr>
      <w:r w:rsidRPr="00D81B37">
        <w:rPr>
          <w:rStyle w:val="markedcontent"/>
          <w:rFonts w:ascii="Open Sans" w:hAnsi="Open Sans" w:cs="Open Sans"/>
          <w:sz w:val="22"/>
          <w:szCs w:val="22"/>
          <w:lang w:val="en-GB"/>
        </w:rPr>
        <w:t>In Nigeria, th</w:t>
      </w:r>
      <w:r w:rsidR="00CC413E" w:rsidRPr="00D81B37">
        <w:rPr>
          <w:rStyle w:val="markedcontent"/>
          <w:rFonts w:ascii="Open Sans" w:hAnsi="Open Sans" w:cs="Open Sans"/>
          <w:sz w:val="22"/>
          <w:szCs w:val="22"/>
          <w:lang w:val="en-GB"/>
        </w:rPr>
        <w:t>e 1999 Constitution guarantees a right to ‘adequate medical and health facilities for all persons’.</w:t>
      </w:r>
      <w:r w:rsidR="00CC413E" w:rsidRPr="00D81B37">
        <w:rPr>
          <w:rStyle w:val="FootnoteReference"/>
          <w:rFonts w:ascii="Open Sans" w:hAnsi="Open Sans" w:cs="Open Sans"/>
          <w:sz w:val="22"/>
          <w:szCs w:val="22"/>
          <w:lang w:val="en-GB"/>
        </w:rPr>
        <w:footnoteReference w:id="25"/>
      </w:r>
      <w:r w:rsidR="00CC413E" w:rsidRPr="00D81B37">
        <w:rPr>
          <w:rStyle w:val="markedcontent"/>
          <w:rFonts w:ascii="Open Sans" w:hAnsi="Open Sans" w:cs="Open Sans"/>
          <w:sz w:val="22"/>
          <w:szCs w:val="22"/>
          <w:lang w:val="en-GB"/>
        </w:rPr>
        <w:t xml:space="preserve"> While this provision is contained in a section of the Constitution that is non-justiciable, the right to health in Nigeria can be brought to court indirectly through the right to </w:t>
      </w:r>
      <w:r w:rsidR="00CC413E" w:rsidRPr="00D81B37">
        <w:rPr>
          <w:rStyle w:val="markedcontent"/>
          <w:rFonts w:ascii="Open Sans" w:hAnsi="Open Sans" w:cs="Open Sans"/>
          <w:sz w:val="22"/>
          <w:szCs w:val="22"/>
          <w:lang w:val="en-GB"/>
        </w:rPr>
        <w:lastRenderedPageBreak/>
        <w:t>life.</w:t>
      </w:r>
      <w:r w:rsidR="00CC413E" w:rsidRPr="00D81B37">
        <w:rPr>
          <w:rStyle w:val="FootnoteReference"/>
          <w:rFonts w:ascii="Open Sans" w:hAnsi="Open Sans" w:cs="Open Sans"/>
          <w:sz w:val="22"/>
          <w:szCs w:val="22"/>
          <w:lang w:val="en-GB"/>
        </w:rPr>
        <w:footnoteReference w:id="26"/>
      </w:r>
      <w:r w:rsidR="00CC413E" w:rsidRPr="00D81B37">
        <w:rPr>
          <w:rStyle w:val="markedcontent"/>
          <w:rFonts w:ascii="Open Sans" w:hAnsi="Open Sans" w:cs="Open Sans"/>
          <w:sz w:val="22"/>
          <w:szCs w:val="22"/>
          <w:lang w:val="en-GB"/>
        </w:rPr>
        <w:t xml:space="preserve"> </w:t>
      </w:r>
      <w:r w:rsidR="00C35671" w:rsidRPr="00D81B37">
        <w:rPr>
          <w:rStyle w:val="markedcontent"/>
          <w:rFonts w:ascii="Open Sans" w:hAnsi="Open Sans" w:cs="Open Sans"/>
          <w:sz w:val="22"/>
          <w:szCs w:val="22"/>
          <w:lang w:val="en-GB"/>
        </w:rPr>
        <w:t>Nigeria is also a party to the African Charter on Human and People’s</w:t>
      </w:r>
      <w:r w:rsidR="00C35671" w:rsidRPr="00D81B37">
        <w:rPr>
          <w:rFonts w:ascii="Open Sans" w:hAnsi="Open Sans" w:cs="Open Sans"/>
          <w:sz w:val="22"/>
          <w:szCs w:val="22"/>
          <w:lang w:val="en-GB"/>
        </w:rPr>
        <w:t xml:space="preserve"> </w:t>
      </w:r>
      <w:r w:rsidR="00C35671" w:rsidRPr="00D81B37">
        <w:rPr>
          <w:rStyle w:val="markedcontent"/>
          <w:rFonts w:ascii="Open Sans" w:hAnsi="Open Sans" w:cs="Open Sans"/>
          <w:sz w:val="22"/>
          <w:szCs w:val="22"/>
          <w:lang w:val="en-GB"/>
        </w:rPr>
        <w:t>Rights (ratified in 1983)</w:t>
      </w:r>
      <w:r w:rsidR="00902765" w:rsidRPr="00D81B37">
        <w:rPr>
          <w:rStyle w:val="markedcontent"/>
          <w:rFonts w:ascii="Open Sans" w:hAnsi="Open Sans" w:cs="Open Sans"/>
          <w:sz w:val="22"/>
          <w:szCs w:val="22"/>
          <w:lang w:val="en-GB"/>
        </w:rPr>
        <w:t xml:space="preserve">, which protect the right to health in Article 16 and </w:t>
      </w:r>
      <w:r w:rsidR="00C35671" w:rsidRPr="00D81B37">
        <w:rPr>
          <w:rStyle w:val="markedcontent"/>
          <w:rFonts w:ascii="Open Sans" w:hAnsi="Open Sans" w:cs="Open Sans"/>
          <w:sz w:val="22"/>
          <w:szCs w:val="22"/>
          <w:lang w:val="en-GB"/>
        </w:rPr>
        <w:t>that has been domesticated into Nigerian law</w:t>
      </w:r>
      <w:r w:rsidR="00902765" w:rsidRPr="00D81B37">
        <w:rPr>
          <w:rStyle w:val="markedcontent"/>
          <w:rFonts w:ascii="Open Sans" w:hAnsi="Open Sans" w:cs="Open Sans"/>
          <w:sz w:val="22"/>
          <w:szCs w:val="22"/>
          <w:lang w:val="en-GB"/>
        </w:rPr>
        <w:t>.</w:t>
      </w:r>
      <w:r w:rsidR="00C35671" w:rsidRPr="00D81B37">
        <w:rPr>
          <w:rStyle w:val="FootnoteReference"/>
          <w:rFonts w:ascii="Open Sans" w:hAnsi="Open Sans" w:cs="Open Sans"/>
          <w:sz w:val="22"/>
          <w:szCs w:val="22"/>
          <w:lang w:val="en-GB"/>
        </w:rPr>
        <w:footnoteReference w:id="27"/>
      </w:r>
      <w:r w:rsidR="00C35671" w:rsidRPr="00D81B37">
        <w:rPr>
          <w:rStyle w:val="markedcontent"/>
          <w:rFonts w:ascii="Open Sans" w:hAnsi="Open Sans" w:cs="Open Sans"/>
          <w:sz w:val="22"/>
          <w:szCs w:val="22"/>
          <w:lang w:val="en-GB"/>
        </w:rPr>
        <w:t xml:space="preserve"> </w:t>
      </w:r>
    </w:p>
    <w:p w14:paraId="53AB692E" w14:textId="02983CCA" w:rsidR="00A778CC" w:rsidRPr="00D81B37" w:rsidRDefault="00C35671" w:rsidP="00063A48">
      <w:pPr>
        <w:pStyle w:val="paragraph"/>
        <w:shd w:val="clear" w:color="auto" w:fill="FFFFFF"/>
        <w:snapToGrid w:val="0"/>
        <w:spacing w:before="120" w:beforeAutospacing="0" w:after="120" w:afterAutospacing="0" w:line="276" w:lineRule="auto"/>
        <w:jc w:val="both"/>
        <w:textAlignment w:val="baseline"/>
        <w:rPr>
          <w:rStyle w:val="markedcontent"/>
          <w:rFonts w:ascii="Open Sans" w:hAnsi="Open Sans" w:cs="Open Sans"/>
          <w:sz w:val="22"/>
          <w:szCs w:val="22"/>
          <w:lang w:val="en-GB"/>
        </w:rPr>
      </w:pPr>
      <w:r w:rsidRPr="00D81B37">
        <w:rPr>
          <w:rStyle w:val="markedcontent"/>
          <w:rFonts w:ascii="Open Sans" w:hAnsi="Open Sans" w:cs="Open Sans"/>
          <w:sz w:val="22"/>
          <w:szCs w:val="22"/>
          <w:lang w:val="en-GB"/>
        </w:rPr>
        <w:t xml:space="preserve">In this context, </w:t>
      </w:r>
      <w:r w:rsidR="000F61D8" w:rsidRPr="00D81B37">
        <w:rPr>
          <w:rStyle w:val="markedcontent"/>
          <w:rFonts w:ascii="Open Sans" w:hAnsi="Open Sans" w:cs="Open Sans"/>
          <w:sz w:val="22"/>
          <w:szCs w:val="22"/>
          <w:lang w:val="en-GB"/>
        </w:rPr>
        <w:t xml:space="preserve">public healthcare services are </w:t>
      </w:r>
      <w:r w:rsidR="00DA59AF" w:rsidRPr="00D81B37">
        <w:rPr>
          <w:rStyle w:val="markedcontent"/>
          <w:rFonts w:ascii="Open Sans" w:hAnsi="Open Sans" w:cs="Open Sans"/>
          <w:sz w:val="22"/>
          <w:szCs w:val="22"/>
          <w:lang w:val="en-GB"/>
        </w:rPr>
        <w:t>essential in realising the right to health and universal health coverage targets</w:t>
      </w:r>
      <w:r w:rsidRPr="00D81B37">
        <w:rPr>
          <w:rStyle w:val="markedcontent"/>
          <w:rFonts w:ascii="Open Sans" w:hAnsi="Open Sans" w:cs="Open Sans"/>
          <w:sz w:val="22"/>
          <w:szCs w:val="22"/>
          <w:lang w:val="en-GB"/>
        </w:rPr>
        <w:t xml:space="preserve"> in Nigeria</w:t>
      </w:r>
      <w:r w:rsidR="00DA59AF" w:rsidRPr="00D81B37">
        <w:rPr>
          <w:rStyle w:val="markedcontent"/>
          <w:rFonts w:ascii="Open Sans" w:hAnsi="Open Sans" w:cs="Open Sans"/>
          <w:sz w:val="22"/>
          <w:szCs w:val="22"/>
          <w:lang w:val="en-GB"/>
        </w:rPr>
        <w:t>. Public healthcare services are m</w:t>
      </w:r>
      <w:r w:rsidR="000F61D8" w:rsidRPr="00D81B37">
        <w:rPr>
          <w:rStyle w:val="markedcontent"/>
          <w:rFonts w:ascii="Open Sans" w:hAnsi="Open Sans" w:cs="Open Sans"/>
          <w:sz w:val="22"/>
          <w:szCs w:val="22"/>
          <w:lang w:val="en-GB"/>
        </w:rPr>
        <w:t>ore accessible to low- and middle-income groups in comparison to formally registered private providers</w:t>
      </w:r>
      <w:r w:rsidR="00DA59AF" w:rsidRPr="00D81B37">
        <w:rPr>
          <w:rStyle w:val="markedcontent"/>
          <w:rFonts w:ascii="Open Sans" w:hAnsi="Open Sans" w:cs="Open Sans"/>
          <w:sz w:val="22"/>
          <w:szCs w:val="22"/>
          <w:lang w:val="en-GB"/>
        </w:rPr>
        <w:t xml:space="preserve"> both in geographical and financial terms</w:t>
      </w:r>
      <w:r w:rsidR="000F61D8" w:rsidRPr="00D81B37">
        <w:rPr>
          <w:rStyle w:val="markedcontent"/>
          <w:rFonts w:ascii="Open Sans" w:hAnsi="Open Sans" w:cs="Open Sans"/>
          <w:sz w:val="22"/>
          <w:szCs w:val="22"/>
          <w:lang w:val="en-GB"/>
        </w:rPr>
        <w:t>.</w:t>
      </w:r>
      <w:r w:rsidR="00D624BA" w:rsidRPr="00D81B37">
        <w:rPr>
          <w:rStyle w:val="FootnoteReference"/>
          <w:rFonts w:ascii="Open Sans" w:hAnsi="Open Sans" w:cs="Open Sans"/>
          <w:sz w:val="22"/>
          <w:szCs w:val="22"/>
          <w:lang w:val="en-GB"/>
        </w:rPr>
        <w:footnoteReference w:id="28"/>
      </w:r>
      <w:r w:rsidR="000F61D8" w:rsidRPr="00D81B37">
        <w:rPr>
          <w:rStyle w:val="markedcontent"/>
          <w:rFonts w:ascii="Open Sans" w:hAnsi="Open Sans" w:cs="Open Sans"/>
          <w:sz w:val="22"/>
          <w:szCs w:val="22"/>
          <w:lang w:val="en-GB"/>
        </w:rPr>
        <w:t xml:space="preserve"> The wealthier Southern regions have considerably</w:t>
      </w:r>
      <w:r w:rsidR="00A778CC" w:rsidRPr="00D81B37">
        <w:rPr>
          <w:rStyle w:val="markedcontent"/>
          <w:rFonts w:ascii="Open Sans" w:hAnsi="Open Sans" w:cs="Open Sans"/>
          <w:sz w:val="22"/>
          <w:szCs w:val="22"/>
          <w:lang w:val="en-GB"/>
        </w:rPr>
        <w:t xml:space="preserve"> </w:t>
      </w:r>
      <w:r w:rsidR="000F61D8" w:rsidRPr="00D81B37">
        <w:rPr>
          <w:rStyle w:val="markedcontent"/>
          <w:rFonts w:ascii="Open Sans" w:hAnsi="Open Sans" w:cs="Open Sans"/>
          <w:sz w:val="22"/>
          <w:szCs w:val="22"/>
          <w:lang w:val="en-GB"/>
        </w:rPr>
        <w:t>higher concentrations of private healthcare providers</w:t>
      </w:r>
      <w:r w:rsidR="00DA59AF" w:rsidRPr="00D81B37">
        <w:rPr>
          <w:rStyle w:val="markedcontent"/>
          <w:rFonts w:ascii="Open Sans" w:hAnsi="Open Sans" w:cs="Open Sans"/>
          <w:sz w:val="22"/>
          <w:szCs w:val="22"/>
          <w:lang w:val="en-GB"/>
        </w:rPr>
        <w:t xml:space="preserve">. </w:t>
      </w:r>
      <w:r w:rsidR="000F61D8" w:rsidRPr="00D81B37">
        <w:rPr>
          <w:rStyle w:val="markedcontent"/>
          <w:rFonts w:ascii="Open Sans" w:hAnsi="Open Sans" w:cs="Open Sans"/>
          <w:sz w:val="22"/>
          <w:szCs w:val="22"/>
          <w:lang w:val="en-GB"/>
        </w:rPr>
        <w:t xml:space="preserve">The highest peaks are in </w:t>
      </w:r>
      <w:r w:rsidR="00DA59AF" w:rsidRPr="00D81B37">
        <w:rPr>
          <w:rStyle w:val="markedcontent"/>
          <w:rFonts w:ascii="Open Sans" w:hAnsi="Open Sans" w:cs="Open Sans"/>
          <w:sz w:val="22"/>
          <w:szCs w:val="22"/>
          <w:lang w:val="en-GB"/>
        </w:rPr>
        <w:t xml:space="preserve">the large urban centres of </w:t>
      </w:r>
      <w:r w:rsidR="000F61D8" w:rsidRPr="00D81B37">
        <w:rPr>
          <w:rStyle w:val="markedcontent"/>
          <w:rFonts w:ascii="Open Sans" w:hAnsi="Open Sans" w:cs="Open Sans"/>
          <w:sz w:val="22"/>
          <w:szCs w:val="22"/>
          <w:lang w:val="en-GB"/>
        </w:rPr>
        <w:t>Lagos (80%) and Imo (43%).</w:t>
      </w:r>
      <w:r w:rsidR="00D624BA" w:rsidRPr="00D81B37">
        <w:rPr>
          <w:rStyle w:val="FootnoteReference"/>
          <w:rFonts w:ascii="Open Sans" w:hAnsi="Open Sans" w:cs="Open Sans"/>
          <w:sz w:val="22"/>
          <w:szCs w:val="22"/>
          <w:lang w:val="en-GB"/>
        </w:rPr>
        <w:footnoteReference w:id="29"/>
      </w:r>
      <w:r w:rsidR="000F61D8" w:rsidRPr="00D81B37">
        <w:rPr>
          <w:rStyle w:val="markedcontent"/>
          <w:rFonts w:ascii="Open Sans" w:hAnsi="Open Sans" w:cs="Open Sans"/>
          <w:sz w:val="22"/>
          <w:szCs w:val="22"/>
          <w:lang w:val="en-GB"/>
        </w:rPr>
        <w:t xml:space="preserve"> By contrast, private health actors are far less present in the</w:t>
      </w:r>
      <w:r w:rsidR="00A778CC" w:rsidRPr="00D81B37">
        <w:rPr>
          <w:rStyle w:val="markedcontent"/>
          <w:rFonts w:ascii="Open Sans" w:hAnsi="Open Sans" w:cs="Open Sans"/>
          <w:sz w:val="22"/>
          <w:szCs w:val="22"/>
          <w:lang w:val="en-GB"/>
        </w:rPr>
        <w:t xml:space="preserve"> </w:t>
      </w:r>
      <w:r w:rsidR="00DA59AF" w:rsidRPr="00D81B37">
        <w:rPr>
          <w:rStyle w:val="markedcontent"/>
          <w:rFonts w:ascii="Open Sans" w:hAnsi="Open Sans" w:cs="Open Sans"/>
          <w:sz w:val="22"/>
          <w:szCs w:val="22"/>
          <w:lang w:val="en-GB"/>
        </w:rPr>
        <w:t xml:space="preserve">poorer </w:t>
      </w:r>
      <w:r w:rsidR="000F61D8" w:rsidRPr="00D81B37">
        <w:rPr>
          <w:rStyle w:val="markedcontent"/>
          <w:rFonts w:ascii="Open Sans" w:hAnsi="Open Sans" w:cs="Open Sans"/>
          <w:sz w:val="22"/>
          <w:szCs w:val="22"/>
          <w:lang w:val="en-GB"/>
        </w:rPr>
        <w:t>North, with percentages as low as 3% in Yobe.</w:t>
      </w:r>
      <w:r w:rsidR="002B42B2" w:rsidRPr="00D81B37">
        <w:rPr>
          <w:rStyle w:val="FootnoteReference"/>
          <w:rFonts w:ascii="Open Sans" w:hAnsi="Open Sans" w:cs="Open Sans"/>
          <w:sz w:val="22"/>
          <w:szCs w:val="22"/>
          <w:lang w:val="en-GB"/>
        </w:rPr>
        <w:footnoteReference w:id="30"/>
      </w:r>
      <w:r w:rsidR="000F61D8" w:rsidRPr="00D81B37">
        <w:rPr>
          <w:rStyle w:val="markedcontent"/>
          <w:rFonts w:ascii="Open Sans" w:hAnsi="Open Sans" w:cs="Open Sans"/>
          <w:sz w:val="22"/>
          <w:szCs w:val="22"/>
          <w:lang w:val="en-GB"/>
        </w:rPr>
        <w:t xml:space="preserve"> This suggests </w:t>
      </w:r>
      <w:r w:rsidR="00A778CC" w:rsidRPr="00D81B37">
        <w:rPr>
          <w:rStyle w:val="markedcontent"/>
          <w:rFonts w:ascii="Open Sans" w:hAnsi="Open Sans" w:cs="Open Sans"/>
          <w:sz w:val="22"/>
          <w:szCs w:val="22"/>
          <w:lang w:val="en-GB"/>
        </w:rPr>
        <w:t>t</w:t>
      </w:r>
      <w:r w:rsidR="000F61D8" w:rsidRPr="00D81B37">
        <w:rPr>
          <w:rStyle w:val="markedcontent"/>
          <w:rFonts w:ascii="Open Sans" w:hAnsi="Open Sans" w:cs="Open Sans"/>
          <w:sz w:val="22"/>
          <w:szCs w:val="22"/>
          <w:lang w:val="en-GB"/>
        </w:rPr>
        <w:t>hat</w:t>
      </w:r>
      <w:r w:rsidR="00A778CC" w:rsidRPr="00D81B37">
        <w:rPr>
          <w:rStyle w:val="markedcontent"/>
          <w:rFonts w:ascii="Open Sans" w:hAnsi="Open Sans" w:cs="Open Sans"/>
          <w:sz w:val="22"/>
          <w:szCs w:val="22"/>
          <w:lang w:val="en-GB"/>
        </w:rPr>
        <w:t xml:space="preserve"> </w:t>
      </w:r>
      <w:r w:rsidR="000F61D8" w:rsidRPr="00D81B37">
        <w:rPr>
          <w:rStyle w:val="markedcontent"/>
          <w:rFonts w:ascii="Open Sans" w:hAnsi="Open Sans" w:cs="Open Sans"/>
          <w:sz w:val="22"/>
          <w:szCs w:val="22"/>
          <w:lang w:val="en-GB"/>
        </w:rPr>
        <w:t>formally registered</w:t>
      </w:r>
      <w:r w:rsidR="00A778CC" w:rsidRPr="00D81B37">
        <w:rPr>
          <w:rStyle w:val="markedcontent"/>
          <w:rFonts w:ascii="Open Sans" w:hAnsi="Open Sans" w:cs="Open Sans"/>
          <w:sz w:val="22"/>
          <w:szCs w:val="22"/>
          <w:lang w:val="en-GB"/>
        </w:rPr>
        <w:t xml:space="preserve"> </w:t>
      </w:r>
      <w:r w:rsidR="000F61D8" w:rsidRPr="00D81B37">
        <w:rPr>
          <w:rStyle w:val="markedcontent"/>
          <w:rFonts w:ascii="Open Sans" w:hAnsi="Open Sans" w:cs="Open Sans"/>
          <w:sz w:val="22"/>
          <w:szCs w:val="22"/>
          <w:lang w:val="en-GB"/>
        </w:rPr>
        <w:t>private health providers, which might also be of higher quality, tend to concentrate</w:t>
      </w:r>
      <w:r w:rsidR="00A778CC" w:rsidRPr="00D81B37">
        <w:rPr>
          <w:rStyle w:val="markedcontent"/>
          <w:rFonts w:ascii="Open Sans" w:hAnsi="Open Sans" w:cs="Open Sans"/>
          <w:sz w:val="22"/>
          <w:szCs w:val="22"/>
          <w:lang w:val="en-GB"/>
        </w:rPr>
        <w:t xml:space="preserve"> </w:t>
      </w:r>
      <w:r w:rsidR="000F61D8" w:rsidRPr="00D81B37">
        <w:rPr>
          <w:rStyle w:val="markedcontent"/>
          <w:rFonts w:ascii="Open Sans" w:hAnsi="Open Sans" w:cs="Open Sans"/>
          <w:sz w:val="22"/>
          <w:szCs w:val="22"/>
          <w:lang w:val="en-GB"/>
        </w:rPr>
        <w:t>their operations where profit chances are higher</w:t>
      </w:r>
      <w:r w:rsidR="00D624BA" w:rsidRPr="00D81B37">
        <w:rPr>
          <w:rStyle w:val="markedcontent"/>
          <w:rFonts w:ascii="Open Sans" w:hAnsi="Open Sans" w:cs="Open Sans"/>
          <w:sz w:val="22"/>
          <w:szCs w:val="22"/>
          <w:lang w:val="en-GB"/>
        </w:rPr>
        <w:t>.</w:t>
      </w:r>
      <w:r w:rsidR="00916352" w:rsidRPr="00D81B37">
        <w:rPr>
          <w:rStyle w:val="FootnoteReference"/>
          <w:rFonts w:ascii="Open Sans" w:hAnsi="Open Sans" w:cs="Open Sans"/>
          <w:sz w:val="22"/>
          <w:szCs w:val="22"/>
          <w:lang w:val="en-GB"/>
        </w:rPr>
        <w:footnoteReference w:id="31"/>
      </w:r>
      <w:r w:rsidR="00D624BA" w:rsidRPr="00D81B37">
        <w:rPr>
          <w:rStyle w:val="markedcontent"/>
          <w:rFonts w:ascii="Open Sans" w:hAnsi="Open Sans" w:cs="Open Sans"/>
          <w:sz w:val="22"/>
          <w:szCs w:val="22"/>
          <w:lang w:val="en-GB"/>
        </w:rPr>
        <w:t xml:space="preserve"> This</w:t>
      </w:r>
      <w:r w:rsidR="000F61D8" w:rsidRPr="00D81B37">
        <w:rPr>
          <w:rStyle w:val="markedcontent"/>
          <w:rFonts w:ascii="Open Sans" w:hAnsi="Open Sans" w:cs="Open Sans"/>
          <w:sz w:val="22"/>
          <w:szCs w:val="22"/>
          <w:lang w:val="en-GB"/>
        </w:rPr>
        <w:t xml:space="preserve"> dynamic has been observed in other sectors and countries, such as education in Morocco and Ghana.</w:t>
      </w:r>
      <w:r w:rsidR="00916352" w:rsidRPr="00D81B37">
        <w:rPr>
          <w:rStyle w:val="FootnoteReference"/>
          <w:rFonts w:ascii="Open Sans" w:hAnsi="Open Sans" w:cs="Open Sans"/>
          <w:sz w:val="22"/>
          <w:szCs w:val="22"/>
          <w:lang w:val="en-GB"/>
        </w:rPr>
        <w:footnoteReference w:id="32"/>
      </w:r>
    </w:p>
    <w:p w14:paraId="0CDE5A1B" w14:textId="1DC9BDF2" w:rsidR="000D560B" w:rsidRPr="00D81B37" w:rsidRDefault="000F61D8" w:rsidP="00063A48">
      <w:pPr>
        <w:pStyle w:val="paragraph"/>
        <w:shd w:val="clear" w:color="auto" w:fill="FFFFFF"/>
        <w:snapToGrid w:val="0"/>
        <w:spacing w:before="120" w:beforeAutospacing="0" w:after="120" w:afterAutospacing="0" w:line="276" w:lineRule="auto"/>
        <w:jc w:val="both"/>
        <w:textAlignment w:val="baseline"/>
        <w:rPr>
          <w:rStyle w:val="markedcontent"/>
          <w:rFonts w:ascii="Open Sans" w:hAnsi="Open Sans" w:cs="Open Sans"/>
          <w:sz w:val="22"/>
          <w:szCs w:val="22"/>
          <w:lang w:val="en-GB"/>
        </w:rPr>
      </w:pPr>
      <w:r w:rsidRPr="00D81B37">
        <w:rPr>
          <w:rStyle w:val="markedcontent"/>
          <w:rFonts w:ascii="Open Sans" w:hAnsi="Open Sans" w:cs="Open Sans"/>
          <w:sz w:val="22"/>
          <w:szCs w:val="22"/>
          <w:lang w:val="en-GB"/>
        </w:rPr>
        <w:t xml:space="preserve">The two-tier unequal health system in Nigeria is not only visible in the unequal </w:t>
      </w:r>
      <w:r w:rsidR="00932C46" w:rsidRPr="00D81B37">
        <w:rPr>
          <w:rStyle w:val="markedcontent"/>
          <w:rFonts w:ascii="Open Sans" w:hAnsi="Open Sans" w:cs="Open Sans"/>
          <w:sz w:val="22"/>
          <w:szCs w:val="22"/>
          <w:lang w:val="en-GB"/>
        </w:rPr>
        <w:t>access to</w:t>
      </w:r>
      <w:r w:rsidRPr="00D81B37">
        <w:rPr>
          <w:rStyle w:val="markedcontent"/>
          <w:rFonts w:ascii="Open Sans" w:hAnsi="Open Sans" w:cs="Open Sans"/>
          <w:sz w:val="22"/>
          <w:szCs w:val="22"/>
          <w:lang w:val="en-GB"/>
        </w:rPr>
        <w:t xml:space="preserve"> formal private facilities, but also through the differential access to the public system.</w:t>
      </w:r>
      <w:r w:rsidR="00932C46" w:rsidRPr="00D81B37">
        <w:rPr>
          <w:rFonts w:ascii="Open Sans" w:hAnsi="Open Sans" w:cs="Open Sans"/>
          <w:sz w:val="22"/>
          <w:szCs w:val="22"/>
          <w:lang w:val="en-GB"/>
        </w:rPr>
        <w:t xml:space="preserve"> </w:t>
      </w:r>
      <w:r w:rsidR="00916352" w:rsidRPr="00D81B37">
        <w:rPr>
          <w:rStyle w:val="markedcontent"/>
          <w:rFonts w:ascii="Open Sans" w:hAnsi="Open Sans" w:cs="Open Sans"/>
          <w:sz w:val="22"/>
          <w:szCs w:val="22"/>
          <w:lang w:val="en-GB"/>
        </w:rPr>
        <w:t>As a survey by the WHO shows,</w:t>
      </w:r>
      <w:r w:rsidR="00916352" w:rsidRPr="00D81B37">
        <w:rPr>
          <w:rStyle w:val="FootnoteReference"/>
          <w:rFonts w:ascii="Open Sans" w:hAnsi="Open Sans" w:cs="Open Sans"/>
          <w:sz w:val="22"/>
          <w:szCs w:val="22"/>
          <w:lang w:val="en-GB"/>
        </w:rPr>
        <w:footnoteReference w:id="33"/>
      </w:r>
      <w:r w:rsidR="00916352" w:rsidRPr="00D81B37">
        <w:rPr>
          <w:rStyle w:val="markedcontent"/>
          <w:rFonts w:ascii="Open Sans" w:hAnsi="Open Sans" w:cs="Open Sans"/>
          <w:sz w:val="22"/>
          <w:szCs w:val="22"/>
          <w:lang w:val="en-GB"/>
        </w:rPr>
        <w:t xml:space="preserve"> </w:t>
      </w:r>
      <w:r w:rsidRPr="00D81B37">
        <w:rPr>
          <w:rStyle w:val="markedcontent"/>
          <w:rFonts w:ascii="Open Sans" w:hAnsi="Open Sans" w:cs="Open Sans"/>
          <w:sz w:val="22"/>
          <w:szCs w:val="22"/>
          <w:lang w:val="en-GB"/>
        </w:rPr>
        <w:t xml:space="preserve">people from disadvantaged socioeconomic groups look </w:t>
      </w:r>
      <w:r w:rsidR="00932C46" w:rsidRPr="00D81B37">
        <w:rPr>
          <w:rStyle w:val="markedcontent"/>
          <w:rFonts w:ascii="Open Sans" w:hAnsi="Open Sans" w:cs="Open Sans"/>
          <w:sz w:val="22"/>
          <w:szCs w:val="22"/>
          <w:lang w:val="en-GB"/>
        </w:rPr>
        <w:t>for medical</w:t>
      </w:r>
      <w:r w:rsidRPr="00D81B37">
        <w:rPr>
          <w:rStyle w:val="markedcontent"/>
          <w:rFonts w:ascii="Open Sans" w:hAnsi="Open Sans" w:cs="Open Sans"/>
          <w:sz w:val="22"/>
          <w:szCs w:val="22"/>
          <w:lang w:val="en-GB"/>
        </w:rPr>
        <w:t xml:space="preserve"> assistance in public facilities relatively more than the well-off.</w:t>
      </w:r>
      <w:r w:rsidR="00916352" w:rsidRPr="00D81B37">
        <w:rPr>
          <w:rStyle w:val="FootnoteReference"/>
          <w:rFonts w:ascii="Open Sans" w:hAnsi="Open Sans" w:cs="Open Sans"/>
          <w:sz w:val="22"/>
          <w:szCs w:val="22"/>
          <w:lang w:val="en-GB"/>
        </w:rPr>
        <w:footnoteReference w:id="34"/>
      </w:r>
      <w:r w:rsidRPr="00D81B37">
        <w:rPr>
          <w:rStyle w:val="markedcontent"/>
          <w:rFonts w:ascii="Open Sans" w:hAnsi="Open Sans" w:cs="Open Sans"/>
          <w:sz w:val="22"/>
          <w:szCs w:val="22"/>
          <w:lang w:val="en-GB"/>
        </w:rPr>
        <w:t xml:space="preserve"> An </w:t>
      </w:r>
      <w:r w:rsidR="00932C46" w:rsidRPr="00D81B37">
        <w:rPr>
          <w:rStyle w:val="markedcontent"/>
          <w:rFonts w:ascii="Open Sans" w:hAnsi="Open Sans" w:cs="Open Sans"/>
          <w:sz w:val="22"/>
          <w:szCs w:val="22"/>
          <w:lang w:val="en-GB"/>
        </w:rPr>
        <w:t>explanation for</w:t>
      </w:r>
      <w:r w:rsidRPr="00D81B37">
        <w:rPr>
          <w:rStyle w:val="markedcontent"/>
          <w:rFonts w:ascii="Open Sans" w:hAnsi="Open Sans" w:cs="Open Sans"/>
          <w:sz w:val="22"/>
          <w:szCs w:val="22"/>
          <w:lang w:val="en-GB"/>
        </w:rPr>
        <w:t xml:space="preserve"> this dynamic might be the difference in healthcare costs: the National Health Policy</w:t>
      </w:r>
      <w:r w:rsidR="00932C46" w:rsidRPr="00D81B37" w:rsidDel="00932C46">
        <w:rPr>
          <w:rFonts w:ascii="Open Sans" w:hAnsi="Open Sans" w:cs="Open Sans"/>
          <w:sz w:val="22"/>
          <w:szCs w:val="22"/>
          <w:lang w:val="en-GB"/>
        </w:rPr>
        <w:t xml:space="preserve"> </w:t>
      </w:r>
      <w:r w:rsidRPr="00D81B37">
        <w:rPr>
          <w:rStyle w:val="markedcontent"/>
          <w:rFonts w:ascii="Open Sans" w:hAnsi="Open Sans" w:cs="Open Sans"/>
          <w:sz w:val="22"/>
          <w:szCs w:val="22"/>
          <w:lang w:val="en-GB"/>
        </w:rPr>
        <w:t>(2016) mentions the ‘unaffordability of services provided by the private sector to the</w:t>
      </w:r>
      <w:r w:rsidR="00932C46" w:rsidRPr="00D81B37">
        <w:rPr>
          <w:rFonts w:ascii="Open Sans" w:hAnsi="Open Sans" w:cs="Open Sans"/>
          <w:sz w:val="22"/>
          <w:szCs w:val="22"/>
          <w:lang w:val="en-GB"/>
        </w:rPr>
        <w:t xml:space="preserve"> </w:t>
      </w:r>
      <w:r w:rsidRPr="00D81B37">
        <w:rPr>
          <w:rStyle w:val="markedcontent"/>
          <w:rFonts w:ascii="Open Sans" w:hAnsi="Open Sans" w:cs="Open Sans"/>
          <w:sz w:val="22"/>
          <w:szCs w:val="22"/>
          <w:lang w:val="en-GB"/>
        </w:rPr>
        <w:t>poor’ as one of the main challenges within Nigeria’s healthcare system.</w:t>
      </w:r>
      <w:r w:rsidR="00916352" w:rsidRPr="00D81B37">
        <w:rPr>
          <w:rStyle w:val="FootnoteReference"/>
          <w:rFonts w:ascii="Open Sans" w:hAnsi="Open Sans" w:cs="Open Sans"/>
          <w:sz w:val="22"/>
          <w:szCs w:val="22"/>
          <w:lang w:val="en-GB"/>
        </w:rPr>
        <w:footnoteReference w:id="35"/>
      </w:r>
      <w:r w:rsidRPr="00D81B37">
        <w:rPr>
          <w:rStyle w:val="markedcontent"/>
          <w:rFonts w:ascii="Open Sans" w:hAnsi="Open Sans" w:cs="Open Sans"/>
          <w:sz w:val="22"/>
          <w:szCs w:val="22"/>
          <w:lang w:val="en-GB"/>
        </w:rPr>
        <w:t xml:space="preserve"> </w:t>
      </w:r>
    </w:p>
    <w:p w14:paraId="7A7CCE4E" w14:textId="77777777" w:rsidR="005A25D0" w:rsidRPr="00D81B37" w:rsidRDefault="005A25D0" w:rsidP="00063A48">
      <w:pPr>
        <w:keepNext/>
        <w:jc w:val="both"/>
        <w:rPr>
          <w:rFonts w:ascii="Open Sans" w:eastAsia="Open Sans" w:hAnsi="Open Sans" w:cs="Open Sans"/>
        </w:rPr>
      </w:pPr>
      <w:r w:rsidRPr="00D81B37">
        <w:rPr>
          <w:rFonts w:ascii="Open Sans" w:eastAsia="Open Sans" w:hAnsi="Open Sans" w:cs="Open Sans"/>
          <w:b/>
          <w:bCs/>
        </w:rPr>
        <w:lastRenderedPageBreak/>
        <w:t>For more information, please consult the following publications:</w:t>
      </w:r>
      <w:r w:rsidRPr="00D81B37">
        <w:rPr>
          <w:rFonts w:ascii="Open Sans" w:eastAsia="Open Sans" w:hAnsi="Open Sans" w:cs="Open Sans"/>
        </w:rPr>
        <w:t xml:space="preserve"> </w:t>
      </w:r>
    </w:p>
    <w:p w14:paraId="21036FEA" w14:textId="026A1DC4" w:rsidR="005A25D0" w:rsidRPr="00D81B37" w:rsidRDefault="00000000" w:rsidP="005A25D0">
      <w:pPr>
        <w:pStyle w:val="ListParagraph"/>
        <w:numPr>
          <w:ilvl w:val="0"/>
          <w:numId w:val="4"/>
        </w:numPr>
        <w:pBdr>
          <w:top w:val="nil"/>
          <w:left w:val="nil"/>
          <w:bottom w:val="nil"/>
          <w:right w:val="nil"/>
          <w:between w:val="nil"/>
          <w:bar w:val="nil"/>
        </w:pBdr>
        <w:spacing w:after="0" w:line="240" w:lineRule="auto"/>
        <w:contextualSpacing w:val="0"/>
        <w:jc w:val="both"/>
        <w:rPr>
          <w:rFonts w:ascii="Open Sans" w:eastAsia="Open Sans" w:hAnsi="Open Sans" w:cs="Open Sans"/>
          <w:lang w:val="en-GB"/>
        </w:rPr>
      </w:pPr>
      <w:hyperlink r:id="rId11">
        <w:r w:rsidR="005A25D0" w:rsidRPr="00D81B37">
          <w:rPr>
            <w:rStyle w:val="Hyperlink"/>
            <w:rFonts w:ascii="Open Sans" w:eastAsia="Open Sans" w:hAnsi="Open Sans" w:cs="Open Sans"/>
            <w:lang w:val="en-GB"/>
          </w:rPr>
          <w:t>The Future is Public: Global Manifesto for Public Services</w:t>
        </w:r>
      </w:hyperlink>
      <w:r w:rsidR="005A25D0" w:rsidRPr="00D81B37">
        <w:rPr>
          <w:rFonts w:ascii="Open Sans" w:eastAsia="Open Sans" w:hAnsi="Open Sans" w:cs="Open Sans"/>
          <w:lang w:val="en-GB"/>
        </w:rPr>
        <w:t xml:space="preserve"> (2021).</w:t>
      </w:r>
    </w:p>
    <w:p w14:paraId="1BE914F0" w14:textId="1711BCAF" w:rsidR="005A25D0" w:rsidRPr="00D81B37" w:rsidRDefault="00000000" w:rsidP="005A25D0">
      <w:pPr>
        <w:pStyle w:val="ListParagraph"/>
        <w:numPr>
          <w:ilvl w:val="0"/>
          <w:numId w:val="4"/>
        </w:numPr>
        <w:pBdr>
          <w:top w:val="nil"/>
          <w:left w:val="nil"/>
          <w:bottom w:val="nil"/>
          <w:right w:val="nil"/>
          <w:between w:val="nil"/>
          <w:bar w:val="nil"/>
        </w:pBdr>
        <w:spacing w:after="0" w:line="240" w:lineRule="auto"/>
        <w:contextualSpacing w:val="0"/>
        <w:jc w:val="both"/>
        <w:rPr>
          <w:rFonts w:ascii="Open Sans" w:eastAsia="Open Sans" w:hAnsi="Open Sans" w:cs="Open Sans"/>
          <w:lang w:val="en-GB"/>
        </w:rPr>
      </w:pPr>
      <w:hyperlink r:id="rId12">
        <w:r w:rsidR="005A25D0" w:rsidRPr="00D81B37">
          <w:rPr>
            <w:rStyle w:val="Hyperlink"/>
            <w:rFonts w:ascii="Open Sans" w:eastAsia="Open Sans" w:hAnsi="Open Sans" w:cs="Open Sans"/>
            <w:lang w:val="en-GB"/>
          </w:rPr>
          <w:t>Santiago Declaration</w:t>
        </w:r>
      </w:hyperlink>
      <w:r w:rsidR="005A25D0" w:rsidRPr="00D81B37">
        <w:rPr>
          <w:rFonts w:ascii="Open Sans" w:eastAsia="Open Sans" w:hAnsi="Open Sans" w:cs="Open Sans"/>
          <w:lang w:val="en-GB"/>
        </w:rPr>
        <w:t xml:space="preserve"> (2022).</w:t>
      </w:r>
    </w:p>
    <w:p w14:paraId="57D5061D" w14:textId="77777777" w:rsidR="005A25D0" w:rsidRPr="00D81B37" w:rsidRDefault="005A25D0" w:rsidP="005A25D0">
      <w:pPr>
        <w:pStyle w:val="ListParagraph"/>
        <w:numPr>
          <w:ilvl w:val="0"/>
          <w:numId w:val="4"/>
        </w:numPr>
        <w:pBdr>
          <w:top w:val="nil"/>
          <w:left w:val="nil"/>
          <w:bottom w:val="nil"/>
          <w:right w:val="nil"/>
          <w:between w:val="nil"/>
          <w:bar w:val="nil"/>
        </w:pBdr>
        <w:spacing w:after="0" w:line="240" w:lineRule="auto"/>
        <w:contextualSpacing w:val="0"/>
        <w:jc w:val="both"/>
        <w:rPr>
          <w:rFonts w:ascii="Open Sans" w:eastAsia="Open Sans" w:hAnsi="Open Sans" w:cs="Open Sans"/>
          <w:lang w:val="en-GB"/>
        </w:rPr>
      </w:pPr>
      <w:r w:rsidRPr="00D81B37">
        <w:rPr>
          <w:rFonts w:ascii="Open Sans" w:eastAsia="Open Sans" w:hAnsi="Open Sans" w:cs="Open Sans"/>
          <w:lang w:val="en-GB"/>
        </w:rPr>
        <w:t xml:space="preserve">Global Initiative for Economic, Social and Cultural Rights, </w:t>
      </w:r>
      <w:hyperlink r:id="rId13">
        <w:r w:rsidRPr="00D81B37">
          <w:rPr>
            <w:rStyle w:val="Hyperlink"/>
            <w:rFonts w:ascii="Open Sans" w:eastAsia="Open Sans" w:hAnsi="Open Sans" w:cs="Open Sans"/>
            <w:lang w:val="en-GB"/>
          </w:rPr>
          <w:t>‘Compendium of United Nations Human Rights Treaty Bodies’ Statements on Private Actors in Healthcare’</w:t>
        </w:r>
      </w:hyperlink>
      <w:r w:rsidRPr="00D81B37">
        <w:rPr>
          <w:rFonts w:ascii="Open Sans" w:eastAsia="Open Sans" w:hAnsi="Open Sans" w:cs="Open Sans"/>
          <w:lang w:val="en-GB"/>
        </w:rPr>
        <w:t xml:space="preserve"> (June 2021).</w:t>
      </w:r>
    </w:p>
    <w:p w14:paraId="3724EA21" w14:textId="1DEB4400" w:rsidR="005A25D0" w:rsidRPr="00D81B37" w:rsidRDefault="005A25D0" w:rsidP="005A25D0">
      <w:pPr>
        <w:pStyle w:val="ListParagraph"/>
        <w:numPr>
          <w:ilvl w:val="0"/>
          <w:numId w:val="4"/>
        </w:numPr>
        <w:pBdr>
          <w:top w:val="nil"/>
          <w:left w:val="nil"/>
          <w:bottom w:val="nil"/>
          <w:right w:val="nil"/>
          <w:between w:val="nil"/>
          <w:bar w:val="nil"/>
        </w:pBdr>
        <w:spacing w:after="0" w:line="240" w:lineRule="auto"/>
        <w:contextualSpacing w:val="0"/>
        <w:jc w:val="both"/>
        <w:rPr>
          <w:rFonts w:ascii="Open Sans" w:eastAsia="Open Sans" w:hAnsi="Open Sans" w:cs="Open Sans"/>
          <w:lang w:val="en-GB"/>
        </w:rPr>
      </w:pPr>
      <w:r w:rsidRPr="00D81B37">
        <w:rPr>
          <w:rFonts w:ascii="Open Sans" w:eastAsia="Open Sans" w:hAnsi="Open Sans" w:cs="Open Sans"/>
          <w:lang w:val="en-GB"/>
        </w:rPr>
        <w:t>Global Initiative for Economic, Social and Cultural Rights, ‘</w:t>
      </w:r>
      <w:hyperlink r:id="rId14">
        <w:r w:rsidRPr="00D81B37">
          <w:rPr>
            <w:rStyle w:val="Hyperlink"/>
            <w:rFonts w:ascii="Open Sans" w:eastAsia="Open Sans" w:hAnsi="Open Sans" w:cs="Open Sans"/>
            <w:lang w:val="en-GB"/>
          </w:rPr>
          <w:t>States’ Human Rights Obligations regarding public services essential for the enjoyment of Economic, Social and Cultural Rights – The regional perspective</w:t>
        </w:r>
      </w:hyperlink>
      <w:r w:rsidRPr="00D81B37">
        <w:rPr>
          <w:rFonts w:ascii="Open Sans" w:eastAsia="Open Sans" w:hAnsi="Open Sans" w:cs="Open Sans"/>
          <w:lang w:val="en-GB"/>
        </w:rPr>
        <w:t xml:space="preserve">’ (September 2022). </w:t>
      </w:r>
    </w:p>
    <w:p w14:paraId="1E36C464" w14:textId="77777777" w:rsidR="005A25D0" w:rsidRPr="00D81B37" w:rsidRDefault="005A25D0" w:rsidP="005A25D0">
      <w:pPr>
        <w:pStyle w:val="ListParagraph"/>
        <w:numPr>
          <w:ilvl w:val="0"/>
          <w:numId w:val="4"/>
        </w:numPr>
        <w:pBdr>
          <w:top w:val="nil"/>
          <w:left w:val="nil"/>
          <w:bottom w:val="nil"/>
          <w:right w:val="nil"/>
          <w:between w:val="nil"/>
          <w:bar w:val="nil"/>
        </w:pBdr>
        <w:spacing w:after="0" w:line="240" w:lineRule="auto"/>
        <w:contextualSpacing w:val="0"/>
        <w:jc w:val="both"/>
        <w:rPr>
          <w:rFonts w:ascii="Open Sans" w:eastAsia="Open Sans" w:hAnsi="Open Sans" w:cs="Open Sans"/>
          <w:lang w:val="en-GB"/>
        </w:rPr>
      </w:pPr>
      <w:r w:rsidRPr="00D81B37">
        <w:rPr>
          <w:rFonts w:ascii="Open Sans" w:eastAsia="Open Sans" w:hAnsi="Open Sans" w:cs="Open Sans"/>
          <w:lang w:val="en-GB"/>
        </w:rPr>
        <w:t xml:space="preserve">Global Initiative for Economic, Social and Cultural Rights and Justice &amp; Empowerment Initiative (2022) </w:t>
      </w:r>
      <w:hyperlink r:id="rId15">
        <w:r w:rsidRPr="00D81B37">
          <w:rPr>
            <w:rStyle w:val="Hyperlink"/>
            <w:rFonts w:ascii="Open Sans" w:eastAsia="Open Sans" w:hAnsi="Open Sans" w:cs="Open Sans"/>
            <w:lang w:val="en-GB"/>
          </w:rPr>
          <w:t>‘The failure of commercialised healthcare in Nigeria during the COVID-19 pandemic. Discrimination and inequality in the enjoyment of the right to health’.</w:t>
        </w:r>
      </w:hyperlink>
      <w:r w:rsidRPr="00D81B37">
        <w:rPr>
          <w:rFonts w:ascii="Open Sans" w:eastAsia="Open Sans" w:hAnsi="Open Sans" w:cs="Open Sans"/>
          <w:lang w:val="en-GB"/>
        </w:rPr>
        <w:t xml:space="preserve"> </w:t>
      </w:r>
    </w:p>
    <w:p w14:paraId="3618DFFC" w14:textId="659C7111" w:rsidR="005A25D0" w:rsidRPr="00D81B37" w:rsidRDefault="005A25D0" w:rsidP="005A25D0">
      <w:pPr>
        <w:pStyle w:val="ListParagraph"/>
        <w:numPr>
          <w:ilvl w:val="0"/>
          <w:numId w:val="4"/>
        </w:numPr>
        <w:pBdr>
          <w:top w:val="nil"/>
          <w:left w:val="nil"/>
          <w:bottom w:val="nil"/>
          <w:right w:val="nil"/>
          <w:between w:val="nil"/>
          <w:bar w:val="nil"/>
        </w:pBdr>
        <w:spacing w:after="0" w:line="240" w:lineRule="auto"/>
        <w:contextualSpacing w:val="0"/>
        <w:jc w:val="both"/>
        <w:rPr>
          <w:rFonts w:ascii="Open Sans" w:eastAsia="Open Sans" w:hAnsi="Open Sans" w:cs="Open Sans"/>
          <w:lang w:val="en-GB"/>
        </w:rPr>
      </w:pPr>
      <w:r w:rsidRPr="00D81B37">
        <w:rPr>
          <w:rFonts w:ascii="Open Sans" w:eastAsia="Open Sans" w:hAnsi="Open Sans" w:cs="Open Sans"/>
          <w:lang w:val="en-GB"/>
        </w:rPr>
        <w:t xml:space="preserve">Global Initiative for Economic, Social and Cultural Rights, </w:t>
      </w:r>
      <w:bookmarkStart w:id="0" w:name="_Hlk131527548"/>
      <w:r w:rsidR="00307417" w:rsidRPr="00D81B37">
        <w:rPr>
          <w:lang w:val="en-GB"/>
        </w:rPr>
        <w:fldChar w:fldCharType="begin"/>
      </w:r>
      <w:r w:rsidR="00307417" w:rsidRPr="00D81B37">
        <w:rPr>
          <w:rFonts w:ascii="Open Sans" w:hAnsi="Open Sans" w:cs="Open Sans"/>
          <w:lang w:val="en-GB"/>
        </w:rPr>
        <w:instrText>HYPERLINK "https://www.gi-escr.org/publications/patients-or-customers-the-impact-of-commercialised-healthcare-on-the-right-to-health-during-the-covid-19-pandemic-in-kenya" \h</w:instrText>
      </w:r>
      <w:r w:rsidR="00307417" w:rsidRPr="00D81B37">
        <w:rPr>
          <w:lang w:val="en-GB"/>
        </w:rPr>
      </w:r>
      <w:r w:rsidR="00307417" w:rsidRPr="00D81B37">
        <w:rPr>
          <w:lang w:val="en-GB"/>
        </w:rPr>
        <w:fldChar w:fldCharType="separate"/>
      </w:r>
      <w:r w:rsidRPr="00D81B37">
        <w:rPr>
          <w:rStyle w:val="Hyperlink"/>
          <w:rFonts w:ascii="Open Sans" w:eastAsia="Open Sans" w:hAnsi="Open Sans" w:cs="Open Sans"/>
          <w:lang w:val="en-GB"/>
        </w:rPr>
        <w:t>‘Patients or Customers? The impact of Commercialised Healthcare on the Right to Health in Kenya during the COVID-19 pandemic</w:t>
      </w:r>
      <w:r w:rsidR="00307417" w:rsidRPr="00D81B37">
        <w:rPr>
          <w:rStyle w:val="Hyperlink"/>
          <w:rFonts w:ascii="Open Sans" w:eastAsia="Open Sans" w:hAnsi="Open Sans" w:cs="Open Sans"/>
          <w:lang w:val="en-GB"/>
        </w:rPr>
        <w:fldChar w:fldCharType="end"/>
      </w:r>
      <w:bookmarkEnd w:id="0"/>
      <w:r w:rsidRPr="00D81B37">
        <w:rPr>
          <w:rFonts w:ascii="Open Sans" w:eastAsia="Open Sans" w:hAnsi="Open Sans" w:cs="Open Sans"/>
          <w:lang w:val="en-GB"/>
        </w:rPr>
        <w:t xml:space="preserve">’ (2022)  </w:t>
      </w:r>
    </w:p>
    <w:p w14:paraId="3DAA7470" w14:textId="4E20E0A6" w:rsidR="005A25D0" w:rsidRPr="00D81B37" w:rsidRDefault="005A25D0" w:rsidP="005A25D0">
      <w:pPr>
        <w:pStyle w:val="ListParagraph"/>
        <w:numPr>
          <w:ilvl w:val="0"/>
          <w:numId w:val="4"/>
        </w:numPr>
        <w:pBdr>
          <w:top w:val="nil"/>
          <w:left w:val="nil"/>
          <w:bottom w:val="nil"/>
          <w:right w:val="nil"/>
          <w:between w:val="nil"/>
          <w:bar w:val="nil"/>
        </w:pBdr>
        <w:spacing w:after="0" w:line="240" w:lineRule="auto"/>
        <w:contextualSpacing w:val="0"/>
        <w:jc w:val="both"/>
        <w:rPr>
          <w:rFonts w:ascii="Open Sans" w:eastAsia="Open Sans" w:hAnsi="Open Sans" w:cs="Open Sans"/>
          <w:lang w:val="en-GB"/>
        </w:rPr>
      </w:pPr>
      <w:r w:rsidRPr="00D81B37">
        <w:rPr>
          <w:rFonts w:ascii="Open Sans" w:eastAsia="Open Sans" w:hAnsi="Open Sans" w:cs="Open Sans"/>
          <w:lang w:val="en-GB"/>
        </w:rPr>
        <w:t xml:space="preserve">New York University and </w:t>
      </w:r>
      <w:proofErr w:type="spellStart"/>
      <w:r w:rsidRPr="00D81B37">
        <w:rPr>
          <w:rFonts w:ascii="Open Sans" w:eastAsia="Open Sans" w:hAnsi="Open Sans" w:cs="Open Sans"/>
          <w:lang w:val="en-GB"/>
        </w:rPr>
        <w:t>Hakijami</w:t>
      </w:r>
      <w:proofErr w:type="spellEnd"/>
      <w:r w:rsidRPr="00D81B37">
        <w:rPr>
          <w:rFonts w:ascii="Open Sans" w:eastAsia="Open Sans" w:hAnsi="Open Sans" w:cs="Open Sans"/>
          <w:lang w:val="en-GB"/>
        </w:rPr>
        <w:t xml:space="preserve">, </w:t>
      </w:r>
      <w:hyperlink r:id="rId16" w:history="1">
        <w:r w:rsidRPr="00D81B37">
          <w:rPr>
            <w:rStyle w:val="Hyperlink"/>
            <w:rFonts w:ascii="Open Sans" w:eastAsia="Open Sans" w:hAnsi="Open Sans" w:cs="Open Sans"/>
            <w:lang w:val="en-GB"/>
          </w:rPr>
          <w:t>‘Wrong Prescriptions: the Impacts of Privatising Healthcare in Kenya’</w:t>
        </w:r>
      </w:hyperlink>
      <w:r w:rsidRPr="00D81B37">
        <w:rPr>
          <w:rFonts w:ascii="Open Sans" w:eastAsia="Open Sans" w:hAnsi="Open Sans" w:cs="Open Sans"/>
          <w:lang w:val="en-GB"/>
        </w:rPr>
        <w:t xml:space="preserve"> (2022) </w:t>
      </w:r>
    </w:p>
    <w:p w14:paraId="73558E1A" w14:textId="77777777" w:rsidR="005A25D0" w:rsidRPr="00D81B37" w:rsidRDefault="00000000" w:rsidP="005A25D0">
      <w:pPr>
        <w:pStyle w:val="ListParagraph"/>
        <w:numPr>
          <w:ilvl w:val="0"/>
          <w:numId w:val="3"/>
        </w:numPr>
        <w:pBdr>
          <w:top w:val="nil"/>
          <w:left w:val="nil"/>
          <w:bottom w:val="nil"/>
          <w:right w:val="nil"/>
          <w:between w:val="nil"/>
          <w:bar w:val="nil"/>
        </w:pBdr>
        <w:spacing w:after="0" w:line="240" w:lineRule="auto"/>
        <w:contextualSpacing w:val="0"/>
        <w:jc w:val="both"/>
        <w:rPr>
          <w:rFonts w:ascii="Open Sans" w:eastAsia="Open Sans" w:hAnsi="Open Sans" w:cs="Open Sans"/>
          <w:lang w:val="en-GB"/>
        </w:rPr>
      </w:pPr>
      <w:hyperlink r:id="rId17">
        <w:r w:rsidR="005A25D0" w:rsidRPr="00D81B37">
          <w:rPr>
            <w:rStyle w:val="Hyperlink"/>
            <w:rFonts w:ascii="Open Sans" w:eastAsia="Open Sans" w:hAnsi="Open Sans" w:cs="Open Sans"/>
            <w:lang w:val="en-GB"/>
          </w:rPr>
          <w:t>Principles for Human Rights in Fiscal Policy</w:t>
        </w:r>
      </w:hyperlink>
      <w:r w:rsidR="005A25D0" w:rsidRPr="00D81B37">
        <w:rPr>
          <w:rFonts w:ascii="Open Sans" w:eastAsia="Open Sans" w:hAnsi="Open Sans" w:cs="Open Sans"/>
          <w:lang w:val="en-GB"/>
        </w:rPr>
        <w:t xml:space="preserve"> (2022).  </w:t>
      </w:r>
    </w:p>
    <w:p w14:paraId="748A1420" w14:textId="139253E2" w:rsidR="005A25D0" w:rsidRPr="00D81B37" w:rsidRDefault="005A25D0" w:rsidP="005A25D0">
      <w:pPr>
        <w:pStyle w:val="ListParagraph"/>
        <w:numPr>
          <w:ilvl w:val="0"/>
          <w:numId w:val="3"/>
        </w:numPr>
        <w:pBdr>
          <w:top w:val="nil"/>
          <w:left w:val="nil"/>
          <w:bottom w:val="nil"/>
          <w:right w:val="nil"/>
          <w:between w:val="nil"/>
          <w:bar w:val="nil"/>
        </w:pBdr>
        <w:spacing w:after="0" w:line="240" w:lineRule="auto"/>
        <w:contextualSpacing w:val="0"/>
        <w:jc w:val="both"/>
        <w:rPr>
          <w:rFonts w:ascii="Open Sans" w:eastAsia="Open Sans" w:hAnsi="Open Sans" w:cs="Open Sans"/>
          <w:lang w:val="en-GB"/>
        </w:rPr>
      </w:pPr>
      <w:r w:rsidRPr="00D81B37">
        <w:rPr>
          <w:rFonts w:ascii="Open Sans" w:eastAsia="Open Sans" w:hAnsi="Open Sans" w:cs="Open Sans"/>
          <w:lang w:val="en-GB"/>
        </w:rPr>
        <w:t>Global Initiative for Economic, Social and Cultural Rights, ‘</w:t>
      </w:r>
      <w:hyperlink r:id="rId18">
        <w:r w:rsidRPr="00D81B37">
          <w:rPr>
            <w:rStyle w:val="Hyperlink"/>
            <w:rFonts w:ascii="Open Sans" w:eastAsia="Open Sans" w:hAnsi="Open Sans" w:cs="Open Sans"/>
            <w:lang w:val="en-GB"/>
          </w:rPr>
          <w:t>Italy’s Experience during COVID-19: the Limits of Privatisation in Healthcare</w:t>
        </w:r>
      </w:hyperlink>
      <w:r w:rsidRPr="00D81B37">
        <w:rPr>
          <w:rFonts w:ascii="Open Sans" w:eastAsia="Open Sans" w:hAnsi="Open Sans" w:cs="Open Sans"/>
          <w:lang w:val="en-GB"/>
        </w:rPr>
        <w:t xml:space="preserve">’ (2 June 2021). </w:t>
      </w:r>
    </w:p>
    <w:p w14:paraId="75062C0B" w14:textId="1C0249BB" w:rsidR="00063A48" w:rsidRPr="00D81B37" w:rsidRDefault="005A25D0" w:rsidP="00063A48">
      <w:pPr>
        <w:pStyle w:val="paragraph"/>
        <w:shd w:val="clear" w:color="auto" w:fill="FFFFFF"/>
        <w:snapToGrid w:val="0"/>
        <w:spacing w:before="120" w:beforeAutospacing="0" w:after="120" w:afterAutospacing="0" w:line="276" w:lineRule="auto"/>
        <w:jc w:val="both"/>
        <w:textAlignment w:val="baseline"/>
        <w:rPr>
          <w:rStyle w:val="markedcontent"/>
          <w:rFonts w:ascii="Open Sans" w:hAnsi="Open Sans" w:cs="Open Sans"/>
          <w:sz w:val="22"/>
          <w:szCs w:val="22"/>
          <w:lang w:val="en-GB"/>
        </w:rPr>
      </w:pPr>
      <w:r w:rsidRPr="00D81B37">
        <w:rPr>
          <w:rFonts w:ascii="Open Sans" w:eastAsia="Open Sans" w:hAnsi="Open Sans" w:cs="Open Sans"/>
          <w:b/>
          <w:bCs/>
          <w:lang w:val="en-GB"/>
        </w:rPr>
        <w:t>Contacts:</w:t>
      </w:r>
      <w:r w:rsidRPr="00D81B37">
        <w:rPr>
          <w:rFonts w:ascii="Open Sans" w:eastAsia="Open Sans" w:hAnsi="Open Sans" w:cs="Open Sans"/>
          <w:lang w:val="en-GB"/>
        </w:rPr>
        <w:t xml:space="preserve"> </w:t>
      </w:r>
      <w:proofErr w:type="spellStart"/>
      <w:r w:rsidRPr="00D81B37">
        <w:rPr>
          <w:rFonts w:ascii="Open Sans" w:eastAsia="Open Sans" w:hAnsi="Open Sans" w:cs="Open Sans"/>
          <w:lang w:val="en-GB"/>
        </w:rPr>
        <w:t>Rossella</w:t>
      </w:r>
      <w:proofErr w:type="spellEnd"/>
      <w:r w:rsidRPr="00D81B37">
        <w:rPr>
          <w:rFonts w:ascii="Open Sans" w:eastAsia="Open Sans" w:hAnsi="Open Sans" w:cs="Open Sans"/>
          <w:lang w:val="en-GB"/>
        </w:rPr>
        <w:t xml:space="preserve"> De Falco, Ph.D., Programme Officer on the Right to Health at the Global Initiative for Economic, Social and Cultural Rights –</w:t>
      </w:r>
      <w:r w:rsidR="00916352" w:rsidRPr="00D81B37">
        <w:rPr>
          <w:rFonts w:ascii="Open Sans" w:eastAsia="Open Sans" w:hAnsi="Open Sans" w:cs="Open Sans"/>
          <w:lang w:val="en-GB"/>
        </w:rPr>
        <w:t xml:space="preserve"> rossella@gi-escr.org</w:t>
      </w:r>
      <w:r w:rsidR="00063A48">
        <w:rPr>
          <w:rFonts w:ascii="Open Sans" w:eastAsia="Open Sans" w:hAnsi="Open Sans" w:cs="Open Sans"/>
          <w:lang w:val="en-GB"/>
        </w:rPr>
        <w:t>.</w:t>
      </w:r>
      <w:r w:rsidRPr="00D81B37">
        <w:rPr>
          <w:rStyle w:val="Hyperlink"/>
          <w:rFonts w:ascii="Open Sans" w:eastAsia="Open Sans" w:hAnsi="Open Sans" w:cs="Open Sans"/>
          <w:lang w:val="en-GB"/>
        </w:rPr>
        <w:t xml:space="preserve"> </w:t>
      </w:r>
    </w:p>
    <w:sectPr w:rsidR="00063A48" w:rsidRPr="00D81B37" w:rsidSect="00063A48">
      <w:headerReference w:type="default" r:id="rId19"/>
      <w:footerReference w:type="even" r:id="rId20"/>
      <w:footerReference w:type="default" r:id="rId21"/>
      <w:headerReference w:type="first" r:id="rId22"/>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4F83C" w14:textId="77777777" w:rsidR="00DE7936" w:rsidRDefault="00DE7936" w:rsidP="005A25D0">
      <w:pPr>
        <w:spacing w:after="0" w:line="240" w:lineRule="auto"/>
      </w:pPr>
      <w:r>
        <w:separator/>
      </w:r>
    </w:p>
  </w:endnote>
  <w:endnote w:type="continuationSeparator" w:id="0">
    <w:p w14:paraId="0BD6D185" w14:textId="77777777" w:rsidR="00DE7936" w:rsidRDefault="00DE7936" w:rsidP="005A2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91094344"/>
      <w:docPartObj>
        <w:docPartGallery w:val="Page Numbers (Bottom of Page)"/>
        <w:docPartUnique/>
      </w:docPartObj>
    </w:sdtPr>
    <w:sdtContent>
      <w:p w14:paraId="7E3F3BF9" w14:textId="6AA5EDFE" w:rsidR="00063A48" w:rsidRDefault="00063A48" w:rsidP="007C29A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4558E468" w14:textId="77777777" w:rsidR="00063A48" w:rsidRDefault="00063A48" w:rsidP="00063A4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09320285"/>
      <w:docPartObj>
        <w:docPartGallery w:val="Page Numbers (Bottom of Page)"/>
        <w:docPartUnique/>
      </w:docPartObj>
    </w:sdtPr>
    <w:sdtEndPr>
      <w:rPr>
        <w:rStyle w:val="PageNumber"/>
        <w:sz w:val="16"/>
        <w:szCs w:val="16"/>
      </w:rPr>
    </w:sdtEndPr>
    <w:sdtContent>
      <w:p w14:paraId="4413FA3A" w14:textId="5D1ECDDC" w:rsidR="00063A48" w:rsidRPr="00063A48" w:rsidRDefault="00063A48" w:rsidP="007C29AB">
        <w:pPr>
          <w:pStyle w:val="Footer"/>
          <w:framePr w:wrap="none" w:vAnchor="text" w:hAnchor="margin" w:xAlign="right" w:y="1"/>
          <w:rPr>
            <w:rStyle w:val="PageNumber"/>
            <w:sz w:val="16"/>
            <w:szCs w:val="16"/>
          </w:rPr>
        </w:pPr>
        <w:r w:rsidRPr="00063A48">
          <w:rPr>
            <w:rStyle w:val="PageNumber"/>
            <w:sz w:val="16"/>
            <w:szCs w:val="16"/>
          </w:rPr>
          <w:fldChar w:fldCharType="begin"/>
        </w:r>
        <w:r w:rsidRPr="00063A48">
          <w:rPr>
            <w:rStyle w:val="PageNumber"/>
            <w:sz w:val="16"/>
            <w:szCs w:val="16"/>
          </w:rPr>
          <w:instrText xml:space="preserve"> PAGE </w:instrText>
        </w:r>
        <w:r w:rsidRPr="00063A48">
          <w:rPr>
            <w:rStyle w:val="PageNumber"/>
            <w:sz w:val="16"/>
            <w:szCs w:val="16"/>
          </w:rPr>
          <w:fldChar w:fldCharType="separate"/>
        </w:r>
        <w:r w:rsidRPr="00063A48">
          <w:rPr>
            <w:rStyle w:val="PageNumber"/>
            <w:noProof/>
            <w:sz w:val="16"/>
            <w:szCs w:val="16"/>
          </w:rPr>
          <w:t>6</w:t>
        </w:r>
        <w:r w:rsidRPr="00063A48">
          <w:rPr>
            <w:rStyle w:val="PageNumber"/>
            <w:sz w:val="16"/>
            <w:szCs w:val="16"/>
          </w:rPr>
          <w:fldChar w:fldCharType="end"/>
        </w:r>
      </w:p>
    </w:sdtContent>
  </w:sdt>
  <w:p w14:paraId="52C07C0B" w14:textId="62743A5D" w:rsidR="002C0F09" w:rsidRDefault="002C0F09" w:rsidP="00063A48">
    <w:pPr>
      <w:pStyle w:val="Footer"/>
      <w:ind w:right="360"/>
      <w:jc w:val="center"/>
    </w:pPr>
  </w:p>
  <w:p w14:paraId="2494487C" w14:textId="77777777" w:rsidR="002C0F09" w:rsidRDefault="002C0F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44F09" w14:textId="77777777" w:rsidR="00DE7936" w:rsidRDefault="00DE7936" w:rsidP="005A25D0">
      <w:pPr>
        <w:spacing w:after="0" w:line="240" w:lineRule="auto"/>
      </w:pPr>
      <w:r>
        <w:separator/>
      </w:r>
    </w:p>
  </w:footnote>
  <w:footnote w:type="continuationSeparator" w:id="0">
    <w:p w14:paraId="608655D6" w14:textId="77777777" w:rsidR="00DE7936" w:rsidRDefault="00DE7936" w:rsidP="005A25D0">
      <w:pPr>
        <w:spacing w:after="0" w:line="240" w:lineRule="auto"/>
      </w:pPr>
      <w:r>
        <w:continuationSeparator/>
      </w:r>
    </w:p>
  </w:footnote>
  <w:footnote w:id="1">
    <w:p w14:paraId="12BB9A0A" w14:textId="79252C90" w:rsidR="008A4906" w:rsidRPr="00D81B37" w:rsidRDefault="008A4906" w:rsidP="000D560B">
      <w:pPr>
        <w:pStyle w:val="FootnoteText"/>
        <w:jc w:val="both"/>
        <w:rPr>
          <w:rFonts w:ascii="Open Sans" w:hAnsi="Open Sans" w:cs="Open Sans"/>
          <w:sz w:val="18"/>
          <w:szCs w:val="18"/>
        </w:rPr>
      </w:pPr>
      <w:r w:rsidRPr="00D81B37">
        <w:rPr>
          <w:rStyle w:val="FootnoteReference"/>
          <w:rFonts w:ascii="Open Sans" w:hAnsi="Open Sans" w:cs="Open Sans"/>
          <w:sz w:val="18"/>
          <w:szCs w:val="18"/>
        </w:rPr>
        <w:footnoteRef/>
      </w:r>
      <w:r w:rsidR="00890DE5" w:rsidRPr="00D81B37">
        <w:rPr>
          <w:rFonts w:ascii="Open Sans" w:hAnsi="Open Sans" w:cs="Open Sans"/>
          <w:sz w:val="18"/>
          <w:szCs w:val="18"/>
        </w:rPr>
        <w:t xml:space="preserve"> International Covenant on Economic, Social and Cultural Rights (adopted 16 December 1966, entered into force 3 January 1976) 999 UNTS 3 (ICESCR) Art. 12</w:t>
      </w:r>
      <w:r w:rsidR="000D560B" w:rsidRPr="00D81B37">
        <w:rPr>
          <w:rFonts w:ascii="Open Sans" w:hAnsi="Open Sans" w:cs="Open Sans"/>
          <w:sz w:val="18"/>
          <w:szCs w:val="18"/>
        </w:rPr>
        <w:t xml:space="preserve">. </w:t>
      </w:r>
      <w:r w:rsidR="00890DE5" w:rsidRPr="00D81B37">
        <w:rPr>
          <w:rStyle w:val="markedcontent"/>
          <w:rFonts w:ascii="Open Sans" w:hAnsi="Open Sans" w:cs="Open Sans"/>
          <w:sz w:val="18"/>
          <w:szCs w:val="18"/>
        </w:rPr>
        <w:t>CESCR, ‘General Comment No. 14, The right to the highest attainable standard of health (article 12 of the Covenant)’ (11 August 2000) E/C.12/2000/4, para. 32</w:t>
      </w:r>
      <w:r w:rsidR="00790074" w:rsidRPr="00D81B37">
        <w:rPr>
          <w:rStyle w:val="markedcontent"/>
          <w:rFonts w:ascii="Open Sans" w:hAnsi="Open Sans" w:cs="Open Sans"/>
          <w:sz w:val="18"/>
          <w:szCs w:val="18"/>
        </w:rPr>
        <w:t>.</w:t>
      </w:r>
    </w:p>
  </w:footnote>
  <w:footnote w:id="2">
    <w:p w14:paraId="2E733C3A" w14:textId="48DC368A" w:rsidR="00210F5E" w:rsidRPr="00D81B37" w:rsidRDefault="00210F5E" w:rsidP="000D560B">
      <w:pPr>
        <w:pStyle w:val="FootnoteText"/>
        <w:jc w:val="both"/>
        <w:rPr>
          <w:rFonts w:ascii="Open Sans" w:hAnsi="Open Sans" w:cs="Open Sans"/>
          <w:sz w:val="18"/>
          <w:szCs w:val="18"/>
        </w:rPr>
      </w:pPr>
      <w:r w:rsidRPr="00D81B37">
        <w:rPr>
          <w:rStyle w:val="FootnoteReference"/>
          <w:rFonts w:ascii="Open Sans" w:hAnsi="Open Sans" w:cs="Open Sans"/>
          <w:sz w:val="18"/>
          <w:szCs w:val="18"/>
        </w:rPr>
        <w:footnoteRef/>
      </w:r>
      <w:r w:rsidRPr="00D81B37">
        <w:rPr>
          <w:rFonts w:ascii="Open Sans" w:hAnsi="Open Sans" w:cs="Open Sans"/>
          <w:sz w:val="18"/>
          <w:szCs w:val="18"/>
        </w:rPr>
        <w:t xml:space="preserve"> </w:t>
      </w:r>
      <w:r w:rsidR="00627BE0" w:rsidRPr="00D81B37">
        <w:rPr>
          <w:rStyle w:val="markedcontent"/>
          <w:rFonts w:ascii="Open Sans" w:hAnsi="Open Sans" w:cs="Open Sans"/>
          <w:sz w:val="18"/>
          <w:szCs w:val="18"/>
        </w:rPr>
        <w:t xml:space="preserve">GI-ESCR, ‘Compendium of United Nations Human Rights Treaty Bodies’ Statements on Private Actors in Healthcare’ (June 2021) </w:t>
      </w:r>
      <w:hyperlink r:id="rId1" w:history="1">
        <w:r w:rsidR="00627BE0" w:rsidRPr="00D81B37">
          <w:rPr>
            <w:rStyle w:val="Hyperlink"/>
            <w:rFonts w:ascii="Open Sans" w:hAnsi="Open Sans" w:cs="Open Sans"/>
            <w:sz w:val="18"/>
            <w:szCs w:val="18"/>
          </w:rPr>
          <w:t>https://www.gi-escr.org/publications/compendium-of-united-nations-human-rights-treaty-bodies-state-ments-on-private-actors-in-healthcare</w:t>
        </w:r>
      </w:hyperlink>
      <w:r w:rsidR="00627BE0" w:rsidRPr="00D81B37">
        <w:rPr>
          <w:rStyle w:val="markedcontent"/>
          <w:rFonts w:ascii="Open Sans" w:hAnsi="Open Sans" w:cs="Open Sans"/>
          <w:sz w:val="18"/>
          <w:szCs w:val="18"/>
        </w:rPr>
        <w:t xml:space="preserve">. Accessed </w:t>
      </w:r>
      <w:r w:rsidR="00C43768" w:rsidRPr="00D81B37">
        <w:rPr>
          <w:rStyle w:val="markedcontent"/>
          <w:rFonts w:ascii="Open Sans" w:hAnsi="Open Sans" w:cs="Open Sans"/>
          <w:sz w:val="18"/>
          <w:szCs w:val="18"/>
        </w:rPr>
        <w:t>March</w:t>
      </w:r>
      <w:r w:rsidR="00627BE0" w:rsidRPr="00D81B37">
        <w:rPr>
          <w:rStyle w:val="markedcontent"/>
          <w:rFonts w:ascii="Open Sans" w:hAnsi="Open Sans" w:cs="Open Sans"/>
          <w:sz w:val="18"/>
          <w:szCs w:val="18"/>
        </w:rPr>
        <w:t xml:space="preserve"> 202</w:t>
      </w:r>
      <w:r w:rsidR="00C43768" w:rsidRPr="00D81B37">
        <w:rPr>
          <w:rStyle w:val="markedcontent"/>
          <w:rFonts w:ascii="Open Sans" w:hAnsi="Open Sans" w:cs="Open Sans"/>
          <w:sz w:val="18"/>
          <w:szCs w:val="18"/>
        </w:rPr>
        <w:t>3</w:t>
      </w:r>
      <w:r w:rsidR="00627BE0" w:rsidRPr="00D81B37">
        <w:rPr>
          <w:rStyle w:val="markedcontent"/>
          <w:rFonts w:ascii="Open Sans" w:hAnsi="Open Sans" w:cs="Open Sans"/>
          <w:sz w:val="18"/>
          <w:szCs w:val="18"/>
        </w:rPr>
        <w:t>.</w:t>
      </w:r>
    </w:p>
  </w:footnote>
  <w:footnote w:id="3">
    <w:p w14:paraId="0577E50A" w14:textId="77777777" w:rsidR="00796036" w:rsidRPr="00D81B37" w:rsidRDefault="00796036" w:rsidP="00796036">
      <w:pPr>
        <w:pStyle w:val="FootnoteText"/>
        <w:rPr>
          <w:rFonts w:ascii="Open Sans" w:hAnsi="Open Sans" w:cs="Open Sans"/>
          <w:sz w:val="18"/>
          <w:szCs w:val="18"/>
        </w:rPr>
      </w:pPr>
      <w:r w:rsidRPr="00D81B37">
        <w:rPr>
          <w:rStyle w:val="FootnoteReference"/>
          <w:rFonts w:ascii="Open Sans" w:hAnsi="Open Sans" w:cs="Open Sans"/>
          <w:sz w:val="18"/>
          <w:szCs w:val="18"/>
        </w:rPr>
        <w:footnoteRef/>
      </w:r>
      <w:r w:rsidRPr="00D81B37">
        <w:rPr>
          <w:rFonts w:ascii="Open Sans" w:hAnsi="Open Sans" w:cs="Open Sans"/>
          <w:sz w:val="18"/>
          <w:szCs w:val="18"/>
        </w:rPr>
        <w:t xml:space="preserve"> </w:t>
      </w:r>
      <w:r w:rsidRPr="00D81B37">
        <w:rPr>
          <w:rStyle w:val="markedcontent"/>
          <w:rFonts w:ascii="Open Sans" w:hAnsi="Open Sans" w:cs="Open Sans"/>
          <w:sz w:val="18"/>
          <w:szCs w:val="18"/>
        </w:rPr>
        <w:t>African Commission on Human and Peoples’ Rights, ‘Resolution on States’ Obligation to Regulate Private Actors Involved in the</w:t>
      </w:r>
      <w:r w:rsidRPr="00D81B37">
        <w:rPr>
          <w:rFonts w:ascii="Open Sans" w:hAnsi="Open Sans" w:cs="Open Sans"/>
          <w:sz w:val="18"/>
          <w:szCs w:val="18"/>
        </w:rPr>
        <w:t xml:space="preserve"> </w:t>
      </w:r>
      <w:r w:rsidRPr="00D81B37">
        <w:rPr>
          <w:rStyle w:val="markedcontent"/>
          <w:rFonts w:ascii="Open Sans" w:hAnsi="Open Sans" w:cs="Open Sans"/>
          <w:sz w:val="18"/>
          <w:szCs w:val="18"/>
        </w:rPr>
        <w:t xml:space="preserve">Provision of Health and Education Services’ (2019) Res. 420 (LXIV) </w:t>
      </w:r>
      <w:hyperlink r:id="rId2" w:history="1">
        <w:r w:rsidRPr="00D81B37">
          <w:rPr>
            <w:rStyle w:val="Hyperlink"/>
            <w:rFonts w:ascii="Open Sans" w:hAnsi="Open Sans" w:cs="Open Sans"/>
            <w:sz w:val="18"/>
            <w:szCs w:val="18"/>
          </w:rPr>
          <w:t>https://www.achpr.org/sessions/resolutions?id=444</w:t>
        </w:r>
      </w:hyperlink>
      <w:r w:rsidRPr="00D81B37">
        <w:rPr>
          <w:rStyle w:val="markedcontent"/>
          <w:rFonts w:ascii="Open Sans" w:hAnsi="Open Sans" w:cs="Open Sans"/>
          <w:sz w:val="18"/>
          <w:szCs w:val="18"/>
        </w:rPr>
        <w:t>. Accessed 14</w:t>
      </w:r>
      <w:r w:rsidRPr="00D81B37">
        <w:rPr>
          <w:rFonts w:ascii="Open Sans" w:hAnsi="Open Sans" w:cs="Open Sans"/>
          <w:sz w:val="18"/>
          <w:szCs w:val="18"/>
        </w:rPr>
        <w:t xml:space="preserve"> </w:t>
      </w:r>
      <w:r w:rsidRPr="00D81B37">
        <w:rPr>
          <w:rStyle w:val="markedcontent"/>
          <w:rFonts w:ascii="Open Sans" w:hAnsi="Open Sans" w:cs="Open Sans"/>
          <w:sz w:val="18"/>
          <w:szCs w:val="18"/>
        </w:rPr>
        <w:t>March 2022.</w:t>
      </w:r>
    </w:p>
  </w:footnote>
  <w:footnote w:id="4">
    <w:p w14:paraId="54E1C1A4" w14:textId="515AA266" w:rsidR="00176977" w:rsidRPr="00D81B37" w:rsidRDefault="00176977" w:rsidP="00176977">
      <w:pPr>
        <w:pStyle w:val="FootnoteText"/>
        <w:rPr>
          <w:rFonts w:ascii="Open Sans" w:hAnsi="Open Sans" w:cs="Open Sans"/>
          <w:sz w:val="18"/>
          <w:szCs w:val="18"/>
        </w:rPr>
      </w:pPr>
      <w:r w:rsidRPr="00D81B37">
        <w:rPr>
          <w:rStyle w:val="FootnoteReference"/>
          <w:rFonts w:ascii="Open Sans" w:hAnsi="Open Sans" w:cs="Open Sans"/>
          <w:sz w:val="18"/>
          <w:szCs w:val="18"/>
        </w:rPr>
        <w:footnoteRef/>
      </w:r>
      <w:r w:rsidRPr="00D81B37">
        <w:rPr>
          <w:rFonts w:ascii="Open Sans" w:hAnsi="Open Sans" w:cs="Open Sans"/>
          <w:sz w:val="18"/>
          <w:szCs w:val="18"/>
        </w:rPr>
        <w:t xml:space="preserve"> </w:t>
      </w:r>
      <w:proofErr w:type="spellStart"/>
      <w:r w:rsidRPr="00D81B37">
        <w:rPr>
          <w:rFonts w:ascii="Open Sans" w:hAnsi="Open Sans" w:cs="Open Sans"/>
          <w:sz w:val="18"/>
          <w:szCs w:val="18"/>
        </w:rPr>
        <w:t>Abiiro</w:t>
      </w:r>
      <w:proofErr w:type="spellEnd"/>
      <w:r w:rsidRPr="00D81B37">
        <w:rPr>
          <w:rFonts w:ascii="Open Sans" w:hAnsi="Open Sans" w:cs="Open Sans"/>
          <w:sz w:val="18"/>
          <w:szCs w:val="18"/>
        </w:rPr>
        <w:t xml:space="preserve">, Gilbert </w:t>
      </w:r>
      <w:proofErr w:type="spellStart"/>
      <w:r w:rsidRPr="00D81B37">
        <w:rPr>
          <w:rFonts w:ascii="Open Sans" w:hAnsi="Open Sans" w:cs="Open Sans"/>
          <w:sz w:val="18"/>
          <w:szCs w:val="18"/>
        </w:rPr>
        <w:t>Abotisem</w:t>
      </w:r>
      <w:proofErr w:type="spellEnd"/>
      <w:r w:rsidRPr="00D81B37">
        <w:rPr>
          <w:rFonts w:ascii="Open Sans" w:hAnsi="Open Sans" w:cs="Open Sans"/>
          <w:sz w:val="18"/>
          <w:szCs w:val="18"/>
        </w:rPr>
        <w:t xml:space="preserve"> and Manuela De Allegri</w:t>
      </w:r>
      <w:r w:rsidR="000D560B" w:rsidRPr="00D81B37">
        <w:rPr>
          <w:rFonts w:ascii="Open Sans" w:hAnsi="Open Sans" w:cs="Open Sans"/>
          <w:sz w:val="18"/>
          <w:szCs w:val="18"/>
        </w:rPr>
        <w:t xml:space="preserve"> (2015) ‘</w:t>
      </w:r>
      <w:r w:rsidRPr="00D81B37">
        <w:rPr>
          <w:rFonts w:ascii="Open Sans" w:hAnsi="Open Sans" w:cs="Open Sans"/>
          <w:sz w:val="18"/>
          <w:szCs w:val="18"/>
        </w:rPr>
        <w:t>Universal Health Coverage from Multiple Perspectives: A Synthesis of Conceptual Literature and Global Debates</w:t>
      </w:r>
      <w:r w:rsidR="000D560B" w:rsidRPr="00D81B37">
        <w:rPr>
          <w:rFonts w:ascii="Open Sans" w:hAnsi="Open Sans" w:cs="Open Sans"/>
          <w:sz w:val="18"/>
          <w:szCs w:val="18"/>
        </w:rPr>
        <w:t>’,</w:t>
      </w:r>
      <w:r w:rsidRPr="00D81B37">
        <w:rPr>
          <w:rFonts w:ascii="Open Sans" w:hAnsi="Open Sans" w:cs="Open Sans"/>
          <w:sz w:val="18"/>
          <w:szCs w:val="18"/>
        </w:rPr>
        <w:t xml:space="preserve"> </w:t>
      </w:r>
      <w:r w:rsidRPr="00D81B37">
        <w:rPr>
          <w:rFonts w:ascii="Open Sans" w:hAnsi="Open Sans" w:cs="Open Sans"/>
          <w:i/>
          <w:iCs/>
          <w:sz w:val="18"/>
          <w:szCs w:val="18"/>
        </w:rPr>
        <w:t xml:space="preserve">BMC International </w:t>
      </w:r>
      <w:proofErr w:type="gramStart"/>
      <w:r w:rsidRPr="00D81B37">
        <w:rPr>
          <w:rFonts w:ascii="Open Sans" w:hAnsi="Open Sans" w:cs="Open Sans"/>
          <w:i/>
          <w:iCs/>
          <w:sz w:val="18"/>
          <w:szCs w:val="18"/>
        </w:rPr>
        <w:t>Health</w:t>
      </w:r>
      <w:proofErr w:type="gramEnd"/>
      <w:r w:rsidRPr="00D81B37">
        <w:rPr>
          <w:rFonts w:ascii="Open Sans" w:hAnsi="Open Sans" w:cs="Open Sans"/>
          <w:i/>
          <w:iCs/>
          <w:sz w:val="18"/>
          <w:szCs w:val="18"/>
        </w:rPr>
        <w:t xml:space="preserve"> and Human Rights 15</w:t>
      </w:r>
      <w:r w:rsidRPr="00D81B37">
        <w:rPr>
          <w:rFonts w:ascii="Open Sans" w:hAnsi="Open Sans" w:cs="Open Sans"/>
          <w:sz w:val="18"/>
          <w:szCs w:val="18"/>
        </w:rPr>
        <w:t>,</w:t>
      </w:r>
      <w:r w:rsidR="000D560B" w:rsidRPr="00D81B37">
        <w:rPr>
          <w:rFonts w:ascii="Open Sans" w:hAnsi="Open Sans" w:cs="Open Sans"/>
          <w:sz w:val="18"/>
          <w:szCs w:val="18"/>
        </w:rPr>
        <w:t xml:space="preserve"> 1(17)</w:t>
      </w:r>
      <w:r w:rsidRPr="00D81B37">
        <w:rPr>
          <w:rFonts w:ascii="Open Sans" w:hAnsi="Open Sans" w:cs="Open Sans"/>
          <w:sz w:val="18"/>
          <w:szCs w:val="18"/>
        </w:rPr>
        <w:t xml:space="preserve">. </w:t>
      </w:r>
    </w:p>
  </w:footnote>
  <w:footnote w:id="5">
    <w:p w14:paraId="0F600F1F" w14:textId="589CF765" w:rsidR="00B9300F" w:rsidRPr="00D81B37" w:rsidRDefault="00B9300F">
      <w:pPr>
        <w:pStyle w:val="FootnoteText"/>
        <w:rPr>
          <w:rFonts w:ascii="Open Sans" w:hAnsi="Open Sans" w:cs="Open Sans"/>
          <w:sz w:val="18"/>
          <w:szCs w:val="18"/>
        </w:rPr>
      </w:pPr>
      <w:r w:rsidRPr="00D81B37">
        <w:rPr>
          <w:rStyle w:val="FootnoteReference"/>
          <w:rFonts w:ascii="Open Sans" w:hAnsi="Open Sans" w:cs="Open Sans"/>
          <w:sz w:val="18"/>
          <w:szCs w:val="18"/>
        </w:rPr>
        <w:footnoteRef/>
      </w:r>
      <w:r w:rsidRPr="00D81B37">
        <w:rPr>
          <w:rFonts w:ascii="Open Sans" w:hAnsi="Open Sans" w:cs="Open Sans"/>
          <w:sz w:val="18"/>
          <w:szCs w:val="18"/>
        </w:rPr>
        <w:t xml:space="preserve"> W</w:t>
      </w:r>
      <w:r w:rsidR="000D560B" w:rsidRPr="00D81B37">
        <w:rPr>
          <w:rFonts w:ascii="Open Sans" w:hAnsi="Open Sans" w:cs="Open Sans"/>
          <w:sz w:val="18"/>
          <w:szCs w:val="18"/>
        </w:rPr>
        <w:t>HO, (2013)</w:t>
      </w:r>
      <w:r w:rsidRPr="00D81B37">
        <w:rPr>
          <w:rFonts w:ascii="Open Sans" w:hAnsi="Open Sans" w:cs="Open Sans"/>
          <w:sz w:val="18"/>
          <w:szCs w:val="18"/>
        </w:rPr>
        <w:t xml:space="preserve"> </w:t>
      </w:r>
      <w:r w:rsidRPr="00D81B37">
        <w:rPr>
          <w:rFonts w:ascii="Open Sans" w:hAnsi="Open Sans" w:cs="Open Sans"/>
          <w:i/>
          <w:iCs/>
          <w:sz w:val="18"/>
          <w:szCs w:val="18"/>
        </w:rPr>
        <w:t>Positioning health in the post-2015 development agenda.</w:t>
      </w:r>
      <w:r w:rsidRPr="00D81B37">
        <w:rPr>
          <w:rFonts w:ascii="Open Sans" w:hAnsi="Open Sans" w:cs="Open Sans"/>
          <w:sz w:val="18"/>
          <w:szCs w:val="18"/>
        </w:rPr>
        <w:t xml:space="preserve"> Geneva: World Health Organization.</w:t>
      </w:r>
    </w:p>
  </w:footnote>
  <w:footnote w:id="6">
    <w:p w14:paraId="0B13C75E" w14:textId="5F89AF6A" w:rsidR="00176977" w:rsidRPr="00D81B37" w:rsidRDefault="00176977">
      <w:pPr>
        <w:pStyle w:val="FootnoteText"/>
        <w:rPr>
          <w:rFonts w:ascii="Open Sans" w:hAnsi="Open Sans" w:cs="Open Sans"/>
          <w:sz w:val="18"/>
          <w:szCs w:val="18"/>
        </w:rPr>
      </w:pPr>
      <w:r w:rsidRPr="00D81B37">
        <w:rPr>
          <w:rStyle w:val="FootnoteReference"/>
          <w:rFonts w:ascii="Open Sans" w:hAnsi="Open Sans" w:cs="Open Sans"/>
          <w:sz w:val="18"/>
          <w:szCs w:val="18"/>
        </w:rPr>
        <w:footnoteRef/>
      </w:r>
      <w:r w:rsidRPr="00D81B37">
        <w:rPr>
          <w:rFonts w:ascii="Open Sans" w:hAnsi="Open Sans" w:cs="Open Sans"/>
          <w:sz w:val="18"/>
          <w:szCs w:val="18"/>
        </w:rPr>
        <w:t xml:space="preserve"> </w:t>
      </w:r>
      <w:r w:rsidR="00871613" w:rsidRPr="00D81B37">
        <w:rPr>
          <w:rFonts w:ascii="Open Sans" w:hAnsi="Open Sans" w:cs="Open Sans"/>
          <w:sz w:val="18"/>
          <w:szCs w:val="18"/>
        </w:rPr>
        <w:t>Audrey Chapman (2016) ‘</w:t>
      </w:r>
      <w:r w:rsidRPr="00D81B37">
        <w:rPr>
          <w:rFonts w:ascii="Open Sans" w:hAnsi="Open Sans" w:cs="Open Sans"/>
          <w:sz w:val="18"/>
          <w:szCs w:val="18"/>
        </w:rPr>
        <w:t>The Contributions of Human Rights to Universal Health Coverage</w:t>
      </w:r>
      <w:r w:rsidR="00871613" w:rsidRPr="00D81B37">
        <w:rPr>
          <w:rFonts w:ascii="Open Sans" w:hAnsi="Open Sans" w:cs="Open Sans"/>
          <w:i/>
          <w:iCs/>
          <w:sz w:val="18"/>
          <w:szCs w:val="18"/>
        </w:rPr>
        <w:t>’</w:t>
      </w:r>
      <w:r w:rsidR="00387CAB" w:rsidRPr="00D81B37">
        <w:rPr>
          <w:rFonts w:ascii="Open Sans" w:hAnsi="Open Sans" w:cs="Open Sans"/>
          <w:i/>
          <w:iCs/>
          <w:sz w:val="18"/>
          <w:szCs w:val="18"/>
        </w:rPr>
        <w:t>,</w:t>
      </w:r>
      <w:r w:rsidRPr="00D81B37">
        <w:rPr>
          <w:rFonts w:ascii="Open Sans" w:hAnsi="Open Sans" w:cs="Open Sans"/>
          <w:i/>
          <w:iCs/>
          <w:sz w:val="18"/>
          <w:szCs w:val="18"/>
        </w:rPr>
        <w:t xml:space="preserve"> </w:t>
      </w:r>
      <w:r w:rsidR="00871613" w:rsidRPr="00D81B37">
        <w:rPr>
          <w:rFonts w:ascii="Open Sans" w:hAnsi="Open Sans" w:cs="Open Sans"/>
          <w:i/>
          <w:iCs/>
          <w:sz w:val="18"/>
          <w:szCs w:val="18"/>
        </w:rPr>
        <w:t>Health and Human Rights Journal</w:t>
      </w:r>
      <w:r w:rsidR="00871613" w:rsidRPr="00D81B37">
        <w:rPr>
          <w:rFonts w:ascii="Open Sans" w:hAnsi="Open Sans" w:cs="Open Sans"/>
          <w:sz w:val="18"/>
          <w:szCs w:val="18"/>
        </w:rPr>
        <w:t xml:space="preserve"> 1</w:t>
      </w:r>
      <w:r w:rsidRPr="00D81B37">
        <w:rPr>
          <w:rFonts w:ascii="Open Sans" w:hAnsi="Open Sans" w:cs="Open Sans"/>
          <w:sz w:val="18"/>
          <w:szCs w:val="18"/>
        </w:rPr>
        <w:t>8</w:t>
      </w:r>
      <w:r w:rsidR="00871613" w:rsidRPr="00D81B37">
        <w:rPr>
          <w:rFonts w:ascii="Open Sans" w:hAnsi="Open Sans" w:cs="Open Sans"/>
          <w:sz w:val="18"/>
          <w:szCs w:val="18"/>
        </w:rPr>
        <w:t>(2)</w:t>
      </w:r>
      <w:r w:rsidRPr="00D81B37">
        <w:rPr>
          <w:rFonts w:ascii="Open Sans" w:hAnsi="Open Sans" w:cs="Open Sans"/>
          <w:sz w:val="18"/>
          <w:szCs w:val="18"/>
        </w:rPr>
        <w:t>.</w:t>
      </w:r>
    </w:p>
  </w:footnote>
  <w:footnote w:id="7">
    <w:p w14:paraId="2FF0B976" w14:textId="6D595EA5" w:rsidR="000D560B" w:rsidRPr="00D81B37" w:rsidRDefault="000D560B">
      <w:pPr>
        <w:pStyle w:val="FootnoteText"/>
        <w:rPr>
          <w:rFonts w:ascii="Open Sans" w:hAnsi="Open Sans" w:cs="Open Sans"/>
          <w:sz w:val="18"/>
          <w:szCs w:val="18"/>
        </w:rPr>
      </w:pPr>
      <w:r w:rsidRPr="00D81B37">
        <w:rPr>
          <w:rStyle w:val="FootnoteReference"/>
          <w:rFonts w:ascii="Open Sans" w:hAnsi="Open Sans" w:cs="Open Sans"/>
          <w:sz w:val="18"/>
          <w:szCs w:val="18"/>
        </w:rPr>
        <w:footnoteRef/>
      </w:r>
      <w:r w:rsidRPr="00D81B37">
        <w:rPr>
          <w:rFonts w:ascii="Open Sans" w:hAnsi="Open Sans" w:cs="Open Sans"/>
          <w:sz w:val="18"/>
          <w:szCs w:val="18"/>
        </w:rPr>
        <w:t xml:space="preserve"> </w:t>
      </w:r>
      <w:proofErr w:type="spellStart"/>
      <w:r w:rsidRPr="00D81B37">
        <w:rPr>
          <w:rFonts w:ascii="Open Sans" w:hAnsi="Open Sans" w:cs="Open Sans"/>
          <w:sz w:val="18"/>
          <w:szCs w:val="18"/>
        </w:rPr>
        <w:t>Dainius</w:t>
      </w:r>
      <w:proofErr w:type="spellEnd"/>
      <w:r w:rsidRPr="00D81B37">
        <w:rPr>
          <w:rFonts w:ascii="Open Sans" w:hAnsi="Open Sans" w:cs="Open Sans"/>
          <w:sz w:val="18"/>
          <w:szCs w:val="18"/>
        </w:rPr>
        <w:t xml:space="preserve"> </w:t>
      </w:r>
      <w:proofErr w:type="spellStart"/>
      <w:r w:rsidRPr="00D81B37">
        <w:rPr>
          <w:rFonts w:ascii="Open Sans" w:hAnsi="Open Sans" w:cs="Open Sans"/>
          <w:sz w:val="18"/>
          <w:szCs w:val="18"/>
        </w:rPr>
        <w:t>Puras</w:t>
      </w:r>
      <w:proofErr w:type="spellEnd"/>
      <w:r w:rsidRPr="00D81B37">
        <w:rPr>
          <w:rFonts w:ascii="Open Sans" w:hAnsi="Open Sans" w:cs="Open Sans"/>
          <w:sz w:val="18"/>
          <w:szCs w:val="18"/>
        </w:rPr>
        <w:t>, (2016) ‘Report of the Special Rapporteur on the right of everyone to the enjoyment of the highest attainable standard of physical and mental health to the UN General Assembly on the 2030 Agenda for Sustainable Development and the Sustainable Development Goals’, UN Doc. A/71/150. para. 17.</w:t>
      </w:r>
    </w:p>
  </w:footnote>
  <w:footnote w:id="8">
    <w:p w14:paraId="23060AEA" w14:textId="77777777" w:rsidR="00871613" w:rsidRPr="00D81B37" w:rsidRDefault="00871613" w:rsidP="00871613">
      <w:pPr>
        <w:pStyle w:val="FootnoteText"/>
        <w:rPr>
          <w:rFonts w:ascii="Open Sans" w:hAnsi="Open Sans" w:cs="Open Sans"/>
          <w:sz w:val="18"/>
          <w:szCs w:val="18"/>
        </w:rPr>
      </w:pPr>
      <w:r w:rsidRPr="00D81B37">
        <w:rPr>
          <w:rStyle w:val="FootnoteReference"/>
          <w:rFonts w:ascii="Open Sans" w:hAnsi="Open Sans" w:cs="Open Sans"/>
          <w:sz w:val="18"/>
          <w:szCs w:val="18"/>
        </w:rPr>
        <w:footnoteRef/>
      </w:r>
      <w:r w:rsidRPr="00D81B37">
        <w:rPr>
          <w:rFonts w:ascii="Open Sans" w:hAnsi="Open Sans" w:cs="Open Sans"/>
          <w:sz w:val="18"/>
          <w:szCs w:val="18"/>
        </w:rPr>
        <w:t xml:space="preserve"> Ibid.</w:t>
      </w:r>
    </w:p>
  </w:footnote>
  <w:footnote w:id="9">
    <w:p w14:paraId="49831CDA" w14:textId="4D5ACCFD" w:rsidR="00871613" w:rsidRPr="00D81B37" w:rsidRDefault="00871613">
      <w:pPr>
        <w:pStyle w:val="FootnoteText"/>
        <w:rPr>
          <w:rFonts w:ascii="Open Sans" w:hAnsi="Open Sans" w:cs="Open Sans"/>
          <w:sz w:val="18"/>
          <w:szCs w:val="18"/>
        </w:rPr>
      </w:pPr>
      <w:r w:rsidRPr="00D81B37">
        <w:rPr>
          <w:rStyle w:val="FootnoteReference"/>
          <w:rFonts w:ascii="Open Sans" w:hAnsi="Open Sans" w:cs="Open Sans"/>
          <w:sz w:val="18"/>
          <w:szCs w:val="18"/>
        </w:rPr>
        <w:footnoteRef/>
      </w:r>
      <w:r w:rsidRPr="00D81B37">
        <w:rPr>
          <w:rFonts w:ascii="Open Sans" w:hAnsi="Open Sans" w:cs="Open Sans"/>
          <w:sz w:val="18"/>
          <w:szCs w:val="18"/>
        </w:rPr>
        <w:t xml:space="preserve"> Audrey Chapman (2016)</w:t>
      </w:r>
      <w:r w:rsidR="000D560B" w:rsidRPr="00D81B37">
        <w:rPr>
          <w:rFonts w:ascii="Open Sans" w:hAnsi="Open Sans" w:cs="Open Sans"/>
          <w:sz w:val="18"/>
          <w:szCs w:val="18"/>
        </w:rPr>
        <w:t xml:space="preserve">, see note 6. </w:t>
      </w:r>
    </w:p>
  </w:footnote>
  <w:footnote w:id="10">
    <w:p w14:paraId="2137C6D2" w14:textId="2F76D9E8" w:rsidR="00F66FD8" w:rsidRPr="00D81B37" w:rsidRDefault="00F66FD8">
      <w:pPr>
        <w:pStyle w:val="FootnoteText"/>
        <w:rPr>
          <w:rFonts w:ascii="Open Sans" w:hAnsi="Open Sans" w:cs="Open Sans"/>
          <w:sz w:val="18"/>
          <w:szCs w:val="18"/>
        </w:rPr>
      </w:pPr>
      <w:r w:rsidRPr="00D81B37">
        <w:rPr>
          <w:rStyle w:val="FootnoteReference"/>
          <w:rFonts w:ascii="Open Sans" w:hAnsi="Open Sans" w:cs="Open Sans"/>
          <w:sz w:val="18"/>
          <w:szCs w:val="18"/>
        </w:rPr>
        <w:footnoteRef/>
      </w:r>
      <w:r w:rsidRPr="00D81B37">
        <w:rPr>
          <w:rFonts w:ascii="Open Sans" w:hAnsi="Open Sans" w:cs="Open Sans"/>
          <w:sz w:val="18"/>
          <w:szCs w:val="18"/>
        </w:rPr>
        <w:t xml:space="preserve"> </w:t>
      </w:r>
      <w:r w:rsidR="00871613" w:rsidRPr="00D81B37">
        <w:rPr>
          <w:rFonts w:ascii="Open Sans" w:hAnsi="Open Sans" w:cs="Open Sans"/>
          <w:sz w:val="18"/>
          <w:szCs w:val="18"/>
        </w:rPr>
        <w:t>Toby Freeman and others, (2016) ‘</w:t>
      </w:r>
      <w:r w:rsidRPr="00D81B37">
        <w:rPr>
          <w:rFonts w:ascii="Open Sans" w:hAnsi="Open Sans" w:cs="Open Sans"/>
          <w:sz w:val="18"/>
          <w:szCs w:val="18"/>
        </w:rPr>
        <w:t>Case Study of an Aboriginal Community-Controlled Health Service in Australia: Universal, Rights-Based, Publicly Funded Comprehensive Primary Health Care in Action</w:t>
      </w:r>
      <w:r w:rsidR="00871613" w:rsidRPr="00D81B37">
        <w:rPr>
          <w:rFonts w:ascii="Open Sans" w:hAnsi="Open Sans" w:cs="Open Sans"/>
          <w:sz w:val="18"/>
          <w:szCs w:val="18"/>
        </w:rPr>
        <w:t>’</w:t>
      </w:r>
      <w:r w:rsidR="000D560B" w:rsidRPr="00D81B37">
        <w:rPr>
          <w:rFonts w:ascii="Open Sans" w:hAnsi="Open Sans" w:cs="Open Sans"/>
          <w:sz w:val="18"/>
          <w:szCs w:val="18"/>
        </w:rPr>
        <w:t>,</w:t>
      </w:r>
      <w:r w:rsidRPr="00D81B37">
        <w:rPr>
          <w:rFonts w:ascii="Open Sans" w:hAnsi="Open Sans" w:cs="Open Sans"/>
          <w:sz w:val="18"/>
          <w:szCs w:val="18"/>
        </w:rPr>
        <w:t xml:space="preserve"> </w:t>
      </w:r>
      <w:r w:rsidRPr="00D81B37">
        <w:rPr>
          <w:rFonts w:ascii="Open Sans" w:hAnsi="Open Sans" w:cs="Open Sans"/>
          <w:i/>
          <w:iCs/>
          <w:sz w:val="18"/>
          <w:szCs w:val="18"/>
        </w:rPr>
        <w:t>Health and Human Rights</w:t>
      </w:r>
      <w:r w:rsidR="00871613" w:rsidRPr="00D81B37">
        <w:rPr>
          <w:rFonts w:ascii="Open Sans" w:hAnsi="Open Sans" w:cs="Open Sans"/>
          <w:i/>
          <w:iCs/>
          <w:sz w:val="18"/>
          <w:szCs w:val="18"/>
        </w:rPr>
        <w:t xml:space="preserve"> Journal</w:t>
      </w:r>
      <w:r w:rsidRPr="00D81B37">
        <w:rPr>
          <w:rFonts w:ascii="Open Sans" w:hAnsi="Open Sans" w:cs="Open Sans"/>
          <w:i/>
          <w:iCs/>
          <w:sz w:val="18"/>
          <w:szCs w:val="18"/>
        </w:rPr>
        <w:t xml:space="preserve"> </w:t>
      </w:r>
      <w:r w:rsidRPr="00D81B37">
        <w:rPr>
          <w:rFonts w:ascii="Open Sans" w:hAnsi="Open Sans" w:cs="Open Sans"/>
          <w:sz w:val="18"/>
          <w:szCs w:val="18"/>
        </w:rPr>
        <w:t>18</w:t>
      </w:r>
      <w:r w:rsidR="00871613" w:rsidRPr="00D81B37">
        <w:rPr>
          <w:rFonts w:ascii="Open Sans" w:hAnsi="Open Sans" w:cs="Open Sans"/>
          <w:sz w:val="18"/>
          <w:szCs w:val="18"/>
        </w:rPr>
        <w:t>(</w:t>
      </w:r>
      <w:r w:rsidRPr="00D81B37">
        <w:rPr>
          <w:rFonts w:ascii="Open Sans" w:hAnsi="Open Sans" w:cs="Open Sans"/>
          <w:sz w:val="18"/>
          <w:szCs w:val="18"/>
        </w:rPr>
        <w:t>2</w:t>
      </w:r>
      <w:r w:rsidR="00871613" w:rsidRPr="00D81B37">
        <w:rPr>
          <w:rFonts w:ascii="Open Sans" w:hAnsi="Open Sans" w:cs="Open Sans"/>
          <w:sz w:val="18"/>
          <w:szCs w:val="18"/>
        </w:rPr>
        <w:t>).</w:t>
      </w:r>
      <w:r w:rsidRPr="00D81B37">
        <w:rPr>
          <w:rFonts w:ascii="Open Sans" w:hAnsi="Open Sans" w:cs="Open Sans"/>
          <w:sz w:val="18"/>
          <w:szCs w:val="18"/>
        </w:rPr>
        <w:t xml:space="preserve"> </w:t>
      </w:r>
    </w:p>
  </w:footnote>
  <w:footnote w:id="11">
    <w:p w14:paraId="156A409E" w14:textId="77777777" w:rsidR="006C1C13" w:rsidRPr="00D81B37" w:rsidRDefault="006C1C13" w:rsidP="006C1C13">
      <w:pPr>
        <w:pStyle w:val="FootnoteText"/>
        <w:rPr>
          <w:rFonts w:ascii="Open Sans" w:hAnsi="Open Sans" w:cs="Open Sans"/>
          <w:sz w:val="18"/>
          <w:szCs w:val="18"/>
        </w:rPr>
      </w:pPr>
      <w:r w:rsidRPr="00D81B37">
        <w:rPr>
          <w:rStyle w:val="FootnoteReference"/>
          <w:rFonts w:ascii="Open Sans" w:hAnsi="Open Sans" w:cs="Open Sans"/>
          <w:sz w:val="18"/>
          <w:szCs w:val="18"/>
        </w:rPr>
        <w:footnoteRef/>
      </w:r>
      <w:r w:rsidRPr="00D81B37">
        <w:rPr>
          <w:rFonts w:ascii="Open Sans" w:hAnsi="Open Sans" w:cs="Open Sans"/>
          <w:sz w:val="18"/>
          <w:szCs w:val="18"/>
        </w:rPr>
        <w:t xml:space="preserve"> </w:t>
      </w:r>
      <w:r w:rsidRPr="00D81B37">
        <w:rPr>
          <w:rStyle w:val="markedcontent"/>
          <w:rFonts w:ascii="Open Sans" w:hAnsi="Open Sans" w:cs="Open Sans"/>
          <w:sz w:val="18"/>
          <w:szCs w:val="18"/>
        </w:rPr>
        <w:t>Constitution of Kenya (2010); African Charter on Human and Peoples’ Rights (adopted 27 June 1981, entered into force 21 October 1986) (1982) 21 ILM 58 (African Charter, ratified in Kenya in 1992).</w:t>
      </w:r>
    </w:p>
  </w:footnote>
  <w:footnote w:id="12">
    <w:p w14:paraId="283DBABA" w14:textId="77777777" w:rsidR="006C1C13" w:rsidRPr="00D81B37" w:rsidRDefault="006C1C13" w:rsidP="006C1C13">
      <w:pPr>
        <w:pStyle w:val="FootnoteText"/>
        <w:rPr>
          <w:rFonts w:ascii="Open Sans" w:hAnsi="Open Sans" w:cs="Open Sans"/>
          <w:sz w:val="18"/>
          <w:szCs w:val="18"/>
        </w:rPr>
      </w:pPr>
      <w:r w:rsidRPr="00D81B37">
        <w:rPr>
          <w:rStyle w:val="FootnoteReference"/>
          <w:rFonts w:ascii="Open Sans" w:hAnsi="Open Sans" w:cs="Open Sans"/>
          <w:sz w:val="18"/>
          <w:szCs w:val="18"/>
        </w:rPr>
        <w:footnoteRef/>
      </w:r>
      <w:r w:rsidRPr="00D81B37">
        <w:rPr>
          <w:rFonts w:ascii="Open Sans" w:hAnsi="Open Sans" w:cs="Open Sans"/>
          <w:sz w:val="18"/>
          <w:szCs w:val="18"/>
        </w:rPr>
        <w:t xml:space="preserve"> Kenyan </w:t>
      </w:r>
      <w:r w:rsidRPr="00D81B37">
        <w:rPr>
          <w:rStyle w:val="markedcontent"/>
          <w:rFonts w:ascii="Open Sans" w:hAnsi="Open Sans" w:cs="Open Sans"/>
          <w:sz w:val="18"/>
          <w:szCs w:val="18"/>
        </w:rPr>
        <w:t xml:space="preserve">Ministry of Health (2018) </w:t>
      </w:r>
      <w:r w:rsidRPr="00D81B37">
        <w:rPr>
          <w:rStyle w:val="markedcontent"/>
          <w:rFonts w:ascii="Open Sans" w:hAnsi="Open Sans" w:cs="Open Sans"/>
          <w:i/>
          <w:iCs/>
          <w:sz w:val="18"/>
          <w:szCs w:val="18"/>
        </w:rPr>
        <w:t xml:space="preserve">Household Health Expenditure and Utilization Survey, </w:t>
      </w:r>
      <w:r w:rsidRPr="00D81B37">
        <w:rPr>
          <w:rStyle w:val="markedcontent"/>
          <w:rFonts w:ascii="Open Sans" w:hAnsi="Open Sans" w:cs="Open Sans"/>
          <w:sz w:val="18"/>
          <w:szCs w:val="18"/>
        </w:rPr>
        <w:t>pp. 27, 42.</w:t>
      </w:r>
    </w:p>
  </w:footnote>
  <w:footnote w:id="13">
    <w:p w14:paraId="6331366D" w14:textId="4E5D0174" w:rsidR="006C1C13" w:rsidRPr="00D81B37" w:rsidRDefault="006C1C13" w:rsidP="006C1C13">
      <w:pPr>
        <w:pStyle w:val="FootnoteText"/>
        <w:rPr>
          <w:rFonts w:ascii="Open Sans" w:hAnsi="Open Sans" w:cs="Open Sans"/>
          <w:sz w:val="18"/>
          <w:szCs w:val="18"/>
        </w:rPr>
      </w:pPr>
      <w:r w:rsidRPr="00D81B37">
        <w:rPr>
          <w:rStyle w:val="FootnoteReference"/>
          <w:rFonts w:ascii="Open Sans" w:hAnsi="Open Sans" w:cs="Open Sans"/>
          <w:sz w:val="18"/>
          <w:szCs w:val="18"/>
        </w:rPr>
        <w:footnoteRef/>
      </w:r>
      <w:r w:rsidRPr="00D81B37">
        <w:rPr>
          <w:rFonts w:ascii="Open Sans" w:hAnsi="Open Sans" w:cs="Open Sans"/>
          <w:sz w:val="18"/>
          <w:szCs w:val="18"/>
        </w:rPr>
        <w:t xml:space="preserve"> </w:t>
      </w:r>
      <w:proofErr w:type="spellStart"/>
      <w:r w:rsidRPr="00D81B37">
        <w:rPr>
          <w:rStyle w:val="markedcontent"/>
          <w:rFonts w:ascii="Open Sans" w:hAnsi="Open Sans" w:cs="Open Sans"/>
          <w:sz w:val="18"/>
          <w:szCs w:val="18"/>
        </w:rPr>
        <w:t>Hakijami</w:t>
      </w:r>
      <w:proofErr w:type="spellEnd"/>
      <w:r w:rsidRPr="00D81B37">
        <w:rPr>
          <w:rStyle w:val="markedcontent"/>
          <w:rFonts w:ascii="Open Sans" w:hAnsi="Open Sans" w:cs="Open Sans"/>
          <w:sz w:val="18"/>
          <w:szCs w:val="18"/>
        </w:rPr>
        <w:t xml:space="preserve"> and the Centre for Human Rights and Global Justice of New York University, ‘</w:t>
      </w:r>
      <w:r w:rsidRPr="00D81B37">
        <w:rPr>
          <w:rStyle w:val="highlight"/>
          <w:rFonts w:ascii="Open Sans" w:hAnsi="Open Sans" w:cs="Open Sans"/>
          <w:sz w:val="18"/>
          <w:szCs w:val="18"/>
        </w:rPr>
        <w:t>Wrong Prescriptions</w:t>
      </w:r>
      <w:r w:rsidRPr="00D81B37">
        <w:rPr>
          <w:rStyle w:val="markedcontent"/>
          <w:rFonts w:ascii="Open Sans" w:hAnsi="Open Sans" w:cs="Open Sans"/>
          <w:sz w:val="18"/>
          <w:szCs w:val="18"/>
        </w:rPr>
        <w:t xml:space="preserve">: </w:t>
      </w:r>
      <w:proofErr w:type="gramStart"/>
      <w:r w:rsidRPr="00D81B37">
        <w:rPr>
          <w:rStyle w:val="markedcontent"/>
          <w:rFonts w:ascii="Open Sans" w:hAnsi="Open Sans" w:cs="Open Sans"/>
          <w:sz w:val="18"/>
          <w:szCs w:val="18"/>
        </w:rPr>
        <w:t>the</w:t>
      </w:r>
      <w:proofErr w:type="gramEnd"/>
      <w:r w:rsidRPr="00D81B37">
        <w:rPr>
          <w:rStyle w:val="markedcontent"/>
          <w:rFonts w:ascii="Open Sans" w:hAnsi="Open Sans" w:cs="Open Sans"/>
          <w:sz w:val="18"/>
          <w:szCs w:val="18"/>
        </w:rPr>
        <w:t xml:space="preserve"> Impact of Privatising Healthcare in Kenya’ (November 2021)</w:t>
      </w:r>
      <w:r w:rsidR="00307417" w:rsidRPr="00D81B37">
        <w:rPr>
          <w:rStyle w:val="markedcontent"/>
          <w:rFonts w:ascii="Open Sans" w:hAnsi="Open Sans" w:cs="Open Sans"/>
          <w:sz w:val="18"/>
          <w:szCs w:val="18"/>
        </w:rPr>
        <w:t xml:space="preserve">. Available at: </w:t>
      </w:r>
      <w:hyperlink r:id="rId3" w:history="1">
        <w:r w:rsidR="00307417" w:rsidRPr="00D81B37">
          <w:rPr>
            <w:rStyle w:val="Hyperlink"/>
            <w:rFonts w:ascii="Open Sans" w:hAnsi="Open Sans" w:cs="Open Sans"/>
            <w:sz w:val="18"/>
            <w:szCs w:val="18"/>
          </w:rPr>
          <w:t>https://chrgj.org/wp-content/uploads/2021/11/Report_Wrong-Pre-scription_Eng_.pdf</w:t>
        </w:r>
      </w:hyperlink>
      <w:r w:rsidRPr="00D81B37">
        <w:rPr>
          <w:rStyle w:val="markedcontent"/>
          <w:rFonts w:ascii="Open Sans" w:hAnsi="Open Sans" w:cs="Open Sans"/>
          <w:sz w:val="18"/>
          <w:szCs w:val="18"/>
        </w:rPr>
        <w:t xml:space="preserve">. Accessed March 2023. </w:t>
      </w:r>
    </w:p>
  </w:footnote>
  <w:footnote w:id="14">
    <w:p w14:paraId="177503EE" w14:textId="019C5C03" w:rsidR="005A25D0" w:rsidRPr="00D81B37" w:rsidRDefault="005A25D0" w:rsidP="005A25D0">
      <w:pPr>
        <w:pStyle w:val="FootnoteText"/>
        <w:jc w:val="both"/>
        <w:rPr>
          <w:rFonts w:ascii="Open Sans" w:hAnsi="Open Sans" w:cs="Open Sans"/>
          <w:sz w:val="18"/>
          <w:szCs w:val="18"/>
        </w:rPr>
      </w:pPr>
      <w:r w:rsidRPr="00D81B37">
        <w:rPr>
          <w:rStyle w:val="FootnoteReference"/>
          <w:rFonts w:ascii="Open Sans" w:hAnsi="Open Sans" w:cs="Open Sans"/>
          <w:sz w:val="18"/>
          <w:szCs w:val="18"/>
        </w:rPr>
        <w:footnoteRef/>
      </w:r>
      <w:r w:rsidRPr="00D81B37">
        <w:rPr>
          <w:rFonts w:ascii="Open Sans" w:hAnsi="Open Sans" w:cs="Open Sans"/>
          <w:sz w:val="18"/>
          <w:szCs w:val="18"/>
        </w:rPr>
        <w:t xml:space="preserve"> </w:t>
      </w:r>
      <w:proofErr w:type="spellStart"/>
      <w:r w:rsidRPr="00D81B37">
        <w:rPr>
          <w:rStyle w:val="markedcontent"/>
          <w:rFonts w:ascii="Open Sans" w:hAnsi="Open Sans" w:cs="Open Sans"/>
          <w:sz w:val="18"/>
          <w:szCs w:val="18"/>
        </w:rPr>
        <w:t>Sujha</w:t>
      </w:r>
      <w:proofErr w:type="spellEnd"/>
      <w:r w:rsidRPr="00D81B37">
        <w:rPr>
          <w:rStyle w:val="markedcontent"/>
          <w:rFonts w:ascii="Open Sans" w:hAnsi="Open Sans" w:cs="Open Sans"/>
          <w:sz w:val="18"/>
          <w:szCs w:val="18"/>
        </w:rPr>
        <w:t xml:space="preserve"> Subramanian and others</w:t>
      </w:r>
      <w:r w:rsidR="00307417" w:rsidRPr="00D81B37">
        <w:rPr>
          <w:rStyle w:val="markedcontent"/>
          <w:rFonts w:ascii="Open Sans" w:hAnsi="Open Sans" w:cs="Open Sans"/>
          <w:sz w:val="18"/>
          <w:szCs w:val="18"/>
        </w:rPr>
        <w:t>, (2018)</w:t>
      </w:r>
      <w:r w:rsidRPr="00D81B37">
        <w:rPr>
          <w:rStyle w:val="markedcontent"/>
          <w:rFonts w:ascii="Open Sans" w:hAnsi="Open Sans" w:cs="Open Sans"/>
          <w:sz w:val="18"/>
          <w:szCs w:val="18"/>
        </w:rPr>
        <w:t xml:space="preserve"> ‘Cost and Affordability of Non-Communicable Disease Screening, Diagnosis and Treatment in Kenya: Patient Payments in the Private and Public Sectors’ </w:t>
      </w:r>
      <w:proofErr w:type="spellStart"/>
      <w:r w:rsidR="00307417" w:rsidRPr="00D81B37">
        <w:rPr>
          <w:rStyle w:val="markedcontent"/>
          <w:rFonts w:ascii="Open Sans" w:hAnsi="Open Sans" w:cs="Open Sans"/>
          <w:i/>
          <w:iCs/>
          <w:sz w:val="18"/>
          <w:szCs w:val="18"/>
        </w:rPr>
        <w:t>Plos</w:t>
      </w:r>
      <w:proofErr w:type="spellEnd"/>
      <w:r w:rsidR="00307417" w:rsidRPr="00D81B37">
        <w:rPr>
          <w:rStyle w:val="markedcontent"/>
          <w:rFonts w:ascii="Open Sans" w:hAnsi="Open Sans" w:cs="Open Sans"/>
          <w:i/>
          <w:iCs/>
          <w:sz w:val="18"/>
          <w:szCs w:val="18"/>
        </w:rPr>
        <w:t xml:space="preserve"> One.</w:t>
      </w:r>
    </w:p>
  </w:footnote>
  <w:footnote w:id="15">
    <w:p w14:paraId="7F247F6C" w14:textId="15B4A0DD" w:rsidR="005A25D0" w:rsidRPr="00D81B37" w:rsidRDefault="005A25D0" w:rsidP="005A25D0">
      <w:pPr>
        <w:pStyle w:val="FootnoteText"/>
        <w:jc w:val="both"/>
        <w:rPr>
          <w:rFonts w:ascii="Open Sans" w:hAnsi="Open Sans" w:cs="Open Sans"/>
          <w:sz w:val="18"/>
          <w:szCs w:val="18"/>
        </w:rPr>
      </w:pPr>
      <w:r w:rsidRPr="00D81B37">
        <w:rPr>
          <w:rStyle w:val="FootnoteReference"/>
          <w:rFonts w:ascii="Open Sans" w:hAnsi="Open Sans" w:cs="Open Sans"/>
          <w:sz w:val="18"/>
          <w:szCs w:val="18"/>
        </w:rPr>
        <w:footnoteRef/>
      </w:r>
      <w:r w:rsidRPr="00D81B37">
        <w:rPr>
          <w:rFonts w:ascii="Open Sans" w:hAnsi="Open Sans" w:cs="Open Sans"/>
          <w:sz w:val="18"/>
          <w:szCs w:val="18"/>
        </w:rPr>
        <w:t xml:space="preserve"> </w:t>
      </w:r>
      <w:r w:rsidRPr="00D81B37">
        <w:rPr>
          <w:rStyle w:val="markedcontent"/>
          <w:rFonts w:ascii="Open Sans" w:hAnsi="Open Sans" w:cs="Open Sans"/>
          <w:sz w:val="18"/>
          <w:szCs w:val="18"/>
        </w:rPr>
        <w:t xml:space="preserve">Stefania </w:t>
      </w:r>
      <w:proofErr w:type="spellStart"/>
      <w:r w:rsidRPr="00D81B37">
        <w:rPr>
          <w:rStyle w:val="markedcontent"/>
          <w:rFonts w:ascii="Open Sans" w:hAnsi="Open Sans" w:cs="Open Sans"/>
          <w:sz w:val="18"/>
          <w:szCs w:val="18"/>
        </w:rPr>
        <w:t>Ilinca</w:t>
      </w:r>
      <w:proofErr w:type="spellEnd"/>
      <w:r w:rsidRPr="00D81B37">
        <w:rPr>
          <w:rStyle w:val="markedcontent"/>
          <w:rFonts w:ascii="Open Sans" w:hAnsi="Open Sans" w:cs="Open Sans"/>
          <w:sz w:val="18"/>
          <w:szCs w:val="18"/>
        </w:rPr>
        <w:t xml:space="preserve"> and others</w:t>
      </w:r>
      <w:r w:rsidR="00307417" w:rsidRPr="00D81B37">
        <w:rPr>
          <w:rStyle w:val="markedcontent"/>
          <w:rFonts w:ascii="Open Sans" w:hAnsi="Open Sans" w:cs="Open Sans"/>
          <w:sz w:val="18"/>
          <w:szCs w:val="18"/>
        </w:rPr>
        <w:t xml:space="preserve"> (2019)</w:t>
      </w:r>
      <w:r w:rsidRPr="00D81B37">
        <w:rPr>
          <w:rStyle w:val="markedcontent"/>
          <w:rFonts w:ascii="Open Sans" w:hAnsi="Open Sans" w:cs="Open Sans"/>
          <w:sz w:val="18"/>
          <w:szCs w:val="18"/>
        </w:rPr>
        <w:t xml:space="preserve"> ‘Socio-Economic Inequality and Inequity in Use of Health Care Services in Kenya: Evidence from the</w:t>
      </w:r>
      <w:r w:rsidRPr="00D81B37">
        <w:rPr>
          <w:rFonts w:ascii="Open Sans" w:hAnsi="Open Sans" w:cs="Open Sans"/>
          <w:sz w:val="18"/>
          <w:szCs w:val="18"/>
        </w:rPr>
        <w:t xml:space="preserve"> </w:t>
      </w:r>
      <w:r w:rsidRPr="00D81B37">
        <w:rPr>
          <w:rStyle w:val="markedcontent"/>
          <w:rFonts w:ascii="Open Sans" w:hAnsi="Open Sans" w:cs="Open Sans"/>
          <w:sz w:val="18"/>
          <w:szCs w:val="18"/>
        </w:rPr>
        <w:t xml:space="preserve">Fourth Kenya Household Health Expenditure and Utilization Survey’ </w:t>
      </w:r>
      <w:r w:rsidRPr="00D81B37">
        <w:rPr>
          <w:rStyle w:val="markedcontent"/>
          <w:rFonts w:ascii="Open Sans" w:hAnsi="Open Sans" w:cs="Open Sans"/>
          <w:i/>
          <w:iCs/>
          <w:sz w:val="18"/>
          <w:szCs w:val="18"/>
        </w:rPr>
        <w:t>International Journal for Equity in Health</w:t>
      </w:r>
      <w:r w:rsidR="00307417" w:rsidRPr="00D81B37">
        <w:rPr>
          <w:rStyle w:val="markedcontent"/>
          <w:rFonts w:ascii="Open Sans" w:hAnsi="Open Sans" w:cs="Open Sans"/>
          <w:sz w:val="18"/>
          <w:szCs w:val="18"/>
        </w:rPr>
        <w:t>, 18(</w:t>
      </w:r>
      <w:r w:rsidRPr="00D81B37">
        <w:rPr>
          <w:rStyle w:val="markedcontent"/>
          <w:rFonts w:ascii="Open Sans" w:hAnsi="Open Sans" w:cs="Open Sans"/>
          <w:sz w:val="18"/>
          <w:szCs w:val="18"/>
        </w:rPr>
        <w:t>196</w:t>
      </w:r>
      <w:r w:rsidR="00307417" w:rsidRPr="00D81B37">
        <w:rPr>
          <w:rStyle w:val="markedcontent"/>
          <w:rFonts w:ascii="Open Sans" w:hAnsi="Open Sans" w:cs="Open Sans"/>
          <w:sz w:val="18"/>
          <w:szCs w:val="18"/>
        </w:rPr>
        <w:t>)</w:t>
      </w:r>
      <w:r w:rsidRPr="00D81B37">
        <w:rPr>
          <w:rStyle w:val="markedcontent"/>
          <w:rFonts w:ascii="Open Sans" w:hAnsi="Open Sans" w:cs="Open Sans"/>
          <w:sz w:val="18"/>
          <w:szCs w:val="18"/>
        </w:rPr>
        <w:t>.</w:t>
      </w:r>
    </w:p>
  </w:footnote>
  <w:footnote w:id="16">
    <w:p w14:paraId="36395AC1" w14:textId="6CC23575" w:rsidR="005A25D0" w:rsidRPr="00D81B37" w:rsidRDefault="005A25D0" w:rsidP="005A25D0">
      <w:pPr>
        <w:pStyle w:val="FootnoteText"/>
        <w:jc w:val="both"/>
        <w:rPr>
          <w:rFonts w:ascii="Open Sans" w:hAnsi="Open Sans" w:cs="Open Sans"/>
          <w:sz w:val="18"/>
          <w:szCs w:val="18"/>
        </w:rPr>
      </w:pPr>
      <w:r w:rsidRPr="00D81B37">
        <w:rPr>
          <w:rStyle w:val="FootnoteReference"/>
          <w:rFonts w:ascii="Open Sans" w:hAnsi="Open Sans" w:cs="Open Sans"/>
          <w:sz w:val="18"/>
          <w:szCs w:val="18"/>
        </w:rPr>
        <w:footnoteRef/>
      </w:r>
      <w:r w:rsidRPr="00D81B37">
        <w:rPr>
          <w:rFonts w:ascii="Open Sans" w:hAnsi="Open Sans" w:cs="Open Sans"/>
          <w:sz w:val="18"/>
          <w:szCs w:val="18"/>
        </w:rPr>
        <w:t xml:space="preserve"> </w:t>
      </w:r>
      <w:r w:rsidRPr="00D81B37">
        <w:rPr>
          <w:rStyle w:val="markedcontent"/>
          <w:rFonts w:ascii="Open Sans" w:hAnsi="Open Sans" w:cs="Open Sans"/>
          <w:sz w:val="18"/>
          <w:szCs w:val="18"/>
        </w:rPr>
        <w:t>Kenya Institute for Public Policy Analysis</w:t>
      </w:r>
      <w:r w:rsidR="00307417" w:rsidRPr="00D81B37">
        <w:rPr>
          <w:rStyle w:val="markedcontent"/>
          <w:rFonts w:ascii="Open Sans" w:hAnsi="Open Sans" w:cs="Open Sans"/>
          <w:sz w:val="18"/>
          <w:szCs w:val="18"/>
        </w:rPr>
        <w:t xml:space="preserve"> (2004) </w:t>
      </w:r>
      <w:r w:rsidRPr="00D81B37">
        <w:rPr>
          <w:rStyle w:val="markedcontent"/>
          <w:rFonts w:ascii="Open Sans" w:hAnsi="Open Sans" w:cs="Open Sans"/>
          <w:sz w:val="18"/>
          <w:szCs w:val="18"/>
        </w:rPr>
        <w:t xml:space="preserve">‘A review of the Regulatory Framework for Private Healthcare Services in Kenya’ </w:t>
      </w:r>
      <w:hyperlink r:id="rId4" w:history="1">
        <w:r w:rsidRPr="00D81B37">
          <w:rPr>
            <w:rStyle w:val="Hyperlink"/>
            <w:rFonts w:ascii="Open Sans" w:hAnsi="Open Sans" w:cs="Open Sans"/>
            <w:sz w:val="18"/>
            <w:szCs w:val="18"/>
          </w:rPr>
          <w:t>https://pdf.usaid.gov/pdf_docs/pnads076.pdf</w:t>
        </w:r>
      </w:hyperlink>
      <w:r w:rsidRPr="00D81B37">
        <w:rPr>
          <w:rStyle w:val="markedcontent"/>
          <w:rFonts w:ascii="Open Sans" w:hAnsi="Open Sans" w:cs="Open Sans"/>
          <w:sz w:val="18"/>
          <w:szCs w:val="18"/>
        </w:rPr>
        <w:t>. Accessed March 2023.</w:t>
      </w:r>
    </w:p>
  </w:footnote>
  <w:footnote w:id="17">
    <w:p w14:paraId="1CECF7A7" w14:textId="7D97EF73" w:rsidR="00D01A13" w:rsidRPr="00D81B37" w:rsidRDefault="00D01A13">
      <w:pPr>
        <w:pStyle w:val="FootnoteText"/>
        <w:rPr>
          <w:rFonts w:ascii="Open Sans" w:hAnsi="Open Sans" w:cs="Open Sans"/>
          <w:sz w:val="18"/>
          <w:szCs w:val="18"/>
        </w:rPr>
      </w:pPr>
      <w:r w:rsidRPr="00D81B37">
        <w:rPr>
          <w:rStyle w:val="FootnoteReference"/>
          <w:rFonts w:ascii="Open Sans" w:hAnsi="Open Sans" w:cs="Open Sans"/>
          <w:sz w:val="18"/>
          <w:szCs w:val="18"/>
        </w:rPr>
        <w:footnoteRef/>
      </w:r>
      <w:r w:rsidRPr="00D81B37">
        <w:rPr>
          <w:rFonts w:ascii="Open Sans" w:hAnsi="Open Sans" w:cs="Open Sans"/>
          <w:sz w:val="18"/>
          <w:szCs w:val="18"/>
        </w:rPr>
        <w:t xml:space="preserve"> </w:t>
      </w:r>
      <w:r w:rsidR="0030681F" w:rsidRPr="00D81B37">
        <w:rPr>
          <w:rFonts w:ascii="Open Sans" w:hAnsi="Open Sans" w:cs="Open Sans"/>
          <w:sz w:val="18"/>
          <w:szCs w:val="18"/>
        </w:rPr>
        <w:t>Global Initiative for Economic, Social and Cultural Rights</w:t>
      </w:r>
      <w:r w:rsidR="00307417" w:rsidRPr="00D81B37">
        <w:rPr>
          <w:rFonts w:ascii="Open Sans" w:hAnsi="Open Sans" w:cs="Open Sans"/>
          <w:sz w:val="18"/>
          <w:szCs w:val="18"/>
        </w:rPr>
        <w:t xml:space="preserve"> (GI-ESCR), (2021)</w:t>
      </w:r>
      <w:r w:rsidR="0030681F" w:rsidRPr="00D81B37">
        <w:rPr>
          <w:rFonts w:ascii="Open Sans" w:hAnsi="Open Sans" w:cs="Open Sans"/>
          <w:sz w:val="18"/>
          <w:szCs w:val="18"/>
        </w:rPr>
        <w:t xml:space="preserve"> Patients or Customers? The impact of Commercialised Healthcare on the Right to Health in Kenya during the COVID-19 pandemic</w:t>
      </w:r>
      <w:r w:rsidR="00307417" w:rsidRPr="00D81B37">
        <w:rPr>
          <w:rFonts w:ascii="Open Sans" w:hAnsi="Open Sans" w:cs="Open Sans"/>
          <w:sz w:val="18"/>
          <w:szCs w:val="18"/>
        </w:rPr>
        <w:t xml:space="preserve">. available at: </w:t>
      </w:r>
      <w:hyperlink r:id="rId5" w:history="1">
        <w:r w:rsidR="00307417" w:rsidRPr="00D81B37">
          <w:rPr>
            <w:rStyle w:val="Hyperlink"/>
            <w:rFonts w:ascii="Open Sans" w:hAnsi="Open Sans" w:cs="Open Sans"/>
            <w:sz w:val="18"/>
            <w:szCs w:val="18"/>
          </w:rPr>
          <w:t>https://www.gi-escr.org/publications/patients-or-customers-the-impact-of-commercialised-healthcare-on-the-right-to-health-during-the-covid-19-pandemic-in-kenya</w:t>
        </w:r>
      </w:hyperlink>
      <w:r w:rsidR="00307417" w:rsidRPr="00D81B37">
        <w:rPr>
          <w:rFonts w:ascii="Open Sans" w:hAnsi="Open Sans" w:cs="Open Sans"/>
          <w:sz w:val="18"/>
          <w:szCs w:val="18"/>
        </w:rPr>
        <w:t xml:space="preserve">. Accessed April 2023.  </w:t>
      </w:r>
    </w:p>
  </w:footnote>
  <w:footnote w:id="18">
    <w:p w14:paraId="6EB48A58" w14:textId="4D438C81" w:rsidR="005A25D0" w:rsidRPr="00D81B37" w:rsidRDefault="005A25D0">
      <w:pPr>
        <w:pStyle w:val="FootnoteText"/>
        <w:rPr>
          <w:rFonts w:ascii="Open Sans" w:hAnsi="Open Sans" w:cs="Open Sans"/>
          <w:sz w:val="18"/>
          <w:szCs w:val="18"/>
        </w:rPr>
      </w:pPr>
      <w:r w:rsidRPr="00D81B37">
        <w:rPr>
          <w:rStyle w:val="FootnoteReference"/>
          <w:rFonts w:ascii="Open Sans" w:hAnsi="Open Sans" w:cs="Open Sans"/>
          <w:sz w:val="18"/>
          <w:szCs w:val="18"/>
        </w:rPr>
        <w:footnoteRef/>
      </w:r>
      <w:r w:rsidRPr="00D81B37">
        <w:rPr>
          <w:rFonts w:ascii="Open Sans" w:hAnsi="Open Sans" w:cs="Open Sans"/>
          <w:sz w:val="18"/>
          <w:szCs w:val="18"/>
        </w:rPr>
        <w:t xml:space="preserve"> </w:t>
      </w:r>
      <w:r w:rsidRPr="00D81B37">
        <w:rPr>
          <w:rStyle w:val="markedcontent"/>
          <w:rFonts w:ascii="Open Sans" w:hAnsi="Open Sans" w:cs="Open Sans"/>
          <w:sz w:val="18"/>
          <w:szCs w:val="18"/>
        </w:rPr>
        <w:t xml:space="preserve">Jane </w:t>
      </w:r>
      <w:proofErr w:type="spellStart"/>
      <w:r w:rsidRPr="00D81B37">
        <w:rPr>
          <w:rStyle w:val="markedcontent"/>
          <w:rFonts w:ascii="Open Sans" w:hAnsi="Open Sans" w:cs="Open Sans"/>
          <w:sz w:val="18"/>
          <w:szCs w:val="18"/>
        </w:rPr>
        <w:t>Chuma</w:t>
      </w:r>
      <w:proofErr w:type="spellEnd"/>
      <w:r w:rsidRPr="00D81B37">
        <w:rPr>
          <w:rStyle w:val="markedcontent"/>
          <w:rFonts w:ascii="Open Sans" w:hAnsi="Open Sans" w:cs="Open Sans"/>
          <w:sz w:val="18"/>
          <w:szCs w:val="18"/>
        </w:rPr>
        <w:t xml:space="preserve"> and Thomas </w:t>
      </w:r>
      <w:proofErr w:type="spellStart"/>
      <w:r w:rsidRPr="00D81B37">
        <w:rPr>
          <w:rStyle w:val="markedcontent"/>
          <w:rFonts w:ascii="Open Sans" w:hAnsi="Open Sans" w:cs="Open Sans"/>
          <w:sz w:val="18"/>
          <w:szCs w:val="18"/>
        </w:rPr>
        <w:t>Maina</w:t>
      </w:r>
      <w:proofErr w:type="spellEnd"/>
      <w:r w:rsidRPr="00D81B37">
        <w:rPr>
          <w:rStyle w:val="markedcontent"/>
          <w:rFonts w:ascii="Open Sans" w:hAnsi="Open Sans" w:cs="Open Sans"/>
          <w:sz w:val="18"/>
          <w:szCs w:val="18"/>
        </w:rPr>
        <w:t xml:space="preserve">, </w:t>
      </w:r>
      <w:r w:rsidRPr="00D81B37">
        <w:rPr>
          <w:rStyle w:val="markedcontent"/>
          <w:rFonts w:ascii="Open Sans" w:hAnsi="Open Sans" w:cs="Open Sans"/>
          <w:i/>
          <w:iCs/>
          <w:sz w:val="18"/>
          <w:szCs w:val="18"/>
        </w:rPr>
        <w:t>Free Maternal Care and Removal of User Fees at Primary-Level Facilities in Kenya: Monitoring the Implementation and Impact: Baseline Report</w:t>
      </w:r>
      <w:r w:rsidRPr="00D81B37">
        <w:rPr>
          <w:rStyle w:val="markedcontent"/>
          <w:rFonts w:ascii="Open Sans" w:hAnsi="Open Sans" w:cs="Open Sans"/>
          <w:sz w:val="18"/>
          <w:szCs w:val="18"/>
        </w:rPr>
        <w:t xml:space="preserve"> (Washington, D.C.: Health Policy Project</w:t>
      </w:r>
      <w:r w:rsidR="00307417" w:rsidRPr="00D81B37">
        <w:rPr>
          <w:rStyle w:val="markedcontent"/>
          <w:rFonts w:ascii="Open Sans" w:hAnsi="Open Sans" w:cs="Open Sans"/>
          <w:sz w:val="18"/>
          <w:szCs w:val="18"/>
        </w:rPr>
        <w:t xml:space="preserve">. Available at: </w:t>
      </w:r>
      <w:hyperlink r:id="rId6" w:history="1">
        <w:r w:rsidR="00307417" w:rsidRPr="00D81B37">
          <w:rPr>
            <w:rStyle w:val="Hyperlink"/>
            <w:rFonts w:ascii="Open Sans" w:hAnsi="Open Sans" w:cs="Open Sans"/>
            <w:sz w:val="18"/>
            <w:szCs w:val="18"/>
          </w:rPr>
          <w:t>https://www.healthpolicyproject.com/pubs/400_KenyaUserFeesBaselineReportFINAL.pdf</w:t>
        </w:r>
      </w:hyperlink>
      <w:r w:rsidRPr="00D81B37">
        <w:rPr>
          <w:rStyle w:val="markedcontent"/>
          <w:rFonts w:ascii="Open Sans" w:hAnsi="Open Sans" w:cs="Open Sans"/>
          <w:sz w:val="18"/>
          <w:szCs w:val="18"/>
        </w:rPr>
        <w:t>.</w:t>
      </w:r>
      <w:r w:rsidR="00307417" w:rsidRPr="00D81B37">
        <w:rPr>
          <w:rStyle w:val="markedcontent"/>
          <w:rFonts w:ascii="Open Sans" w:hAnsi="Open Sans" w:cs="Open Sans"/>
          <w:sz w:val="18"/>
          <w:szCs w:val="18"/>
        </w:rPr>
        <w:t xml:space="preserve"> Accessed March 2023.</w:t>
      </w:r>
    </w:p>
  </w:footnote>
  <w:footnote w:id="19">
    <w:p w14:paraId="366B6BEF" w14:textId="00B65054" w:rsidR="005A25D0" w:rsidRPr="00D81B37" w:rsidRDefault="005A25D0">
      <w:pPr>
        <w:pStyle w:val="FootnoteText"/>
        <w:rPr>
          <w:rFonts w:ascii="Open Sans" w:hAnsi="Open Sans" w:cs="Open Sans"/>
          <w:sz w:val="18"/>
          <w:szCs w:val="18"/>
        </w:rPr>
      </w:pPr>
      <w:r w:rsidRPr="00D81B37">
        <w:rPr>
          <w:rStyle w:val="FootnoteReference"/>
          <w:rFonts w:ascii="Open Sans" w:hAnsi="Open Sans" w:cs="Open Sans"/>
          <w:sz w:val="18"/>
          <w:szCs w:val="18"/>
        </w:rPr>
        <w:footnoteRef/>
      </w:r>
      <w:r w:rsidRPr="00D81B37">
        <w:rPr>
          <w:rFonts w:ascii="Open Sans" w:hAnsi="Open Sans" w:cs="Open Sans"/>
          <w:sz w:val="18"/>
          <w:szCs w:val="18"/>
        </w:rPr>
        <w:t xml:space="preserve"> </w:t>
      </w:r>
      <w:r w:rsidRPr="00D81B37">
        <w:rPr>
          <w:rStyle w:val="markedcontent"/>
          <w:rFonts w:ascii="Open Sans" w:hAnsi="Open Sans" w:cs="Open Sans"/>
          <w:sz w:val="18"/>
          <w:szCs w:val="18"/>
        </w:rPr>
        <w:t xml:space="preserve">Derrick </w:t>
      </w:r>
      <w:proofErr w:type="spellStart"/>
      <w:r w:rsidRPr="00D81B37">
        <w:rPr>
          <w:rStyle w:val="markedcontent"/>
          <w:rFonts w:ascii="Open Sans" w:hAnsi="Open Sans" w:cs="Open Sans"/>
          <w:sz w:val="18"/>
          <w:szCs w:val="18"/>
        </w:rPr>
        <w:t>Okubasu</w:t>
      </w:r>
      <w:proofErr w:type="spellEnd"/>
      <w:r w:rsidRPr="00D81B37">
        <w:rPr>
          <w:rStyle w:val="markedcontent"/>
          <w:rFonts w:ascii="Open Sans" w:hAnsi="Open Sans" w:cs="Open Sans"/>
          <w:sz w:val="18"/>
          <w:szCs w:val="18"/>
        </w:rPr>
        <w:t xml:space="preserve">, </w:t>
      </w:r>
      <w:r w:rsidR="00307417" w:rsidRPr="00D81B37">
        <w:rPr>
          <w:rStyle w:val="markedcontent"/>
          <w:rFonts w:ascii="Open Sans" w:hAnsi="Open Sans" w:cs="Open Sans"/>
          <w:sz w:val="18"/>
          <w:szCs w:val="18"/>
        </w:rPr>
        <w:t>‘</w:t>
      </w:r>
      <w:r w:rsidRPr="00D81B37">
        <w:rPr>
          <w:rStyle w:val="markedcontent"/>
          <w:rFonts w:ascii="Open Sans" w:hAnsi="Open Sans" w:cs="Open Sans"/>
          <w:sz w:val="18"/>
          <w:szCs w:val="18"/>
        </w:rPr>
        <w:t>830K People Stranded as Governor Scraps Uhuru’s Free Healthcare Project</w:t>
      </w:r>
      <w:r w:rsidR="00307417" w:rsidRPr="00D81B37">
        <w:rPr>
          <w:rStyle w:val="markedcontent"/>
          <w:rFonts w:ascii="Open Sans" w:hAnsi="Open Sans" w:cs="Open Sans"/>
          <w:sz w:val="18"/>
          <w:szCs w:val="18"/>
        </w:rPr>
        <w:t xml:space="preserve">’, </w:t>
      </w:r>
      <w:r w:rsidRPr="00D81B37">
        <w:rPr>
          <w:rStyle w:val="markedcontent"/>
          <w:rFonts w:ascii="Open Sans" w:hAnsi="Open Sans" w:cs="Open Sans"/>
          <w:i/>
          <w:iCs/>
          <w:sz w:val="18"/>
          <w:szCs w:val="18"/>
        </w:rPr>
        <w:t>Kenyans.co.ke</w:t>
      </w:r>
      <w:r w:rsidR="00307417" w:rsidRPr="00D81B37">
        <w:rPr>
          <w:rStyle w:val="markedcontent"/>
          <w:rFonts w:ascii="Open Sans" w:hAnsi="Open Sans" w:cs="Open Sans"/>
          <w:i/>
          <w:iCs/>
          <w:sz w:val="18"/>
          <w:szCs w:val="18"/>
        </w:rPr>
        <w:t xml:space="preserve"> </w:t>
      </w:r>
      <w:r w:rsidR="00307417" w:rsidRPr="00D81B37">
        <w:rPr>
          <w:rStyle w:val="markedcontent"/>
          <w:rFonts w:ascii="Open Sans" w:hAnsi="Open Sans" w:cs="Open Sans"/>
          <w:sz w:val="18"/>
          <w:szCs w:val="18"/>
        </w:rPr>
        <w:t>(</w:t>
      </w:r>
      <w:r w:rsidRPr="00D81B37">
        <w:rPr>
          <w:rStyle w:val="markedcontent"/>
          <w:rFonts w:ascii="Open Sans" w:hAnsi="Open Sans" w:cs="Open Sans"/>
          <w:sz w:val="18"/>
          <w:szCs w:val="18"/>
        </w:rPr>
        <w:t>August 2020</w:t>
      </w:r>
      <w:r w:rsidR="00307417" w:rsidRPr="00D81B37">
        <w:rPr>
          <w:rStyle w:val="markedcontent"/>
          <w:rFonts w:ascii="Open Sans" w:hAnsi="Open Sans" w:cs="Open Sans"/>
          <w:sz w:val="18"/>
          <w:szCs w:val="18"/>
        </w:rPr>
        <w:t>). Available at:</w:t>
      </w:r>
      <w:r w:rsidRPr="00D81B37">
        <w:rPr>
          <w:rStyle w:val="markedcontent"/>
          <w:rFonts w:ascii="Open Sans" w:hAnsi="Open Sans" w:cs="Open Sans"/>
          <w:sz w:val="18"/>
          <w:szCs w:val="18"/>
        </w:rPr>
        <w:t xml:space="preserve"> </w:t>
      </w:r>
      <w:hyperlink r:id="rId7" w:history="1">
        <w:r w:rsidRPr="00D81B37">
          <w:rPr>
            <w:rStyle w:val="Hyperlink"/>
            <w:rFonts w:ascii="Open Sans" w:hAnsi="Open Sans" w:cs="Open Sans"/>
            <w:sz w:val="18"/>
            <w:szCs w:val="18"/>
          </w:rPr>
          <w:t>https://www.kenyans.co.ke/news/56765-830k-people-stranded-governor-scraps-uhurus-free-healthcare-project</w:t>
        </w:r>
      </w:hyperlink>
      <w:r w:rsidRPr="00D81B37">
        <w:rPr>
          <w:rStyle w:val="markedcontent"/>
          <w:rFonts w:ascii="Open Sans" w:hAnsi="Open Sans" w:cs="Open Sans"/>
          <w:sz w:val="18"/>
          <w:szCs w:val="18"/>
        </w:rPr>
        <w:t>.</w:t>
      </w:r>
      <w:r w:rsidR="00307417" w:rsidRPr="00D81B37">
        <w:rPr>
          <w:rStyle w:val="markedcontent"/>
          <w:rFonts w:ascii="Open Sans" w:hAnsi="Open Sans" w:cs="Open Sans"/>
          <w:sz w:val="18"/>
          <w:szCs w:val="18"/>
        </w:rPr>
        <w:t xml:space="preserve"> Accessed March 2023. </w:t>
      </w:r>
    </w:p>
  </w:footnote>
  <w:footnote w:id="20">
    <w:p w14:paraId="43E6ADED" w14:textId="6A65470B" w:rsidR="005A25D0" w:rsidRPr="00D81B37" w:rsidRDefault="005A25D0" w:rsidP="005A25D0">
      <w:pPr>
        <w:pStyle w:val="FootnoteText"/>
        <w:rPr>
          <w:rFonts w:ascii="Open Sans" w:hAnsi="Open Sans" w:cs="Open Sans"/>
          <w:sz w:val="18"/>
          <w:szCs w:val="18"/>
        </w:rPr>
      </w:pPr>
      <w:r w:rsidRPr="00D81B37">
        <w:rPr>
          <w:rStyle w:val="FootnoteReference"/>
          <w:rFonts w:ascii="Open Sans" w:hAnsi="Open Sans" w:cs="Open Sans"/>
          <w:sz w:val="18"/>
          <w:szCs w:val="18"/>
        </w:rPr>
        <w:footnoteRef/>
      </w:r>
      <w:r w:rsidRPr="00D81B37">
        <w:rPr>
          <w:rFonts w:ascii="Open Sans" w:hAnsi="Open Sans" w:cs="Open Sans"/>
          <w:sz w:val="18"/>
          <w:szCs w:val="18"/>
        </w:rPr>
        <w:t xml:space="preserve"> </w:t>
      </w:r>
      <w:r w:rsidR="00307417" w:rsidRPr="00D81B37">
        <w:rPr>
          <w:rFonts w:ascii="Open Sans" w:hAnsi="Open Sans" w:cs="Open Sans"/>
          <w:sz w:val="18"/>
          <w:szCs w:val="18"/>
        </w:rPr>
        <w:t>Ibid.</w:t>
      </w:r>
    </w:p>
  </w:footnote>
  <w:footnote w:id="21">
    <w:p w14:paraId="5C285AC0" w14:textId="3C4C961D" w:rsidR="00890DE5" w:rsidRPr="00D81B37" w:rsidRDefault="00890DE5">
      <w:pPr>
        <w:pStyle w:val="FootnoteText"/>
        <w:rPr>
          <w:rFonts w:ascii="Open Sans" w:hAnsi="Open Sans" w:cs="Open Sans"/>
          <w:sz w:val="18"/>
          <w:szCs w:val="18"/>
        </w:rPr>
      </w:pPr>
      <w:r w:rsidRPr="00D81B37">
        <w:rPr>
          <w:rStyle w:val="FootnoteReference"/>
          <w:rFonts w:ascii="Open Sans" w:hAnsi="Open Sans" w:cs="Open Sans"/>
          <w:sz w:val="18"/>
          <w:szCs w:val="18"/>
        </w:rPr>
        <w:footnoteRef/>
      </w:r>
      <w:r w:rsidRPr="00D81B37">
        <w:rPr>
          <w:rFonts w:ascii="Open Sans" w:hAnsi="Open Sans" w:cs="Open Sans"/>
          <w:sz w:val="18"/>
          <w:szCs w:val="18"/>
        </w:rPr>
        <w:t xml:space="preserve"> </w:t>
      </w:r>
      <w:proofErr w:type="spellStart"/>
      <w:r w:rsidRPr="00D81B37">
        <w:rPr>
          <w:rFonts w:ascii="Open Sans" w:hAnsi="Open Sans" w:cs="Open Sans"/>
          <w:sz w:val="18"/>
          <w:szCs w:val="18"/>
        </w:rPr>
        <w:t>Hakijami</w:t>
      </w:r>
      <w:proofErr w:type="spellEnd"/>
      <w:r w:rsidRPr="00D81B37">
        <w:rPr>
          <w:rFonts w:ascii="Open Sans" w:hAnsi="Open Sans" w:cs="Open Sans"/>
          <w:sz w:val="18"/>
          <w:szCs w:val="18"/>
        </w:rPr>
        <w:t xml:space="preserve"> (2021) see note </w:t>
      </w:r>
      <w:r w:rsidR="00307417" w:rsidRPr="00D81B37">
        <w:rPr>
          <w:rFonts w:ascii="Open Sans" w:hAnsi="Open Sans" w:cs="Open Sans"/>
          <w:sz w:val="18"/>
          <w:szCs w:val="18"/>
        </w:rPr>
        <w:t>13</w:t>
      </w:r>
      <w:r w:rsidRPr="00D81B37">
        <w:rPr>
          <w:rFonts w:ascii="Open Sans" w:hAnsi="Open Sans" w:cs="Open Sans"/>
          <w:sz w:val="18"/>
          <w:szCs w:val="18"/>
        </w:rPr>
        <w:t xml:space="preserve">. </w:t>
      </w:r>
    </w:p>
  </w:footnote>
  <w:footnote w:id="22">
    <w:p w14:paraId="37154185" w14:textId="24B9089E" w:rsidR="00DA59AF" w:rsidRPr="00D81B37" w:rsidRDefault="00DA59AF">
      <w:pPr>
        <w:pStyle w:val="FootnoteText"/>
        <w:rPr>
          <w:rFonts w:ascii="Open Sans" w:hAnsi="Open Sans" w:cs="Open Sans"/>
          <w:sz w:val="18"/>
          <w:szCs w:val="18"/>
        </w:rPr>
      </w:pPr>
      <w:r w:rsidRPr="00D81B37">
        <w:rPr>
          <w:rStyle w:val="FootnoteReference"/>
          <w:rFonts w:ascii="Open Sans" w:hAnsi="Open Sans" w:cs="Open Sans"/>
          <w:sz w:val="18"/>
          <w:szCs w:val="18"/>
        </w:rPr>
        <w:footnoteRef/>
      </w:r>
      <w:r w:rsidRPr="00D81B37">
        <w:rPr>
          <w:rFonts w:ascii="Open Sans" w:hAnsi="Open Sans" w:cs="Open Sans"/>
          <w:sz w:val="18"/>
          <w:szCs w:val="18"/>
        </w:rPr>
        <w:t xml:space="preserve"> Ibid. </w:t>
      </w:r>
    </w:p>
  </w:footnote>
  <w:footnote w:id="23">
    <w:p w14:paraId="7CB3C9C8" w14:textId="6388917B" w:rsidR="00DA59AF" w:rsidRPr="00D81B37" w:rsidRDefault="00DA59AF">
      <w:pPr>
        <w:pStyle w:val="FootnoteText"/>
        <w:rPr>
          <w:rFonts w:ascii="Open Sans" w:hAnsi="Open Sans" w:cs="Open Sans"/>
          <w:sz w:val="18"/>
          <w:szCs w:val="18"/>
        </w:rPr>
      </w:pPr>
      <w:r w:rsidRPr="00D81B37">
        <w:rPr>
          <w:rStyle w:val="FootnoteReference"/>
          <w:rFonts w:ascii="Open Sans" w:hAnsi="Open Sans" w:cs="Open Sans"/>
          <w:sz w:val="18"/>
          <w:szCs w:val="18"/>
        </w:rPr>
        <w:footnoteRef/>
      </w:r>
      <w:r w:rsidR="00307417" w:rsidRPr="00D81B37">
        <w:rPr>
          <w:rFonts w:ascii="Open Sans" w:hAnsi="Open Sans" w:cs="Open Sans"/>
          <w:sz w:val="18"/>
          <w:szCs w:val="18"/>
        </w:rPr>
        <w:t xml:space="preserve"> Ibid</w:t>
      </w:r>
      <w:r w:rsidRPr="00D81B37">
        <w:rPr>
          <w:rFonts w:ascii="Open Sans" w:hAnsi="Open Sans" w:cs="Open Sans"/>
          <w:sz w:val="18"/>
          <w:szCs w:val="18"/>
        </w:rPr>
        <w:t>.</w:t>
      </w:r>
    </w:p>
  </w:footnote>
  <w:footnote w:id="24">
    <w:p w14:paraId="4D8A1ECE" w14:textId="356F00C1" w:rsidR="00DA59AF" w:rsidRPr="00D81B37" w:rsidRDefault="00DA59AF">
      <w:pPr>
        <w:pStyle w:val="FootnoteText"/>
        <w:rPr>
          <w:rFonts w:ascii="Open Sans" w:hAnsi="Open Sans" w:cs="Open Sans"/>
          <w:sz w:val="18"/>
          <w:szCs w:val="18"/>
        </w:rPr>
      </w:pPr>
      <w:r w:rsidRPr="00D81B37">
        <w:rPr>
          <w:rStyle w:val="FootnoteReference"/>
          <w:rFonts w:ascii="Open Sans" w:hAnsi="Open Sans" w:cs="Open Sans"/>
          <w:sz w:val="18"/>
          <w:szCs w:val="18"/>
        </w:rPr>
        <w:footnoteRef/>
      </w:r>
      <w:r w:rsidRPr="00D81B37">
        <w:rPr>
          <w:rFonts w:ascii="Open Sans" w:hAnsi="Open Sans" w:cs="Open Sans"/>
          <w:sz w:val="18"/>
          <w:szCs w:val="18"/>
        </w:rPr>
        <w:t xml:space="preserve"> WHO</w:t>
      </w:r>
      <w:r w:rsidR="00307417" w:rsidRPr="00D81B37">
        <w:rPr>
          <w:rFonts w:ascii="Open Sans" w:hAnsi="Open Sans" w:cs="Open Sans"/>
          <w:sz w:val="18"/>
          <w:szCs w:val="18"/>
        </w:rPr>
        <w:t>, (2011)</w:t>
      </w:r>
      <w:r w:rsidRPr="00D81B37">
        <w:rPr>
          <w:rFonts w:ascii="Open Sans" w:hAnsi="Open Sans" w:cs="Open Sans"/>
          <w:sz w:val="18"/>
          <w:szCs w:val="18"/>
        </w:rPr>
        <w:t xml:space="preserve"> The Abuja Declaration: Ten Years On (2011</w:t>
      </w:r>
      <w:r w:rsidR="00307417" w:rsidRPr="00D81B37">
        <w:rPr>
          <w:rFonts w:ascii="Open Sans" w:hAnsi="Open Sans" w:cs="Open Sans"/>
          <w:sz w:val="18"/>
          <w:szCs w:val="18"/>
        </w:rPr>
        <w:t xml:space="preserve">). Available at: </w:t>
      </w:r>
      <w:hyperlink r:id="rId8" w:history="1">
        <w:r w:rsidR="00307417" w:rsidRPr="00D81B37">
          <w:rPr>
            <w:rStyle w:val="Hyperlink"/>
            <w:rFonts w:ascii="Open Sans" w:hAnsi="Open Sans" w:cs="Open Sans"/>
            <w:sz w:val="18"/>
            <w:szCs w:val="18"/>
          </w:rPr>
          <w:t>https://apps.who.int/iris/bitstream/handle/10665/341162/WHO-HSS-HSF-2010.01-eng.pdf?sequence=1</w:t>
        </w:r>
      </w:hyperlink>
      <w:r w:rsidR="00307417" w:rsidRPr="00D81B37">
        <w:rPr>
          <w:rFonts w:ascii="Open Sans" w:hAnsi="Open Sans" w:cs="Open Sans"/>
          <w:sz w:val="18"/>
          <w:szCs w:val="18"/>
        </w:rPr>
        <w:t>. Accessed April 2023.</w:t>
      </w:r>
    </w:p>
  </w:footnote>
  <w:footnote w:id="25">
    <w:p w14:paraId="4112ACF5" w14:textId="0A9A6522" w:rsidR="00CC413E" w:rsidRPr="00D81B37" w:rsidRDefault="00CC413E">
      <w:pPr>
        <w:pStyle w:val="FootnoteText"/>
        <w:rPr>
          <w:rFonts w:ascii="Open Sans" w:hAnsi="Open Sans" w:cs="Open Sans"/>
          <w:sz w:val="18"/>
          <w:szCs w:val="18"/>
        </w:rPr>
      </w:pPr>
      <w:r w:rsidRPr="00D81B37">
        <w:rPr>
          <w:rStyle w:val="FootnoteReference"/>
          <w:rFonts w:ascii="Open Sans" w:hAnsi="Open Sans" w:cs="Open Sans"/>
          <w:sz w:val="18"/>
          <w:szCs w:val="18"/>
        </w:rPr>
        <w:footnoteRef/>
      </w:r>
      <w:r w:rsidRPr="00D81B37">
        <w:rPr>
          <w:rFonts w:ascii="Open Sans" w:hAnsi="Open Sans" w:cs="Open Sans"/>
          <w:sz w:val="18"/>
          <w:szCs w:val="18"/>
        </w:rPr>
        <w:t xml:space="preserve"> Constitution of Nigeria (1999 amended in 2011) section 17(3)(d). </w:t>
      </w:r>
    </w:p>
  </w:footnote>
  <w:footnote w:id="26">
    <w:p w14:paraId="79A4B408" w14:textId="18B77C70" w:rsidR="00CC413E" w:rsidRPr="00D81B37" w:rsidRDefault="00CC413E" w:rsidP="00CC413E">
      <w:pPr>
        <w:pStyle w:val="FootnoteText"/>
        <w:rPr>
          <w:rFonts w:ascii="Open Sans" w:hAnsi="Open Sans" w:cs="Open Sans"/>
          <w:sz w:val="18"/>
          <w:szCs w:val="18"/>
        </w:rPr>
      </w:pPr>
      <w:r w:rsidRPr="00D81B37">
        <w:rPr>
          <w:rStyle w:val="FootnoteReference"/>
          <w:rFonts w:ascii="Open Sans" w:hAnsi="Open Sans" w:cs="Open Sans"/>
          <w:sz w:val="18"/>
          <w:szCs w:val="18"/>
        </w:rPr>
        <w:footnoteRef/>
      </w:r>
      <w:r w:rsidRPr="00D81B37">
        <w:rPr>
          <w:rFonts w:ascii="Open Sans" w:hAnsi="Open Sans" w:cs="Open Sans"/>
          <w:sz w:val="18"/>
          <w:szCs w:val="18"/>
        </w:rPr>
        <w:t xml:space="preserve"> Remigius </w:t>
      </w:r>
      <w:proofErr w:type="spellStart"/>
      <w:r w:rsidRPr="00D81B37">
        <w:rPr>
          <w:rFonts w:ascii="Open Sans" w:hAnsi="Open Sans" w:cs="Open Sans"/>
          <w:sz w:val="18"/>
          <w:szCs w:val="18"/>
        </w:rPr>
        <w:t>Nwabueze</w:t>
      </w:r>
      <w:proofErr w:type="spellEnd"/>
      <w:r w:rsidRPr="00D81B37">
        <w:rPr>
          <w:rFonts w:ascii="Open Sans" w:hAnsi="Open Sans" w:cs="Open Sans"/>
          <w:sz w:val="18"/>
          <w:szCs w:val="18"/>
        </w:rPr>
        <w:t xml:space="preserve">, ‘The Legal Protection and Enforcement of Health Rights in Nigeria’ in Colleen M Flood and </w:t>
      </w:r>
      <w:proofErr w:type="spellStart"/>
      <w:r w:rsidRPr="00D81B37">
        <w:rPr>
          <w:rFonts w:ascii="Open Sans" w:hAnsi="Open Sans" w:cs="Open Sans"/>
          <w:sz w:val="18"/>
          <w:szCs w:val="18"/>
        </w:rPr>
        <w:t>Aeyal</w:t>
      </w:r>
      <w:proofErr w:type="spellEnd"/>
      <w:r w:rsidRPr="00D81B37">
        <w:rPr>
          <w:rFonts w:ascii="Open Sans" w:hAnsi="Open Sans" w:cs="Open Sans"/>
          <w:sz w:val="18"/>
          <w:szCs w:val="18"/>
        </w:rPr>
        <w:t xml:space="preserve"> Gross (eds), The Right to Health at the Public/Private Divide: A Global Comparative Study (Cambridge University Press 2014). </w:t>
      </w:r>
    </w:p>
  </w:footnote>
  <w:footnote w:id="27">
    <w:p w14:paraId="0B3F2B2E" w14:textId="72AC80AC" w:rsidR="00C35671" w:rsidRPr="00D81B37" w:rsidRDefault="00C35671">
      <w:pPr>
        <w:pStyle w:val="FootnoteText"/>
        <w:rPr>
          <w:rFonts w:ascii="Open Sans" w:hAnsi="Open Sans" w:cs="Open Sans"/>
          <w:sz w:val="18"/>
          <w:szCs w:val="18"/>
        </w:rPr>
      </w:pPr>
      <w:r w:rsidRPr="00D81B37">
        <w:rPr>
          <w:rStyle w:val="FootnoteReference"/>
          <w:rFonts w:ascii="Open Sans" w:hAnsi="Open Sans" w:cs="Open Sans"/>
          <w:sz w:val="18"/>
          <w:szCs w:val="18"/>
        </w:rPr>
        <w:footnoteRef/>
      </w:r>
      <w:r w:rsidRPr="00D81B37">
        <w:rPr>
          <w:rFonts w:ascii="Open Sans" w:hAnsi="Open Sans" w:cs="Open Sans"/>
          <w:sz w:val="18"/>
          <w:szCs w:val="18"/>
        </w:rPr>
        <w:t xml:space="preserve"> </w:t>
      </w:r>
      <w:r w:rsidR="00902765" w:rsidRPr="00D81B37">
        <w:rPr>
          <w:rStyle w:val="markedcontent"/>
          <w:rFonts w:ascii="Open Sans" w:hAnsi="Open Sans" w:cs="Open Sans"/>
          <w:sz w:val="18"/>
          <w:szCs w:val="18"/>
        </w:rPr>
        <w:t xml:space="preserve">African Charter on Human and Peoples’ Rights (Ratification and Enforcement) Act, 1990. </w:t>
      </w:r>
    </w:p>
  </w:footnote>
  <w:footnote w:id="28">
    <w:p w14:paraId="41EE42E0" w14:textId="15A83C7E" w:rsidR="00D624BA" w:rsidRPr="00D81B37" w:rsidRDefault="00D624BA">
      <w:pPr>
        <w:pStyle w:val="FootnoteText"/>
        <w:rPr>
          <w:rFonts w:ascii="Open Sans" w:hAnsi="Open Sans" w:cs="Open Sans"/>
          <w:sz w:val="18"/>
          <w:szCs w:val="18"/>
        </w:rPr>
      </w:pPr>
      <w:r w:rsidRPr="00D81B37">
        <w:rPr>
          <w:rStyle w:val="FootnoteReference"/>
          <w:rFonts w:ascii="Open Sans" w:hAnsi="Open Sans" w:cs="Open Sans"/>
          <w:sz w:val="18"/>
          <w:szCs w:val="18"/>
        </w:rPr>
        <w:footnoteRef/>
      </w:r>
      <w:r w:rsidRPr="00D81B37">
        <w:rPr>
          <w:rFonts w:ascii="Open Sans" w:hAnsi="Open Sans" w:cs="Open Sans"/>
          <w:sz w:val="18"/>
          <w:szCs w:val="18"/>
        </w:rPr>
        <w:t xml:space="preserve"> Global Initiative for Economic, Social and Cultural Rights</w:t>
      </w:r>
      <w:r w:rsidR="00916352" w:rsidRPr="00D81B37">
        <w:rPr>
          <w:rFonts w:ascii="Open Sans" w:hAnsi="Open Sans" w:cs="Open Sans"/>
          <w:sz w:val="18"/>
          <w:szCs w:val="18"/>
        </w:rPr>
        <w:t xml:space="preserve"> (</w:t>
      </w:r>
      <w:r w:rsidR="00307417" w:rsidRPr="00D81B37">
        <w:rPr>
          <w:rFonts w:ascii="Open Sans" w:hAnsi="Open Sans" w:cs="Open Sans"/>
          <w:sz w:val="18"/>
          <w:szCs w:val="18"/>
        </w:rPr>
        <w:t xml:space="preserve">March </w:t>
      </w:r>
      <w:r w:rsidR="00916352" w:rsidRPr="00D81B37">
        <w:rPr>
          <w:rFonts w:ascii="Open Sans" w:hAnsi="Open Sans" w:cs="Open Sans"/>
          <w:sz w:val="18"/>
          <w:szCs w:val="18"/>
        </w:rPr>
        <w:t>2022)</w:t>
      </w:r>
      <w:r w:rsidRPr="00D81B37">
        <w:rPr>
          <w:rFonts w:ascii="Open Sans" w:hAnsi="Open Sans" w:cs="Open Sans"/>
          <w:sz w:val="18"/>
          <w:szCs w:val="18"/>
        </w:rPr>
        <w:t xml:space="preserve"> ‘The right to health during COVID-19 in Nigeria. Discrimination and inequality in a Commercialised Healthcare System’</w:t>
      </w:r>
      <w:r w:rsidR="00307417" w:rsidRPr="00D81B37">
        <w:rPr>
          <w:rFonts w:ascii="Open Sans" w:hAnsi="Open Sans" w:cs="Open Sans"/>
          <w:sz w:val="18"/>
          <w:szCs w:val="18"/>
        </w:rPr>
        <w:t xml:space="preserve">. </w:t>
      </w:r>
      <w:r w:rsidRPr="00D81B37">
        <w:rPr>
          <w:rFonts w:ascii="Open Sans" w:hAnsi="Open Sans" w:cs="Open Sans"/>
          <w:sz w:val="18"/>
          <w:szCs w:val="18"/>
        </w:rPr>
        <w:t xml:space="preserve">Available at: </w:t>
      </w:r>
      <w:hyperlink r:id="rId9" w:history="1">
        <w:r w:rsidRPr="00D81B37">
          <w:rPr>
            <w:rStyle w:val="Hyperlink"/>
            <w:rFonts w:ascii="Open Sans" w:hAnsi="Open Sans" w:cs="Open Sans"/>
            <w:sz w:val="18"/>
            <w:szCs w:val="18"/>
          </w:rPr>
          <w:t>https://gi-escr.org/en/resources/publications/report-the-right-to-health-during-covid-19-in-nigeria</w:t>
        </w:r>
      </w:hyperlink>
      <w:r w:rsidRPr="00D81B37">
        <w:rPr>
          <w:rFonts w:ascii="Open Sans" w:hAnsi="Open Sans" w:cs="Open Sans"/>
          <w:sz w:val="18"/>
          <w:szCs w:val="18"/>
        </w:rPr>
        <w:t xml:space="preserve">. Accessed April 2023.  </w:t>
      </w:r>
    </w:p>
  </w:footnote>
  <w:footnote w:id="29">
    <w:p w14:paraId="5321D5BB" w14:textId="688BCDDE" w:rsidR="00D624BA" w:rsidRPr="00D81B37" w:rsidRDefault="00D624BA">
      <w:pPr>
        <w:pStyle w:val="FootnoteText"/>
        <w:rPr>
          <w:rFonts w:ascii="Open Sans" w:hAnsi="Open Sans" w:cs="Open Sans"/>
          <w:sz w:val="18"/>
          <w:szCs w:val="18"/>
        </w:rPr>
      </w:pPr>
      <w:r w:rsidRPr="00D81B37">
        <w:rPr>
          <w:rStyle w:val="FootnoteReference"/>
          <w:rFonts w:ascii="Open Sans" w:hAnsi="Open Sans" w:cs="Open Sans"/>
          <w:sz w:val="18"/>
          <w:szCs w:val="18"/>
        </w:rPr>
        <w:footnoteRef/>
      </w:r>
      <w:r w:rsidRPr="00D81B37">
        <w:rPr>
          <w:rFonts w:ascii="Open Sans" w:hAnsi="Open Sans" w:cs="Open Sans"/>
          <w:sz w:val="18"/>
          <w:szCs w:val="18"/>
        </w:rPr>
        <w:t xml:space="preserve"> </w:t>
      </w:r>
      <w:r w:rsidR="002B42B2" w:rsidRPr="00D81B37">
        <w:rPr>
          <w:rFonts w:ascii="Open Sans" w:hAnsi="Open Sans" w:cs="Open Sans"/>
          <w:sz w:val="18"/>
          <w:szCs w:val="18"/>
        </w:rPr>
        <w:t xml:space="preserve">Ibid. p. 29. </w:t>
      </w:r>
    </w:p>
  </w:footnote>
  <w:footnote w:id="30">
    <w:p w14:paraId="0198DEE7" w14:textId="3EA4EFB0" w:rsidR="002B42B2" w:rsidRPr="00D81B37" w:rsidRDefault="002B42B2">
      <w:pPr>
        <w:pStyle w:val="FootnoteText"/>
        <w:rPr>
          <w:rFonts w:ascii="Open Sans" w:hAnsi="Open Sans" w:cs="Open Sans"/>
          <w:sz w:val="18"/>
          <w:szCs w:val="18"/>
        </w:rPr>
      </w:pPr>
      <w:r w:rsidRPr="00D81B37">
        <w:rPr>
          <w:rStyle w:val="FootnoteReference"/>
          <w:rFonts w:ascii="Open Sans" w:hAnsi="Open Sans" w:cs="Open Sans"/>
          <w:sz w:val="18"/>
          <w:szCs w:val="18"/>
        </w:rPr>
        <w:footnoteRef/>
      </w:r>
      <w:r w:rsidRPr="00D81B37">
        <w:rPr>
          <w:rFonts w:ascii="Open Sans" w:hAnsi="Open Sans" w:cs="Open Sans"/>
          <w:sz w:val="18"/>
          <w:szCs w:val="18"/>
        </w:rPr>
        <w:t xml:space="preserve"> Ibid. </w:t>
      </w:r>
    </w:p>
  </w:footnote>
  <w:footnote w:id="31">
    <w:p w14:paraId="3C19991C" w14:textId="5E75C684" w:rsidR="00916352" w:rsidRPr="00D81B37" w:rsidRDefault="00916352" w:rsidP="00916352">
      <w:pPr>
        <w:pStyle w:val="FootnoteText"/>
        <w:rPr>
          <w:rFonts w:ascii="Open Sans" w:hAnsi="Open Sans" w:cs="Open Sans"/>
          <w:sz w:val="18"/>
          <w:szCs w:val="18"/>
        </w:rPr>
      </w:pPr>
      <w:r w:rsidRPr="00D81B37">
        <w:rPr>
          <w:rStyle w:val="FootnoteReference"/>
          <w:rFonts w:ascii="Open Sans" w:hAnsi="Open Sans" w:cs="Open Sans"/>
          <w:sz w:val="18"/>
          <w:szCs w:val="18"/>
        </w:rPr>
        <w:footnoteRef/>
      </w:r>
      <w:r w:rsidRPr="00D81B37">
        <w:rPr>
          <w:rFonts w:ascii="Open Sans" w:hAnsi="Open Sans" w:cs="Open Sans"/>
          <w:sz w:val="18"/>
          <w:szCs w:val="18"/>
        </w:rPr>
        <w:t xml:space="preserve"> </w:t>
      </w:r>
      <w:proofErr w:type="spellStart"/>
      <w:r w:rsidRPr="00D81B37">
        <w:rPr>
          <w:rFonts w:ascii="Open Sans" w:hAnsi="Open Sans" w:cs="Open Sans"/>
          <w:sz w:val="18"/>
          <w:szCs w:val="18"/>
        </w:rPr>
        <w:t>Zuhumnan</w:t>
      </w:r>
      <w:proofErr w:type="spellEnd"/>
      <w:r w:rsidRPr="00D81B37">
        <w:rPr>
          <w:rFonts w:ascii="Open Sans" w:hAnsi="Open Sans" w:cs="Open Sans"/>
          <w:sz w:val="18"/>
          <w:szCs w:val="18"/>
        </w:rPr>
        <w:t xml:space="preserve"> </w:t>
      </w:r>
      <w:proofErr w:type="spellStart"/>
      <w:r w:rsidRPr="00D81B37">
        <w:rPr>
          <w:rFonts w:ascii="Open Sans" w:hAnsi="Open Sans" w:cs="Open Sans"/>
          <w:sz w:val="18"/>
          <w:szCs w:val="18"/>
        </w:rPr>
        <w:t>Dapel</w:t>
      </w:r>
      <w:proofErr w:type="spellEnd"/>
      <w:r w:rsidRPr="00D81B37">
        <w:rPr>
          <w:rFonts w:ascii="Open Sans" w:hAnsi="Open Sans" w:cs="Open Sans"/>
          <w:sz w:val="18"/>
          <w:szCs w:val="18"/>
        </w:rPr>
        <w:t xml:space="preserve">, ‘Poverty in Nigeria: Understanding and Bridging the Divide between North and South’ </w:t>
      </w:r>
      <w:proofErr w:type="spellStart"/>
      <w:r w:rsidRPr="00D81B37">
        <w:rPr>
          <w:rFonts w:ascii="Open Sans" w:hAnsi="Open Sans" w:cs="Open Sans"/>
          <w:i/>
          <w:iCs/>
          <w:sz w:val="18"/>
          <w:szCs w:val="18"/>
        </w:rPr>
        <w:t>Center</w:t>
      </w:r>
      <w:proofErr w:type="spellEnd"/>
      <w:r w:rsidRPr="00D81B37">
        <w:rPr>
          <w:rFonts w:ascii="Open Sans" w:hAnsi="Open Sans" w:cs="Open Sans"/>
          <w:i/>
          <w:iCs/>
          <w:sz w:val="18"/>
          <w:szCs w:val="18"/>
        </w:rPr>
        <w:t xml:space="preserve"> for Global Development</w:t>
      </w:r>
      <w:r w:rsidRPr="00D81B37">
        <w:rPr>
          <w:rFonts w:ascii="Open Sans" w:hAnsi="Open Sans" w:cs="Open Sans"/>
          <w:sz w:val="18"/>
          <w:szCs w:val="18"/>
        </w:rPr>
        <w:t xml:space="preserve"> (6 April 2018). </w:t>
      </w:r>
      <w:r w:rsidR="00307417" w:rsidRPr="00D81B37">
        <w:rPr>
          <w:rFonts w:ascii="Open Sans" w:hAnsi="Open Sans" w:cs="Open Sans"/>
          <w:sz w:val="18"/>
          <w:szCs w:val="18"/>
        </w:rPr>
        <w:t xml:space="preserve">Available at: </w:t>
      </w:r>
      <w:hyperlink r:id="rId10" w:history="1">
        <w:r w:rsidR="00307417" w:rsidRPr="00D81B37">
          <w:rPr>
            <w:rStyle w:val="Hyperlink"/>
            <w:rFonts w:ascii="Open Sans" w:hAnsi="Open Sans" w:cs="Open Sans"/>
            <w:sz w:val="18"/>
            <w:szCs w:val="18"/>
          </w:rPr>
          <w:t>https://www.cgdev.org/blog/poverty-nigeria-understanding-and-bridging-divide-between-north-and-south</w:t>
        </w:r>
      </w:hyperlink>
      <w:r w:rsidR="00307417" w:rsidRPr="00D81B37">
        <w:rPr>
          <w:rFonts w:ascii="Open Sans" w:hAnsi="Open Sans" w:cs="Open Sans"/>
          <w:sz w:val="18"/>
          <w:szCs w:val="18"/>
        </w:rPr>
        <w:t xml:space="preserve">. </w:t>
      </w:r>
      <w:r w:rsidRPr="00D81B37">
        <w:rPr>
          <w:rFonts w:ascii="Open Sans" w:hAnsi="Open Sans" w:cs="Open Sans"/>
          <w:sz w:val="18"/>
          <w:szCs w:val="18"/>
        </w:rPr>
        <w:t xml:space="preserve">Accessed </w:t>
      </w:r>
      <w:r w:rsidR="00307417" w:rsidRPr="00D81B37">
        <w:rPr>
          <w:rFonts w:ascii="Open Sans" w:hAnsi="Open Sans" w:cs="Open Sans"/>
          <w:sz w:val="18"/>
          <w:szCs w:val="18"/>
        </w:rPr>
        <w:t>April 2023.</w:t>
      </w:r>
    </w:p>
  </w:footnote>
  <w:footnote w:id="32">
    <w:p w14:paraId="6910D07A" w14:textId="6ECEABF4" w:rsidR="00916352" w:rsidRPr="00D81B37" w:rsidRDefault="00916352" w:rsidP="00916352">
      <w:pPr>
        <w:pStyle w:val="FootnoteText"/>
        <w:rPr>
          <w:rFonts w:ascii="Open Sans" w:hAnsi="Open Sans" w:cs="Open Sans"/>
          <w:sz w:val="18"/>
          <w:szCs w:val="18"/>
        </w:rPr>
      </w:pPr>
      <w:r w:rsidRPr="00D81B37">
        <w:rPr>
          <w:rStyle w:val="FootnoteReference"/>
          <w:rFonts w:ascii="Open Sans" w:hAnsi="Open Sans" w:cs="Open Sans"/>
          <w:sz w:val="18"/>
          <w:szCs w:val="18"/>
        </w:rPr>
        <w:footnoteRef/>
      </w:r>
      <w:r w:rsidRPr="00D81B37">
        <w:rPr>
          <w:rFonts w:ascii="Open Sans" w:hAnsi="Open Sans" w:cs="Open Sans"/>
          <w:sz w:val="18"/>
          <w:szCs w:val="18"/>
        </w:rPr>
        <w:t xml:space="preserve"> GI-ESCR, The UN asks Ghana to explain itself on privatisation (24 October 2021) </w:t>
      </w:r>
      <w:hyperlink r:id="rId11" w:history="1">
        <w:r w:rsidRPr="00D81B37">
          <w:rPr>
            <w:rStyle w:val="Hyperlink"/>
            <w:rFonts w:ascii="Open Sans" w:hAnsi="Open Sans" w:cs="Open Sans"/>
            <w:sz w:val="18"/>
            <w:szCs w:val="18"/>
          </w:rPr>
          <w:t>https://www.gi-escr.org/latest-news/the-un-asks-ghana-to-explain-itself-on-privatisation-in-education</w:t>
        </w:r>
      </w:hyperlink>
      <w:r w:rsidRPr="00D81B37">
        <w:rPr>
          <w:rFonts w:ascii="Open Sans" w:hAnsi="Open Sans" w:cs="Open Sans"/>
          <w:sz w:val="18"/>
          <w:szCs w:val="18"/>
        </w:rPr>
        <w:t>. Accessed March 2023.</w:t>
      </w:r>
    </w:p>
  </w:footnote>
  <w:footnote w:id="33">
    <w:p w14:paraId="36DBF8D0" w14:textId="785CF921" w:rsidR="00916352" w:rsidRPr="00D81B37" w:rsidRDefault="00916352">
      <w:pPr>
        <w:pStyle w:val="FootnoteText"/>
        <w:rPr>
          <w:rFonts w:ascii="Open Sans" w:hAnsi="Open Sans" w:cs="Open Sans"/>
          <w:sz w:val="18"/>
          <w:szCs w:val="18"/>
        </w:rPr>
      </w:pPr>
      <w:r w:rsidRPr="00D81B37">
        <w:rPr>
          <w:rStyle w:val="FootnoteReference"/>
          <w:rFonts w:ascii="Open Sans" w:hAnsi="Open Sans" w:cs="Open Sans"/>
          <w:sz w:val="18"/>
          <w:szCs w:val="18"/>
        </w:rPr>
        <w:footnoteRef/>
      </w:r>
      <w:r w:rsidRPr="00D81B37">
        <w:rPr>
          <w:rFonts w:ascii="Open Sans" w:hAnsi="Open Sans" w:cs="Open Sans"/>
          <w:sz w:val="18"/>
          <w:szCs w:val="18"/>
        </w:rPr>
        <w:t xml:space="preserve"> WHO Global Health Observatory data, </w:t>
      </w:r>
      <w:hyperlink r:id="rId12" w:history="1">
        <w:r w:rsidRPr="00D81B37">
          <w:rPr>
            <w:rStyle w:val="Hyperlink"/>
            <w:rFonts w:ascii="Open Sans" w:hAnsi="Open Sans" w:cs="Open Sans"/>
            <w:sz w:val="18"/>
            <w:szCs w:val="18"/>
          </w:rPr>
          <w:t>https://www.who.int/data/gho</w:t>
        </w:r>
      </w:hyperlink>
      <w:r w:rsidRPr="00D81B37">
        <w:rPr>
          <w:rFonts w:ascii="Open Sans" w:hAnsi="Open Sans" w:cs="Open Sans"/>
          <w:sz w:val="18"/>
          <w:szCs w:val="18"/>
        </w:rPr>
        <w:t xml:space="preserve">. The survey is available here: </w:t>
      </w:r>
      <w:hyperlink r:id="rId13" w:history="1">
        <w:r w:rsidRPr="00D81B37">
          <w:rPr>
            <w:rStyle w:val="Hyperlink"/>
            <w:rFonts w:ascii="Open Sans" w:hAnsi="Open Sans" w:cs="Open Sans"/>
            <w:sz w:val="18"/>
            <w:szCs w:val="18"/>
          </w:rPr>
          <w:t>https://www.who.int/data/gho/data/themes/topics/indicator-groups/sources-of-care-in-mixed-health-systems</w:t>
        </w:r>
      </w:hyperlink>
      <w:r w:rsidRPr="00D81B37">
        <w:rPr>
          <w:rFonts w:ascii="Open Sans" w:hAnsi="Open Sans" w:cs="Open Sans"/>
          <w:sz w:val="18"/>
          <w:szCs w:val="18"/>
        </w:rPr>
        <w:t xml:space="preserve">.  </w:t>
      </w:r>
    </w:p>
  </w:footnote>
  <w:footnote w:id="34">
    <w:p w14:paraId="5FA44523" w14:textId="180CB4F3" w:rsidR="00916352" w:rsidRPr="00D81B37" w:rsidRDefault="00916352">
      <w:pPr>
        <w:pStyle w:val="FootnoteText"/>
        <w:rPr>
          <w:rFonts w:ascii="Open Sans" w:hAnsi="Open Sans" w:cs="Open Sans"/>
          <w:sz w:val="18"/>
          <w:szCs w:val="18"/>
        </w:rPr>
      </w:pPr>
      <w:r w:rsidRPr="00D81B37">
        <w:rPr>
          <w:rStyle w:val="FootnoteReference"/>
          <w:rFonts w:ascii="Open Sans" w:hAnsi="Open Sans" w:cs="Open Sans"/>
          <w:sz w:val="18"/>
          <w:szCs w:val="18"/>
        </w:rPr>
        <w:footnoteRef/>
      </w:r>
      <w:r w:rsidRPr="00D81B37">
        <w:rPr>
          <w:rFonts w:ascii="Open Sans" w:hAnsi="Open Sans" w:cs="Open Sans"/>
          <w:sz w:val="18"/>
          <w:szCs w:val="18"/>
        </w:rPr>
        <w:t xml:space="preserve"> GI-ESCR (2022), </w:t>
      </w:r>
      <w:r w:rsidR="00307417" w:rsidRPr="00D81B37">
        <w:rPr>
          <w:rFonts w:ascii="Open Sans" w:hAnsi="Open Sans" w:cs="Open Sans"/>
          <w:sz w:val="18"/>
          <w:szCs w:val="18"/>
        </w:rPr>
        <w:t xml:space="preserve">see note 25, </w:t>
      </w:r>
      <w:r w:rsidRPr="00D81B37">
        <w:rPr>
          <w:rFonts w:ascii="Open Sans" w:hAnsi="Open Sans" w:cs="Open Sans"/>
          <w:sz w:val="18"/>
          <w:szCs w:val="18"/>
        </w:rPr>
        <w:t xml:space="preserve">p. 30. </w:t>
      </w:r>
    </w:p>
  </w:footnote>
  <w:footnote w:id="35">
    <w:p w14:paraId="15ECC994" w14:textId="2374A078" w:rsidR="00916352" w:rsidRPr="00D81B37" w:rsidRDefault="00916352">
      <w:pPr>
        <w:pStyle w:val="FootnoteText"/>
        <w:rPr>
          <w:rFonts w:ascii="Open Sans" w:hAnsi="Open Sans" w:cs="Open Sans"/>
          <w:sz w:val="18"/>
          <w:szCs w:val="18"/>
        </w:rPr>
      </w:pPr>
      <w:r w:rsidRPr="00D81B37">
        <w:rPr>
          <w:rStyle w:val="FootnoteReference"/>
          <w:rFonts w:ascii="Open Sans" w:hAnsi="Open Sans" w:cs="Open Sans"/>
          <w:sz w:val="18"/>
          <w:szCs w:val="18"/>
        </w:rPr>
        <w:footnoteRef/>
      </w:r>
      <w:r w:rsidRPr="00D81B37">
        <w:rPr>
          <w:rFonts w:ascii="Open Sans" w:hAnsi="Open Sans" w:cs="Open Sans"/>
          <w:sz w:val="18"/>
          <w:szCs w:val="18"/>
        </w:rPr>
        <w:t xml:space="preserve"> </w:t>
      </w:r>
      <w:r w:rsidR="00307417" w:rsidRPr="00D81B37">
        <w:rPr>
          <w:rFonts w:ascii="Open Sans" w:hAnsi="Open Sans" w:cs="Open Sans"/>
          <w:sz w:val="18"/>
          <w:szCs w:val="18"/>
        </w:rPr>
        <w:t xml:space="preserve">Nigerian </w:t>
      </w:r>
      <w:r w:rsidRPr="00D81B37">
        <w:rPr>
          <w:rFonts w:ascii="Open Sans" w:hAnsi="Open Sans" w:cs="Open Sans"/>
          <w:sz w:val="18"/>
          <w:szCs w:val="18"/>
        </w:rPr>
        <w:t xml:space="preserve">Federal Ministry of Health, Revised National Health Policy (2016). </w:t>
      </w:r>
      <w:r w:rsidR="00307417" w:rsidRPr="00D81B37">
        <w:rPr>
          <w:rFonts w:ascii="Open Sans" w:hAnsi="Open Sans" w:cs="Open Sans"/>
          <w:sz w:val="18"/>
          <w:szCs w:val="18"/>
        </w:rPr>
        <w:t xml:space="preserve">Available at: </w:t>
      </w:r>
      <w:hyperlink r:id="rId14" w:history="1">
        <w:r w:rsidR="00307417" w:rsidRPr="00D81B37">
          <w:rPr>
            <w:rStyle w:val="Hyperlink"/>
            <w:rFonts w:ascii="Open Sans" w:hAnsi="Open Sans" w:cs="Open Sans"/>
            <w:sz w:val="18"/>
            <w:szCs w:val="18"/>
          </w:rPr>
          <w:t>https://extranet.who.int/countryplanningcycles/sites/default/files/planning_cycle_repository/nigeria/draft_nigeria_national_health_policy_final_december_fmoh_edited.pdf</w:t>
        </w:r>
      </w:hyperlink>
      <w:r w:rsidR="00307417" w:rsidRPr="00D81B37">
        <w:rPr>
          <w:rFonts w:ascii="Open Sans" w:hAnsi="Open Sans" w:cs="Open Sans"/>
          <w:sz w:val="18"/>
          <w:szCs w:val="18"/>
        </w:rPr>
        <w:t xml:space="preserve">. </w:t>
      </w:r>
      <w:r w:rsidRPr="00D81B37">
        <w:rPr>
          <w:rFonts w:ascii="Open Sans" w:hAnsi="Open Sans" w:cs="Open Sans"/>
          <w:sz w:val="18"/>
          <w:szCs w:val="18"/>
        </w:rPr>
        <w:t>Accessed</w:t>
      </w:r>
      <w:r w:rsidR="00307417" w:rsidRPr="00D81B37">
        <w:rPr>
          <w:rFonts w:ascii="Open Sans" w:hAnsi="Open Sans" w:cs="Open Sans"/>
          <w:sz w:val="18"/>
          <w:szCs w:val="18"/>
        </w:rPr>
        <w:t xml:space="preserve"> April 2023</w:t>
      </w:r>
      <w:r w:rsidRPr="00D81B37">
        <w:rPr>
          <w:rFonts w:ascii="Open Sans" w:hAnsi="Open Sans" w:cs="Open Sans"/>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A85DB" w14:textId="3300A0A5" w:rsidR="005A25D0" w:rsidRDefault="005A25D0" w:rsidP="00D81B37">
    <w:pPr>
      <w:pStyle w:val="Header"/>
      <w:jc w:val="center"/>
    </w:pPr>
    <w:r>
      <w:rPr>
        <w:noProof/>
      </w:rPr>
      <w:drawing>
        <wp:inline distT="0" distB="0" distL="0" distR="0" wp14:anchorId="3A1FB521" wp14:editId="6D748EFF">
          <wp:extent cx="2714878" cy="11904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714878" cy="119044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EB987" w14:textId="5BA3098A" w:rsidR="00063A48" w:rsidRDefault="00063A48" w:rsidP="00063A48">
    <w:pPr>
      <w:pStyle w:val="Header"/>
      <w:jc w:val="center"/>
    </w:pPr>
    <w:r>
      <w:rPr>
        <w:noProof/>
      </w:rPr>
      <w:drawing>
        <wp:inline distT="0" distB="0" distL="0" distR="0" wp14:anchorId="18B1D538" wp14:editId="794D7B5D">
          <wp:extent cx="2714878" cy="1190445"/>
          <wp:effectExtent l="0" t="0" r="0" b="0"/>
          <wp:docPr id="9786444" name="Picture 9786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714878" cy="11904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750FD"/>
    <w:multiLevelType w:val="multilevel"/>
    <w:tmpl w:val="95148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1D0054"/>
    <w:multiLevelType w:val="hybridMultilevel"/>
    <w:tmpl w:val="10889592"/>
    <w:lvl w:ilvl="0" w:tplc="FFFFFFFF">
      <w:start w:val="1"/>
      <w:numFmt w:val="bullet"/>
      <w:lvlText w:val="•"/>
      <w:lvlJc w:val="left"/>
      <w:pPr>
        <w:ind w:left="756" w:hanging="396"/>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C263991"/>
    <w:multiLevelType w:val="hybridMultilevel"/>
    <w:tmpl w:val="4B4E75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57D084C"/>
    <w:multiLevelType w:val="multilevel"/>
    <w:tmpl w:val="DA9C1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473321">
    <w:abstractNumId w:val="3"/>
  </w:num>
  <w:num w:numId="2" w16cid:durableId="1929924353">
    <w:abstractNumId w:val="0"/>
  </w:num>
  <w:num w:numId="3" w16cid:durableId="1184517628">
    <w:abstractNumId w:val="2"/>
  </w:num>
  <w:num w:numId="4" w16cid:durableId="3050850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81A38"/>
    <w:rsid w:val="00023744"/>
    <w:rsid w:val="00057C73"/>
    <w:rsid w:val="00063A48"/>
    <w:rsid w:val="000766F2"/>
    <w:rsid w:val="000D560B"/>
    <w:rsid w:val="000F61D8"/>
    <w:rsid w:val="0014020E"/>
    <w:rsid w:val="00176977"/>
    <w:rsid w:val="001C38BA"/>
    <w:rsid w:val="00210410"/>
    <w:rsid w:val="00210F5E"/>
    <w:rsid w:val="00247807"/>
    <w:rsid w:val="002A5ED9"/>
    <w:rsid w:val="002B42B2"/>
    <w:rsid w:val="002C0F09"/>
    <w:rsid w:val="002E44D0"/>
    <w:rsid w:val="002F0983"/>
    <w:rsid w:val="002F407D"/>
    <w:rsid w:val="0030681F"/>
    <w:rsid w:val="00307417"/>
    <w:rsid w:val="00313707"/>
    <w:rsid w:val="00370388"/>
    <w:rsid w:val="00387CAB"/>
    <w:rsid w:val="004E3039"/>
    <w:rsid w:val="00503351"/>
    <w:rsid w:val="00534C75"/>
    <w:rsid w:val="0059176B"/>
    <w:rsid w:val="005A25D0"/>
    <w:rsid w:val="005D193D"/>
    <w:rsid w:val="00627BE0"/>
    <w:rsid w:val="00681A38"/>
    <w:rsid w:val="00685685"/>
    <w:rsid w:val="006874A4"/>
    <w:rsid w:val="00694DDE"/>
    <w:rsid w:val="006C1C13"/>
    <w:rsid w:val="00712C2C"/>
    <w:rsid w:val="007576A3"/>
    <w:rsid w:val="00790074"/>
    <w:rsid w:val="00796036"/>
    <w:rsid w:val="00871613"/>
    <w:rsid w:val="00890DE5"/>
    <w:rsid w:val="008A4906"/>
    <w:rsid w:val="00902765"/>
    <w:rsid w:val="00916352"/>
    <w:rsid w:val="009267D9"/>
    <w:rsid w:val="00932C46"/>
    <w:rsid w:val="00940F20"/>
    <w:rsid w:val="009418CF"/>
    <w:rsid w:val="009B2CA0"/>
    <w:rsid w:val="00A40933"/>
    <w:rsid w:val="00A778CC"/>
    <w:rsid w:val="00A8303E"/>
    <w:rsid w:val="00AD64AF"/>
    <w:rsid w:val="00B42F4E"/>
    <w:rsid w:val="00B9300F"/>
    <w:rsid w:val="00C02D6F"/>
    <w:rsid w:val="00C34392"/>
    <w:rsid w:val="00C35671"/>
    <w:rsid w:val="00C43768"/>
    <w:rsid w:val="00C54702"/>
    <w:rsid w:val="00C61786"/>
    <w:rsid w:val="00CC413E"/>
    <w:rsid w:val="00D01A13"/>
    <w:rsid w:val="00D26B9D"/>
    <w:rsid w:val="00D3061E"/>
    <w:rsid w:val="00D377F1"/>
    <w:rsid w:val="00D624BA"/>
    <w:rsid w:val="00D648C8"/>
    <w:rsid w:val="00D64C84"/>
    <w:rsid w:val="00D81B37"/>
    <w:rsid w:val="00DA59AF"/>
    <w:rsid w:val="00DE7936"/>
    <w:rsid w:val="00E05305"/>
    <w:rsid w:val="00E73C75"/>
    <w:rsid w:val="00F255A0"/>
    <w:rsid w:val="00F26584"/>
    <w:rsid w:val="00F368C6"/>
    <w:rsid w:val="00F66FD8"/>
    <w:rsid w:val="00FD3E6F"/>
    <w:rsid w:val="00FE5685"/>
    <w:rsid w:val="076D224C"/>
    <w:rsid w:val="0AE8261E"/>
    <w:rsid w:val="0BEE51DD"/>
    <w:rsid w:val="0E5BEB1E"/>
    <w:rsid w:val="1171BDF4"/>
    <w:rsid w:val="1814DDEB"/>
    <w:rsid w:val="22B84973"/>
    <w:rsid w:val="4875AB07"/>
    <w:rsid w:val="4F6A152A"/>
    <w:rsid w:val="53330375"/>
    <w:rsid w:val="64A0D5B2"/>
    <w:rsid w:val="67FD380F"/>
    <w:rsid w:val="68059C0F"/>
    <w:rsid w:val="681C6229"/>
    <w:rsid w:val="6DDF9C51"/>
    <w:rsid w:val="75D4FB9C"/>
    <w:rsid w:val="7FB7DC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B2A1C"/>
  <w15:docId w15:val="{BE8954A4-ED7D-4C39-850D-510CA583E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81A38"/>
    <w:pPr>
      <w:spacing w:before="100" w:beforeAutospacing="1" w:after="100" w:afterAutospacing="1" w:line="240" w:lineRule="auto"/>
    </w:pPr>
    <w:rPr>
      <w:rFonts w:ascii="Times New Roman" w:eastAsia="Times New Roman" w:hAnsi="Times New Roman" w:cs="Times New Roman"/>
      <w:kern w:val="0"/>
      <w:sz w:val="24"/>
      <w:szCs w:val="24"/>
      <w:lang w:val="en-IN" w:eastAsia="en-IN" w:bidi="mr-IN"/>
    </w:rPr>
  </w:style>
  <w:style w:type="character" w:customStyle="1" w:styleId="normaltextrun">
    <w:name w:val="normaltextrun"/>
    <w:basedOn w:val="DefaultParagraphFont"/>
    <w:rsid w:val="00681A38"/>
  </w:style>
  <w:style w:type="character" w:customStyle="1" w:styleId="eop">
    <w:name w:val="eop"/>
    <w:basedOn w:val="DefaultParagraphFont"/>
    <w:rsid w:val="00681A38"/>
  </w:style>
  <w:style w:type="character" w:customStyle="1" w:styleId="markedcontent">
    <w:name w:val="markedcontent"/>
    <w:basedOn w:val="DefaultParagraphFont"/>
    <w:rsid w:val="005A25D0"/>
  </w:style>
  <w:style w:type="paragraph" w:styleId="FootnoteText">
    <w:name w:val="footnote text"/>
    <w:basedOn w:val="Normal"/>
    <w:link w:val="FootnoteTextChar"/>
    <w:uiPriority w:val="99"/>
    <w:semiHidden/>
    <w:unhideWhenUsed/>
    <w:rsid w:val="005A25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25D0"/>
    <w:rPr>
      <w:sz w:val="20"/>
      <w:szCs w:val="20"/>
      <w:lang w:val="en-GB"/>
    </w:rPr>
  </w:style>
  <w:style w:type="character" w:styleId="FootnoteReference">
    <w:name w:val="footnote reference"/>
    <w:basedOn w:val="DefaultParagraphFont"/>
    <w:uiPriority w:val="99"/>
    <w:semiHidden/>
    <w:unhideWhenUsed/>
    <w:rsid w:val="005A25D0"/>
    <w:rPr>
      <w:vertAlign w:val="superscript"/>
    </w:rPr>
  </w:style>
  <w:style w:type="character" w:styleId="Hyperlink">
    <w:name w:val="Hyperlink"/>
    <w:basedOn w:val="DefaultParagraphFont"/>
    <w:uiPriority w:val="99"/>
    <w:unhideWhenUsed/>
    <w:rsid w:val="005A25D0"/>
    <w:rPr>
      <w:color w:val="0563C1" w:themeColor="hyperlink"/>
      <w:u w:val="single"/>
    </w:rPr>
  </w:style>
  <w:style w:type="character" w:styleId="UnresolvedMention">
    <w:name w:val="Unresolved Mention"/>
    <w:basedOn w:val="DefaultParagraphFont"/>
    <w:uiPriority w:val="99"/>
    <w:semiHidden/>
    <w:unhideWhenUsed/>
    <w:rsid w:val="005A25D0"/>
    <w:rPr>
      <w:color w:val="605E5C"/>
      <w:shd w:val="clear" w:color="auto" w:fill="E1DFDD"/>
    </w:rPr>
  </w:style>
  <w:style w:type="character" w:customStyle="1" w:styleId="highlight">
    <w:name w:val="highlight"/>
    <w:basedOn w:val="DefaultParagraphFont"/>
    <w:rsid w:val="005A25D0"/>
  </w:style>
  <w:style w:type="paragraph" w:styleId="Header">
    <w:name w:val="header"/>
    <w:basedOn w:val="Normal"/>
    <w:link w:val="HeaderChar"/>
    <w:uiPriority w:val="99"/>
    <w:unhideWhenUsed/>
    <w:rsid w:val="005A25D0"/>
    <w:pPr>
      <w:tabs>
        <w:tab w:val="center" w:pos="4819"/>
        <w:tab w:val="right" w:pos="9638"/>
      </w:tabs>
      <w:spacing w:after="0" w:line="240" w:lineRule="auto"/>
    </w:pPr>
  </w:style>
  <w:style w:type="character" w:customStyle="1" w:styleId="HeaderChar">
    <w:name w:val="Header Char"/>
    <w:basedOn w:val="DefaultParagraphFont"/>
    <w:link w:val="Header"/>
    <w:uiPriority w:val="99"/>
    <w:rsid w:val="005A25D0"/>
    <w:rPr>
      <w:lang w:val="en-GB"/>
    </w:rPr>
  </w:style>
  <w:style w:type="paragraph" w:styleId="Footer">
    <w:name w:val="footer"/>
    <w:basedOn w:val="Normal"/>
    <w:link w:val="FooterChar"/>
    <w:uiPriority w:val="99"/>
    <w:unhideWhenUsed/>
    <w:rsid w:val="005A25D0"/>
    <w:pPr>
      <w:tabs>
        <w:tab w:val="center" w:pos="4819"/>
        <w:tab w:val="right" w:pos="9638"/>
      </w:tabs>
      <w:spacing w:after="0" w:line="240" w:lineRule="auto"/>
    </w:pPr>
  </w:style>
  <w:style w:type="character" w:customStyle="1" w:styleId="FooterChar">
    <w:name w:val="Footer Char"/>
    <w:basedOn w:val="DefaultParagraphFont"/>
    <w:link w:val="Footer"/>
    <w:uiPriority w:val="99"/>
    <w:rsid w:val="005A25D0"/>
    <w:rPr>
      <w:lang w:val="en-GB"/>
    </w:rPr>
  </w:style>
  <w:style w:type="paragraph" w:styleId="ListParagraph">
    <w:name w:val="List Paragraph"/>
    <w:basedOn w:val="Normal"/>
    <w:qFormat/>
    <w:rsid w:val="005A25D0"/>
    <w:pPr>
      <w:ind w:left="720"/>
      <w:contextualSpacing/>
    </w:pPr>
    <w:rPr>
      <w:lang w:val="en-IN"/>
    </w:rPr>
  </w:style>
  <w:style w:type="paragraph" w:styleId="Revision">
    <w:name w:val="Revision"/>
    <w:hidden/>
    <w:uiPriority w:val="99"/>
    <w:semiHidden/>
    <w:rsid w:val="00C34392"/>
    <w:pPr>
      <w:spacing w:after="0" w:line="240" w:lineRule="auto"/>
    </w:pPr>
    <w:rPr>
      <w:lang w:val="en-GB"/>
    </w:rPr>
  </w:style>
  <w:style w:type="character" w:styleId="CommentReference">
    <w:name w:val="annotation reference"/>
    <w:basedOn w:val="DefaultParagraphFont"/>
    <w:uiPriority w:val="99"/>
    <w:semiHidden/>
    <w:unhideWhenUsed/>
    <w:rsid w:val="0059176B"/>
    <w:rPr>
      <w:sz w:val="16"/>
      <w:szCs w:val="16"/>
    </w:rPr>
  </w:style>
  <w:style w:type="paragraph" w:styleId="CommentText">
    <w:name w:val="annotation text"/>
    <w:basedOn w:val="Normal"/>
    <w:link w:val="CommentTextChar"/>
    <w:uiPriority w:val="99"/>
    <w:semiHidden/>
    <w:unhideWhenUsed/>
    <w:rsid w:val="0059176B"/>
    <w:pPr>
      <w:spacing w:line="240" w:lineRule="auto"/>
    </w:pPr>
    <w:rPr>
      <w:sz w:val="20"/>
      <w:szCs w:val="20"/>
    </w:rPr>
  </w:style>
  <w:style w:type="character" w:customStyle="1" w:styleId="CommentTextChar">
    <w:name w:val="Comment Text Char"/>
    <w:basedOn w:val="DefaultParagraphFont"/>
    <w:link w:val="CommentText"/>
    <w:uiPriority w:val="99"/>
    <w:semiHidden/>
    <w:rsid w:val="0059176B"/>
    <w:rPr>
      <w:sz w:val="20"/>
      <w:szCs w:val="20"/>
      <w:lang w:val="en-GB"/>
    </w:rPr>
  </w:style>
  <w:style w:type="paragraph" w:styleId="CommentSubject">
    <w:name w:val="annotation subject"/>
    <w:basedOn w:val="CommentText"/>
    <w:next w:val="CommentText"/>
    <w:link w:val="CommentSubjectChar"/>
    <w:uiPriority w:val="99"/>
    <w:semiHidden/>
    <w:unhideWhenUsed/>
    <w:rsid w:val="0059176B"/>
    <w:rPr>
      <w:b/>
      <w:bCs/>
    </w:rPr>
  </w:style>
  <w:style w:type="character" w:customStyle="1" w:styleId="CommentSubjectChar">
    <w:name w:val="Comment Subject Char"/>
    <w:basedOn w:val="CommentTextChar"/>
    <w:link w:val="CommentSubject"/>
    <w:uiPriority w:val="99"/>
    <w:semiHidden/>
    <w:rsid w:val="0059176B"/>
    <w:rPr>
      <w:b/>
      <w:bCs/>
      <w:sz w:val="20"/>
      <w:szCs w:val="20"/>
      <w:lang w:val="en-GB"/>
    </w:rPr>
  </w:style>
  <w:style w:type="character" w:styleId="FollowedHyperlink">
    <w:name w:val="FollowedHyperlink"/>
    <w:basedOn w:val="DefaultParagraphFont"/>
    <w:uiPriority w:val="99"/>
    <w:semiHidden/>
    <w:unhideWhenUsed/>
    <w:rsid w:val="00307417"/>
    <w:rPr>
      <w:color w:val="954F72" w:themeColor="followedHyperlink"/>
      <w:u w:val="single"/>
    </w:rPr>
  </w:style>
  <w:style w:type="character" w:styleId="PageNumber">
    <w:name w:val="page number"/>
    <w:basedOn w:val="DefaultParagraphFont"/>
    <w:uiPriority w:val="99"/>
    <w:semiHidden/>
    <w:unhideWhenUsed/>
    <w:rsid w:val="00063A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965357">
      <w:bodyDiv w:val="1"/>
      <w:marLeft w:val="0"/>
      <w:marRight w:val="0"/>
      <w:marTop w:val="0"/>
      <w:marBottom w:val="0"/>
      <w:divBdr>
        <w:top w:val="none" w:sz="0" w:space="0" w:color="auto"/>
        <w:left w:val="none" w:sz="0" w:space="0" w:color="auto"/>
        <w:bottom w:val="none" w:sz="0" w:space="0" w:color="auto"/>
        <w:right w:val="none" w:sz="0" w:space="0" w:color="auto"/>
      </w:divBdr>
      <w:divsChild>
        <w:div w:id="514803090">
          <w:marLeft w:val="480"/>
          <w:marRight w:val="0"/>
          <w:marTop w:val="0"/>
          <w:marBottom w:val="0"/>
          <w:divBdr>
            <w:top w:val="none" w:sz="0" w:space="0" w:color="auto"/>
            <w:left w:val="none" w:sz="0" w:space="0" w:color="auto"/>
            <w:bottom w:val="none" w:sz="0" w:space="0" w:color="auto"/>
            <w:right w:val="none" w:sz="0" w:space="0" w:color="auto"/>
          </w:divBdr>
          <w:divsChild>
            <w:div w:id="121538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637077">
      <w:bodyDiv w:val="1"/>
      <w:marLeft w:val="0"/>
      <w:marRight w:val="0"/>
      <w:marTop w:val="0"/>
      <w:marBottom w:val="0"/>
      <w:divBdr>
        <w:top w:val="none" w:sz="0" w:space="0" w:color="auto"/>
        <w:left w:val="none" w:sz="0" w:space="0" w:color="auto"/>
        <w:bottom w:val="none" w:sz="0" w:space="0" w:color="auto"/>
        <w:right w:val="none" w:sz="0" w:space="0" w:color="auto"/>
      </w:divBdr>
    </w:div>
    <w:div w:id="1165169219">
      <w:bodyDiv w:val="1"/>
      <w:marLeft w:val="0"/>
      <w:marRight w:val="0"/>
      <w:marTop w:val="0"/>
      <w:marBottom w:val="0"/>
      <w:divBdr>
        <w:top w:val="none" w:sz="0" w:space="0" w:color="auto"/>
        <w:left w:val="none" w:sz="0" w:space="0" w:color="auto"/>
        <w:bottom w:val="none" w:sz="0" w:space="0" w:color="auto"/>
        <w:right w:val="none" w:sz="0" w:space="0" w:color="auto"/>
      </w:divBdr>
    </w:div>
    <w:div w:id="1167280277">
      <w:bodyDiv w:val="1"/>
      <w:marLeft w:val="0"/>
      <w:marRight w:val="0"/>
      <w:marTop w:val="0"/>
      <w:marBottom w:val="0"/>
      <w:divBdr>
        <w:top w:val="none" w:sz="0" w:space="0" w:color="auto"/>
        <w:left w:val="none" w:sz="0" w:space="0" w:color="auto"/>
        <w:bottom w:val="none" w:sz="0" w:space="0" w:color="auto"/>
        <w:right w:val="none" w:sz="0" w:space="0" w:color="auto"/>
      </w:divBdr>
    </w:div>
    <w:div w:id="1588155740">
      <w:bodyDiv w:val="1"/>
      <w:marLeft w:val="0"/>
      <w:marRight w:val="0"/>
      <w:marTop w:val="0"/>
      <w:marBottom w:val="0"/>
      <w:divBdr>
        <w:top w:val="none" w:sz="0" w:space="0" w:color="auto"/>
        <w:left w:val="none" w:sz="0" w:space="0" w:color="auto"/>
        <w:bottom w:val="none" w:sz="0" w:space="0" w:color="auto"/>
        <w:right w:val="none" w:sz="0" w:space="0" w:color="auto"/>
      </w:divBdr>
      <w:divsChild>
        <w:div w:id="1478719882">
          <w:marLeft w:val="480"/>
          <w:marRight w:val="0"/>
          <w:marTop w:val="0"/>
          <w:marBottom w:val="0"/>
          <w:divBdr>
            <w:top w:val="none" w:sz="0" w:space="0" w:color="auto"/>
            <w:left w:val="none" w:sz="0" w:space="0" w:color="auto"/>
            <w:bottom w:val="none" w:sz="0" w:space="0" w:color="auto"/>
            <w:right w:val="none" w:sz="0" w:space="0" w:color="auto"/>
          </w:divBdr>
          <w:divsChild>
            <w:div w:id="195771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2131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i-escr.org/publications/compendium-of-united-nations-human-rights-treaty-bodies-statements-on-private-actors-in-healthcare" TargetMode="External"/><Relationship Id="rId18" Type="http://schemas.openxmlformats.org/officeDocument/2006/relationships/hyperlink" Target="https://static1.squarespace.com/static/5a6e0958f6576ebde0e78c18/t/60b78462b0e35034a1394630/1622639715294/2021-05-Policy-brief-italy-during-COVID-19-healthcare-privatisation.pdf"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gi-escr.org/latest-news/the-santiago-declaration-a-result-of-the-our-future-is-public-conference-co-organised-by-gi-escr" TargetMode="External"/><Relationship Id="rId17" Type="http://schemas.openxmlformats.org/officeDocument/2006/relationships/hyperlink" Target="https://www.cesr.org/sites/default/files/2021/Principles_for_Human_Rights_in_Fiscal_Polic%20y-ENG-VF-1.pdf" TargetMode="External"/><Relationship Id="rId2" Type="http://schemas.openxmlformats.org/officeDocument/2006/relationships/customXml" Target="../customXml/item2.xml"/><Relationship Id="rId16" Type="http://schemas.openxmlformats.org/officeDocument/2006/relationships/hyperlink" Target="https://chrgj.org/wp-content/uploads/2021/11/Report_Wrong-Pre-scription_Eng_.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tureispublic.org/globalmanifesto/manifesto-en/"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i-escr.org/latest-news/new-report-the-right-to-health-during-the-covid-19-pandemic-in-nigeria-discrimination-and-inequality-in-a-commercialised-healthcare-syste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atic1.squarespace.com/static/5a6e0958f6576ebde0e78c18/t/633e8821f9fe1778598620b6/1665042466145/States+Human+Rights+Obligations+-+regional+perspective.pdf" TargetMode="External"/><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apps.who.int/iris/bitstream/handle/10665/341162/WHO-HSS-HSF-2010.01-eng.pdf?sequence=1" TargetMode="External"/><Relationship Id="rId13" Type="http://schemas.openxmlformats.org/officeDocument/2006/relationships/hyperlink" Target="https://www.who.int/data/gho/data/themes/topics/indicator-groups/sources-of-care-in-mixed-health-systems" TargetMode="External"/><Relationship Id="rId3" Type="http://schemas.openxmlformats.org/officeDocument/2006/relationships/hyperlink" Target="https://chrgj.org/wp-content/uploads/2021/11/Report_Wrong-Pre-scription_Eng_.pdf" TargetMode="External"/><Relationship Id="rId7" Type="http://schemas.openxmlformats.org/officeDocument/2006/relationships/hyperlink" Target="https://www.kenyans.co.ke/news/56765-830k-people-stranded-governor-scraps-uhurus-free-healthcare-project" TargetMode="External"/><Relationship Id="rId12" Type="http://schemas.openxmlformats.org/officeDocument/2006/relationships/hyperlink" Target="https://www.who.int/data/gho" TargetMode="External"/><Relationship Id="rId2" Type="http://schemas.openxmlformats.org/officeDocument/2006/relationships/hyperlink" Target="https://www.achpr.org/sessions/resolutions?id=444" TargetMode="External"/><Relationship Id="rId1" Type="http://schemas.openxmlformats.org/officeDocument/2006/relationships/hyperlink" Target="https://www.gi-escr.org/publications/compendium-of-united-nations-human-rights-treaty-bodies-state-ments-on-private-actors-in-healthcare" TargetMode="External"/><Relationship Id="rId6" Type="http://schemas.openxmlformats.org/officeDocument/2006/relationships/hyperlink" Target="https://www.healthpolicyproject.com/pubs/400_KenyaUserFeesBaselineReportFINAL.pdf" TargetMode="External"/><Relationship Id="rId11" Type="http://schemas.openxmlformats.org/officeDocument/2006/relationships/hyperlink" Target="https://www.gi-escr.org/latest-news/the-un-asks-ghana-to-explain-itself-on-privatisation-in-education" TargetMode="External"/><Relationship Id="rId5" Type="http://schemas.openxmlformats.org/officeDocument/2006/relationships/hyperlink" Target="https://www.gi-escr.org/publications/patients-or-customers-the-impact-of-commercialised-healthcare-on-the-right-to-health-during-the-covid-19-pandemic-in-kenya" TargetMode="External"/><Relationship Id="rId10" Type="http://schemas.openxmlformats.org/officeDocument/2006/relationships/hyperlink" Target="https://www.cgdev.org/blog/poverty-nigeria-understanding-and-bridging-divide-between-north-and-south" TargetMode="External"/><Relationship Id="rId4" Type="http://schemas.openxmlformats.org/officeDocument/2006/relationships/hyperlink" Target="https://pdf.usaid.gov/pdf_docs/pnads076.pdf" TargetMode="External"/><Relationship Id="rId9" Type="http://schemas.openxmlformats.org/officeDocument/2006/relationships/hyperlink" Target="https://gi-escr.org/en/resources/publications/report-the-right-to-health-during-covid-19-in-nigeria" TargetMode="External"/><Relationship Id="rId14" Type="http://schemas.openxmlformats.org/officeDocument/2006/relationships/hyperlink" Target="https://extranet.who.int/countryplanningcycles/sites/default/files/planning_cycle_repository/nigeria/draft_nigeria_national_health_policy_final_december_fmoh_edited.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f982bab0-ee64-4081-9356-7468477ba864" xsi:nil="true"/>
    <lcf76f155ced4ddcb4097134ff3c332f xmlns="47e8b951-b14c-4db7-9ec5-7a3bbfd7b1b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635EBF2B95EFF4D971B3D52AFC8CD47" ma:contentTypeVersion="22" ma:contentTypeDescription="Create a new document." ma:contentTypeScope="" ma:versionID="9d706ede349432cdc5b09357d78ec04c">
  <xsd:schema xmlns:xsd="http://www.w3.org/2001/XMLSchema" xmlns:xs="http://www.w3.org/2001/XMLSchema" xmlns:p="http://schemas.microsoft.com/office/2006/metadata/properties" xmlns:ns2="47e8b951-b14c-4db7-9ec5-7a3bbfd7b1b0" xmlns:ns3="f982bab0-ee64-4081-9356-7468477ba864" targetNamespace="http://schemas.microsoft.com/office/2006/metadata/properties" ma:root="true" ma:fieldsID="3f640f4bc10161dde5ff8c0f90cf468d" ns2:_="" ns3:_="">
    <xsd:import namespace="47e8b951-b14c-4db7-9ec5-7a3bbfd7b1b0"/>
    <xsd:import namespace="f982bab0-ee64-4081-9356-7468477ba8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e8b951-b14c-4db7-9ec5-7a3bbfd7b1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e2c3653-ab83-4050-93d3-5a45da19caf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982bab0-ee64-4081-9356-7468477ba86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adfab03-38bf-43da-ab03-456d43183a7f}" ma:internalName="TaxCatchAll" ma:showField="CatchAllData" ma:web="f982bab0-ee64-4081-9356-7468477ba8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D9EB28-EDB5-402C-987E-1D32F7000F33}">
  <ds:schemaRefs>
    <ds:schemaRef ds:uri="http://schemas.openxmlformats.org/officeDocument/2006/bibliography"/>
  </ds:schemaRefs>
</ds:datastoreItem>
</file>

<file path=customXml/itemProps2.xml><?xml version="1.0" encoding="utf-8"?>
<ds:datastoreItem xmlns:ds="http://schemas.openxmlformats.org/officeDocument/2006/customXml" ds:itemID="{E845880E-A26E-4FF0-8150-A83184645BEB}">
  <ds:schemaRefs>
    <ds:schemaRef ds:uri="http://schemas.microsoft.com/office/2006/metadata/properties"/>
    <ds:schemaRef ds:uri="http://schemas.microsoft.com/office/infopath/2007/PartnerControls"/>
    <ds:schemaRef ds:uri="f982bab0-ee64-4081-9356-7468477ba864"/>
    <ds:schemaRef ds:uri="47e8b951-b14c-4db7-9ec5-7a3bbfd7b1b0"/>
  </ds:schemaRefs>
</ds:datastoreItem>
</file>

<file path=customXml/itemProps3.xml><?xml version="1.0" encoding="utf-8"?>
<ds:datastoreItem xmlns:ds="http://schemas.openxmlformats.org/officeDocument/2006/customXml" ds:itemID="{F8568F4A-9EBA-49DD-BF55-82753C5806C5}">
  <ds:schemaRefs>
    <ds:schemaRef ds:uri="http://schemas.microsoft.com/sharepoint/v3/contenttype/forms"/>
  </ds:schemaRefs>
</ds:datastoreItem>
</file>

<file path=customXml/itemProps4.xml><?xml version="1.0" encoding="utf-8"?>
<ds:datastoreItem xmlns:ds="http://schemas.openxmlformats.org/officeDocument/2006/customXml" ds:itemID="{F02544CC-7BDE-4E3D-ABB4-94C9F88134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e8b951-b14c-4db7-9ec5-7a3bbfd7b1b0"/>
    <ds:schemaRef ds:uri="f982bab0-ee64-4081-9356-7468477ba8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1913</Words>
  <Characters>10905</Characters>
  <Application>Microsoft Office Word</Application>
  <DocSecurity>0</DocSecurity>
  <Lines>90</Lines>
  <Paragraphs>25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Rossella De Falco</dc:creator>
  <cp:keywords/>
  <dc:description/>
  <cp:lastModifiedBy>Jose Antonio Guevara</cp:lastModifiedBy>
  <cp:revision>2</cp:revision>
  <dcterms:created xsi:type="dcterms:W3CDTF">2023-04-05T17:50:00Z</dcterms:created>
  <dcterms:modified xsi:type="dcterms:W3CDTF">2023-04-05T17:50:00Z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0x0101001635EBF2B95EFF4D971B3D52AFC8CD47</vt:lpwstr>
  </property>
  <property fmtid="{D5CDD505-2E9C-101B-9397-08002B2CF9AE}" pid="3" name="MediaServiceImageTags">
    <vt:lpwstr/>
  </property>
</Properties>
</file>