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04ED5" w:rsidR="00F44568" w:rsidP="00F44568" w:rsidRDefault="00F44568" w14:paraId="187CBA17" w14:textId="77777777">
      <w:pPr>
        <w:ind w:left="2160" w:firstLine="720"/>
        <w:rPr>
          <w:b/>
          <w:sz w:val="24"/>
          <w:szCs w:val="24"/>
          <w:u w:val="single"/>
        </w:rPr>
      </w:pPr>
      <w:r w:rsidRPr="00504ED5">
        <w:rPr>
          <w:b/>
          <w:sz w:val="24"/>
          <w:szCs w:val="24"/>
          <w:u w:val="single"/>
        </w:rPr>
        <w:t>QUESTIONNAIRE</w:t>
      </w:r>
    </w:p>
    <w:p w:rsidRPr="00504ED5" w:rsidR="00F44568" w:rsidP="00F44568" w:rsidRDefault="00F44568" w14:paraId="03FBCCD1" w14:textId="77777777">
      <w:pPr>
        <w:pStyle w:val="BodyA"/>
        <w:outlineLvl w:val="0"/>
        <w:rPr>
          <w:rFonts w:ascii="Times New Roman" w:hAnsi="Times New Roman" w:eastAsia="Times New Roman" w:cs="Times New Roman"/>
          <w:b/>
          <w:color w:val="auto"/>
          <w:u w:val="single"/>
          <w:bdr w:val="none" w:color="auto" w:sz="0" w:space="0"/>
          <w:lang w:val="en-GB" w:eastAsia="en-US"/>
          <w14:textOutline w14:w="0" w14:cap="rnd" w14:cmpd="sng" w14:algn="ctr">
            <w14:noFill/>
            <w14:prstDash w14:val="solid"/>
            <w14:bevel/>
          </w14:textOutline>
        </w:rPr>
      </w:pPr>
    </w:p>
    <w:p w:rsidRPr="00504ED5" w:rsidR="00F44568" w:rsidP="00F44568" w:rsidRDefault="00F44568" w14:paraId="6DED13D6" w14:textId="77777777">
      <w:pPr>
        <w:pStyle w:val="BodyA"/>
        <w:outlineLvl w:val="0"/>
        <w:rPr>
          <w:rStyle w:val="None"/>
          <w:rFonts w:ascii="Times New Roman" w:hAnsi="Times New Roman" w:eastAsia="Times New Roman" w:cs="Times New Roman"/>
          <w:b/>
          <w:bCs/>
        </w:rPr>
      </w:pPr>
      <w:r w:rsidRPr="00504ED5">
        <w:rPr>
          <w:rStyle w:val="None"/>
          <w:rFonts w:ascii="Times New Roman" w:hAnsi="Times New Roman" w:cs="Times New Roman"/>
          <w:b/>
          <w:bCs/>
        </w:rPr>
        <w:t>Contact Details</w:t>
      </w:r>
    </w:p>
    <w:p w:rsidRPr="00504ED5" w:rsidR="00F44568" w:rsidP="00F44568" w:rsidRDefault="00F44568" w14:paraId="3B1EF580" w14:textId="77777777">
      <w:pPr>
        <w:pStyle w:val="BodyA"/>
        <w:rPr>
          <w:rStyle w:val="None"/>
          <w:rFonts w:ascii="Times New Roman" w:hAnsi="Times New Roman" w:eastAsia="Times New Roman" w:cs="Times New Roman"/>
        </w:rPr>
      </w:pPr>
    </w:p>
    <w:p w:rsidRPr="00504ED5" w:rsidR="00F44568" w:rsidP="00F44568" w:rsidRDefault="00F44568" w14:paraId="2DBCF39C" w14:textId="77777777">
      <w:pPr>
        <w:pStyle w:val="BodyA"/>
        <w:rPr>
          <w:rStyle w:val="None"/>
          <w:rFonts w:ascii="Times New Roman" w:hAnsi="Times New Roman" w:eastAsia="Times New Roman" w:cs="Times New Roman"/>
        </w:rPr>
      </w:pPr>
      <w:r w:rsidRPr="00E81385">
        <w:rPr>
          <w:rStyle w:val="None"/>
          <w:rFonts w:ascii="Times New Roman" w:hAnsi="Times New Roman" w:cs="Times New Roman"/>
        </w:rPr>
        <w:t>Please provide your contact details in case we need to contact you in connection with this questionnaire</w:t>
      </w:r>
      <w:r w:rsidRPr="00504ED5">
        <w:rPr>
          <w:rStyle w:val="None"/>
          <w:rFonts w:ascii="Times New Roman" w:hAnsi="Times New Roman" w:cs="Times New Roman"/>
        </w:rPr>
        <w:t>. Note that this is optional.</w:t>
      </w:r>
    </w:p>
    <w:p w:rsidRPr="00504ED5" w:rsidR="00F44568" w:rsidP="00F44568" w:rsidRDefault="00F44568" w14:paraId="44DA85C8" w14:textId="77777777">
      <w:pPr>
        <w:pStyle w:val="BodyA"/>
        <w:rPr>
          <w:rStyle w:val="None"/>
          <w:rFonts w:ascii="Times New Roman" w:hAnsi="Times New Roman" w:eastAsia="Times New Roman" w:cs="Times New Roman"/>
        </w:rPr>
      </w:pPr>
    </w:p>
    <w:tbl>
      <w:tblPr>
        <w:tblW w:w="850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313"/>
        <w:gridCol w:w="5192"/>
      </w:tblGrid>
      <w:tr w:rsidRPr="00504ED5" w:rsidR="00F44568" w:rsidTr="00832487" w14:paraId="7B93D4D2" w14:textId="77777777">
        <w:trPr>
          <w:trHeight w:val="933"/>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693A50" w:rsidR="00F44568" w:rsidP="00832487" w:rsidRDefault="00F44568" w14:paraId="0E4B28E5" w14:textId="77777777">
            <w:pPr>
              <w:pStyle w:val="BodyA"/>
              <w:rPr>
                <w:rFonts w:ascii="Times New Roman" w:hAnsi="Times New Roman" w:cs="Times New Roman"/>
                <w:lang w:val="fr-FR"/>
              </w:rPr>
            </w:pP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F44568" w14:paraId="746C877F" w14:textId="77777777">
            <w:pPr>
              <w:rPr>
                <w:sz w:val="24"/>
                <w:szCs w:val="24"/>
              </w:rPr>
            </w:pPr>
            <w:r w:rsidRPr="00504ED5">
              <w:rPr>
                <w:sz w:val="24"/>
                <w:szCs w:val="24"/>
              </w:rPr>
              <w:fldChar w:fldCharType="begin">
                <w:ffData>
                  <w:name w:val="Check3"/>
                  <w:enabled/>
                  <w:calcOnExit w:val="0"/>
                  <w:checkBox>
                    <w:sizeAuto/>
                    <w:default w:val="0"/>
                  </w:checkBox>
                </w:ffData>
              </w:fldChar>
            </w:r>
            <w:bookmarkStart w:name="Check3" w:id="0"/>
            <w:r w:rsidRPr="00504ED5">
              <w:rPr>
                <w:sz w:val="24"/>
                <w:szCs w:val="24"/>
              </w:rPr>
              <w:instrText xml:space="preserve"> FORMCHECKBOX </w:instrText>
            </w:r>
            <w:r w:rsidR="002333F0">
              <w:rPr>
                <w:sz w:val="24"/>
                <w:szCs w:val="24"/>
              </w:rPr>
            </w:r>
            <w:r w:rsidR="002333F0">
              <w:rPr>
                <w:sz w:val="24"/>
                <w:szCs w:val="24"/>
              </w:rPr>
              <w:fldChar w:fldCharType="separate"/>
            </w:r>
            <w:r w:rsidRPr="00504ED5">
              <w:rPr>
                <w:sz w:val="24"/>
                <w:szCs w:val="24"/>
              </w:rPr>
              <w:fldChar w:fldCharType="end"/>
            </w:r>
            <w:bookmarkEnd w:id="0"/>
            <w:r w:rsidRPr="00504ED5">
              <w:rPr>
                <w:sz w:val="24"/>
                <w:szCs w:val="24"/>
              </w:rPr>
              <w:t xml:space="preserve">  Member State     </w:t>
            </w:r>
          </w:p>
          <w:p w:rsidRPr="00504ED5" w:rsidR="00F44568" w:rsidP="00832487" w:rsidRDefault="00F44568" w14:paraId="0296F6B8" w14:textId="77777777">
            <w:pPr>
              <w:ind w:left="394" w:hanging="394"/>
              <w:rPr>
                <w:sz w:val="24"/>
                <w:szCs w:val="24"/>
              </w:rPr>
            </w:pPr>
            <w:r w:rsidRPr="00504ED5">
              <w:rPr>
                <w:sz w:val="24"/>
                <w:szCs w:val="24"/>
              </w:rPr>
              <w:fldChar w:fldCharType="begin">
                <w:ffData>
                  <w:name w:val="Check3"/>
                  <w:enabled/>
                  <w:calcOnExit w:val="0"/>
                  <w:checkBox>
                    <w:sizeAuto/>
                    <w:default w:val="0"/>
                  </w:checkBox>
                </w:ffData>
              </w:fldChar>
            </w:r>
            <w:r w:rsidRPr="00504ED5">
              <w:rPr>
                <w:sz w:val="24"/>
                <w:szCs w:val="24"/>
              </w:rPr>
              <w:instrText xml:space="preserve"> FORMCHECKBOX </w:instrText>
            </w:r>
            <w:r w:rsidR="002333F0">
              <w:rPr>
                <w:sz w:val="24"/>
                <w:szCs w:val="24"/>
              </w:rPr>
            </w:r>
            <w:r w:rsidR="002333F0">
              <w:rPr>
                <w:sz w:val="24"/>
                <w:szCs w:val="24"/>
              </w:rPr>
              <w:fldChar w:fldCharType="separate"/>
            </w:r>
            <w:r w:rsidRPr="00504ED5">
              <w:rPr>
                <w:sz w:val="24"/>
                <w:szCs w:val="24"/>
              </w:rPr>
              <w:fldChar w:fldCharType="end"/>
            </w:r>
            <w:r w:rsidRPr="00504ED5">
              <w:rPr>
                <w:sz w:val="24"/>
                <w:szCs w:val="24"/>
              </w:rPr>
              <w:t xml:space="preserve">  Observer State</w:t>
            </w:r>
          </w:p>
          <w:p w:rsidRPr="00504ED5" w:rsidR="00F44568" w:rsidP="00832487" w:rsidRDefault="00403FDA" w14:paraId="7483B3C0" w14:textId="7AB82C00">
            <w:pPr>
              <w:ind w:left="394" w:hanging="394"/>
              <w:rPr>
                <w:sz w:val="24"/>
                <w:szCs w:val="24"/>
              </w:rPr>
            </w:pPr>
            <w:r>
              <w:rPr>
                <w:sz w:val="24"/>
                <w:szCs w:val="24"/>
              </w:rPr>
              <w:t>X</w:t>
            </w:r>
            <w:r w:rsidRPr="00504ED5" w:rsidR="00F44568">
              <w:rPr>
                <w:sz w:val="24"/>
                <w:szCs w:val="24"/>
              </w:rPr>
              <w:t xml:space="preserve">  Other (please specify)</w:t>
            </w:r>
            <w:r w:rsidR="007B64C1">
              <w:rPr>
                <w:sz w:val="24"/>
                <w:szCs w:val="24"/>
              </w:rPr>
              <w:t xml:space="preserve"> Consumer Organisation</w:t>
            </w:r>
          </w:p>
        </w:tc>
      </w:tr>
      <w:tr w:rsidRPr="00504ED5" w:rsidR="00F44568" w:rsidTr="00832487" w14:paraId="1206EBDD" w14:textId="77777777">
        <w:trPr>
          <w:trHeight w:val="538"/>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F44568" w14:paraId="715867CF" w14:textId="77777777">
            <w:pPr>
              <w:pStyle w:val="BodyA"/>
              <w:rPr>
                <w:rStyle w:val="None"/>
                <w:rFonts w:ascii="Times New Roman" w:hAnsi="Times New Roman" w:eastAsia="Times New Roman" w:cs="Times New Roman"/>
              </w:rPr>
            </w:pPr>
            <w:r w:rsidRPr="00504ED5">
              <w:rPr>
                <w:rStyle w:val="None"/>
                <w:rFonts w:ascii="Times New Roman" w:hAnsi="Times New Roman" w:cs="Times New Roman"/>
              </w:rPr>
              <w:t>Name of State</w:t>
            </w:r>
          </w:p>
          <w:p w:rsidRPr="00504ED5" w:rsidR="00F44568" w:rsidP="00832487" w:rsidRDefault="00F44568" w14:paraId="67936336" w14:textId="77777777">
            <w:pPr>
              <w:pStyle w:val="BodyA"/>
              <w:rPr>
                <w:rFonts w:ascii="Times New Roman" w:hAnsi="Times New Roman" w:cs="Times New Roman"/>
              </w:rPr>
            </w:pPr>
            <w:r w:rsidRPr="00504ED5">
              <w:rPr>
                <w:rStyle w:val="None"/>
                <w:rFonts w:ascii="Times New Roman" w:hAnsi="Times New Roman" w:cs="Times New Roman"/>
              </w:rPr>
              <w:t>Name of Survey Respondent</w:t>
            </w: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403FDA" w14:paraId="1C5207EE" w14:textId="3B2881D1">
            <w:pPr>
              <w:rPr>
                <w:sz w:val="24"/>
                <w:szCs w:val="24"/>
              </w:rPr>
            </w:pPr>
            <w:r>
              <w:rPr>
                <w:sz w:val="24"/>
                <w:szCs w:val="24"/>
              </w:rPr>
              <w:t>Nancy E Loucas</w:t>
            </w:r>
          </w:p>
        </w:tc>
      </w:tr>
      <w:tr w:rsidRPr="00504ED5" w:rsidR="00F44568" w:rsidTr="00832487" w14:paraId="54BB8032" w14:textId="77777777">
        <w:trPr>
          <w:trHeight w:val="396"/>
        </w:trPr>
        <w:tc>
          <w:tcPr>
            <w:tcW w:w="331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F44568" w14:paraId="2E932BD1" w14:textId="77777777">
            <w:pPr>
              <w:pStyle w:val="BodyA"/>
              <w:rPr>
                <w:rStyle w:val="None"/>
                <w:rFonts w:ascii="Times New Roman" w:hAnsi="Times New Roman" w:cs="Times New Roman"/>
              </w:rPr>
            </w:pPr>
            <w:r w:rsidRPr="00504ED5">
              <w:rPr>
                <w:rStyle w:val="None"/>
                <w:rFonts w:ascii="Times New Roman" w:hAnsi="Times New Roman" w:cs="Times New Roman"/>
              </w:rPr>
              <w:t>Email</w:t>
            </w:r>
          </w:p>
        </w:tc>
        <w:tc>
          <w:tcPr>
            <w:tcW w:w="5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504ED5" w:rsidR="00F44568" w:rsidP="00832487" w:rsidRDefault="00403FDA" w14:paraId="5F04C30C" w14:textId="1DCC1653">
            <w:pPr>
              <w:rPr>
                <w:sz w:val="24"/>
                <w:szCs w:val="24"/>
              </w:rPr>
            </w:pPr>
            <w:r>
              <w:rPr>
                <w:sz w:val="24"/>
                <w:szCs w:val="24"/>
              </w:rPr>
              <w:t>Nancy@caphraorg.net</w:t>
            </w:r>
          </w:p>
        </w:tc>
      </w:tr>
    </w:tbl>
    <w:p w:rsidRPr="00504ED5" w:rsidR="00F44568" w:rsidP="00F44568" w:rsidRDefault="00F44568" w14:paraId="3831DA07" w14:textId="77777777">
      <w:pPr>
        <w:rPr>
          <w:b/>
          <w:sz w:val="24"/>
          <w:szCs w:val="24"/>
        </w:rPr>
      </w:pPr>
    </w:p>
    <w:p w:rsidR="00F44568" w:rsidP="00F44568" w:rsidRDefault="00F44568" w14:paraId="6B860C8A" w14:textId="77777777">
      <w:pPr>
        <w:rPr>
          <w:b/>
          <w:sz w:val="24"/>
          <w:szCs w:val="24"/>
        </w:rPr>
      </w:pPr>
      <w:r w:rsidRPr="00504ED5">
        <w:rPr>
          <w:b/>
          <w:sz w:val="24"/>
          <w:szCs w:val="24"/>
        </w:rPr>
        <w:t>Background</w:t>
      </w:r>
    </w:p>
    <w:p w:rsidR="00F44568" w:rsidP="00F44568" w:rsidRDefault="00F44568" w14:paraId="109C0DB6" w14:textId="77777777">
      <w:pPr>
        <w:rPr>
          <w:sz w:val="24"/>
          <w:szCs w:val="24"/>
        </w:rPr>
      </w:pPr>
      <w:r w:rsidRPr="00504ED5">
        <w:rPr>
          <w:sz w:val="24"/>
          <w:szCs w:val="24"/>
        </w:rPr>
        <w:t>Within the framework of Human Rights Council resolution 51/21, the Special Rapporteur on the highest attainable standard of physical and mental health has identified health equity as a strategic priority, ranging from the underlying determinants of health to the need to eliminate structural and systemic barriers in accessing health care services, goods, and facilities, particularly among persons living under vulnerable or marginalised circumstances. In compliance with her mandate and in line with these priorities, the Special Rapporteur on the right to health has decided to devote her next thematic report to the Human Rights Council, to be held in June 2024 to the theme of “Drug policies and responses: a right to health framework on harm reduction</w:t>
      </w:r>
      <w:r>
        <w:rPr>
          <w:sz w:val="24"/>
          <w:szCs w:val="24"/>
        </w:rPr>
        <w:t>”</w:t>
      </w:r>
      <w:r w:rsidRPr="00504ED5">
        <w:rPr>
          <w:sz w:val="24"/>
          <w:szCs w:val="24"/>
        </w:rPr>
        <w:t>.</w:t>
      </w:r>
    </w:p>
    <w:p w:rsidRPr="00504ED5" w:rsidR="00F44568" w:rsidP="00F44568" w:rsidRDefault="00F44568" w14:paraId="4DC6B118" w14:textId="77777777">
      <w:pPr>
        <w:rPr>
          <w:b/>
          <w:sz w:val="24"/>
          <w:szCs w:val="24"/>
        </w:rPr>
      </w:pPr>
    </w:p>
    <w:p w:rsidR="00F44568" w:rsidP="00F44568" w:rsidRDefault="00F44568" w14:paraId="5A84C57A" w14:textId="77777777">
      <w:pPr>
        <w:rPr>
          <w:b/>
          <w:sz w:val="24"/>
          <w:szCs w:val="24"/>
        </w:rPr>
      </w:pPr>
      <w:r w:rsidRPr="00504ED5">
        <w:rPr>
          <w:b/>
          <w:sz w:val="24"/>
          <w:szCs w:val="24"/>
        </w:rPr>
        <w:t>Objectives of the report</w:t>
      </w:r>
    </w:p>
    <w:p w:rsidR="00F44568" w:rsidP="00F44568" w:rsidRDefault="00F44568" w14:paraId="3298B868" w14:textId="77777777">
      <w:pPr>
        <w:rPr>
          <w:sz w:val="24"/>
          <w:szCs w:val="24"/>
        </w:rPr>
      </w:pPr>
      <w:r>
        <w:rPr>
          <w:sz w:val="24"/>
          <w:szCs w:val="24"/>
        </w:rPr>
        <w:t>A</w:t>
      </w:r>
      <w:r w:rsidRPr="00504ED5">
        <w:rPr>
          <w:sz w:val="24"/>
          <w:szCs w:val="24"/>
        </w:rPr>
        <w:t xml:space="preserve">ll </w:t>
      </w:r>
      <w:r>
        <w:rPr>
          <w:sz w:val="24"/>
          <w:szCs w:val="24"/>
        </w:rPr>
        <w:t xml:space="preserve">persons </w:t>
      </w:r>
      <w:r w:rsidRPr="00504ED5">
        <w:rPr>
          <w:sz w:val="24"/>
          <w:szCs w:val="24"/>
        </w:rPr>
        <w:t xml:space="preserve">are entitled to the </w:t>
      </w:r>
      <w:r>
        <w:rPr>
          <w:sz w:val="24"/>
          <w:szCs w:val="24"/>
        </w:rPr>
        <w:t xml:space="preserve">enjoyment of the highest attainable standard of physical and mental </w:t>
      </w:r>
      <w:r w:rsidRPr="00504ED5">
        <w:rPr>
          <w:sz w:val="24"/>
          <w:szCs w:val="24"/>
        </w:rPr>
        <w:t xml:space="preserve">health, which includes the underlying determinants of health and timely and appropriate health care. In the present report, the Special Rapporteur intends to explore the ways in which harm reduction </w:t>
      </w:r>
      <w:r w:rsidRPr="005A1BF0">
        <w:rPr>
          <w:sz w:val="24"/>
          <w:szCs w:val="24"/>
        </w:rPr>
        <w:t>intersects with the enjoyment of right to health and related human rights. Relying on the frameworks of the social and commercial,</w:t>
      </w:r>
      <w:r w:rsidRPr="005A1BF0">
        <w:rPr>
          <w:rStyle w:val="FootnoteReference"/>
          <w:sz w:val="24"/>
          <w:szCs w:val="24"/>
        </w:rPr>
        <w:footnoteReference w:id="1"/>
      </w:r>
      <w:r w:rsidRPr="005A1BF0">
        <w:rPr>
          <w:sz w:val="24"/>
          <w:szCs w:val="24"/>
        </w:rPr>
        <w:t xml:space="preserve"> determinants of health, the Special Rapporteur will examine the laws, policies, and practices that give rise to the need for harm reduction, as well as the laws, policies, and practices that take a harm reduction approach, aiming to address the negative health, social, and legal outcomes in various contexts.</w:t>
      </w:r>
    </w:p>
    <w:p w:rsidRPr="005A1BF0" w:rsidR="00F44568" w:rsidP="00F44568" w:rsidRDefault="00F44568" w14:paraId="27E73484" w14:textId="77777777">
      <w:pPr>
        <w:rPr>
          <w:sz w:val="24"/>
          <w:szCs w:val="24"/>
        </w:rPr>
      </w:pPr>
    </w:p>
    <w:p w:rsidR="00F44568" w:rsidP="00F44568" w:rsidRDefault="00F44568" w14:paraId="6BD67169" w14:textId="77777777">
      <w:pPr>
        <w:rPr>
          <w:sz w:val="24"/>
          <w:szCs w:val="24"/>
        </w:rPr>
      </w:pPr>
      <w:r w:rsidRPr="005A1BF0">
        <w:rPr>
          <w:sz w:val="24"/>
          <w:szCs w:val="24"/>
        </w:rPr>
        <w:t>Harm reduction has been primarily developed in the context</w:t>
      </w:r>
      <w:r w:rsidRPr="00504ED5">
        <w:rPr>
          <w:sz w:val="24"/>
          <w:szCs w:val="24"/>
        </w:rPr>
        <w:t xml:space="preserve"> of drug use, including needle and syringe programs, supervised injection and drug use facilities, opioid substitution therapy, overdose prevention, and community outreach programs, as well as access to legal assistance, social services, housing, and adequate food. However, in this report, the Special Rapporteur will take a broadened view of harm reduction to </w:t>
      </w:r>
      <w:r w:rsidRPr="005A1BF0">
        <w:rPr>
          <w:sz w:val="24"/>
          <w:szCs w:val="24"/>
        </w:rPr>
        <w:t xml:space="preserve">examine </w:t>
      </w:r>
      <w:r w:rsidRPr="005A1BF0">
        <w:rPr>
          <w:sz w:val="24"/>
          <w:szCs w:val="24"/>
        </w:rPr>
        <w:t xml:space="preserve">how this approach can intersect with the right to health and related human rights in other realms, including but not limited to sex work, abortion, and safe sex. </w:t>
      </w:r>
    </w:p>
    <w:p w:rsidRPr="00504ED5" w:rsidR="00F44568" w:rsidP="00F44568" w:rsidRDefault="00F44568" w14:paraId="1CC9B199" w14:textId="77777777">
      <w:pPr>
        <w:rPr>
          <w:sz w:val="24"/>
          <w:szCs w:val="24"/>
        </w:rPr>
      </w:pPr>
    </w:p>
    <w:p w:rsidRPr="00504ED5" w:rsidR="00F44568" w:rsidP="00F44568" w:rsidRDefault="00F44568" w14:paraId="00AEF627" w14:textId="77777777">
      <w:pPr>
        <w:rPr>
          <w:sz w:val="24"/>
          <w:szCs w:val="24"/>
        </w:rPr>
      </w:pPr>
      <w:r>
        <w:rPr>
          <w:sz w:val="24"/>
          <w:szCs w:val="24"/>
        </w:rPr>
        <w:t>T</w:t>
      </w:r>
      <w:r w:rsidRPr="00504ED5">
        <w:rPr>
          <w:sz w:val="24"/>
          <w:szCs w:val="24"/>
        </w:rPr>
        <w:t xml:space="preserve">he </w:t>
      </w:r>
      <w:r w:rsidRPr="005A1BF0">
        <w:rPr>
          <w:sz w:val="24"/>
          <w:szCs w:val="24"/>
        </w:rPr>
        <w:t>Special Rapporteur also intends consider harm reduction as key public health interventions for populations that are often stigmatised and discriminated against. She will explore how the laws, policies, and practices that give rise to the need for harm reduction can disproportionately impact certain people, such as those in situations of homelessness or poverty, persons who use drugs, sex workers, women, children, LGBTIQ+</w:t>
      </w:r>
      <w:r>
        <w:rPr>
          <w:sz w:val="24"/>
          <w:szCs w:val="24"/>
        </w:rPr>
        <w:t xml:space="preserve"> persons</w:t>
      </w:r>
      <w:r w:rsidRPr="005A1BF0">
        <w:rPr>
          <w:sz w:val="24"/>
          <w:szCs w:val="24"/>
        </w:rPr>
        <w:t>, persons with disabilities, persons who are incarcerated or detained, migrants, Indigenous Peoples, Black persons, persons living with HIV or hepatitis, and persons living in rural areas. Taking an anti-coloniality and anti-racism approach, the Special Rapporteur will explore how in some contexts criminalisation</w:t>
      </w:r>
      <w:r w:rsidRPr="00504ED5">
        <w:rPr>
          <w:sz w:val="24"/>
          <w:szCs w:val="24"/>
        </w:rPr>
        <w:t xml:space="preserve"> and stigmatisation can serve as a legacy of colonialism and slavery.</w:t>
      </w:r>
    </w:p>
    <w:p w:rsidR="00F44568" w:rsidP="00F44568" w:rsidRDefault="00F44568" w14:paraId="5325F927" w14:textId="77777777">
      <w:pPr>
        <w:jc w:val="both"/>
        <w:rPr>
          <w:b/>
          <w:sz w:val="24"/>
          <w:szCs w:val="24"/>
        </w:rPr>
      </w:pPr>
    </w:p>
    <w:p w:rsidR="00F44568" w:rsidP="00F44568" w:rsidRDefault="00F44568" w14:paraId="72D435D7" w14:textId="77777777">
      <w:pPr>
        <w:ind w:left="-567" w:firstLine="567"/>
        <w:jc w:val="both"/>
        <w:rPr>
          <w:sz w:val="24"/>
          <w:szCs w:val="24"/>
        </w:rPr>
      </w:pPr>
      <w:r w:rsidRPr="00504ED5">
        <w:rPr>
          <w:b/>
          <w:sz w:val="24"/>
          <w:szCs w:val="24"/>
        </w:rPr>
        <w:t>Definitions</w:t>
      </w:r>
    </w:p>
    <w:p w:rsidR="00F44568" w:rsidP="00F44568" w:rsidRDefault="00F44568" w14:paraId="52227B41" w14:textId="77777777">
      <w:pPr>
        <w:jc w:val="both"/>
        <w:rPr>
          <w:sz w:val="24"/>
          <w:szCs w:val="24"/>
        </w:rPr>
      </w:pPr>
      <w:r w:rsidRPr="00504ED5">
        <w:rPr>
          <w:sz w:val="24"/>
          <w:szCs w:val="24"/>
        </w:rPr>
        <w:t>Most commonly, harm reduction refers to policies, programmes and practices that aim to minimise the negative health, social and legal impacts associated with drug use, drug policies and drug laws</w:t>
      </w:r>
      <w:sdt>
        <w:sdtPr>
          <w:rPr>
            <w:sz w:val="24"/>
            <w:szCs w:val="24"/>
          </w:rPr>
          <w:tag w:val="goog_rdk_0"/>
          <w:id w:val="-374002220"/>
        </w:sdtPr>
        <w:sdtEndPr/>
        <w:sdtContent/>
      </w:sdt>
      <w:r w:rsidRPr="00504ED5">
        <w:rPr>
          <w:sz w:val="24"/>
          <w:szCs w:val="24"/>
        </w:rPr>
        <w:t>.</w:t>
      </w:r>
      <w:r w:rsidRPr="00504ED5">
        <w:rPr>
          <w:rStyle w:val="FootnoteReference"/>
          <w:sz w:val="24"/>
          <w:szCs w:val="24"/>
        </w:rPr>
        <w:footnoteReference w:id="2"/>
      </w:r>
      <w:r w:rsidRPr="00504ED5">
        <w:rPr>
          <w:sz w:val="24"/>
          <w:szCs w:val="24"/>
        </w:rPr>
        <w:t xml:space="preserve"> For the purposes of this report, the Special Rapporteur defines harm reduction in a broader sense, including the policies, programmes, and practices that aim to minimise the negative health, social, and legal impacts associated with various behaviours and related policies and laws, as exemplified above. </w:t>
      </w:r>
    </w:p>
    <w:p w:rsidR="00F44568" w:rsidP="00F44568" w:rsidRDefault="00F44568" w14:paraId="0FDF5A16" w14:textId="77777777">
      <w:pPr>
        <w:jc w:val="both"/>
        <w:rPr>
          <w:sz w:val="24"/>
          <w:szCs w:val="24"/>
        </w:rPr>
      </w:pPr>
    </w:p>
    <w:p w:rsidRPr="00E81385" w:rsidR="00F44568" w:rsidP="00F44568" w:rsidRDefault="00F44568" w14:paraId="068FBFEF" w14:textId="77777777">
      <w:pPr>
        <w:ind w:left="-426" w:firstLine="426"/>
        <w:jc w:val="both"/>
        <w:rPr>
          <w:b/>
          <w:bCs/>
          <w:sz w:val="24"/>
          <w:szCs w:val="24"/>
        </w:rPr>
      </w:pPr>
      <w:r w:rsidRPr="00E81385">
        <w:rPr>
          <w:b/>
          <w:bCs/>
          <w:sz w:val="24"/>
          <w:szCs w:val="24"/>
        </w:rPr>
        <w:t>Questionnaire</w:t>
      </w:r>
    </w:p>
    <w:p w:rsidR="00F44568" w:rsidP="00F44568" w:rsidRDefault="00F44568" w14:paraId="53C2E14E" w14:textId="77777777">
      <w:pPr>
        <w:pStyle w:val="Normal1"/>
        <w:jc w:val="both"/>
        <w:rPr>
          <w:rFonts w:ascii="Times New Roman" w:hAnsi="Times New Roman" w:cs="Times New Roman"/>
          <w:color w:val="000000"/>
          <w:u w:val="single"/>
          <w:shd w:val="clear" w:color="auto" w:fill="FFFFFF"/>
        </w:rPr>
      </w:pPr>
      <w:r w:rsidRPr="00504ED5">
        <w:rPr>
          <w:rFonts w:ascii="Times New Roman" w:hAnsi="Times New Roman" w:cs="Times New Roman"/>
          <w:color w:val="000000" w:themeColor="text1"/>
          <w:lang w:val="en"/>
        </w:rPr>
        <w:t xml:space="preserve">The questionnaire can be downloaded below in English (original language), French and Spanish (unofficial translations). </w:t>
      </w:r>
      <w:r w:rsidRPr="00504ED5">
        <w:rPr>
          <w:rFonts w:ascii="Times New Roman" w:hAnsi="Times New Roman" w:cs="Times New Roman"/>
          <w:bCs/>
          <w:color w:val="000000" w:themeColor="text1"/>
          <w:u w:val="single"/>
          <w:lang w:val="en"/>
        </w:rPr>
        <w:t>Responses can address some of the questions or all of them, as feasible or preferred</w:t>
      </w:r>
      <w:r w:rsidRPr="00504ED5">
        <w:rPr>
          <w:rFonts w:ascii="Times New Roman" w:hAnsi="Times New Roman" w:cs="Times New Roman"/>
          <w:color w:val="000000" w:themeColor="text1"/>
          <w:u w:val="single"/>
          <w:lang w:val="en"/>
        </w:rPr>
        <w:t>.</w:t>
      </w:r>
      <w:r w:rsidRPr="00504ED5">
        <w:rPr>
          <w:rFonts w:ascii="Times New Roman" w:hAnsi="Times New Roman" w:cs="Times New Roman"/>
          <w:color w:val="000000"/>
          <w:u w:val="single"/>
          <w:shd w:val="clear" w:color="auto" w:fill="FFFFFF"/>
        </w:rPr>
        <w:t xml:space="preserve"> </w:t>
      </w:r>
    </w:p>
    <w:p w:rsidRPr="00504ED5" w:rsidR="00F44568" w:rsidP="00F44568" w:rsidRDefault="00F44568" w14:paraId="764A50FD" w14:textId="77777777">
      <w:pPr>
        <w:pStyle w:val="Normal1"/>
        <w:jc w:val="both"/>
        <w:rPr>
          <w:rFonts w:ascii="Times New Roman" w:hAnsi="Times New Roman" w:cs="Times New Roman"/>
          <w:color w:val="000000" w:themeColor="text1"/>
          <w:u w:val="single"/>
          <w:lang w:val="en"/>
        </w:rPr>
      </w:pPr>
    </w:p>
    <w:p w:rsidR="00F44568" w:rsidP="3ACD8C61" w:rsidRDefault="00F44568" w14:paraId="1C11EA15" w14:textId="77777777">
      <w:pPr>
        <w:pStyle w:val="NormalWeb"/>
        <w:numPr>
          <w:ilvl w:val="0"/>
          <w:numId w:val="1"/>
        </w:numPr>
        <w:jc w:val="both"/>
        <w:rPr>
          <w:rFonts w:ascii="Times New Roman" w:hAnsi="Times New Roman"/>
          <w:color w:val="000000" w:themeColor="text1"/>
          <w:sz w:val="24"/>
          <w:szCs w:val="24"/>
          <w:lang w:val="en-US"/>
        </w:rPr>
      </w:pPr>
      <w:r w:rsidRPr="3ACD8C61" w:rsidR="00F44568">
        <w:rPr>
          <w:rFonts w:ascii="Times New Roman" w:hAnsi="Times New Roman"/>
          <w:color w:val="000000" w:themeColor="text1" w:themeTint="FF" w:themeShade="FF"/>
          <w:sz w:val="24"/>
          <w:szCs w:val="24"/>
          <w:lang w:val="en-US"/>
        </w:rPr>
        <w:t xml:space="preserve">Download the questionnaire (WORD):  English | </w:t>
      </w:r>
      <w:r w:rsidRPr="3ACD8C61" w:rsidR="00F44568">
        <w:rPr>
          <w:rFonts w:ascii="Times New Roman" w:hAnsi="Times New Roman"/>
          <w:color w:val="000000" w:themeColor="text1" w:themeTint="FF" w:themeShade="FF"/>
          <w:sz w:val="24"/>
          <w:szCs w:val="24"/>
          <w:lang w:val="en-US"/>
        </w:rPr>
        <w:t>Français</w:t>
      </w:r>
      <w:r w:rsidRPr="3ACD8C61" w:rsidR="00F44568">
        <w:rPr>
          <w:rFonts w:ascii="Times New Roman" w:hAnsi="Times New Roman"/>
          <w:color w:val="000000" w:themeColor="text1" w:themeTint="FF" w:themeShade="FF"/>
          <w:sz w:val="24"/>
          <w:szCs w:val="24"/>
          <w:lang w:val="en-US"/>
        </w:rPr>
        <w:t xml:space="preserve"> | </w:t>
      </w:r>
      <w:r w:rsidRPr="3ACD8C61" w:rsidR="00F44568">
        <w:rPr>
          <w:rFonts w:ascii="Times New Roman" w:hAnsi="Times New Roman"/>
          <w:color w:val="000000" w:themeColor="text1" w:themeTint="FF" w:themeShade="FF"/>
          <w:sz w:val="24"/>
          <w:szCs w:val="24"/>
          <w:lang w:val="en-US"/>
        </w:rPr>
        <w:t>Español</w:t>
      </w:r>
    </w:p>
    <w:p w:rsidRPr="00504ED5" w:rsidR="00F44568" w:rsidP="00F44568" w:rsidRDefault="00F44568" w14:paraId="764DD7F4" w14:textId="77777777">
      <w:pPr>
        <w:pStyle w:val="NormalWeb"/>
        <w:ind w:left="720"/>
        <w:jc w:val="both"/>
        <w:rPr>
          <w:rFonts w:ascii="Times New Roman" w:hAnsi="Times New Roman"/>
          <w:color w:val="000000" w:themeColor="text1"/>
          <w:sz w:val="24"/>
        </w:rPr>
      </w:pPr>
    </w:p>
    <w:p w:rsidRPr="00504ED5" w:rsidR="00F44568" w:rsidP="00F44568" w:rsidRDefault="00F44568" w14:paraId="2362B1EA" w14:textId="77777777">
      <w:pPr>
        <w:pStyle w:val="Heading1"/>
        <w:ind w:firstLine="563"/>
        <w:jc w:val="both"/>
        <w:rPr>
          <w:sz w:val="24"/>
          <w:szCs w:val="24"/>
        </w:rPr>
      </w:pPr>
      <w:bookmarkStart w:name="_Toc48734682" w:id="1"/>
      <w:r w:rsidRPr="00504ED5">
        <w:rPr>
          <w:sz w:val="24"/>
          <w:szCs w:val="24"/>
        </w:rPr>
        <w:t>How and where to submit inputs</w:t>
      </w:r>
      <w:bookmarkEnd w:id="1"/>
    </w:p>
    <w:p w:rsidRPr="00504ED5" w:rsidR="00F44568" w:rsidP="00F44568" w:rsidRDefault="00F44568" w14:paraId="1C5024AB" w14:textId="77777777">
      <w:pPr>
        <w:pStyle w:val="NormalWeb"/>
        <w:jc w:val="both"/>
        <w:rPr>
          <w:rFonts w:ascii="Times New Roman" w:hAnsi="Times New Roman"/>
          <w:sz w:val="24"/>
        </w:rPr>
      </w:pPr>
      <w:r w:rsidRPr="00504ED5">
        <w:rPr>
          <w:rFonts w:ascii="Times New Roman" w:hAnsi="Times New Roman"/>
          <w:sz w:val="24"/>
        </w:rPr>
        <w:t>Inputs may be sent by e-mail by 15 November 2023.</w:t>
      </w:r>
    </w:p>
    <w:p w:rsidRPr="00504ED5" w:rsidR="00F44568" w:rsidP="00F44568" w:rsidRDefault="00F44568" w14:paraId="499B729C" w14:textId="77777777">
      <w:pPr>
        <w:pStyle w:val="Normal1"/>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459"/>
        <w:gridCol w:w="5927"/>
      </w:tblGrid>
      <w:tr w:rsidRPr="00504ED5" w:rsidR="00F44568" w:rsidTr="00832487" w14:paraId="2312D766" w14:textId="77777777">
        <w:tc>
          <w:tcPr>
            <w:tcW w:w="2552" w:type="dxa"/>
          </w:tcPr>
          <w:p w:rsidRPr="00504ED5" w:rsidR="00F44568" w:rsidP="00832487" w:rsidRDefault="00F44568" w14:paraId="6B88B73E" w14:textId="77777777">
            <w:pPr>
              <w:pStyle w:val="NormalWeb"/>
              <w:jc w:val="both"/>
              <w:rPr>
                <w:rFonts w:ascii="Times New Roman" w:hAnsi="Times New Roman"/>
                <w:sz w:val="24"/>
                <w:lang w:val="en-US"/>
              </w:rPr>
            </w:pPr>
            <w:r w:rsidRPr="00504ED5">
              <w:rPr>
                <w:rFonts w:ascii="Times New Roman" w:hAnsi="Times New Roman" w:eastAsia="Times New Roman"/>
                <w:b/>
                <w:color w:val="000000"/>
                <w:sz w:val="24"/>
                <w:lang w:val="en-US"/>
              </w:rPr>
              <w:t>E-mail address</w:t>
            </w:r>
          </w:p>
        </w:tc>
        <w:tc>
          <w:tcPr>
            <w:tcW w:w="6237" w:type="dxa"/>
          </w:tcPr>
          <w:p w:rsidRPr="00504ED5" w:rsidR="00F44568" w:rsidP="00832487" w:rsidRDefault="00F44568" w14:paraId="76EAA6ED" w14:textId="77777777">
            <w:pPr>
              <w:pStyle w:val="NormalWeb"/>
              <w:jc w:val="both"/>
              <w:rPr>
                <w:rFonts w:ascii="Times New Roman" w:hAnsi="Times New Roman"/>
                <w:sz w:val="24"/>
                <w:lang w:val="en-US"/>
              </w:rPr>
            </w:pPr>
            <w:r w:rsidRPr="00504ED5">
              <w:rPr>
                <w:rStyle w:val="Hyperlink"/>
                <w:rFonts w:ascii="Times New Roman" w:hAnsi="Times New Roman"/>
                <w:sz w:val="24"/>
                <w:u w:color="0000FF"/>
                <w:lang w:val="pt-PT"/>
              </w:rPr>
              <w:t>ohchr-</w:t>
            </w:r>
            <w:hyperlink w:history="1" r:id="rId10">
              <w:r w:rsidRPr="00504ED5">
                <w:rPr>
                  <w:rStyle w:val="Hyperlink"/>
                  <w:rFonts w:ascii="Times New Roman" w:hAnsi="Times New Roman"/>
                  <w:sz w:val="24"/>
                  <w:u w:color="0000FF"/>
                  <w:lang w:val="pt-PT"/>
                </w:rPr>
                <w:t>srhealth@un.org</w:t>
              </w:r>
            </w:hyperlink>
          </w:p>
        </w:tc>
      </w:tr>
      <w:tr w:rsidRPr="00504ED5" w:rsidR="00F44568" w:rsidTr="00832487" w14:paraId="79DA36C8" w14:textId="77777777">
        <w:tc>
          <w:tcPr>
            <w:tcW w:w="2552" w:type="dxa"/>
          </w:tcPr>
          <w:p w:rsidRPr="00504ED5" w:rsidR="00F44568" w:rsidP="00832487" w:rsidRDefault="00F44568" w14:paraId="24DE1CED" w14:textId="77777777">
            <w:pPr>
              <w:pStyle w:val="NormalWeb"/>
              <w:jc w:val="both"/>
              <w:rPr>
                <w:rFonts w:ascii="Times New Roman" w:hAnsi="Times New Roman"/>
                <w:sz w:val="24"/>
                <w:lang w:val="en-US"/>
              </w:rPr>
            </w:pPr>
            <w:r w:rsidRPr="00504ED5">
              <w:rPr>
                <w:rFonts w:ascii="Times New Roman" w:hAnsi="Times New Roman" w:eastAsia="Times New Roman"/>
                <w:b/>
                <w:color w:val="000000"/>
                <w:sz w:val="24"/>
                <w:lang w:val="en-US"/>
              </w:rPr>
              <w:t>E-mail subject line</w:t>
            </w:r>
          </w:p>
        </w:tc>
        <w:tc>
          <w:tcPr>
            <w:tcW w:w="6237" w:type="dxa"/>
          </w:tcPr>
          <w:p w:rsidRPr="00504ED5" w:rsidR="00F44568" w:rsidP="00832487" w:rsidRDefault="00F44568" w14:paraId="780884C3" w14:textId="77777777">
            <w:pPr>
              <w:pStyle w:val="NormalWeb"/>
              <w:jc w:val="both"/>
              <w:rPr>
                <w:rFonts w:ascii="Times New Roman" w:hAnsi="Times New Roman"/>
                <w:sz w:val="24"/>
                <w:lang w:val="en-US"/>
              </w:rPr>
            </w:pPr>
            <w:r w:rsidRPr="00504ED5">
              <w:rPr>
                <w:rFonts w:ascii="Times New Roman" w:hAnsi="Times New Roman"/>
                <w:sz w:val="24"/>
                <w:lang w:val="en-US"/>
              </w:rPr>
              <w:t>Contribution to HRC report - SR right to health</w:t>
            </w:r>
          </w:p>
        </w:tc>
      </w:tr>
      <w:tr w:rsidRPr="00504ED5" w:rsidR="00F44568" w:rsidTr="00832487" w14:paraId="69BBB8EF" w14:textId="77777777">
        <w:tc>
          <w:tcPr>
            <w:tcW w:w="2552" w:type="dxa"/>
          </w:tcPr>
          <w:p w:rsidRPr="00504ED5" w:rsidR="00F44568" w:rsidP="00832487" w:rsidRDefault="00F44568" w14:paraId="43747FEE" w14:textId="77777777">
            <w:pPr>
              <w:pStyle w:val="NormalWeb"/>
              <w:jc w:val="both"/>
              <w:rPr>
                <w:rFonts w:ascii="Times New Roman" w:hAnsi="Times New Roman" w:eastAsia="Times New Roman"/>
                <w:b/>
                <w:color w:val="000000"/>
                <w:sz w:val="24"/>
                <w:lang w:val="en-US"/>
              </w:rPr>
            </w:pPr>
            <w:r w:rsidRPr="00504ED5">
              <w:rPr>
                <w:rFonts w:ascii="Times New Roman" w:hAnsi="Times New Roman" w:eastAsia="Times New Roman"/>
                <w:b/>
                <w:color w:val="000000"/>
                <w:sz w:val="24"/>
                <w:lang w:val="en-US"/>
              </w:rPr>
              <w:t>Word limit</w:t>
            </w:r>
          </w:p>
        </w:tc>
        <w:tc>
          <w:tcPr>
            <w:tcW w:w="6237" w:type="dxa"/>
          </w:tcPr>
          <w:p w:rsidRPr="00504ED5" w:rsidR="00F44568" w:rsidP="00832487" w:rsidRDefault="00F44568" w14:paraId="675CAF3E" w14:textId="77777777">
            <w:pPr>
              <w:pStyle w:val="NormalWeb"/>
              <w:jc w:val="both"/>
              <w:rPr>
                <w:rFonts w:ascii="Times New Roman" w:hAnsi="Times New Roman" w:eastAsia="Times New Roman"/>
                <w:color w:val="000000"/>
                <w:sz w:val="24"/>
                <w:lang w:val="en-US"/>
              </w:rPr>
            </w:pPr>
            <w:r>
              <w:rPr>
                <w:rFonts w:ascii="Times New Roman" w:hAnsi="Times New Roman" w:eastAsia="Times New Roman"/>
                <w:color w:val="000000"/>
                <w:sz w:val="24"/>
                <w:lang w:val="en-US"/>
              </w:rPr>
              <w:t xml:space="preserve">500 </w:t>
            </w:r>
            <w:r w:rsidRPr="00504ED5">
              <w:rPr>
                <w:rFonts w:ascii="Times New Roman" w:hAnsi="Times New Roman" w:eastAsia="Times New Roman"/>
                <w:color w:val="000000"/>
                <w:sz w:val="24"/>
                <w:lang w:val="en-US"/>
              </w:rPr>
              <w:t>words per question</w:t>
            </w:r>
          </w:p>
        </w:tc>
      </w:tr>
      <w:tr w:rsidRPr="00504ED5" w:rsidR="00F44568" w:rsidTr="00832487" w14:paraId="51020CAD" w14:textId="77777777">
        <w:tc>
          <w:tcPr>
            <w:tcW w:w="2552" w:type="dxa"/>
          </w:tcPr>
          <w:p w:rsidRPr="00504ED5" w:rsidR="00F44568" w:rsidP="00832487" w:rsidRDefault="00F44568" w14:paraId="61B299BD" w14:textId="77777777">
            <w:pPr>
              <w:pStyle w:val="NormalWeb"/>
              <w:jc w:val="both"/>
              <w:rPr>
                <w:rFonts w:ascii="Times New Roman" w:hAnsi="Times New Roman" w:eastAsia="Times New Roman"/>
                <w:b/>
                <w:color w:val="000000"/>
                <w:sz w:val="24"/>
                <w:lang w:val="en-US"/>
              </w:rPr>
            </w:pPr>
            <w:r w:rsidRPr="00504ED5">
              <w:rPr>
                <w:rFonts w:ascii="Times New Roman" w:hAnsi="Times New Roman" w:eastAsia="Times New Roman"/>
                <w:b/>
                <w:color w:val="000000"/>
                <w:sz w:val="24"/>
                <w:lang w:val="en-US"/>
              </w:rPr>
              <w:t>File formats</w:t>
            </w:r>
          </w:p>
        </w:tc>
        <w:tc>
          <w:tcPr>
            <w:tcW w:w="6237" w:type="dxa"/>
          </w:tcPr>
          <w:p w:rsidRPr="00504ED5" w:rsidR="00F44568" w:rsidP="00832487" w:rsidRDefault="00F44568" w14:paraId="1BC0DD9A" w14:textId="77777777">
            <w:pPr>
              <w:pStyle w:val="NormalWeb"/>
              <w:jc w:val="both"/>
              <w:rPr>
                <w:rFonts w:ascii="Times New Roman" w:hAnsi="Times New Roman" w:eastAsia="Times New Roman"/>
                <w:color w:val="000000"/>
                <w:sz w:val="24"/>
                <w:lang w:val="en-US"/>
              </w:rPr>
            </w:pPr>
            <w:r w:rsidRPr="00504ED5">
              <w:rPr>
                <w:rFonts w:ascii="Times New Roman" w:hAnsi="Times New Roman" w:eastAsia="Times New Roman"/>
                <w:color w:val="000000"/>
                <w:sz w:val="24"/>
                <w:lang w:val="en-US"/>
              </w:rPr>
              <w:t xml:space="preserve">Word </w:t>
            </w:r>
            <w:r>
              <w:rPr>
                <w:rFonts w:ascii="Times New Roman" w:hAnsi="Times New Roman" w:eastAsia="Times New Roman"/>
                <w:color w:val="000000"/>
                <w:sz w:val="24"/>
                <w:lang w:val="en-US"/>
              </w:rPr>
              <w:t>and PDF</w:t>
            </w:r>
          </w:p>
        </w:tc>
      </w:tr>
      <w:tr w:rsidRPr="00504ED5" w:rsidR="00F44568" w:rsidTr="00832487" w14:paraId="7C284391" w14:textId="77777777">
        <w:tc>
          <w:tcPr>
            <w:tcW w:w="2552" w:type="dxa"/>
          </w:tcPr>
          <w:p w:rsidRPr="00504ED5" w:rsidR="00F44568" w:rsidP="00832487" w:rsidRDefault="00F44568" w14:paraId="56AD175F" w14:textId="77777777">
            <w:pPr>
              <w:pStyle w:val="NormalWeb"/>
              <w:jc w:val="both"/>
              <w:rPr>
                <w:rFonts w:ascii="Times New Roman" w:hAnsi="Times New Roman" w:eastAsia="Times New Roman"/>
                <w:b/>
                <w:color w:val="000000"/>
                <w:sz w:val="24"/>
                <w:lang w:val="en-US"/>
              </w:rPr>
            </w:pPr>
            <w:r w:rsidRPr="00504ED5">
              <w:rPr>
                <w:rFonts w:ascii="Times New Roman" w:hAnsi="Times New Roman" w:eastAsia="Times New Roman"/>
                <w:b/>
                <w:color w:val="000000"/>
                <w:sz w:val="24"/>
                <w:lang w:val="en-US"/>
              </w:rPr>
              <w:t>Accepted languages</w:t>
            </w:r>
          </w:p>
        </w:tc>
        <w:tc>
          <w:tcPr>
            <w:tcW w:w="6237" w:type="dxa"/>
          </w:tcPr>
          <w:p w:rsidRPr="00504ED5" w:rsidR="00F44568" w:rsidP="00832487" w:rsidRDefault="00F44568" w14:paraId="49667F23" w14:textId="77777777">
            <w:pPr>
              <w:pStyle w:val="NormalWeb"/>
              <w:jc w:val="both"/>
              <w:rPr>
                <w:rFonts w:ascii="Times New Roman" w:hAnsi="Times New Roman" w:eastAsia="Times New Roman"/>
                <w:color w:val="000000"/>
                <w:sz w:val="24"/>
                <w:lang w:val="en-US"/>
              </w:rPr>
            </w:pPr>
            <w:r w:rsidRPr="00504ED5">
              <w:rPr>
                <w:rFonts w:ascii="Times New Roman" w:hAnsi="Times New Roman" w:eastAsia="Times New Roman"/>
                <w:color w:val="000000"/>
                <w:sz w:val="24"/>
                <w:lang w:val="en-US"/>
              </w:rPr>
              <w:t>English, French, Spanish</w:t>
            </w:r>
          </w:p>
        </w:tc>
      </w:tr>
    </w:tbl>
    <w:p w:rsidR="00F44568" w:rsidP="00F44568" w:rsidRDefault="00F44568" w14:paraId="2FB51A6C" w14:textId="77777777">
      <w:pPr>
        <w:pStyle w:val="Heading1"/>
        <w:jc w:val="both"/>
        <w:rPr>
          <w:sz w:val="24"/>
          <w:szCs w:val="24"/>
        </w:rPr>
      </w:pPr>
      <w:bookmarkStart w:name="_Toc48734683" w:id="2"/>
    </w:p>
    <w:p w:rsidRPr="00504ED5" w:rsidR="00F44568" w:rsidP="00F44568" w:rsidRDefault="00F44568" w14:paraId="51C367BE" w14:textId="519AA6F5">
      <w:pPr>
        <w:pStyle w:val="Heading1"/>
        <w:ind w:firstLine="563"/>
        <w:jc w:val="both"/>
        <w:rPr>
          <w:sz w:val="24"/>
          <w:szCs w:val="24"/>
        </w:rPr>
      </w:pPr>
      <w:r w:rsidRPr="00504ED5">
        <w:rPr>
          <w:sz w:val="24"/>
          <w:szCs w:val="24"/>
        </w:rPr>
        <w:t xml:space="preserve">Treatment of inputs/comments </w:t>
      </w:r>
      <w:bookmarkEnd w:id="2"/>
      <w:r w:rsidRPr="00504ED5" w:rsidR="001D03A7">
        <w:rPr>
          <w:sz w:val="24"/>
          <w:szCs w:val="24"/>
        </w:rPr>
        <w:t>received.</w:t>
      </w:r>
    </w:p>
    <w:p w:rsidR="00F44568" w:rsidP="00F44568" w:rsidRDefault="00F44568" w14:paraId="506FBAF1" w14:textId="77777777">
      <w:pPr>
        <w:pStyle w:val="Heading1"/>
        <w:ind w:left="0"/>
        <w:jc w:val="both"/>
        <w:rPr>
          <w:b w:val="0"/>
          <w:color w:val="000000"/>
          <w:sz w:val="24"/>
          <w:szCs w:val="24"/>
        </w:rPr>
      </w:pPr>
      <w:bookmarkStart w:name="_Toc48734684" w:id="3"/>
      <w:r w:rsidRPr="00504ED5">
        <w:rPr>
          <w:b w:val="0"/>
          <w:color w:val="000000"/>
          <w:sz w:val="24"/>
          <w:szCs w:val="24"/>
        </w:rPr>
        <w:t xml:space="preserve">Please note that all responses will be published on the official webpage of the </w:t>
      </w:r>
      <w:r>
        <w:rPr>
          <w:b w:val="0"/>
          <w:color w:val="000000"/>
          <w:sz w:val="24"/>
          <w:szCs w:val="24"/>
        </w:rPr>
        <w:t xml:space="preserve">mandate of the </w:t>
      </w:r>
      <w:r w:rsidRPr="00504ED5">
        <w:rPr>
          <w:b w:val="0"/>
          <w:color w:val="000000"/>
          <w:sz w:val="24"/>
          <w:szCs w:val="24"/>
        </w:rPr>
        <w:t>Special Rapporteur by default.</w:t>
      </w:r>
      <w:bookmarkEnd w:id="3"/>
    </w:p>
    <w:p w:rsidRPr="00D12608" w:rsidR="00F44568" w:rsidP="00F44568" w:rsidRDefault="00F44568" w14:paraId="69637E00" w14:textId="77777777"/>
    <w:p w:rsidR="00F44568" w:rsidP="00F44568" w:rsidRDefault="00F44568" w14:paraId="28E5A6A9" w14:textId="77777777">
      <w:pPr>
        <w:pStyle w:val="Heading1"/>
        <w:ind w:firstLine="563"/>
        <w:jc w:val="both"/>
        <w:rPr>
          <w:sz w:val="24"/>
          <w:szCs w:val="24"/>
        </w:rPr>
      </w:pPr>
      <w:r w:rsidRPr="00504ED5">
        <w:rPr>
          <w:sz w:val="24"/>
          <w:szCs w:val="24"/>
        </w:rPr>
        <w:t>Key Questions</w:t>
      </w:r>
    </w:p>
    <w:p w:rsidRPr="00D12608" w:rsidR="00F44568" w:rsidP="00F44568" w:rsidRDefault="00F44568" w14:paraId="0D376103" w14:textId="77777777"/>
    <w:p w:rsidRPr="00504ED5" w:rsidR="00F44568" w:rsidP="00F44568" w:rsidRDefault="00F44568" w14:paraId="20916BBC" w14:textId="77777777">
      <w:pPr>
        <w:pBdr>
          <w:top w:val="single" w:color="auto" w:sz="4" w:space="1"/>
          <w:left w:val="single" w:color="auto" w:sz="4" w:space="4"/>
          <w:bottom w:val="single" w:color="auto" w:sz="4" w:space="1"/>
          <w:right w:val="single" w:color="auto" w:sz="4" w:space="4"/>
        </w:pBdr>
        <w:jc w:val="both"/>
        <w:rPr>
          <w:i/>
          <w:sz w:val="24"/>
          <w:szCs w:val="24"/>
        </w:rPr>
      </w:pPr>
      <w:r w:rsidRPr="00504ED5">
        <w:rPr>
          <w:i/>
          <w:sz w:val="24"/>
          <w:szCs w:val="24"/>
        </w:rPr>
        <w:t>You can choose to answer all or some of the questions below. (</w:t>
      </w:r>
      <w:r>
        <w:rPr>
          <w:i/>
          <w:sz w:val="24"/>
          <w:szCs w:val="24"/>
        </w:rPr>
        <w:t>500</w:t>
      </w:r>
      <w:r w:rsidRPr="00504ED5">
        <w:rPr>
          <w:i/>
          <w:sz w:val="24"/>
          <w:szCs w:val="24"/>
        </w:rPr>
        <w:t xml:space="preserve"> words limit per question).</w:t>
      </w:r>
    </w:p>
    <w:p w:rsidRPr="00504ED5" w:rsidR="00F44568" w:rsidP="00F44568" w:rsidRDefault="00F44568" w14:paraId="05DED541" w14:textId="77777777">
      <w:pPr>
        <w:pStyle w:val="NormalWeb"/>
        <w:jc w:val="both"/>
        <w:rPr>
          <w:rFonts w:ascii="Times New Roman" w:hAnsi="Times New Roman"/>
          <w:sz w:val="24"/>
        </w:rPr>
      </w:pPr>
      <w:r w:rsidRPr="00504ED5">
        <w:rPr>
          <w:rFonts w:ascii="Times New Roman" w:hAnsi="Times New Roman"/>
          <w:sz w:val="24"/>
        </w:rPr>
        <w:t xml:space="preserve">Inputs may be sent by e-mail </w:t>
      </w:r>
      <w:r w:rsidRPr="00504ED5">
        <w:rPr>
          <w:rFonts w:ascii="Times New Roman" w:hAnsi="Times New Roman"/>
          <w:b/>
          <w:bCs/>
          <w:sz w:val="24"/>
        </w:rPr>
        <w:t>by 15 November 2023</w:t>
      </w:r>
      <w:r w:rsidRPr="00504ED5">
        <w:rPr>
          <w:rFonts w:ascii="Times New Roman" w:hAnsi="Times New Roman"/>
          <w:sz w:val="24"/>
        </w:rPr>
        <w:t>.</w:t>
      </w:r>
    </w:p>
    <w:p w:rsidR="00F44568" w:rsidP="00F44568" w:rsidRDefault="00F44568" w14:paraId="50A7DCCE" w14:textId="77777777">
      <w:pPr>
        <w:numPr>
          <w:ilvl w:val="0"/>
          <w:numId w:val="2"/>
        </w:numPr>
        <w:spacing w:before="240" w:after="240" w:line="259" w:lineRule="auto"/>
        <w:rPr>
          <w:sz w:val="24"/>
          <w:szCs w:val="24"/>
        </w:rPr>
      </w:pPr>
      <w:r w:rsidRPr="005A1BF0">
        <w:rPr>
          <w:sz w:val="24"/>
          <w:szCs w:val="24"/>
        </w:rPr>
        <w:t>While the concept of harm reduction has traditionally been applied to drug use, the Special Rapporteur is taking a broadened approach to harm reduction. What types of harm reduction policies, programmes, and practices are in place in your community, and what is their purpose or aim? How successful have they been at achieving that aim? Please provide data, as possible.</w:t>
      </w:r>
    </w:p>
    <w:p w:rsidRPr="00403FDA" w:rsidR="00403FDA" w:rsidP="00403FDA" w:rsidRDefault="00403FDA" w14:paraId="2E4D9183" w14:textId="77777777">
      <w:pPr>
        <w:spacing w:before="240" w:after="240" w:line="259" w:lineRule="auto"/>
        <w:jc w:val="both"/>
        <w:rPr>
          <w:rFonts w:ascii="Trebuchet MS" w:hAnsi="Trebuchet MS"/>
          <w:sz w:val="22"/>
          <w:szCs w:val="22"/>
        </w:rPr>
      </w:pPr>
      <w:r w:rsidRPr="00403FDA">
        <w:rPr>
          <w:rFonts w:ascii="Trebuchet MS" w:hAnsi="Trebuchet MS"/>
          <w:sz w:val="22"/>
          <w:szCs w:val="22"/>
        </w:rPr>
        <w:t>Tobacco Harm Reduction is something that has been accepted and implemented in countries throughout the world.  Tobacco Harm Reduction follows the same precepts as Drugs Harm Reduction – substitution of the known harmful product with a less harmful alternative.</w:t>
      </w:r>
    </w:p>
    <w:p w:rsidR="00403FDA" w:rsidP="00403FDA" w:rsidRDefault="00403FDA" w14:paraId="137C2A33" w14:textId="11C70643">
      <w:pPr>
        <w:spacing w:before="240" w:after="240" w:line="259" w:lineRule="auto"/>
        <w:jc w:val="both"/>
        <w:rPr>
          <w:rFonts w:ascii="Trebuchet MS" w:hAnsi="Trebuchet MS"/>
          <w:sz w:val="22"/>
          <w:szCs w:val="22"/>
        </w:rPr>
      </w:pPr>
      <w:r w:rsidRPr="00403FDA">
        <w:rPr>
          <w:rFonts w:ascii="Trebuchet MS" w:hAnsi="Trebuchet MS"/>
          <w:sz w:val="22"/>
          <w:szCs w:val="22"/>
        </w:rPr>
        <w:t xml:space="preserve">In New Zealand, the United Kingdom, Japan, Korea and the Philippines, the application of </w:t>
      </w:r>
      <w:r w:rsidR="002417C2">
        <w:rPr>
          <w:rFonts w:ascii="Trebuchet MS" w:hAnsi="Trebuchet MS"/>
          <w:sz w:val="22"/>
          <w:szCs w:val="22"/>
        </w:rPr>
        <w:t xml:space="preserve">Tobacco </w:t>
      </w:r>
      <w:r w:rsidRPr="00403FDA">
        <w:rPr>
          <w:rFonts w:ascii="Trebuchet MS" w:hAnsi="Trebuchet MS"/>
          <w:sz w:val="22"/>
          <w:szCs w:val="22"/>
        </w:rPr>
        <w:t xml:space="preserve">Harm Reduction </w:t>
      </w:r>
      <w:r w:rsidR="002417C2">
        <w:rPr>
          <w:rFonts w:ascii="Trebuchet MS" w:hAnsi="Trebuchet MS"/>
          <w:sz w:val="22"/>
          <w:szCs w:val="22"/>
        </w:rPr>
        <w:t>to eradicate</w:t>
      </w:r>
      <w:r w:rsidRPr="00403FDA">
        <w:rPr>
          <w:rFonts w:ascii="Trebuchet MS" w:hAnsi="Trebuchet MS"/>
          <w:sz w:val="22"/>
          <w:szCs w:val="22"/>
        </w:rPr>
        <w:t xml:space="preserve"> combustible tobacco use has assisted in reducing the rates of combustible tobacco to the point where these countries will meet, or come very close to meeting, the 2030 global goal of less than 5% of the population using combustible tobacco.</w:t>
      </w:r>
    </w:p>
    <w:p w:rsidR="002417C2" w:rsidP="002417C2" w:rsidRDefault="00403FDA" w14:paraId="0639E5BF" w14:textId="77777777">
      <w:pPr>
        <w:spacing w:before="240" w:line="259" w:lineRule="auto"/>
        <w:rPr>
          <w:rFonts w:ascii="Trebuchet MS" w:hAnsi="Trebuchet MS"/>
          <w:sz w:val="22"/>
          <w:szCs w:val="22"/>
        </w:rPr>
      </w:pPr>
      <w:r>
        <w:rPr>
          <w:rFonts w:ascii="Trebuchet MS" w:hAnsi="Trebuchet MS"/>
          <w:sz w:val="22"/>
          <w:szCs w:val="22"/>
        </w:rPr>
        <w:t>The use of combustible tobacco in these countries have fallen to record lows as you will see outlined below:</w:t>
      </w:r>
      <w:r>
        <w:rPr>
          <w:rFonts w:ascii="Trebuchet MS" w:hAnsi="Trebuchet MS"/>
          <w:sz w:val="22"/>
          <w:szCs w:val="22"/>
        </w:rPr>
        <w:br/>
      </w:r>
    </w:p>
    <w:p w:rsidRPr="00403FDA" w:rsidR="00403FDA" w:rsidP="00FF3031" w:rsidRDefault="00403FDA" w14:paraId="5D6F78DC" w14:textId="21AD08DE">
      <w:pPr>
        <w:spacing w:line="259" w:lineRule="auto"/>
        <w:rPr>
          <w:rFonts w:ascii="Trebuchet MS" w:hAnsi="Trebuchet MS"/>
          <w:b/>
          <w:bCs/>
          <w:sz w:val="22"/>
          <w:szCs w:val="22"/>
          <w:u w:val="single"/>
        </w:rPr>
      </w:pPr>
      <w:r>
        <w:rPr>
          <w:rFonts w:ascii="Trebuchet MS" w:hAnsi="Trebuchet MS"/>
          <w:sz w:val="22"/>
          <w:szCs w:val="22"/>
        </w:rPr>
        <w:tab/>
      </w:r>
      <w:r>
        <w:rPr>
          <w:rFonts w:ascii="Trebuchet MS" w:hAnsi="Trebuchet MS"/>
          <w:sz w:val="22"/>
          <w:szCs w:val="22"/>
        </w:rPr>
        <w:tab/>
      </w:r>
      <w:r>
        <w:rPr>
          <w:rFonts w:ascii="Trebuchet MS" w:hAnsi="Trebuchet MS"/>
          <w:sz w:val="22"/>
          <w:szCs w:val="22"/>
        </w:rPr>
        <w:t xml:space="preserve">    </w:t>
      </w:r>
      <w:r w:rsidRPr="00403FDA">
        <w:rPr>
          <w:rFonts w:ascii="Trebuchet MS" w:hAnsi="Trebuchet MS"/>
          <w:b/>
          <w:bCs/>
          <w:sz w:val="22"/>
          <w:szCs w:val="22"/>
          <w:u w:val="single"/>
        </w:rPr>
        <w:t>2010 Smoking Rates</w:t>
      </w:r>
      <w:r w:rsidRPr="00403FDA">
        <w:rPr>
          <w:rFonts w:ascii="Trebuchet MS" w:hAnsi="Trebuchet MS"/>
          <w:b/>
          <w:bCs/>
          <w:sz w:val="22"/>
          <w:szCs w:val="22"/>
        </w:rPr>
        <w:tab/>
      </w:r>
      <w:r w:rsidRPr="00403FDA">
        <w:rPr>
          <w:rFonts w:ascii="Trebuchet MS" w:hAnsi="Trebuchet MS"/>
          <w:b/>
          <w:bCs/>
          <w:sz w:val="22"/>
          <w:szCs w:val="22"/>
        </w:rPr>
        <w:tab/>
      </w:r>
      <w:r w:rsidRPr="00403FDA">
        <w:rPr>
          <w:rFonts w:ascii="Trebuchet MS" w:hAnsi="Trebuchet MS"/>
          <w:b/>
          <w:bCs/>
          <w:sz w:val="22"/>
          <w:szCs w:val="22"/>
          <w:u w:val="single"/>
        </w:rPr>
        <w:t>2022 Smoking Rates</w:t>
      </w:r>
    </w:p>
    <w:p w:rsidR="00403FDA" w:rsidP="00403FDA" w:rsidRDefault="00403FDA" w14:paraId="09BE2714" w14:textId="4914E84A">
      <w:pPr>
        <w:ind w:left="1440"/>
        <w:rPr>
          <w:rFonts w:ascii="Trebuchet MS" w:hAnsi="Trebuchet MS"/>
          <w:i/>
          <w:iCs/>
        </w:rPr>
      </w:pPr>
      <w:r>
        <w:rPr>
          <w:rFonts w:ascii="Trebuchet MS" w:hAnsi="Trebuchet MS"/>
          <w:sz w:val="22"/>
          <w:szCs w:val="22"/>
        </w:rPr>
        <w:t xml:space="preserve">    </w:t>
      </w:r>
      <w:r w:rsidR="00FF3031">
        <w:rPr>
          <w:rFonts w:ascii="Trebuchet MS" w:hAnsi="Trebuchet MS"/>
          <w:sz w:val="22"/>
          <w:szCs w:val="22"/>
        </w:rPr>
        <w:t xml:space="preserve">                </w:t>
      </w:r>
      <w:r w:rsidRPr="00FF3031">
        <w:rPr>
          <w:rFonts w:ascii="Trebuchet MS" w:hAnsi="Trebuchet MS"/>
          <w:i/>
          <w:iCs/>
          <w:sz w:val="16"/>
          <w:szCs w:val="16"/>
        </w:rPr>
        <w:t>amongst adults over the age of 1</w:t>
      </w:r>
      <w:r w:rsidRPr="00FF3031" w:rsidR="00FF3031">
        <w:rPr>
          <w:rFonts w:ascii="Trebuchet MS" w:hAnsi="Trebuchet MS"/>
          <w:i/>
          <w:iCs/>
          <w:sz w:val="16"/>
          <w:szCs w:val="16"/>
        </w:rPr>
        <w:t>8</w:t>
      </w:r>
      <w:r w:rsidR="00FF3031">
        <w:rPr>
          <w:rFonts w:ascii="Trebuchet MS" w:hAnsi="Trebuchet MS"/>
          <w:i/>
          <w:iCs/>
        </w:rPr>
        <w:t>.</w:t>
      </w:r>
    </w:p>
    <w:p w:rsidRPr="00403FDA" w:rsidR="00FF3031" w:rsidP="00403FDA" w:rsidRDefault="00FF3031" w14:paraId="678935C2" w14:textId="77777777">
      <w:pPr>
        <w:ind w:left="1440"/>
        <w:rPr>
          <w:rFonts w:ascii="Trebuchet MS" w:hAnsi="Trebuchet MS"/>
          <w:i/>
          <w:iCs/>
        </w:rPr>
      </w:pPr>
    </w:p>
    <w:p w:rsidR="00403FDA" w:rsidP="00403FDA" w:rsidRDefault="00403FDA" w14:paraId="2145890C" w14:textId="28CEED96">
      <w:pPr>
        <w:spacing w:after="240" w:line="259" w:lineRule="auto"/>
        <w:rPr>
          <w:rFonts w:ascii="Trebuchet MS" w:hAnsi="Trebuchet MS"/>
          <w:sz w:val="22"/>
          <w:szCs w:val="22"/>
        </w:rPr>
      </w:pPr>
      <w:r>
        <w:rPr>
          <w:rFonts w:ascii="Trebuchet MS" w:hAnsi="Trebuchet MS"/>
          <w:sz w:val="22"/>
          <w:szCs w:val="22"/>
        </w:rPr>
        <w:t>New Zealand</w:t>
      </w:r>
      <w:r w:rsidR="00357902">
        <w:rPr>
          <w:rStyle w:val="EndnoteReference"/>
          <w:rFonts w:ascii="Trebuchet MS" w:hAnsi="Trebuchet MS"/>
          <w:sz w:val="22"/>
          <w:szCs w:val="22"/>
        </w:rPr>
        <w:endnoteReference w:id="1"/>
      </w:r>
      <w:r>
        <w:rPr>
          <w:rFonts w:ascii="Trebuchet MS" w:hAnsi="Trebuchet MS"/>
          <w:sz w:val="22"/>
          <w:szCs w:val="22"/>
        </w:rPr>
        <w:tab/>
      </w:r>
      <w:r>
        <w:rPr>
          <w:rFonts w:ascii="Trebuchet MS" w:hAnsi="Trebuchet MS"/>
          <w:sz w:val="22"/>
          <w:szCs w:val="22"/>
        </w:rPr>
        <w:tab/>
      </w:r>
      <w:r w:rsidR="00260BEC">
        <w:rPr>
          <w:rFonts w:ascii="Trebuchet MS" w:hAnsi="Trebuchet MS"/>
          <w:sz w:val="22"/>
          <w:szCs w:val="22"/>
        </w:rPr>
        <w:t>20.1%</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260BEC">
        <w:rPr>
          <w:rFonts w:ascii="Trebuchet MS" w:hAnsi="Trebuchet MS"/>
          <w:sz w:val="22"/>
          <w:szCs w:val="22"/>
        </w:rPr>
        <w:t>8%</w:t>
      </w:r>
    </w:p>
    <w:p w:rsidR="00403FDA" w:rsidP="00403FDA" w:rsidRDefault="00403FDA" w14:paraId="46E293B1" w14:textId="5280C759">
      <w:pPr>
        <w:spacing w:after="240" w:line="259" w:lineRule="auto"/>
        <w:jc w:val="both"/>
        <w:rPr>
          <w:rFonts w:ascii="Trebuchet MS" w:hAnsi="Trebuchet MS"/>
          <w:sz w:val="22"/>
          <w:szCs w:val="22"/>
        </w:rPr>
      </w:pPr>
      <w:r>
        <w:rPr>
          <w:rFonts w:ascii="Trebuchet MS" w:hAnsi="Trebuchet MS"/>
          <w:sz w:val="22"/>
          <w:szCs w:val="22"/>
        </w:rPr>
        <w:t>Korea</w:t>
      </w:r>
      <w:r w:rsidR="00357902">
        <w:rPr>
          <w:rStyle w:val="EndnoteReference"/>
          <w:rFonts w:ascii="Trebuchet MS" w:hAnsi="Trebuchet MS"/>
          <w:sz w:val="22"/>
          <w:szCs w:val="22"/>
        </w:rPr>
        <w:endnoteReference w:id="2"/>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260BEC">
        <w:rPr>
          <w:rFonts w:ascii="Trebuchet MS" w:hAnsi="Trebuchet MS"/>
          <w:sz w:val="22"/>
          <w:szCs w:val="22"/>
        </w:rPr>
        <w:t>26.9%</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260BEC">
        <w:rPr>
          <w:rFonts w:ascii="Trebuchet MS" w:hAnsi="Trebuchet MS"/>
          <w:sz w:val="22"/>
          <w:szCs w:val="22"/>
        </w:rPr>
        <w:t>19.2%</w:t>
      </w:r>
    </w:p>
    <w:p w:rsidR="00403FDA" w:rsidP="00403FDA" w:rsidRDefault="00403FDA" w14:paraId="0CE09BB2" w14:textId="21EF10EB">
      <w:pPr>
        <w:spacing w:after="240" w:line="259" w:lineRule="auto"/>
        <w:jc w:val="both"/>
        <w:rPr>
          <w:rFonts w:ascii="Trebuchet MS" w:hAnsi="Trebuchet MS"/>
          <w:sz w:val="22"/>
          <w:szCs w:val="22"/>
        </w:rPr>
      </w:pPr>
      <w:r>
        <w:rPr>
          <w:rFonts w:ascii="Trebuchet MS" w:hAnsi="Trebuchet MS"/>
          <w:sz w:val="22"/>
          <w:szCs w:val="22"/>
        </w:rPr>
        <w:t>Japan</w:t>
      </w:r>
      <w:r w:rsidR="00357902">
        <w:rPr>
          <w:rStyle w:val="EndnoteReference"/>
          <w:rFonts w:ascii="Trebuchet MS" w:hAnsi="Trebuchet MS"/>
          <w:sz w:val="22"/>
          <w:szCs w:val="22"/>
        </w:rPr>
        <w:endnoteReference w:id="3"/>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260BEC">
        <w:rPr>
          <w:rFonts w:ascii="Trebuchet MS" w:hAnsi="Trebuchet MS"/>
          <w:sz w:val="22"/>
          <w:szCs w:val="22"/>
        </w:rPr>
        <w:t>25.8%</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260BEC">
        <w:rPr>
          <w:rFonts w:ascii="Trebuchet MS" w:hAnsi="Trebuchet MS"/>
          <w:sz w:val="22"/>
          <w:szCs w:val="22"/>
        </w:rPr>
        <w:t>11%</w:t>
      </w:r>
      <w:r>
        <w:rPr>
          <w:rFonts w:ascii="Trebuchet MS" w:hAnsi="Trebuchet MS"/>
          <w:sz w:val="22"/>
          <w:szCs w:val="22"/>
        </w:rPr>
        <w:tab/>
      </w:r>
    </w:p>
    <w:p w:rsidR="00403FDA" w:rsidP="00403FDA" w:rsidRDefault="00403FDA" w14:paraId="2072604B" w14:textId="1C494507">
      <w:pPr>
        <w:spacing w:after="240" w:line="259" w:lineRule="auto"/>
        <w:jc w:val="both"/>
        <w:rPr>
          <w:rFonts w:ascii="Trebuchet MS" w:hAnsi="Trebuchet MS"/>
          <w:sz w:val="22"/>
          <w:szCs w:val="22"/>
        </w:rPr>
      </w:pPr>
      <w:r>
        <w:rPr>
          <w:rFonts w:ascii="Trebuchet MS" w:hAnsi="Trebuchet MS"/>
          <w:sz w:val="22"/>
          <w:szCs w:val="22"/>
        </w:rPr>
        <w:t>Philippines</w:t>
      </w:r>
      <w:r w:rsidR="00357902">
        <w:rPr>
          <w:rStyle w:val="EndnoteReference"/>
          <w:rFonts w:ascii="Trebuchet MS" w:hAnsi="Trebuchet MS"/>
          <w:sz w:val="22"/>
          <w:szCs w:val="22"/>
        </w:rPr>
        <w:endnoteReference w:id="4"/>
      </w:r>
      <w:r>
        <w:rPr>
          <w:rFonts w:ascii="Trebuchet MS" w:hAnsi="Trebuchet MS"/>
          <w:sz w:val="22"/>
          <w:szCs w:val="22"/>
        </w:rPr>
        <w:tab/>
      </w:r>
      <w:r>
        <w:rPr>
          <w:rFonts w:ascii="Trebuchet MS" w:hAnsi="Trebuchet MS"/>
          <w:sz w:val="22"/>
          <w:szCs w:val="22"/>
        </w:rPr>
        <w:tab/>
      </w:r>
      <w:r w:rsidR="00260BEC">
        <w:rPr>
          <w:rFonts w:ascii="Trebuchet MS" w:hAnsi="Trebuchet MS"/>
          <w:sz w:val="22"/>
          <w:szCs w:val="22"/>
        </w:rPr>
        <w:t>28.3%</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260BEC">
        <w:rPr>
          <w:rFonts w:ascii="Trebuchet MS" w:hAnsi="Trebuchet MS"/>
          <w:sz w:val="22"/>
          <w:szCs w:val="22"/>
        </w:rPr>
        <w:t>19.5%</w:t>
      </w:r>
    </w:p>
    <w:p w:rsidR="00403FDA" w:rsidP="00403FDA" w:rsidRDefault="00403FDA" w14:paraId="71148DA6" w14:textId="760AC1B6">
      <w:pPr>
        <w:spacing w:after="240" w:line="259" w:lineRule="auto"/>
        <w:jc w:val="both"/>
        <w:rPr>
          <w:rFonts w:ascii="Trebuchet MS" w:hAnsi="Trebuchet MS"/>
          <w:sz w:val="22"/>
          <w:szCs w:val="22"/>
        </w:rPr>
      </w:pPr>
      <w:r>
        <w:rPr>
          <w:rFonts w:ascii="Trebuchet MS" w:hAnsi="Trebuchet MS"/>
          <w:sz w:val="22"/>
          <w:szCs w:val="22"/>
        </w:rPr>
        <w:t>United Kingdom</w:t>
      </w:r>
      <w:r w:rsidR="00357902">
        <w:rPr>
          <w:rStyle w:val="EndnoteReference"/>
          <w:rFonts w:ascii="Trebuchet MS" w:hAnsi="Trebuchet MS"/>
          <w:sz w:val="22"/>
          <w:szCs w:val="22"/>
        </w:rPr>
        <w:endnoteReference w:id="5"/>
      </w:r>
      <w:r>
        <w:rPr>
          <w:rFonts w:ascii="Trebuchet MS" w:hAnsi="Trebuchet MS"/>
          <w:sz w:val="22"/>
          <w:szCs w:val="22"/>
        </w:rPr>
        <w:tab/>
      </w:r>
      <w:r w:rsidR="00260BEC">
        <w:rPr>
          <w:rFonts w:ascii="Trebuchet MS" w:hAnsi="Trebuchet MS"/>
          <w:sz w:val="22"/>
          <w:szCs w:val="22"/>
        </w:rPr>
        <w:t>24.1%</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260BEC">
        <w:rPr>
          <w:rFonts w:ascii="Trebuchet MS" w:hAnsi="Trebuchet MS"/>
          <w:sz w:val="22"/>
          <w:szCs w:val="22"/>
        </w:rPr>
        <w:t>12.9%</w:t>
      </w:r>
    </w:p>
    <w:p w:rsidR="00027DD2" w:rsidP="002417C2" w:rsidRDefault="00260BEC" w14:paraId="3616E729" w14:textId="77777777">
      <w:pPr>
        <w:spacing w:after="160" w:line="259" w:lineRule="auto"/>
        <w:jc w:val="both"/>
        <w:rPr>
          <w:rFonts w:ascii="Trebuchet MS" w:hAnsi="Trebuchet MS"/>
          <w:sz w:val="22"/>
          <w:szCs w:val="22"/>
        </w:rPr>
      </w:pPr>
      <w:r>
        <w:rPr>
          <w:rFonts w:ascii="Trebuchet MS" w:hAnsi="Trebuchet MS"/>
          <w:sz w:val="22"/>
          <w:szCs w:val="22"/>
        </w:rPr>
        <w:t>The relative newcomers to a legalised consumer model</w:t>
      </w:r>
      <w:r w:rsidR="002A2336">
        <w:rPr>
          <w:rFonts w:ascii="Trebuchet MS" w:hAnsi="Trebuchet MS"/>
          <w:sz w:val="22"/>
          <w:szCs w:val="22"/>
        </w:rPr>
        <w:t xml:space="preserve">s have shown the most dramatic decreases within two years of legalisation. </w:t>
      </w:r>
      <w:r>
        <w:rPr>
          <w:rFonts w:ascii="Trebuchet MS" w:hAnsi="Trebuchet MS"/>
          <w:sz w:val="22"/>
          <w:szCs w:val="22"/>
        </w:rPr>
        <w:t>New Zealand regulated its market and made safer nicotine products (sans snus) legal as of 2020.</w:t>
      </w:r>
      <w:r w:rsidR="002A2336">
        <w:rPr>
          <w:rFonts w:ascii="Trebuchet MS" w:hAnsi="Trebuchet MS"/>
          <w:sz w:val="22"/>
          <w:szCs w:val="22"/>
        </w:rPr>
        <w:t xml:space="preserve">  </w:t>
      </w:r>
      <w:r>
        <w:rPr>
          <w:rFonts w:ascii="Trebuchet MS" w:hAnsi="Trebuchet MS"/>
          <w:sz w:val="22"/>
          <w:szCs w:val="22"/>
        </w:rPr>
        <w:t>Philippines regulated its market and made safer nicotine products (sans snu</w:t>
      </w:r>
      <w:r w:rsidR="002A2336">
        <w:rPr>
          <w:rFonts w:ascii="Trebuchet MS" w:hAnsi="Trebuchet MS"/>
          <w:sz w:val="22"/>
          <w:szCs w:val="22"/>
        </w:rPr>
        <w:t>s</w:t>
      </w:r>
      <w:r>
        <w:rPr>
          <w:rFonts w:ascii="Trebuchet MS" w:hAnsi="Trebuchet MS"/>
          <w:sz w:val="22"/>
          <w:szCs w:val="22"/>
        </w:rPr>
        <w:t>) legal in 2021</w:t>
      </w:r>
      <w:r w:rsidR="002A2336">
        <w:rPr>
          <w:rFonts w:ascii="Trebuchet MS" w:hAnsi="Trebuchet MS"/>
          <w:sz w:val="22"/>
          <w:szCs w:val="22"/>
        </w:rPr>
        <w:t>, it will be interesting to see the decline in the statistics for 2023</w:t>
      </w:r>
      <w:r>
        <w:rPr>
          <w:rFonts w:ascii="Trebuchet MS" w:hAnsi="Trebuchet MS"/>
          <w:sz w:val="22"/>
          <w:szCs w:val="22"/>
        </w:rPr>
        <w:t>.</w:t>
      </w:r>
      <w:r w:rsidR="00FF3031">
        <w:rPr>
          <w:rFonts w:ascii="Trebuchet MS" w:hAnsi="Trebuchet MS"/>
          <w:sz w:val="22"/>
          <w:szCs w:val="22"/>
        </w:rPr>
        <w:t xml:space="preserve">  </w:t>
      </w:r>
    </w:p>
    <w:p w:rsidR="00027DD2" w:rsidP="002417C2" w:rsidRDefault="00FF3031" w14:paraId="760D7B8F" w14:textId="4FCE51AD">
      <w:pPr>
        <w:spacing w:after="160" w:line="259" w:lineRule="auto"/>
        <w:jc w:val="both"/>
        <w:rPr>
          <w:rFonts w:ascii="Trebuchet MS" w:hAnsi="Trebuchet MS"/>
          <w:sz w:val="22"/>
          <w:szCs w:val="22"/>
        </w:rPr>
      </w:pPr>
      <w:r>
        <w:rPr>
          <w:rFonts w:ascii="Trebuchet MS" w:hAnsi="Trebuchet MS"/>
          <w:sz w:val="22"/>
          <w:szCs w:val="22"/>
        </w:rPr>
        <w:t xml:space="preserve">One must also take into consideration the economies of scale – New Zealand currently has a population of 5.1 million, whereas the Philippines current population is </w:t>
      </w:r>
      <w:r w:rsidR="00027DD2">
        <w:rPr>
          <w:rFonts w:ascii="Trebuchet MS" w:hAnsi="Trebuchet MS"/>
          <w:sz w:val="22"/>
          <w:szCs w:val="22"/>
        </w:rPr>
        <w:t>113.9 million;</w:t>
      </w:r>
      <w:r>
        <w:rPr>
          <w:rFonts w:ascii="Trebuchet MS" w:hAnsi="Trebuchet MS"/>
          <w:sz w:val="22"/>
          <w:szCs w:val="22"/>
        </w:rPr>
        <w:t xml:space="preserve"> Japan’s population is</w:t>
      </w:r>
      <w:r w:rsidR="00027DD2">
        <w:rPr>
          <w:rFonts w:ascii="Trebuchet MS" w:hAnsi="Trebuchet MS"/>
          <w:sz w:val="22"/>
          <w:szCs w:val="22"/>
        </w:rPr>
        <w:t xml:space="preserve"> 125.7 million;</w:t>
      </w:r>
      <w:r>
        <w:rPr>
          <w:rFonts w:ascii="Trebuchet MS" w:hAnsi="Trebuchet MS"/>
          <w:sz w:val="22"/>
          <w:szCs w:val="22"/>
        </w:rPr>
        <w:t xml:space="preserve"> Korea’s population is </w:t>
      </w:r>
      <w:r w:rsidR="00027DD2">
        <w:rPr>
          <w:rFonts w:ascii="Trebuchet MS" w:hAnsi="Trebuchet MS"/>
          <w:sz w:val="22"/>
          <w:szCs w:val="22"/>
        </w:rPr>
        <w:t xml:space="preserve">51.74 million </w:t>
      </w:r>
      <w:r>
        <w:rPr>
          <w:rFonts w:ascii="Trebuchet MS" w:hAnsi="Trebuchet MS"/>
          <w:sz w:val="22"/>
          <w:szCs w:val="22"/>
        </w:rPr>
        <w:t xml:space="preserve">and the population of the United Kingdom is </w:t>
      </w:r>
      <w:r w:rsidR="00027DD2">
        <w:rPr>
          <w:rFonts w:ascii="Trebuchet MS" w:hAnsi="Trebuchet MS"/>
          <w:sz w:val="22"/>
          <w:szCs w:val="22"/>
        </w:rPr>
        <w:t>67.33 million</w:t>
      </w:r>
      <w:r>
        <w:rPr>
          <w:rFonts w:ascii="Trebuchet MS" w:hAnsi="Trebuchet MS"/>
          <w:sz w:val="22"/>
          <w:szCs w:val="22"/>
        </w:rPr>
        <w:t>.</w:t>
      </w:r>
      <w:r w:rsidR="0013339D">
        <w:rPr>
          <w:rStyle w:val="EndnoteReference"/>
          <w:rFonts w:ascii="Trebuchet MS" w:hAnsi="Trebuchet MS"/>
          <w:sz w:val="22"/>
          <w:szCs w:val="22"/>
        </w:rPr>
        <w:endnoteReference w:id="6"/>
      </w:r>
    </w:p>
    <w:p w:rsidRPr="007B64C1" w:rsidR="007B64C1" w:rsidP="002417C2" w:rsidRDefault="007B64C1" w14:paraId="7BFED32D" w14:textId="339F3961">
      <w:pPr>
        <w:spacing w:after="160" w:line="259" w:lineRule="auto"/>
        <w:jc w:val="both"/>
        <w:rPr>
          <w:rFonts w:ascii="Trebuchet MS" w:hAnsi="Trebuchet MS"/>
          <w:sz w:val="22"/>
          <w:szCs w:val="22"/>
        </w:rPr>
      </w:pPr>
      <w:r w:rsidRPr="007B64C1">
        <w:rPr>
          <w:rFonts w:ascii="Trebuchet MS" w:hAnsi="Trebuchet MS"/>
          <w:sz w:val="22"/>
          <w:szCs w:val="22"/>
        </w:rPr>
        <w:t xml:space="preserve">When taking an anti-coloniality and anti-racism approach, the Special Rapporteur needs to review the behaviour of the WHO FCTC and the Global Ambassador for Non-Communicable Diseases with regards to the stigmatisation of Tobacco Harm Reduction as a concept and the supporters of safer nicotine products.  Consumers of these products are criminalised in countries where there are outright bans on Safer Nicotine Products (India, Thailand) and stigmatised globally by public health officials, tobacco </w:t>
      </w:r>
      <w:r w:rsidRPr="007B64C1">
        <w:rPr>
          <w:rFonts w:ascii="Trebuchet MS" w:hAnsi="Trebuchet MS"/>
          <w:sz w:val="22"/>
          <w:szCs w:val="22"/>
        </w:rPr>
        <w:t xml:space="preserve">controllers and </w:t>
      </w:r>
      <w:proofErr w:type="gramStart"/>
      <w:r w:rsidRPr="007B64C1">
        <w:rPr>
          <w:rFonts w:ascii="Trebuchet MS" w:hAnsi="Trebuchet MS"/>
          <w:sz w:val="22"/>
          <w:szCs w:val="22"/>
        </w:rPr>
        <w:t>NGO’s</w:t>
      </w:r>
      <w:proofErr w:type="gramEnd"/>
      <w:r w:rsidRPr="007B64C1">
        <w:rPr>
          <w:rFonts w:ascii="Trebuchet MS" w:hAnsi="Trebuchet MS"/>
          <w:sz w:val="22"/>
          <w:szCs w:val="22"/>
        </w:rPr>
        <w:t xml:space="preserve"> as their voices are silenced and disenfranchised under the guise of Article 5.3 of the Framework Convention on Tobacco Control.  This has been going on for years and has been termed “Philanthropic Colonialism” by those in the wider Harm Reduction field due to its significant impacts on LMIC countries as well as disadvantaged communities.</w:t>
      </w:r>
    </w:p>
    <w:p w:rsidRPr="007B64C1" w:rsidR="007B64C1" w:rsidP="002417C2" w:rsidRDefault="0043759E" w14:paraId="67162CF5" w14:textId="77777777">
      <w:pPr>
        <w:spacing w:after="160" w:line="259" w:lineRule="auto"/>
        <w:jc w:val="both"/>
        <w:rPr>
          <w:rFonts w:ascii="Trebuchet MS" w:hAnsi="Trebuchet MS"/>
          <w:sz w:val="22"/>
          <w:szCs w:val="22"/>
        </w:rPr>
      </w:pPr>
      <w:r w:rsidRPr="007B64C1">
        <w:rPr>
          <w:rFonts w:ascii="Trebuchet MS" w:hAnsi="Trebuchet MS"/>
          <w:sz w:val="22"/>
          <w:szCs w:val="22"/>
        </w:rPr>
        <w:t>The highest burden of smoking related harm is amongst disadvantaged populations</w:t>
      </w:r>
      <w:r w:rsidRPr="007B64C1" w:rsidR="007B64C1">
        <w:rPr>
          <w:rFonts w:ascii="Trebuchet MS" w:hAnsi="Trebuchet MS"/>
          <w:sz w:val="22"/>
          <w:szCs w:val="22"/>
        </w:rPr>
        <w:t xml:space="preserve"> that includes</w:t>
      </w:r>
      <w:r w:rsidRPr="007B64C1">
        <w:rPr>
          <w:rFonts w:ascii="Trebuchet MS" w:hAnsi="Trebuchet MS"/>
          <w:sz w:val="22"/>
          <w:szCs w:val="22"/>
        </w:rPr>
        <w:t xml:space="preserve"> those who are living in poverty</w:t>
      </w:r>
      <w:r w:rsidRPr="007B64C1" w:rsidR="007B64C1">
        <w:rPr>
          <w:rFonts w:ascii="Trebuchet MS" w:hAnsi="Trebuchet MS"/>
          <w:sz w:val="22"/>
          <w:szCs w:val="22"/>
        </w:rPr>
        <w:t xml:space="preserve">, </w:t>
      </w:r>
      <w:r w:rsidRPr="007B64C1">
        <w:rPr>
          <w:rFonts w:ascii="Trebuchet MS" w:hAnsi="Trebuchet MS"/>
          <w:sz w:val="22"/>
          <w:szCs w:val="22"/>
        </w:rPr>
        <w:t>members of the LGTBQI community</w:t>
      </w:r>
      <w:r w:rsidRPr="007B64C1" w:rsidR="007B64C1">
        <w:rPr>
          <w:rFonts w:ascii="Trebuchet MS" w:hAnsi="Trebuchet MS"/>
          <w:sz w:val="22"/>
          <w:szCs w:val="22"/>
        </w:rPr>
        <w:t xml:space="preserve">, </w:t>
      </w:r>
      <w:r w:rsidRPr="007B64C1">
        <w:rPr>
          <w:rFonts w:ascii="Trebuchet MS" w:hAnsi="Trebuchet MS"/>
          <w:sz w:val="22"/>
          <w:szCs w:val="22"/>
        </w:rPr>
        <w:t>those who have mental health struggles and challenges</w:t>
      </w:r>
      <w:r w:rsidRPr="007B64C1" w:rsidR="007B64C1">
        <w:rPr>
          <w:rFonts w:ascii="Trebuchet MS" w:hAnsi="Trebuchet MS"/>
          <w:sz w:val="22"/>
          <w:szCs w:val="22"/>
        </w:rPr>
        <w:t xml:space="preserve"> and those who live in </w:t>
      </w:r>
      <w:proofErr w:type="gramStart"/>
      <w:r w:rsidRPr="007B64C1" w:rsidR="007B64C1">
        <w:rPr>
          <w:rFonts w:ascii="Trebuchet MS" w:hAnsi="Trebuchet MS"/>
          <w:sz w:val="22"/>
          <w:szCs w:val="22"/>
        </w:rPr>
        <w:t>Low and Middle Income</w:t>
      </w:r>
      <w:proofErr w:type="gramEnd"/>
      <w:r w:rsidRPr="007B64C1" w:rsidR="007B64C1">
        <w:rPr>
          <w:rFonts w:ascii="Trebuchet MS" w:hAnsi="Trebuchet MS"/>
          <w:sz w:val="22"/>
          <w:szCs w:val="22"/>
        </w:rPr>
        <w:t xml:space="preserve"> Countries (LMICs)</w:t>
      </w:r>
      <w:r w:rsidRPr="007B64C1">
        <w:rPr>
          <w:rFonts w:ascii="Trebuchet MS" w:hAnsi="Trebuchet MS"/>
          <w:sz w:val="22"/>
          <w:szCs w:val="22"/>
        </w:rPr>
        <w:t xml:space="preserve">.  </w:t>
      </w:r>
    </w:p>
    <w:p w:rsidR="00F44568" w:rsidP="00F44568" w:rsidRDefault="00F44568" w14:paraId="52CE9B88" w14:textId="77777777">
      <w:pPr>
        <w:numPr>
          <w:ilvl w:val="0"/>
          <w:numId w:val="2"/>
        </w:numPr>
        <w:spacing w:before="240" w:after="240" w:line="259" w:lineRule="auto"/>
        <w:rPr>
          <w:sz w:val="24"/>
          <w:szCs w:val="24"/>
        </w:rPr>
      </w:pPr>
      <w:r w:rsidRPr="005A1BF0">
        <w:rPr>
          <w:sz w:val="24"/>
          <w:szCs w:val="24"/>
        </w:rPr>
        <w:t xml:space="preserve">How do legal frameworks affect the harm reduction policies, programmes, and practices (whether related to drug use or otherwise) that are available in your community, country, or region? Are there laws or policies that either facilitate or serve as a barrier to adopting or implementing certain harm reduction policies, programmes, and practices? Aside from legal and regulatory barriers, are there other obstacles in place? Please provide specific examples. </w:t>
      </w:r>
    </w:p>
    <w:p w:rsidR="00E9116F" w:rsidP="007B64C1" w:rsidRDefault="00357902" w14:paraId="19840C0C" w14:textId="125BBBF3">
      <w:pPr>
        <w:spacing w:before="240" w:after="240" w:line="259" w:lineRule="auto"/>
        <w:jc w:val="both"/>
        <w:rPr>
          <w:rFonts w:ascii="Trebuchet MS" w:hAnsi="Trebuchet MS"/>
          <w:sz w:val="22"/>
          <w:szCs w:val="22"/>
        </w:rPr>
      </w:pPr>
      <w:r w:rsidRPr="00E9116F">
        <w:rPr>
          <w:rFonts w:ascii="Trebuchet MS" w:hAnsi="Trebuchet MS"/>
          <w:sz w:val="22"/>
          <w:szCs w:val="22"/>
        </w:rPr>
        <w:t xml:space="preserve">There is a </w:t>
      </w:r>
      <w:r w:rsidRPr="00403FDA">
        <w:rPr>
          <w:rFonts w:ascii="Trebuchet MS" w:hAnsi="Trebuchet MS"/>
          <w:sz w:val="22"/>
          <w:szCs w:val="22"/>
        </w:rPr>
        <w:t xml:space="preserve">disconnect between the </w:t>
      </w:r>
      <w:r w:rsidR="00E9116F">
        <w:rPr>
          <w:rFonts w:ascii="Trebuchet MS" w:hAnsi="Trebuchet MS"/>
          <w:sz w:val="22"/>
          <w:szCs w:val="22"/>
        </w:rPr>
        <w:t xml:space="preserve">application of </w:t>
      </w:r>
      <w:r w:rsidRPr="00403FDA">
        <w:rPr>
          <w:rFonts w:ascii="Trebuchet MS" w:hAnsi="Trebuchet MS"/>
          <w:sz w:val="22"/>
          <w:szCs w:val="22"/>
        </w:rPr>
        <w:t>stated UN policies on the Right to Health and those of the WHO FCTC</w:t>
      </w:r>
      <w:r w:rsidR="00E9116F">
        <w:rPr>
          <w:rFonts w:ascii="Trebuchet MS" w:hAnsi="Trebuchet MS"/>
          <w:sz w:val="22"/>
          <w:szCs w:val="22"/>
        </w:rPr>
        <w:t xml:space="preserve"> article 1D to promote harm reduction. </w:t>
      </w:r>
      <w:r>
        <w:rPr>
          <w:rFonts w:ascii="Trebuchet MS" w:hAnsi="Trebuchet MS"/>
          <w:sz w:val="22"/>
          <w:szCs w:val="22"/>
        </w:rPr>
        <w:t xml:space="preserve"> The WHO FCTCs refusal to acknowledge Tobacco Harm Reduction is diametrically opposed to the acceptance of Harm Reduction in every other area </w:t>
      </w:r>
      <w:r w:rsidR="00E9116F">
        <w:rPr>
          <w:rFonts w:ascii="Trebuchet MS" w:hAnsi="Trebuchet MS"/>
          <w:sz w:val="22"/>
          <w:szCs w:val="22"/>
        </w:rPr>
        <w:t>of Public Health except for Tobacco.</w:t>
      </w:r>
    </w:p>
    <w:p w:rsidR="00357902" w:rsidP="007B64C1" w:rsidRDefault="00E9116F" w14:paraId="51DF5805" w14:textId="3F4B9EEF">
      <w:pPr>
        <w:spacing w:before="240" w:after="240" w:line="259" w:lineRule="auto"/>
        <w:jc w:val="both"/>
        <w:rPr>
          <w:rFonts w:ascii="Trebuchet MS" w:hAnsi="Trebuchet MS"/>
          <w:sz w:val="22"/>
          <w:szCs w:val="22"/>
        </w:rPr>
      </w:pPr>
      <w:r>
        <w:rPr>
          <w:rFonts w:ascii="Trebuchet MS" w:hAnsi="Trebuchet MS"/>
          <w:sz w:val="22"/>
          <w:szCs w:val="22"/>
        </w:rPr>
        <w:t xml:space="preserve">As the goal of 5% or less of the population using combustible tobacco is almost reached, the WHO FCTC has now decided to take aim at Nicotine, which includes the safer products that millions of adults have utilised to switch off of combustion and unsafe oral tobacco.  </w:t>
      </w:r>
      <w:r w:rsidR="00357902">
        <w:rPr>
          <w:rFonts w:ascii="Trebuchet MS" w:hAnsi="Trebuchet MS"/>
          <w:sz w:val="22"/>
          <w:szCs w:val="22"/>
        </w:rPr>
        <w:t xml:space="preserve">Instead, countries are banning safer </w:t>
      </w:r>
      <w:r w:rsidR="001D03A7">
        <w:rPr>
          <w:rFonts w:ascii="Trebuchet MS" w:hAnsi="Trebuchet MS"/>
          <w:sz w:val="22"/>
          <w:szCs w:val="22"/>
        </w:rPr>
        <w:t>nicotine products</w:t>
      </w:r>
      <w:r w:rsidR="00357902">
        <w:rPr>
          <w:rFonts w:ascii="Trebuchet MS" w:hAnsi="Trebuchet MS"/>
          <w:sz w:val="22"/>
          <w:szCs w:val="22"/>
        </w:rPr>
        <w:t xml:space="preserve"> </w:t>
      </w:r>
      <w:r w:rsidR="001D03A7">
        <w:rPr>
          <w:rFonts w:ascii="Trebuchet MS" w:hAnsi="Trebuchet MS"/>
          <w:sz w:val="22"/>
          <w:szCs w:val="22"/>
        </w:rPr>
        <w:t>justified by</w:t>
      </w:r>
      <w:r w:rsidR="00357902">
        <w:rPr>
          <w:rFonts w:ascii="Trebuchet MS" w:hAnsi="Trebuchet MS"/>
          <w:sz w:val="22"/>
          <w:szCs w:val="22"/>
        </w:rPr>
        <w:t xml:space="preserve"> WHO FCTC guidelines</w:t>
      </w:r>
      <w:r w:rsidR="001D03A7">
        <w:rPr>
          <w:rFonts w:ascii="Trebuchet MS" w:hAnsi="Trebuchet MS"/>
          <w:sz w:val="22"/>
          <w:szCs w:val="22"/>
        </w:rPr>
        <w:t xml:space="preserve"> which are not based on the entire body of scientific evidence available</w:t>
      </w:r>
      <w:r w:rsidR="00357902">
        <w:rPr>
          <w:rFonts w:ascii="Trebuchet MS" w:hAnsi="Trebuchet MS"/>
          <w:sz w:val="22"/>
          <w:szCs w:val="22"/>
        </w:rPr>
        <w:t>.</w:t>
      </w:r>
    </w:p>
    <w:p w:rsidR="00357902" w:rsidP="007B64C1" w:rsidRDefault="007356CF" w14:paraId="7F88B68B" w14:textId="1B9C8C60">
      <w:pPr>
        <w:spacing w:before="240" w:after="240" w:line="259" w:lineRule="auto"/>
        <w:jc w:val="both"/>
        <w:rPr>
          <w:rFonts w:ascii="Trebuchet MS" w:hAnsi="Trebuchet MS"/>
          <w:sz w:val="22"/>
          <w:szCs w:val="22"/>
        </w:rPr>
      </w:pPr>
      <w:r w:rsidRPr="00AB3E2A">
        <w:rPr>
          <w:rFonts w:ascii="Trebuchet MS" w:hAnsi="Trebuchet MS"/>
          <w:sz w:val="22"/>
          <w:szCs w:val="22"/>
        </w:rPr>
        <w:t xml:space="preserve">In 2022, CAPHRA (The Coalition of Asia Pacific Harm Reduction Advocates) issued a </w:t>
      </w:r>
      <w:hyperlink w:history="1" r:id="rId11">
        <w:r w:rsidRPr="00AB3E2A">
          <w:rPr>
            <w:rStyle w:val="Hyperlink"/>
            <w:rFonts w:ascii="Trebuchet MS" w:hAnsi="Trebuchet MS"/>
            <w:sz w:val="22"/>
            <w:szCs w:val="22"/>
          </w:rPr>
          <w:t>white paper</w:t>
        </w:r>
      </w:hyperlink>
      <w:r w:rsidRPr="00AB3E2A">
        <w:rPr>
          <w:rFonts w:ascii="Trebuchet MS" w:hAnsi="Trebuchet MS"/>
          <w:sz w:val="22"/>
          <w:szCs w:val="22"/>
        </w:rPr>
        <w:t xml:space="preserve"> entitled </w:t>
      </w:r>
      <w:r w:rsidRPr="00AB3E2A">
        <w:rPr>
          <w:rFonts w:ascii="Trebuchet MS" w:hAnsi="Trebuchet MS"/>
          <w:i/>
          <w:iCs/>
          <w:sz w:val="22"/>
          <w:szCs w:val="22"/>
          <w:u w:val="single"/>
        </w:rPr>
        <w:t>“</w:t>
      </w:r>
      <w:r w:rsidRPr="00AB3E2A" w:rsidR="00AB3E2A">
        <w:rPr>
          <w:rFonts w:ascii="Trebuchet MS" w:hAnsi="Trebuchet MS"/>
          <w:i/>
          <w:iCs/>
          <w:sz w:val="22"/>
          <w:szCs w:val="22"/>
          <w:u w:val="single"/>
        </w:rPr>
        <w:t>The Subversion of Public Health: Consumer Perspectives”</w:t>
      </w:r>
      <w:r w:rsidRPr="00AB3E2A" w:rsidR="00AB3E2A">
        <w:rPr>
          <w:rFonts w:ascii="Trebuchet MS" w:hAnsi="Trebuchet MS"/>
          <w:sz w:val="22"/>
          <w:szCs w:val="22"/>
        </w:rPr>
        <w:t xml:space="preserve"> that details the failures of the World Health Organisation FCTC with regards to Tobacco Harm Reduction.  Esteemed former WHO employees have come forth to express their reactions to advice and information issued by FCTC with regards to Electronic Nicotine Delivery Devices (ENDS).</w:t>
      </w:r>
      <w:r w:rsidR="00AB3E2A">
        <w:rPr>
          <w:rFonts w:ascii="Trebuchet MS" w:hAnsi="Trebuchet MS"/>
          <w:sz w:val="22"/>
          <w:szCs w:val="22"/>
        </w:rPr>
        <w:t xml:space="preserve">  </w:t>
      </w:r>
    </w:p>
    <w:p w:rsidR="001D03A7" w:rsidP="007B64C1" w:rsidRDefault="00AB3E2A" w14:paraId="72746006" w14:textId="77777777">
      <w:pPr>
        <w:spacing w:before="240" w:after="240" w:line="259" w:lineRule="auto"/>
        <w:jc w:val="both"/>
        <w:rPr>
          <w:rFonts w:ascii="Trebuchet MS" w:hAnsi="Trebuchet MS"/>
          <w:sz w:val="22"/>
          <w:szCs w:val="22"/>
        </w:rPr>
      </w:pPr>
      <w:r w:rsidRPr="00AE609B">
        <w:rPr>
          <w:rFonts w:ascii="Trebuchet MS" w:hAnsi="Trebuchet MS"/>
          <w:sz w:val="22"/>
          <w:szCs w:val="22"/>
        </w:rPr>
        <w:t xml:space="preserve">In the lead up to the COP10 in November 2023, CAPHRA also issued a </w:t>
      </w:r>
      <w:hyperlink w:history="1" r:id="rId12">
        <w:r w:rsidRPr="00AE609B">
          <w:rPr>
            <w:rStyle w:val="Hyperlink"/>
            <w:rFonts w:ascii="Trebuchet MS" w:hAnsi="Trebuchet MS"/>
            <w:sz w:val="22"/>
            <w:szCs w:val="22"/>
          </w:rPr>
          <w:t>report</w:t>
        </w:r>
      </w:hyperlink>
      <w:r w:rsidRPr="00AE609B">
        <w:rPr>
          <w:rFonts w:ascii="Trebuchet MS" w:hAnsi="Trebuchet MS"/>
          <w:sz w:val="22"/>
          <w:szCs w:val="22"/>
        </w:rPr>
        <w:t xml:space="preserve"> entitled </w:t>
      </w:r>
      <w:r w:rsidRPr="00AE609B">
        <w:rPr>
          <w:rFonts w:ascii="Trebuchet MS" w:hAnsi="Trebuchet MS"/>
          <w:i/>
          <w:iCs/>
          <w:sz w:val="22"/>
          <w:szCs w:val="22"/>
          <w:u w:val="single"/>
        </w:rPr>
        <w:t>“Shadow Report on the (NON)-Implementation of the Framework Convention on Tobacco Control Article 1 (d) on Harm Reduction Strategies</w:t>
      </w:r>
      <w:r w:rsidRPr="00AE609B" w:rsidR="00AE609B">
        <w:rPr>
          <w:rFonts w:ascii="Trebuchet MS" w:hAnsi="Trebuchet MS"/>
          <w:i/>
          <w:iCs/>
          <w:sz w:val="22"/>
          <w:szCs w:val="22"/>
          <w:u w:val="single"/>
        </w:rPr>
        <w:t>”</w:t>
      </w:r>
      <w:r w:rsidR="00AE609B">
        <w:rPr>
          <w:rFonts w:ascii="Trebuchet MS" w:hAnsi="Trebuchet MS"/>
          <w:i/>
          <w:iCs/>
          <w:sz w:val="22"/>
          <w:szCs w:val="22"/>
        </w:rPr>
        <w:t xml:space="preserve">.  </w:t>
      </w:r>
      <w:r w:rsidRPr="00AE609B" w:rsidR="00AE609B">
        <w:rPr>
          <w:rFonts w:ascii="Trebuchet MS" w:hAnsi="Trebuchet MS"/>
          <w:sz w:val="22"/>
          <w:szCs w:val="22"/>
        </w:rPr>
        <w:t xml:space="preserve">In it, we demand that the  WHO FCTC should prioritize ending the premature deaths caused by cigarettes by also looking at promoting harm reduction strategies that can help reduce the harm caused by smoking. </w:t>
      </w:r>
      <w:r w:rsidR="00AE609B">
        <w:rPr>
          <w:rFonts w:ascii="Trebuchet MS" w:hAnsi="Trebuchet MS"/>
          <w:sz w:val="22"/>
          <w:szCs w:val="22"/>
        </w:rPr>
        <w:t xml:space="preserve"> </w:t>
      </w:r>
    </w:p>
    <w:p w:rsidR="001D03A7" w:rsidP="007B64C1" w:rsidRDefault="001D03A7" w14:paraId="63CA25BA" w14:textId="1ECB7953">
      <w:pPr>
        <w:spacing w:before="240" w:after="240" w:line="259" w:lineRule="auto"/>
        <w:jc w:val="both"/>
        <w:rPr>
          <w:rFonts w:ascii="Trebuchet MS" w:hAnsi="Trebuchet MS"/>
          <w:sz w:val="22"/>
          <w:szCs w:val="22"/>
        </w:rPr>
      </w:pPr>
      <w:r>
        <w:rPr>
          <w:rFonts w:ascii="Trebuchet MS" w:hAnsi="Trebuchet MS"/>
          <w:sz w:val="22"/>
          <w:szCs w:val="22"/>
        </w:rPr>
        <w:t>We believe the FCTC should focus</w:t>
      </w:r>
      <w:r w:rsidR="00AE609B">
        <w:rPr>
          <w:rFonts w:ascii="Trebuchet MS" w:hAnsi="Trebuchet MS"/>
          <w:sz w:val="22"/>
          <w:szCs w:val="22"/>
        </w:rPr>
        <w:t xml:space="preserve"> on reducing smoking prevalence as this the primary objective of </w:t>
      </w:r>
      <w:r>
        <w:rPr>
          <w:rFonts w:ascii="Trebuchet MS" w:hAnsi="Trebuchet MS"/>
          <w:sz w:val="22"/>
          <w:szCs w:val="22"/>
        </w:rPr>
        <w:t xml:space="preserve">their </w:t>
      </w:r>
      <w:r w:rsidR="007B64C1">
        <w:rPr>
          <w:rFonts w:ascii="Trebuchet MS" w:hAnsi="Trebuchet MS"/>
          <w:sz w:val="22"/>
          <w:szCs w:val="22"/>
        </w:rPr>
        <w:t>mandate. This</w:t>
      </w:r>
      <w:r w:rsidR="00AE609B">
        <w:rPr>
          <w:rFonts w:ascii="Trebuchet MS" w:hAnsi="Trebuchet MS"/>
          <w:sz w:val="22"/>
          <w:szCs w:val="22"/>
        </w:rPr>
        <w:t xml:space="preserve"> can be done by</w:t>
      </w:r>
      <w:r w:rsidRPr="00AE609B" w:rsidR="00AE609B">
        <w:rPr>
          <w:rFonts w:ascii="Trebuchet MS" w:hAnsi="Trebuchet MS"/>
          <w:sz w:val="22"/>
          <w:szCs w:val="22"/>
        </w:rPr>
        <w:t xml:space="preserve"> provid</w:t>
      </w:r>
      <w:r w:rsidR="00AE609B">
        <w:rPr>
          <w:rFonts w:ascii="Trebuchet MS" w:hAnsi="Trebuchet MS"/>
          <w:sz w:val="22"/>
          <w:szCs w:val="22"/>
        </w:rPr>
        <w:t>ing</w:t>
      </w:r>
      <w:r w:rsidRPr="00AE609B" w:rsidR="00AE609B">
        <w:rPr>
          <w:rFonts w:ascii="Trebuchet MS" w:hAnsi="Trebuchet MS"/>
          <w:sz w:val="22"/>
          <w:szCs w:val="22"/>
        </w:rPr>
        <w:t xml:space="preserve"> honest, risk-proportionate communication and regulatory recommendations </w:t>
      </w:r>
      <w:r w:rsidR="00AE609B">
        <w:rPr>
          <w:rFonts w:ascii="Trebuchet MS" w:hAnsi="Trebuchet MS"/>
          <w:sz w:val="22"/>
          <w:szCs w:val="22"/>
        </w:rPr>
        <w:t xml:space="preserve">and opposing </w:t>
      </w:r>
      <w:r w:rsidRPr="00AE609B" w:rsidR="00AE609B">
        <w:rPr>
          <w:rFonts w:ascii="Trebuchet MS" w:hAnsi="Trebuchet MS"/>
          <w:sz w:val="22"/>
          <w:szCs w:val="22"/>
        </w:rPr>
        <w:t xml:space="preserve">treating </w:t>
      </w:r>
      <w:r>
        <w:rPr>
          <w:rFonts w:ascii="Trebuchet MS" w:hAnsi="Trebuchet MS"/>
          <w:sz w:val="22"/>
          <w:szCs w:val="22"/>
        </w:rPr>
        <w:t>safer nicotine</w:t>
      </w:r>
      <w:r w:rsidRPr="00AE609B" w:rsidR="00AE609B">
        <w:rPr>
          <w:rFonts w:ascii="Trebuchet MS" w:hAnsi="Trebuchet MS"/>
          <w:sz w:val="22"/>
          <w:szCs w:val="22"/>
        </w:rPr>
        <w:t xml:space="preserve"> products as tobacco products and regulating and taxing vaping the same way as smoking</w:t>
      </w:r>
      <w:r w:rsidR="00AE609B">
        <w:rPr>
          <w:rFonts w:ascii="Trebuchet MS" w:hAnsi="Trebuchet MS"/>
          <w:sz w:val="22"/>
          <w:szCs w:val="22"/>
        </w:rPr>
        <w:t>; opposing the treatment of</w:t>
      </w:r>
      <w:r w:rsidRPr="00AE609B" w:rsidR="00AE609B">
        <w:rPr>
          <w:rFonts w:ascii="Trebuchet MS" w:hAnsi="Trebuchet MS"/>
          <w:sz w:val="22"/>
          <w:szCs w:val="22"/>
        </w:rPr>
        <w:t xml:space="preserve"> vaping aerosols as smoke </w:t>
      </w:r>
      <w:r w:rsidR="00AE609B">
        <w:rPr>
          <w:rFonts w:ascii="Trebuchet MS" w:hAnsi="Trebuchet MS"/>
          <w:sz w:val="22"/>
          <w:szCs w:val="22"/>
        </w:rPr>
        <w:t xml:space="preserve">and opposing </w:t>
      </w:r>
      <w:r w:rsidRPr="00AE609B" w:rsidR="00AE609B">
        <w:rPr>
          <w:rFonts w:ascii="Trebuchet MS" w:hAnsi="Trebuchet MS"/>
          <w:sz w:val="22"/>
          <w:szCs w:val="22"/>
        </w:rPr>
        <w:t xml:space="preserve">any radical progressive tobacco measures that will be extended to novel and emerging tobacco products. </w:t>
      </w:r>
    </w:p>
    <w:p w:rsidR="00AE609B" w:rsidP="007B64C1" w:rsidRDefault="00AE609B" w14:paraId="4687BCCF" w14:textId="0B572182">
      <w:pPr>
        <w:spacing w:before="240" w:after="240" w:line="259" w:lineRule="auto"/>
        <w:jc w:val="both"/>
        <w:rPr>
          <w:rFonts w:ascii="Trebuchet MS" w:hAnsi="Trebuchet MS"/>
          <w:sz w:val="22"/>
          <w:szCs w:val="22"/>
        </w:rPr>
      </w:pPr>
      <w:r>
        <w:rPr>
          <w:rFonts w:ascii="Trebuchet MS" w:hAnsi="Trebuchet MS"/>
          <w:sz w:val="22"/>
          <w:szCs w:val="22"/>
        </w:rPr>
        <w:t>The WHO FCTC needs to</w:t>
      </w:r>
      <w:r w:rsidRPr="00AE609B">
        <w:rPr>
          <w:rFonts w:ascii="Trebuchet MS" w:hAnsi="Trebuchet MS"/>
          <w:sz w:val="22"/>
          <w:szCs w:val="22"/>
        </w:rPr>
        <w:t xml:space="preserve"> prioriti</w:t>
      </w:r>
      <w:r>
        <w:rPr>
          <w:rFonts w:ascii="Trebuchet MS" w:hAnsi="Trebuchet MS"/>
          <w:sz w:val="22"/>
          <w:szCs w:val="22"/>
        </w:rPr>
        <w:t>s</w:t>
      </w:r>
      <w:r w:rsidRPr="00AE609B">
        <w:rPr>
          <w:rFonts w:ascii="Trebuchet MS" w:hAnsi="Trebuchet MS"/>
          <w:sz w:val="22"/>
          <w:szCs w:val="22"/>
        </w:rPr>
        <w:t>e science-based, inclusive policy making</w:t>
      </w:r>
      <w:r>
        <w:rPr>
          <w:rFonts w:ascii="Trebuchet MS" w:hAnsi="Trebuchet MS"/>
          <w:sz w:val="22"/>
          <w:szCs w:val="22"/>
        </w:rPr>
        <w:t xml:space="preserve"> </w:t>
      </w:r>
      <w:r w:rsidRPr="00AE609B">
        <w:rPr>
          <w:rFonts w:ascii="Trebuchet MS" w:hAnsi="Trebuchet MS"/>
          <w:sz w:val="22"/>
          <w:szCs w:val="22"/>
        </w:rPr>
        <w:t xml:space="preserve">based on the best available evidence and </w:t>
      </w:r>
      <w:r w:rsidR="001D03A7">
        <w:rPr>
          <w:rFonts w:ascii="Trebuchet MS" w:hAnsi="Trebuchet MS"/>
          <w:sz w:val="22"/>
          <w:szCs w:val="22"/>
        </w:rPr>
        <w:t xml:space="preserve">ensure </w:t>
      </w:r>
      <w:r w:rsidRPr="00AE609B">
        <w:rPr>
          <w:rFonts w:ascii="Trebuchet MS" w:hAnsi="Trebuchet MS"/>
          <w:sz w:val="22"/>
          <w:szCs w:val="22"/>
        </w:rPr>
        <w:t>that all stakeholders are included in the decision-making process. By including harm reduction strategies and focusing on reducing smoking prevalence, we believe that the WHO FCTC can make progress towards its goal of reducing the global burden of tobacco related diseases and deaths.</w:t>
      </w:r>
    </w:p>
    <w:p w:rsidRPr="005A1BF0" w:rsidR="00F44568" w:rsidP="00F44568" w:rsidRDefault="00F44568" w14:paraId="5B31A24C" w14:textId="77777777">
      <w:pPr>
        <w:numPr>
          <w:ilvl w:val="0"/>
          <w:numId w:val="2"/>
        </w:numPr>
        <w:spacing w:line="259" w:lineRule="auto"/>
        <w:rPr>
          <w:sz w:val="24"/>
          <w:szCs w:val="24"/>
        </w:rPr>
      </w:pPr>
      <w:r w:rsidRPr="005A1BF0">
        <w:rPr>
          <w:sz w:val="24"/>
          <w:szCs w:val="24"/>
        </w:rPr>
        <w:t>How does the jurisdiction in place in your region/country/state approach the criminalisation (or decriminalisation) of drug use? Please provide disaggregated data, including but not limited to gender, age, race/ethnicity, status of poverty, sexual orientation and the number of persons deprived of liberty for drug possession or consumption.</w:t>
      </w:r>
    </w:p>
    <w:p w:rsidRPr="005A1BF0" w:rsidR="00F44568" w:rsidP="00F44568" w:rsidRDefault="00F44568" w14:paraId="1A2C1B0C" w14:textId="77777777">
      <w:pPr>
        <w:numPr>
          <w:ilvl w:val="0"/>
          <w:numId w:val="2"/>
        </w:numPr>
        <w:spacing w:before="240" w:after="240" w:line="259" w:lineRule="auto"/>
        <w:rPr>
          <w:sz w:val="24"/>
          <w:szCs w:val="24"/>
        </w:rPr>
      </w:pPr>
      <w:r w:rsidRPr="005A1BF0">
        <w:rPr>
          <w:sz w:val="24"/>
          <w:szCs w:val="24"/>
        </w:rPr>
        <w:t>Beyond reducing the adverse health, social, and legal consequences of drug use, what other areas can benefit from harm reduction policies, programmes, and practices in furtherance of the right to health and related human rights? Examples may include, but are not limited to, the decriminalisation of sex work, the decriminalization of abortion, and safe sex programmes.</w:t>
      </w:r>
    </w:p>
    <w:p w:rsidRPr="005A1BF0" w:rsidR="00F44568" w:rsidP="00F44568" w:rsidRDefault="00F44568" w14:paraId="2916623E" w14:textId="77777777">
      <w:pPr>
        <w:numPr>
          <w:ilvl w:val="0"/>
          <w:numId w:val="2"/>
        </w:numPr>
        <w:spacing w:line="259" w:lineRule="auto"/>
        <w:rPr>
          <w:sz w:val="24"/>
          <w:szCs w:val="24"/>
        </w:rPr>
      </w:pPr>
      <w:r w:rsidRPr="005A1BF0">
        <w:rPr>
          <w:sz w:val="24"/>
          <w:szCs w:val="24"/>
        </w:rPr>
        <w:t xml:space="preserve">What type of harm reduction policies, programmes, and practices, as well as mental health and other support (e.g., housing, legal, social, educational, and economic), are available for people who use drugs in the community, institutions, or detention facilities? Please share examples of the impact of criminalisation, discrimination, </w:t>
      </w:r>
      <w:proofErr w:type="gramStart"/>
      <w:r w:rsidRPr="005A1BF0">
        <w:rPr>
          <w:sz w:val="24"/>
          <w:szCs w:val="24"/>
        </w:rPr>
        <w:t>stereotypes</w:t>
      </w:r>
      <w:proofErr w:type="gramEnd"/>
      <w:r w:rsidRPr="005A1BF0">
        <w:rPr>
          <w:sz w:val="24"/>
          <w:szCs w:val="24"/>
        </w:rPr>
        <w:t xml:space="preserve"> and stigma on the different groups of the population</w:t>
      </w:r>
      <w:r w:rsidRPr="005A1BF0">
        <w:rPr>
          <w:color w:val="000000"/>
          <w:sz w:val="24"/>
          <w:szCs w:val="24"/>
        </w:rPr>
        <w:t xml:space="preserve"> e.g., persons in situation of homelessness, </w:t>
      </w:r>
      <w:r w:rsidRPr="005A1BF0">
        <w:rPr>
          <w:sz w:val="24"/>
          <w:szCs w:val="24"/>
        </w:rPr>
        <w:t xml:space="preserve">migration, </w:t>
      </w:r>
      <w:r w:rsidRPr="005A1BF0">
        <w:rPr>
          <w:color w:val="000000"/>
          <w:sz w:val="24"/>
          <w:szCs w:val="24"/>
        </w:rPr>
        <w:t>or poverty, sex workers, women, children, LGBTIQ+ persons, persons who are detained or incarcerated</w:t>
      </w:r>
      <w:r w:rsidRPr="005A1BF0">
        <w:rPr>
          <w:sz w:val="24"/>
          <w:szCs w:val="24"/>
        </w:rPr>
        <w:t xml:space="preserve">, </w:t>
      </w:r>
      <w:r w:rsidRPr="005A1BF0">
        <w:rPr>
          <w:color w:val="000000"/>
          <w:sz w:val="24"/>
          <w:szCs w:val="24"/>
        </w:rPr>
        <w:t>persons with disabilities, Indigenous Peoples, Black persons, persons affected by HIV or hepatitis, and persons living in rural areas, etc.)</w:t>
      </w:r>
      <w:r w:rsidRPr="005A1BF0">
        <w:rPr>
          <w:sz w:val="24"/>
          <w:szCs w:val="24"/>
        </w:rPr>
        <w:t>.</w:t>
      </w:r>
    </w:p>
    <w:p w:rsidRPr="005A1BF0" w:rsidR="00F44568" w:rsidP="00F44568" w:rsidRDefault="00F44568" w14:paraId="5AC3B7EB" w14:textId="77777777">
      <w:pPr>
        <w:ind w:left="720"/>
        <w:rPr>
          <w:sz w:val="24"/>
          <w:szCs w:val="24"/>
        </w:rPr>
      </w:pPr>
    </w:p>
    <w:p w:rsidRPr="005A1BF0" w:rsidR="00F44568" w:rsidP="00F44568" w:rsidRDefault="00F44568" w14:paraId="21739295" w14:textId="77777777">
      <w:pPr>
        <w:numPr>
          <w:ilvl w:val="0"/>
          <w:numId w:val="2"/>
        </w:numPr>
        <w:spacing w:line="259" w:lineRule="auto"/>
        <w:rPr>
          <w:sz w:val="24"/>
          <w:szCs w:val="24"/>
        </w:rPr>
      </w:pPr>
      <w:r w:rsidRPr="005A1BF0">
        <w:rPr>
          <w:sz w:val="24"/>
          <w:szCs w:val="24"/>
        </w:rPr>
        <w:t>Are there alternative measures to institutionalisation or detention? For example, are there outpatient or inpatient facilities available in your country for people using drugs? Please provide additional details (are they compulsory, voluntary; number available in urban and rural areas; entity in charge; type of support provided and type of staff working in these facilities/centres)?</w:t>
      </w:r>
    </w:p>
    <w:p w:rsidR="00F44568" w:rsidP="00F44568" w:rsidRDefault="00F44568" w14:paraId="69CB1A4B" w14:textId="77777777">
      <w:pPr>
        <w:pStyle w:val="ListParagraph"/>
        <w:numPr>
          <w:ilvl w:val="0"/>
          <w:numId w:val="2"/>
        </w:numPr>
        <w:spacing w:before="240" w:after="240" w:line="259" w:lineRule="auto"/>
        <w:rPr>
          <w:sz w:val="24"/>
          <w:szCs w:val="24"/>
        </w:rPr>
      </w:pPr>
      <w:r w:rsidRPr="005A1BF0">
        <w:rPr>
          <w:sz w:val="24"/>
          <w:szCs w:val="24"/>
        </w:rPr>
        <w:t xml:space="preserve">Please provide examples of harm reduction policies, programmes, and practices adopted or implemented with international cooperation or through foreign assistance in your country, as well as their impact on different groups within the population. What types of challenges can arise from reliance on foreign assistance? </w:t>
      </w:r>
      <w:r w:rsidRPr="005A1BF0">
        <w:rPr>
          <w:color w:val="000000"/>
          <w:sz w:val="24"/>
          <w:szCs w:val="24"/>
        </w:rPr>
        <w:t xml:space="preserve">Please also provide examples focusing on the need for, and impact of, harm reduction </w:t>
      </w:r>
      <w:r w:rsidRPr="005A1BF0">
        <w:rPr>
          <w:sz w:val="24"/>
          <w:szCs w:val="24"/>
        </w:rPr>
        <w:t>policies, programmes, and practices</w:t>
      </w:r>
      <w:r w:rsidRPr="005A1BF0">
        <w:rPr>
          <w:color w:val="000000"/>
          <w:sz w:val="24"/>
          <w:szCs w:val="24"/>
        </w:rPr>
        <w:t xml:space="preserve"> on different groups of the population (e.g., persons in situation of homelessness, </w:t>
      </w:r>
      <w:r w:rsidRPr="005A1BF0">
        <w:rPr>
          <w:sz w:val="24"/>
          <w:szCs w:val="24"/>
        </w:rPr>
        <w:t xml:space="preserve">migration, </w:t>
      </w:r>
      <w:r w:rsidRPr="005A1BF0">
        <w:rPr>
          <w:color w:val="000000"/>
          <w:sz w:val="24"/>
          <w:szCs w:val="24"/>
        </w:rPr>
        <w:t>or poverty, sex workers, women, children, LGBTIQ+ persons, persons who are detained or incarcerated</w:t>
      </w:r>
      <w:r w:rsidRPr="005A1BF0">
        <w:rPr>
          <w:sz w:val="24"/>
          <w:szCs w:val="24"/>
        </w:rPr>
        <w:t xml:space="preserve">, </w:t>
      </w:r>
      <w:r w:rsidRPr="005A1BF0">
        <w:rPr>
          <w:color w:val="000000"/>
          <w:sz w:val="24"/>
          <w:szCs w:val="24"/>
        </w:rPr>
        <w:t>persons with disabilities, Indigenous Peoples, Black persons, persons affected by HIV or hepatitis, and persons living in rural areas, etc.)</w:t>
      </w:r>
      <w:r w:rsidRPr="005A1BF0">
        <w:rPr>
          <w:sz w:val="24"/>
          <w:szCs w:val="24"/>
        </w:rPr>
        <w:t>.</w:t>
      </w:r>
    </w:p>
    <w:p w:rsidRPr="005A1BF0" w:rsidR="00F44568" w:rsidP="00F44568" w:rsidRDefault="00F44568" w14:paraId="2FBCA9FB" w14:textId="77777777">
      <w:pPr>
        <w:pStyle w:val="ListParagraph"/>
        <w:spacing w:before="240" w:after="240"/>
        <w:rPr>
          <w:sz w:val="24"/>
          <w:szCs w:val="24"/>
        </w:rPr>
      </w:pPr>
    </w:p>
    <w:p w:rsidRPr="005A1BF0" w:rsidR="00F44568" w:rsidP="00F44568" w:rsidRDefault="00F44568" w14:paraId="73D1C9E3" w14:textId="77777777">
      <w:pPr>
        <w:pStyle w:val="ListParagraph"/>
        <w:numPr>
          <w:ilvl w:val="0"/>
          <w:numId w:val="2"/>
        </w:numPr>
        <w:spacing w:after="160" w:line="259" w:lineRule="auto"/>
        <w:rPr>
          <w:sz w:val="24"/>
          <w:szCs w:val="24"/>
        </w:rPr>
      </w:pPr>
      <w:r w:rsidRPr="005A1BF0">
        <w:rPr>
          <w:sz w:val="24"/>
          <w:szCs w:val="24"/>
        </w:rPr>
        <w:t xml:space="preserve">Are there programmes of research and innovation related to harm reduction from a right to health perspective (e.g., needle and syringe programmes, supervised injection and drug use facilities, opioid substitution therapy, and others beyond the area of drug use), including outreach and education programmes, in your community, country, or region? Please provide good practices and examples. </w:t>
      </w:r>
    </w:p>
    <w:p w:rsidR="00706561" w:rsidRDefault="00706561" w14:paraId="0E383939" w14:textId="77777777"/>
    <w:sectPr w:rsidR="00706561" w:rsidSect="00ED053D">
      <w:footerReference w:type="default" r:id="rId13"/>
      <w:headerReference w:type="first" r:id="rId14"/>
      <w:footerReference w:type="first" r:id="rId15"/>
      <w:endnotePr>
        <w:numFmt w:val="decimal"/>
      </w:endnotePr>
      <w:pgSz w:w="11906" w:h="16838" w:orient="portrait"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1622" w:rsidP="00F44568" w:rsidRDefault="00FF1622" w14:paraId="738BDB88" w14:textId="77777777">
      <w:r>
        <w:separator/>
      </w:r>
    </w:p>
  </w:endnote>
  <w:endnote w:type="continuationSeparator" w:id="0">
    <w:p w:rsidR="00FF1622" w:rsidP="00F44568" w:rsidRDefault="00FF1622" w14:paraId="49B25C36" w14:textId="77777777">
      <w:r>
        <w:continuationSeparator/>
      </w:r>
    </w:p>
  </w:endnote>
  <w:endnote w:id="1">
    <w:p w:rsidRPr="00357902" w:rsidR="00357902" w:rsidRDefault="00357902" w14:paraId="06C8A8D2" w14:textId="7830BF6F">
      <w:pPr>
        <w:pStyle w:val="EndnoteText"/>
        <w:rPr>
          <w:lang w:val="en-NZ"/>
        </w:rPr>
      </w:pPr>
      <w:r>
        <w:rPr>
          <w:rStyle w:val="EndnoteReference"/>
        </w:rPr>
        <w:endnoteRef/>
      </w:r>
      <w:r>
        <w:t xml:space="preserve"> </w:t>
      </w:r>
      <w:r w:rsidRPr="00357902">
        <w:t>https://www.macrotrends.net/countries/NZL/new-zealand/smoking-rate-statistics</w:t>
      </w:r>
    </w:p>
  </w:endnote>
  <w:endnote w:id="2">
    <w:p w:rsidRPr="00357902" w:rsidR="00357902" w:rsidRDefault="00357902" w14:paraId="72B1116F" w14:textId="60553CB5">
      <w:pPr>
        <w:pStyle w:val="EndnoteText"/>
        <w:rPr>
          <w:lang w:val="en-NZ"/>
        </w:rPr>
      </w:pPr>
      <w:r>
        <w:rPr>
          <w:rStyle w:val="EndnoteReference"/>
        </w:rPr>
        <w:endnoteRef/>
      </w:r>
      <w:r>
        <w:t xml:space="preserve"> </w:t>
      </w:r>
      <w:r w:rsidRPr="00357902">
        <w:t>https://www.statista.com/statistics/645282/south-korea-smoking-rate-by-gender/</w:t>
      </w:r>
    </w:p>
  </w:endnote>
  <w:endnote w:id="3">
    <w:p w:rsidRPr="00357902" w:rsidR="00357902" w:rsidRDefault="00357902" w14:paraId="067E4B89" w14:textId="24C660F1">
      <w:pPr>
        <w:pStyle w:val="EndnoteText"/>
        <w:rPr>
          <w:lang w:val="en-NZ"/>
        </w:rPr>
      </w:pPr>
      <w:r>
        <w:rPr>
          <w:rStyle w:val="EndnoteReference"/>
        </w:rPr>
        <w:endnoteRef/>
      </w:r>
      <w:r>
        <w:t xml:space="preserve"> </w:t>
      </w:r>
      <w:r w:rsidRPr="00357902">
        <w:t>https://www.statista.com/statistics/1019102/japan-share-smoking-adults/</w:t>
      </w:r>
    </w:p>
  </w:endnote>
  <w:endnote w:id="4">
    <w:p w:rsidRPr="00357902" w:rsidR="00357902" w:rsidRDefault="00357902" w14:paraId="32092D57" w14:textId="75B52559">
      <w:pPr>
        <w:pStyle w:val="EndnoteText"/>
        <w:rPr>
          <w:lang w:val="en-NZ"/>
        </w:rPr>
      </w:pPr>
      <w:r>
        <w:rPr>
          <w:rStyle w:val="EndnoteReference"/>
        </w:rPr>
        <w:endnoteRef/>
      </w:r>
      <w:r>
        <w:t xml:space="preserve"> </w:t>
      </w:r>
      <w:r w:rsidRPr="00357902">
        <w:t>https://www.macrotrends.net/countries/PHL/philippines/smoking-rate-statistics</w:t>
      </w:r>
    </w:p>
  </w:endnote>
  <w:endnote w:id="5">
    <w:p w:rsidRPr="00357902" w:rsidR="00357902" w:rsidRDefault="00357902" w14:paraId="1CD3FD9C" w14:textId="69D57990">
      <w:pPr>
        <w:pStyle w:val="EndnoteText"/>
        <w:rPr>
          <w:lang w:val="en-NZ"/>
        </w:rPr>
      </w:pPr>
      <w:r>
        <w:rPr>
          <w:rStyle w:val="EndnoteReference"/>
        </w:rPr>
        <w:endnoteRef/>
      </w:r>
      <w:r>
        <w:t xml:space="preserve"> </w:t>
      </w:r>
      <w:r w:rsidRPr="00357902">
        <w:t>https://www.macrotrends.net/countries/GBR/united-kingdom/smoking-rate-statistics</w:t>
      </w:r>
    </w:p>
  </w:endnote>
  <w:endnote w:id="6">
    <w:p w:rsidRPr="0013339D" w:rsidR="0013339D" w:rsidRDefault="0013339D" w14:paraId="39203F27" w14:textId="7CDF0BA0">
      <w:pPr>
        <w:pStyle w:val="EndnoteText"/>
        <w:rPr>
          <w:lang w:val="en-NZ"/>
        </w:rPr>
      </w:pPr>
      <w:r>
        <w:rPr>
          <w:rStyle w:val="EndnoteReference"/>
        </w:rPr>
        <w:endnoteRef/>
      </w:r>
      <w:r>
        <w:t xml:space="preserve"> </w:t>
      </w:r>
      <w:r w:rsidRPr="0013339D">
        <w:t>https://www.worldometers.info/world-population/population-by-country/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68898"/>
      <w:docPartObj>
        <w:docPartGallery w:val="Page Numbers (Bottom of Page)"/>
        <w:docPartUnique/>
      </w:docPartObj>
    </w:sdtPr>
    <w:sdtEndPr>
      <w:rPr>
        <w:noProof/>
      </w:rPr>
    </w:sdtEndPr>
    <w:sdtContent>
      <w:p w:rsidR="00E12B32" w:rsidRDefault="00F44568" w14:paraId="3B96BF74" w14:textId="7777777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E12B32" w:rsidP="00F80A14" w:rsidRDefault="00E12B32" w14:paraId="213B9C82" w14:textId="77777777">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10CA" w:rsidR="00E12B32" w:rsidP="0044209B" w:rsidRDefault="00F44568" w14:paraId="1A917967" w14:textId="77777777">
    <w:pPr>
      <w:pStyle w:val="Footer"/>
      <w:tabs>
        <w:tab w:val="left" w:pos="567"/>
      </w:tabs>
    </w:pPr>
    <w:r w:rsidRPr="00904039">
      <w:rPr>
        <w:sz w:val="24"/>
      </w:rPr>
      <w:t>A</w:t>
    </w:r>
    <w:r>
      <w:rPr>
        <w:sz w:val="24"/>
      </w:rPr>
      <w:t>ll Permanent Missions</w:t>
    </w:r>
    <w:r w:rsidRPr="00904039">
      <w:rPr>
        <w:sz w:val="24"/>
      </w:rPr>
      <w:t xml:space="preserve"> </w:t>
    </w:r>
    <w:r>
      <w:rPr>
        <w:sz w:val="24"/>
      </w:rPr>
      <w:t>to the United Nations Office and Observers Missions at</w:t>
    </w:r>
    <w:r w:rsidRPr="00904039">
      <w:rPr>
        <w:sz w:val="24"/>
      </w:rPr>
      <w:t xml:space="preserve"> Geneva </w:t>
    </w:r>
  </w:p>
  <w:p w:rsidRPr="00282983" w:rsidR="00E12B32" w:rsidP="000448F9" w:rsidRDefault="00F44568" w14:paraId="59EB3650" w14:textId="77777777">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1622" w:rsidP="00F44568" w:rsidRDefault="00FF1622" w14:paraId="543B0ADD" w14:textId="77777777">
      <w:r>
        <w:separator/>
      </w:r>
    </w:p>
  </w:footnote>
  <w:footnote w:type="continuationSeparator" w:id="0">
    <w:p w:rsidR="00FF1622" w:rsidP="00F44568" w:rsidRDefault="00FF1622" w14:paraId="7FB5A83D" w14:textId="77777777">
      <w:r>
        <w:continuationSeparator/>
      </w:r>
    </w:p>
  </w:footnote>
  <w:footnote w:id="1">
    <w:p w:rsidR="00F44568" w:rsidP="00F44568" w:rsidRDefault="00F44568" w14:paraId="3CF4A20B" w14:textId="77777777">
      <w:pPr>
        <w:pStyle w:val="FootnoteText"/>
      </w:pPr>
      <w:r>
        <w:rPr>
          <w:rStyle w:val="FootnoteReference"/>
        </w:rPr>
        <w:footnoteRef/>
      </w:r>
      <w:r>
        <w:t xml:space="preserve"> See: </w:t>
      </w:r>
      <w:hyperlink w:history="1" r:id="rId1">
        <w:r w:rsidRPr="00CF7286">
          <w:rPr>
            <w:rStyle w:val="Hyperlink"/>
          </w:rPr>
          <w:t>www.who.int/news-room/fact-sheets/detail/commercial-determinants-of-health</w:t>
        </w:r>
      </w:hyperlink>
    </w:p>
  </w:footnote>
  <w:footnote w:id="2">
    <w:p w:rsidRPr="005A1BF0" w:rsidR="00F44568" w:rsidP="00F44568" w:rsidRDefault="00F44568" w14:paraId="0FF966A7" w14:textId="77777777">
      <w:pPr>
        <w:pStyle w:val="FootnoteText"/>
      </w:pPr>
      <w:r>
        <w:rPr>
          <w:rStyle w:val="FootnoteReference"/>
        </w:rPr>
        <w:footnoteRef/>
      </w:r>
      <w:r w:rsidRPr="00B612B4">
        <w:t xml:space="preserve"> See also: </w:t>
      </w:r>
      <w:hyperlink w:history="1" r:id="rId2">
        <w:r w:rsidRPr="00B612B4">
          <w:rPr>
            <w:rStyle w:val="Hyperlink"/>
          </w:rPr>
          <w:t>https://undocs.org/Home/Mobile?FinalSymbol=A%2F65%2F255&amp;Language=E&amp;DeviceType=Desktop&amp;LangRequested=False</w:t>
        </w:r>
      </w:hyperlink>
      <w:r w:rsidRPr="00B612B4">
        <w:t xml:space="preserve">, para. </w:t>
      </w:r>
      <w:r w:rsidRPr="005A1BF0">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25A9D" w:rsidR="00E12B32" w:rsidP="001D2D0D" w:rsidRDefault="00F44568" w14:paraId="3F35088E" w14:textId="77777777">
    <w:pPr>
      <w:pStyle w:val="Header"/>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0955049" wp14:editId="6B35CD65">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rsidRPr="002745FF" w:rsidR="00E12B32" w:rsidP="001D2D0D" w:rsidRDefault="00F44568" w14:paraId="709617CF" w14:textId="77777777">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E12B32" w:rsidP="000448F9" w:rsidRDefault="00F44568" w14:paraId="491C5370" w14:textId="77777777">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w:t>
    </w:r>
    <w:proofErr w:type="gramStart"/>
    <w:r>
      <w:rPr>
        <w:sz w:val="14"/>
        <w:szCs w:val="14"/>
        <w:lang w:val="fr-CH"/>
      </w:rPr>
      <w:t>TEL:</w:t>
    </w:r>
    <w:proofErr w:type="gramEnd"/>
    <w:r>
      <w:rPr>
        <w:sz w:val="14"/>
        <w:szCs w:val="14"/>
        <w:lang w:val="fr-CH"/>
      </w:rPr>
      <w:t xml:space="preserve"> </w:t>
    </w:r>
    <w:r w:rsidRPr="002745FF">
      <w:rPr>
        <w:sz w:val="14"/>
        <w:szCs w:val="14"/>
        <w:lang w:val="fr-CH"/>
      </w:rPr>
      <w:t xml:space="preserve">+41 22 917 9000 • FAX: </w:t>
    </w:r>
    <w:r>
      <w:rPr>
        <w:sz w:val="14"/>
        <w:szCs w:val="14"/>
        <w:lang w:val="fr-CH"/>
      </w:rPr>
      <w:t xml:space="preserve">+41 22 917 9008 • E-MAIL: </w:t>
    </w:r>
    <w:hyperlink w:history="1" r:id="rId2">
      <w:r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5116"/>
    <w:multiLevelType w:val="multilevel"/>
    <w:tmpl w:val="AAEA4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3D3357"/>
    <w:multiLevelType w:val="hybridMultilevel"/>
    <w:tmpl w:val="B59E08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9178720">
    <w:abstractNumId w:val="1"/>
  </w:num>
  <w:num w:numId="2" w16cid:durableId="26990162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68"/>
    <w:rsid w:val="00027DD2"/>
    <w:rsid w:val="0013339D"/>
    <w:rsid w:val="001D03A7"/>
    <w:rsid w:val="002333F0"/>
    <w:rsid w:val="002417C2"/>
    <w:rsid w:val="00260BEC"/>
    <w:rsid w:val="002A2336"/>
    <w:rsid w:val="00357902"/>
    <w:rsid w:val="00403FDA"/>
    <w:rsid w:val="0043759E"/>
    <w:rsid w:val="00706561"/>
    <w:rsid w:val="007356CF"/>
    <w:rsid w:val="007B64C1"/>
    <w:rsid w:val="00AB3E2A"/>
    <w:rsid w:val="00AE609B"/>
    <w:rsid w:val="00C86B77"/>
    <w:rsid w:val="00E12B32"/>
    <w:rsid w:val="00E9116F"/>
    <w:rsid w:val="00F44568"/>
    <w:rsid w:val="00FF1622"/>
    <w:rsid w:val="00FF3031"/>
    <w:rsid w:val="3ACD8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51534"/>
  <w15:chartTrackingRefBased/>
  <w15:docId w15:val="{685C907D-4E54-487B-A158-8CC3064090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4568"/>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F44568"/>
    <w:pPr>
      <w:keepNext/>
      <w:ind w:left="-563"/>
      <w:jc w:val="center"/>
      <w:outlineLvl w:val="0"/>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44568"/>
    <w:rPr>
      <w:rFonts w:ascii="Times New Roman" w:hAnsi="Times New Roman" w:eastAsia="Times New Roman" w:cs="Times New Roman"/>
      <w:b/>
      <w:sz w:val="18"/>
      <w:szCs w:val="20"/>
    </w:rPr>
  </w:style>
  <w:style w:type="paragraph" w:styleId="Header">
    <w:name w:val="header"/>
    <w:basedOn w:val="Normal"/>
    <w:link w:val="HeaderChar"/>
    <w:uiPriority w:val="99"/>
    <w:rsid w:val="00F44568"/>
    <w:pPr>
      <w:tabs>
        <w:tab w:val="center" w:pos="4153"/>
        <w:tab w:val="right" w:pos="8306"/>
      </w:tabs>
    </w:pPr>
    <w:rPr>
      <w:snapToGrid w:val="0"/>
      <w:lang w:val="en-AU"/>
    </w:rPr>
  </w:style>
  <w:style w:type="character" w:styleId="HeaderChar" w:customStyle="1">
    <w:name w:val="Header Char"/>
    <w:basedOn w:val="DefaultParagraphFont"/>
    <w:link w:val="Header"/>
    <w:uiPriority w:val="99"/>
    <w:rsid w:val="00F44568"/>
    <w:rPr>
      <w:rFonts w:ascii="Times New Roman" w:hAnsi="Times New Roman" w:eastAsia="Times New Roman" w:cs="Times New Roman"/>
      <w:snapToGrid w:val="0"/>
      <w:sz w:val="20"/>
      <w:szCs w:val="20"/>
      <w:lang w:val="en-AU"/>
    </w:rPr>
  </w:style>
  <w:style w:type="paragraph" w:styleId="Footer">
    <w:name w:val="footer"/>
    <w:basedOn w:val="Normal"/>
    <w:link w:val="FooterChar"/>
    <w:uiPriority w:val="99"/>
    <w:rsid w:val="00F44568"/>
    <w:pPr>
      <w:tabs>
        <w:tab w:val="center" w:pos="4153"/>
        <w:tab w:val="right" w:pos="8306"/>
      </w:tabs>
    </w:pPr>
  </w:style>
  <w:style w:type="character" w:styleId="FooterChar" w:customStyle="1">
    <w:name w:val="Footer Char"/>
    <w:basedOn w:val="DefaultParagraphFont"/>
    <w:link w:val="Footer"/>
    <w:uiPriority w:val="99"/>
    <w:rsid w:val="00F44568"/>
    <w:rPr>
      <w:rFonts w:ascii="Times New Roman" w:hAnsi="Times New Roman" w:eastAsia="Times New Roman" w:cs="Times New Roman"/>
      <w:sz w:val="20"/>
      <w:szCs w:val="20"/>
    </w:rPr>
  </w:style>
  <w:style w:type="table" w:styleId="TableGrid">
    <w:name w:val="Table Grid"/>
    <w:basedOn w:val="TableNormal"/>
    <w:uiPriority w:val="59"/>
    <w:rsid w:val="00F44568"/>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aliases w:val="4_G"/>
    <w:uiPriority w:val="99"/>
    <w:qFormat/>
    <w:rsid w:val="00F44568"/>
    <w:rPr>
      <w:rFonts w:cs="Times New Roman"/>
      <w:vertAlign w:val="superscript"/>
    </w:rPr>
  </w:style>
  <w:style w:type="character" w:styleId="Hyperlink">
    <w:name w:val="Hyperlink"/>
    <w:rsid w:val="00F44568"/>
    <w:rPr>
      <w:color w:val="0000FF"/>
      <w:u w:val="single"/>
    </w:rPr>
  </w:style>
  <w:style w:type="paragraph" w:styleId="ListParagraph">
    <w:name w:val="List Paragraph"/>
    <w:basedOn w:val="Normal"/>
    <w:uiPriority w:val="34"/>
    <w:qFormat/>
    <w:rsid w:val="00F44568"/>
    <w:pPr>
      <w:ind w:left="720"/>
      <w:contextualSpacing/>
    </w:pPr>
  </w:style>
  <w:style w:type="paragraph" w:styleId="BodyA" w:customStyle="1">
    <w:name w:val="Body A"/>
    <w:uiPriority w:val="99"/>
    <w:rsid w:val="00F44568"/>
    <w:pPr>
      <w:pBdr>
        <w:top w:val="nil"/>
        <w:left w:val="nil"/>
        <w:bottom w:val="nil"/>
        <w:right w:val="nil"/>
        <w:between w:val="nil"/>
        <w:bar w:val="nil"/>
      </w:pBdr>
      <w:spacing w:after="0" w:line="240" w:lineRule="auto"/>
    </w:pPr>
    <w:rPr>
      <w:rFonts w:ascii="Cambria" w:hAnsi="Cambria" w:eastAsia="Arial Unicode MS"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styleId="None" w:customStyle="1">
    <w:name w:val="None"/>
    <w:rsid w:val="00F44568"/>
  </w:style>
  <w:style w:type="paragraph" w:styleId="NormalWeb">
    <w:name w:val="Normal (Web)"/>
    <w:basedOn w:val="Normal"/>
    <w:uiPriority w:val="99"/>
    <w:unhideWhenUsed/>
    <w:rsid w:val="00F44568"/>
    <w:pPr>
      <w:spacing w:before="120"/>
    </w:pPr>
    <w:rPr>
      <w:rFonts w:ascii="Verdana" w:hAnsi="Verdana" w:eastAsia="Helvetica Neue"/>
      <w:szCs w:val="24"/>
      <w:lang w:val="en"/>
    </w:rPr>
  </w:style>
  <w:style w:type="paragraph" w:styleId="Normal1" w:customStyle="1">
    <w:name w:val="Normal1"/>
    <w:rsid w:val="00F44568"/>
    <w:pPr>
      <w:spacing w:after="0" w:line="240" w:lineRule="auto"/>
    </w:pPr>
    <w:rPr>
      <w:rFonts w:ascii="Helvetica Neue" w:hAnsi="Helvetica Neue" w:eastAsia="Helvetica Neue" w:cs="Helvetica Neue"/>
      <w:sz w:val="24"/>
      <w:szCs w:val="24"/>
      <w:lang w:val="en-US"/>
    </w:rPr>
  </w:style>
  <w:style w:type="paragraph" w:styleId="FootnoteText">
    <w:name w:val="footnote text"/>
    <w:aliases w:val="5_G"/>
    <w:basedOn w:val="Normal"/>
    <w:link w:val="FootnoteTextChar"/>
    <w:uiPriority w:val="99"/>
    <w:qFormat/>
    <w:rsid w:val="00F44568"/>
    <w:pPr>
      <w:tabs>
        <w:tab w:val="right" w:pos="1021"/>
      </w:tabs>
      <w:suppressAutoHyphens/>
      <w:spacing w:line="220" w:lineRule="exact"/>
      <w:ind w:left="1134" w:right="1134" w:hanging="1134"/>
    </w:pPr>
    <w:rPr>
      <w:sz w:val="18"/>
    </w:rPr>
  </w:style>
  <w:style w:type="character" w:styleId="FootnoteTextChar" w:customStyle="1">
    <w:name w:val="Footnote Text Char"/>
    <w:aliases w:val="5_G Char"/>
    <w:basedOn w:val="DefaultParagraphFont"/>
    <w:link w:val="FootnoteText"/>
    <w:uiPriority w:val="99"/>
    <w:rsid w:val="00F44568"/>
    <w:rPr>
      <w:rFonts w:ascii="Times New Roman" w:hAnsi="Times New Roman" w:eastAsia="Times New Roman" w:cs="Times New Roman"/>
      <w:sz w:val="18"/>
      <w:szCs w:val="20"/>
    </w:rPr>
  </w:style>
  <w:style w:type="paragraph" w:styleId="EndnoteText">
    <w:name w:val="endnote text"/>
    <w:basedOn w:val="Normal"/>
    <w:link w:val="EndnoteTextChar"/>
    <w:uiPriority w:val="99"/>
    <w:semiHidden/>
    <w:unhideWhenUsed/>
    <w:rsid w:val="00357902"/>
  </w:style>
  <w:style w:type="character" w:styleId="EndnoteTextChar" w:customStyle="1">
    <w:name w:val="Endnote Text Char"/>
    <w:basedOn w:val="DefaultParagraphFont"/>
    <w:link w:val="EndnoteText"/>
    <w:uiPriority w:val="99"/>
    <w:semiHidden/>
    <w:rsid w:val="00357902"/>
    <w:rPr>
      <w:rFonts w:ascii="Times New Roman" w:hAnsi="Times New Roman" w:eastAsia="Times New Roman" w:cs="Times New Roman"/>
      <w:sz w:val="20"/>
      <w:szCs w:val="20"/>
    </w:rPr>
  </w:style>
  <w:style w:type="character" w:styleId="EndnoteReference">
    <w:name w:val="endnote reference"/>
    <w:basedOn w:val="DefaultParagraphFont"/>
    <w:uiPriority w:val="99"/>
    <w:semiHidden/>
    <w:unhideWhenUsed/>
    <w:rsid w:val="00357902"/>
    <w:rPr>
      <w:vertAlign w:val="superscript"/>
    </w:rPr>
  </w:style>
  <w:style w:type="character" w:styleId="UnresolvedMention">
    <w:name w:val="Unresolved Mention"/>
    <w:basedOn w:val="DefaultParagraphFont"/>
    <w:uiPriority w:val="99"/>
    <w:semiHidden/>
    <w:unhideWhenUsed/>
    <w:rsid w:val="00735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caphraorg.net/wp-content/pdf/FCTC_Shadow_Report.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aphraorg.net/wp-content/uploads/pdfs/white-paper-subversion_of_public_health.pdf"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srhealth@un.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65%2F255&amp;Language=E&amp;DeviceType=Desktop&amp;LangRequested=False" TargetMode="External"/><Relationship Id="rId1" Type="http://schemas.openxmlformats.org/officeDocument/2006/relationships/hyperlink" Target="http://www.who.int/news-room/fact-sheets/detail/commercial-determinants-of-health"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The Coalition of Asia Pacific Tobacco Harm Reduction Advocates</Contributor>
  </documentManagement>
</p:properties>
</file>

<file path=customXml/itemProps1.xml><?xml version="1.0" encoding="utf-8"?>
<ds:datastoreItem xmlns:ds="http://schemas.openxmlformats.org/officeDocument/2006/customXml" ds:itemID="{C98C2F56-7773-4357-BEDD-D3CD869E5937}">
  <ds:schemaRefs>
    <ds:schemaRef ds:uri="http://schemas.microsoft.com/sharepoint/v3/contenttype/forms"/>
  </ds:schemaRefs>
</ds:datastoreItem>
</file>

<file path=customXml/itemProps2.xml><?xml version="1.0" encoding="utf-8"?>
<ds:datastoreItem xmlns:ds="http://schemas.openxmlformats.org/officeDocument/2006/customXml" ds:itemID="{B73EB6DA-5871-4794-AB8B-A6843EAD56CA}"/>
</file>

<file path=customXml/itemProps3.xml><?xml version="1.0" encoding="utf-8"?>
<ds:datastoreItem xmlns:ds="http://schemas.openxmlformats.org/officeDocument/2006/customXml" ds:itemID="{E10500C1-2771-4E1D-A364-F47D876914F7}">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OHCHR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Karin Hechenleitner Schacht</dc:title>
  <dc:subject/>
  <dc:creator>HECHENLEITNER SCHACHT Karin</dc:creator>
  <cp:keywords/>
  <dc:description/>
  <cp:lastModifiedBy>Karin Hechenleitner Schacht</cp:lastModifiedBy>
  <cp:revision>3</cp:revision>
  <dcterms:created xsi:type="dcterms:W3CDTF">2023-11-09T15:24:00Z</dcterms:created>
  <dcterms:modified xsi:type="dcterms:W3CDTF">2024-06-21T15:41:15Z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Call for inputs SR health</vt:lpwstr>
  </property>
</Properties>
</file>