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4ED5" w:rsidR="00F44568" w:rsidP="00F44568" w:rsidRDefault="00F44568" w14:paraId="187CBA17" w14:textId="77777777">
      <w:pPr>
        <w:ind w:left="2160" w:firstLine="720"/>
        <w:rPr>
          <w:b/>
          <w:sz w:val="24"/>
          <w:szCs w:val="24"/>
          <w:u w:val="single"/>
        </w:rPr>
      </w:pPr>
      <w:r w:rsidRPr="00504ED5">
        <w:rPr>
          <w:b/>
          <w:sz w:val="24"/>
          <w:szCs w:val="24"/>
          <w:u w:val="single"/>
        </w:rPr>
        <w:t>QUESTIONNAIRE</w:t>
      </w:r>
    </w:p>
    <w:p w:rsidRPr="00504ED5" w:rsidR="00F44568" w:rsidP="00F44568" w:rsidRDefault="00F44568" w14:paraId="03FBCCD1" w14:textId="77777777">
      <w:pPr>
        <w:pStyle w:val="BodyA"/>
        <w:outlineLvl w:val="0"/>
        <w:rPr>
          <w:rFonts w:ascii="Times New Roman" w:hAnsi="Times New Roman" w:eastAsia="Times New Roman" w:cs="Times New Roman"/>
          <w:b/>
          <w:color w:val="auto"/>
          <w:u w:val="single"/>
          <w:bdr w:val="none" w:color="auto" w:sz="0" w:space="0"/>
          <w:lang w:val="en-GB" w:eastAsia="en-US"/>
          <w14:textOutline w14:w="0" w14:cap="rnd" w14:cmpd="sng" w14:algn="ctr">
            <w14:noFill/>
            <w14:prstDash w14:val="solid"/>
            <w14:bevel/>
          </w14:textOutline>
        </w:rPr>
      </w:pPr>
    </w:p>
    <w:p w:rsidRPr="00504ED5" w:rsidR="00F44568" w:rsidP="00F44568" w:rsidRDefault="00F44568" w14:paraId="6DED13D6" w14:textId="77777777">
      <w:pPr>
        <w:pStyle w:val="BodyA"/>
        <w:outlineLvl w:val="0"/>
        <w:rPr>
          <w:rStyle w:val="None"/>
          <w:rFonts w:ascii="Times New Roman" w:hAnsi="Times New Roman" w:eastAsia="Times New Roman" w:cs="Times New Roman"/>
          <w:b/>
          <w:bCs/>
        </w:rPr>
      </w:pPr>
      <w:r w:rsidRPr="00504ED5">
        <w:rPr>
          <w:rStyle w:val="None"/>
          <w:rFonts w:ascii="Times New Roman" w:hAnsi="Times New Roman" w:cs="Times New Roman"/>
          <w:b/>
          <w:bCs/>
        </w:rPr>
        <w:t>Contact Details</w:t>
      </w:r>
    </w:p>
    <w:p w:rsidRPr="00504ED5" w:rsidR="00F44568" w:rsidP="00F44568" w:rsidRDefault="00F44568" w14:paraId="3B1EF580" w14:textId="77777777">
      <w:pPr>
        <w:pStyle w:val="BodyA"/>
        <w:rPr>
          <w:rStyle w:val="None"/>
          <w:rFonts w:ascii="Times New Roman" w:hAnsi="Times New Roman" w:eastAsia="Times New Roman" w:cs="Times New Roman"/>
        </w:rPr>
      </w:pPr>
    </w:p>
    <w:p w:rsidRPr="00504ED5" w:rsidR="00F44568" w:rsidP="00F44568" w:rsidRDefault="00F44568" w14:paraId="2DBCF39C" w14:textId="77777777">
      <w:pPr>
        <w:pStyle w:val="BodyA"/>
        <w:rPr>
          <w:rStyle w:val="None"/>
          <w:rFonts w:ascii="Times New Roman" w:hAnsi="Times New Roman" w:eastAsia="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rsidRPr="00504ED5" w:rsidR="00F44568" w:rsidP="00F44568" w:rsidRDefault="00F44568" w14:paraId="44DA85C8" w14:textId="77777777">
      <w:pPr>
        <w:pStyle w:val="BodyA"/>
        <w:rPr>
          <w:rStyle w:val="None"/>
          <w:rFonts w:ascii="Times New Roman" w:hAnsi="Times New Roman" w:eastAsia="Times New Roman" w:cs="Times New Roman"/>
        </w:rPr>
      </w:pPr>
    </w:p>
    <w:tbl>
      <w:tblPr>
        <w:tblW w:w="85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313"/>
        <w:gridCol w:w="5192"/>
      </w:tblGrid>
      <w:tr w:rsidRPr="00504ED5" w:rsidR="00F44568" w:rsidTr="00832487" w14:paraId="7B93D4D2" w14:textId="77777777">
        <w:trPr>
          <w:trHeight w:val="933"/>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693A50" w:rsidR="00F44568" w:rsidP="00832487" w:rsidRDefault="00F44568" w14:paraId="0E4B28E5" w14:textId="77777777">
            <w:pPr>
              <w:pStyle w:val="BodyA"/>
              <w:rPr>
                <w:rFonts w:ascii="Times New Roman" w:hAnsi="Times New Roman" w:cs="Times New Roman"/>
                <w:lang w:val="fr-FR"/>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315E01" w14:paraId="746C877F" w14:textId="7148223D">
            <w:pPr>
              <w:rPr>
                <w:sz w:val="24"/>
                <w:szCs w:val="24"/>
              </w:rPr>
            </w:pPr>
            <w:r>
              <w:rPr>
                <w:sz w:val="24"/>
                <w:szCs w:val="24"/>
              </w:rPr>
              <w:t>X</w:t>
            </w:r>
            <w:r w:rsidRPr="00504ED5" w:rsidR="00F44568">
              <w:rPr>
                <w:sz w:val="24"/>
                <w:szCs w:val="24"/>
              </w:rPr>
              <w:t xml:space="preserve">  Member State     </w:t>
            </w:r>
          </w:p>
          <w:p w:rsidRPr="00504ED5" w:rsidR="00F44568" w:rsidP="00832487" w:rsidRDefault="00F44568" w14:paraId="0296F6B8" w14:textId="7777777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2B7245">
              <w:rPr>
                <w:sz w:val="24"/>
                <w:szCs w:val="24"/>
              </w:rPr>
            </w:r>
            <w:r w:rsidR="002B7245">
              <w:rPr>
                <w:sz w:val="24"/>
                <w:szCs w:val="24"/>
              </w:rPr>
              <w:fldChar w:fldCharType="separate"/>
            </w:r>
            <w:r w:rsidRPr="00504ED5">
              <w:rPr>
                <w:sz w:val="24"/>
                <w:szCs w:val="24"/>
              </w:rPr>
              <w:fldChar w:fldCharType="end"/>
            </w:r>
            <w:r w:rsidRPr="00504ED5">
              <w:rPr>
                <w:sz w:val="24"/>
                <w:szCs w:val="24"/>
              </w:rPr>
              <w:t xml:space="preserve">  Observer State</w:t>
            </w:r>
          </w:p>
          <w:p w:rsidRPr="00504ED5" w:rsidR="00F44568" w:rsidP="00832487" w:rsidRDefault="00F44568" w14:paraId="7483B3C0" w14:textId="7777777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2B7245">
              <w:rPr>
                <w:sz w:val="24"/>
                <w:szCs w:val="24"/>
              </w:rPr>
            </w:r>
            <w:r w:rsidR="002B7245">
              <w:rPr>
                <w:sz w:val="24"/>
                <w:szCs w:val="24"/>
              </w:rPr>
              <w:fldChar w:fldCharType="separate"/>
            </w:r>
            <w:r w:rsidRPr="00504ED5">
              <w:rPr>
                <w:sz w:val="24"/>
                <w:szCs w:val="24"/>
              </w:rPr>
              <w:fldChar w:fldCharType="end"/>
            </w:r>
            <w:r w:rsidRPr="00504ED5">
              <w:rPr>
                <w:sz w:val="24"/>
                <w:szCs w:val="24"/>
              </w:rPr>
              <w:t xml:space="preserve">  Other (please specify)</w:t>
            </w:r>
          </w:p>
        </w:tc>
      </w:tr>
      <w:tr w:rsidRPr="00504ED5" w:rsidR="00F44568" w:rsidTr="00832487" w14:paraId="1206EBDD" w14:textId="77777777">
        <w:trPr>
          <w:trHeight w:val="538"/>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715867CF" w14:textId="77777777">
            <w:pPr>
              <w:pStyle w:val="BodyA"/>
              <w:rPr>
                <w:rStyle w:val="None"/>
                <w:rFonts w:ascii="Times New Roman" w:hAnsi="Times New Roman" w:eastAsia="Times New Roman" w:cs="Times New Roman"/>
              </w:rPr>
            </w:pPr>
            <w:r w:rsidRPr="00504ED5">
              <w:rPr>
                <w:rStyle w:val="None"/>
                <w:rFonts w:ascii="Times New Roman" w:hAnsi="Times New Roman" w:cs="Times New Roman"/>
              </w:rPr>
              <w:t>Name of State</w:t>
            </w:r>
          </w:p>
          <w:p w:rsidRPr="00504ED5" w:rsidR="00F44568" w:rsidP="00832487" w:rsidRDefault="00F44568" w14:paraId="67936336" w14:textId="7777777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EE19A0" w14:paraId="1C5207EE" w14:textId="6CC14CDD">
            <w:pPr>
              <w:rPr>
                <w:sz w:val="24"/>
                <w:szCs w:val="24"/>
              </w:rPr>
            </w:pPr>
            <w:r>
              <w:rPr>
                <w:sz w:val="24"/>
                <w:szCs w:val="24"/>
              </w:rPr>
              <w:t xml:space="preserve">Portugal, Lisbon Ares do </w:t>
            </w:r>
            <w:proofErr w:type="spellStart"/>
            <w:r>
              <w:rPr>
                <w:sz w:val="24"/>
                <w:szCs w:val="24"/>
              </w:rPr>
              <w:t>Pinhal</w:t>
            </w:r>
            <w:proofErr w:type="spellEnd"/>
            <w:r>
              <w:rPr>
                <w:sz w:val="24"/>
                <w:szCs w:val="24"/>
              </w:rPr>
              <w:t xml:space="preserve"> (NGO)</w:t>
            </w:r>
          </w:p>
        </w:tc>
      </w:tr>
      <w:tr w:rsidRPr="00504ED5" w:rsidR="00F44568" w:rsidTr="00832487" w14:paraId="54BB8032" w14:textId="77777777">
        <w:trPr>
          <w:trHeight w:val="396"/>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2E932BD1" w14:textId="7777777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E675DE" w14:paraId="5F04C30C" w14:textId="26BFC962">
            <w:pPr>
              <w:rPr>
                <w:sz w:val="24"/>
                <w:szCs w:val="24"/>
              </w:rPr>
            </w:pPr>
            <w:r>
              <w:rPr>
                <w:sz w:val="24"/>
                <w:szCs w:val="24"/>
              </w:rPr>
              <w:t>c</w:t>
            </w:r>
            <w:r w:rsidR="00EE19A0">
              <w:rPr>
                <w:sz w:val="24"/>
                <w:szCs w:val="24"/>
              </w:rPr>
              <w:t>laudia.pereira@aresdopinhal.pt</w:t>
            </w:r>
            <w:bookmarkStart w:name="_GoBack" w:id="0"/>
            <w:bookmarkEnd w:id="0"/>
          </w:p>
        </w:tc>
      </w:tr>
    </w:tbl>
    <w:p w:rsidRPr="00504ED5" w:rsidR="00F44568" w:rsidP="00F44568" w:rsidRDefault="00F44568" w14:paraId="3831DA07" w14:textId="77777777">
      <w:pPr>
        <w:rPr>
          <w:b/>
          <w:sz w:val="24"/>
          <w:szCs w:val="24"/>
        </w:rPr>
      </w:pPr>
    </w:p>
    <w:p w:rsidR="00F44568" w:rsidP="00F44568" w:rsidRDefault="00F44568" w14:paraId="6B860C8A" w14:textId="77777777">
      <w:pPr>
        <w:rPr>
          <w:b/>
          <w:sz w:val="24"/>
          <w:szCs w:val="24"/>
        </w:rPr>
      </w:pPr>
      <w:r w:rsidRPr="00504ED5">
        <w:rPr>
          <w:b/>
          <w:sz w:val="24"/>
          <w:szCs w:val="24"/>
        </w:rPr>
        <w:t>Background</w:t>
      </w:r>
    </w:p>
    <w:p w:rsidR="00F44568" w:rsidP="00F44568" w:rsidRDefault="00F44568" w14:paraId="109C0DB6" w14:textId="77777777">
      <w:pPr>
        <w:rPr>
          <w:sz w:val="24"/>
          <w:szCs w:val="24"/>
        </w:rPr>
      </w:pPr>
      <w:r w:rsidRPr="00504ED5">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r>
        <w:rPr>
          <w:sz w:val="24"/>
          <w:szCs w:val="24"/>
        </w:rPr>
        <w:t>”</w:t>
      </w:r>
      <w:r w:rsidRPr="00504ED5">
        <w:rPr>
          <w:sz w:val="24"/>
          <w:szCs w:val="24"/>
        </w:rPr>
        <w:t>.</w:t>
      </w:r>
    </w:p>
    <w:p w:rsidRPr="00504ED5" w:rsidR="00F44568" w:rsidP="00F44568" w:rsidRDefault="00F44568" w14:paraId="4DC6B118" w14:textId="77777777">
      <w:pPr>
        <w:rPr>
          <w:b/>
          <w:sz w:val="24"/>
          <w:szCs w:val="24"/>
        </w:rPr>
      </w:pPr>
    </w:p>
    <w:p w:rsidR="00F44568" w:rsidP="00F44568" w:rsidRDefault="00F44568" w14:paraId="5A84C57A" w14:textId="77777777">
      <w:pPr>
        <w:rPr>
          <w:b/>
          <w:sz w:val="24"/>
          <w:szCs w:val="24"/>
        </w:rPr>
      </w:pPr>
      <w:r w:rsidRPr="00504ED5">
        <w:rPr>
          <w:b/>
          <w:sz w:val="24"/>
          <w:szCs w:val="24"/>
        </w:rPr>
        <w:t>Objectives of the report</w:t>
      </w:r>
    </w:p>
    <w:p w:rsidR="00F44568" w:rsidP="00F44568" w:rsidRDefault="00F44568" w14:paraId="3298B868" w14:textId="77777777">
      <w:pPr>
        <w:rPr>
          <w:sz w:val="24"/>
          <w:szCs w:val="24"/>
        </w:rPr>
      </w:pPr>
      <w:r>
        <w:rPr>
          <w:sz w:val="24"/>
          <w:szCs w:val="24"/>
        </w:rPr>
        <w:t>A</w:t>
      </w:r>
      <w:r w:rsidRPr="00504ED5">
        <w:rPr>
          <w:sz w:val="24"/>
          <w:szCs w:val="24"/>
        </w:rPr>
        <w:t xml:space="preserve">ll </w:t>
      </w:r>
      <w:r>
        <w:rPr>
          <w:sz w:val="24"/>
          <w:szCs w:val="24"/>
        </w:rPr>
        <w:t xml:space="preserve">persons </w:t>
      </w:r>
      <w:r w:rsidRPr="00504ED5">
        <w:rPr>
          <w:sz w:val="24"/>
          <w:szCs w:val="24"/>
        </w:rPr>
        <w:t xml:space="preserve">are entitled to the </w:t>
      </w:r>
      <w:r>
        <w:rPr>
          <w:sz w:val="24"/>
          <w:szCs w:val="24"/>
        </w:rPr>
        <w:t xml:space="preserve">enjoyment of the highest attainable standard of physical and mental </w:t>
      </w:r>
      <w:r w:rsidRPr="00504ED5">
        <w:rPr>
          <w:sz w:val="24"/>
          <w:szCs w:val="24"/>
        </w:rPr>
        <w:t xml:space="preserve">health, which includes the underlying determinants of health and timely and appropriate health care. In the present report, the Special Rapporteur intends to explore the ways in which harm reduction </w:t>
      </w:r>
      <w:r w:rsidRPr="005A1BF0">
        <w:rPr>
          <w:sz w:val="24"/>
          <w:szCs w:val="24"/>
        </w:rPr>
        <w:t>intersects with the enjoyment of right to health and related human rights. Relying on the frameworks of the social and commercial,</w:t>
      </w:r>
      <w:r w:rsidRPr="005A1BF0">
        <w:rPr>
          <w:rStyle w:val="Refdenotaderodap"/>
          <w:sz w:val="24"/>
          <w:szCs w:val="24"/>
        </w:rPr>
        <w:footnoteReference w:id="1"/>
      </w:r>
      <w:r w:rsidRPr="005A1BF0">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rsidRPr="005A1BF0" w:rsidR="00F44568" w:rsidP="00F44568" w:rsidRDefault="00F44568" w14:paraId="27E73484" w14:textId="77777777">
      <w:pPr>
        <w:rPr>
          <w:sz w:val="24"/>
          <w:szCs w:val="24"/>
        </w:rPr>
      </w:pPr>
    </w:p>
    <w:p w:rsidR="00F44568" w:rsidP="00F44568" w:rsidRDefault="00F44568" w14:paraId="6BD67169" w14:textId="77777777">
      <w:pPr>
        <w:rPr>
          <w:sz w:val="24"/>
          <w:szCs w:val="24"/>
        </w:rPr>
      </w:pPr>
      <w:r w:rsidRPr="005A1BF0">
        <w:rPr>
          <w:sz w:val="24"/>
          <w:szCs w:val="24"/>
        </w:rPr>
        <w:t>Harm reduction has been primarily developed in the context</w:t>
      </w:r>
      <w:r w:rsidRPr="00504ED5">
        <w:rPr>
          <w:sz w:val="24"/>
          <w:szCs w:val="24"/>
        </w:rPr>
        <w:t xml:space="preserve">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w:t>
      </w:r>
      <w:r w:rsidRPr="005A1BF0">
        <w:rPr>
          <w:sz w:val="24"/>
          <w:szCs w:val="24"/>
        </w:rPr>
        <w:t xml:space="preserve">examine </w:t>
      </w:r>
      <w:r w:rsidRPr="005A1BF0">
        <w:rPr>
          <w:sz w:val="24"/>
          <w:szCs w:val="24"/>
        </w:rPr>
        <w:lastRenderedPageBreak/>
        <w:t xml:space="preserve">how this approach can intersect with the right to health and related human rights in other realms, including but not limited to sex work, abortion, and safe sex. </w:t>
      </w:r>
    </w:p>
    <w:p w:rsidRPr="00504ED5" w:rsidR="00F44568" w:rsidP="00F44568" w:rsidRDefault="00F44568" w14:paraId="1CC9B199" w14:textId="77777777">
      <w:pPr>
        <w:rPr>
          <w:sz w:val="24"/>
          <w:szCs w:val="24"/>
        </w:rPr>
      </w:pPr>
    </w:p>
    <w:p w:rsidRPr="00504ED5" w:rsidR="00F44568" w:rsidP="00F44568" w:rsidRDefault="00F44568" w14:paraId="00AEF627" w14:textId="77777777">
      <w:pPr>
        <w:rPr>
          <w:sz w:val="24"/>
          <w:szCs w:val="24"/>
        </w:rPr>
      </w:pPr>
      <w:r>
        <w:rPr>
          <w:sz w:val="24"/>
          <w:szCs w:val="24"/>
        </w:rPr>
        <w:t>T</w:t>
      </w:r>
      <w:r w:rsidRPr="00504ED5">
        <w:rPr>
          <w:sz w:val="24"/>
          <w:szCs w:val="24"/>
        </w:rPr>
        <w:t xml:space="preserve">he </w:t>
      </w:r>
      <w:r w:rsidRPr="005A1BF0">
        <w:rPr>
          <w:sz w:val="24"/>
          <w:szCs w:val="24"/>
        </w:rPr>
        <w:t>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w:t>
      </w:r>
      <w:r>
        <w:rPr>
          <w:sz w:val="24"/>
          <w:szCs w:val="24"/>
        </w:rPr>
        <w:t xml:space="preserve"> persons</w:t>
      </w:r>
      <w:r w:rsidRPr="005A1BF0">
        <w:rPr>
          <w:sz w:val="24"/>
          <w:szCs w:val="24"/>
        </w:rPr>
        <w:t>,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w:t>
      </w:r>
      <w:r w:rsidRPr="00504ED5">
        <w:rPr>
          <w:sz w:val="24"/>
          <w:szCs w:val="24"/>
        </w:rPr>
        <w:t xml:space="preserve"> and stigmatisation can serve as a legacy of colonialism and slavery.</w:t>
      </w:r>
    </w:p>
    <w:p w:rsidR="00F44568" w:rsidP="00F44568" w:rsidRDefault="00F44568" w14:paraId="5325F927" w14:textId="77777777">
      <w:pPr>
        <w:jc w:val="both"/>
        <w:rPr>
          <w:b/>
          <w:sz w:val="24"/>
          <w:szCs w:val="24"/>
        </w:rPr>
      </w:pPr>
    </w:p>
    <w:p w:rsidR="00F44568" w:rsidP="00F44568" w:rsidRDefault="00F44568" w14:paraId="72D435D7" w14:textId="77777777">
      <w:pPr>
        <w:ind w:left="-567" w:firstLine="567"/>
        <w:jc w:val="both"/>
        <w:rPr>
          <w:sz w:val="24"/>
          <w:szCs w:val="24"/>
        </w:rPr>
      </w:pPr>
      <w:r w:rsidRPr="00504ED5">
        <w:rPr>
          <w:b/>
          <w:sz w:val="24"/>
          <w:szCs w:val="24"/>
        </w:rPr>
        <w:t>Definitions</w:t>
      </w:r>
    </w:p>
    <w:p w:rsidR="00F44568" w:rsidP="00F44568" w:rsidRDefault="00F44568" w14:paraId="52227B41" w14:textId="77777777">
      <w:pPr>
        <w:jc w:val="both"/>
        <w:rPr>
          <w:sz w:val="24"/>
          <w:szCs w:val="24"/>
        </w:rPr>
      </w:pPr>
      <w:r w:rsidRPr="00504ED5">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EndPr/>
        <w:sdtContent/>
      </w:sdt>
      <w:r w:rsidRPr="00504ED5">
        <w:rPr>
          <w:sz w:val="24"/>
          <w:szCs w:val="24"/>
        </w:rPr>
        <w:t>.</w:t>
      </w:r>
      <w:r w:rsidRPr="00504ED5">
        <w:rPr>
          <w:rStyle w:val="Refdenotaderodap"/>
          <w:sz w:val="24"/>
          <w:szCs w:val="24"/>
        </w:rPr>
        <w:footnoteReference w:id="2"/>
      </w:r>
      <w:r w:rsidRPr="00504ED5">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rsidR="00F44568" w:rsidP="00F44568" w:rsidRDefault="00F44568" w14:paraId="0FDF5A16" w14:textId="77777777">
      <w:pPr>
        <w:jc w:val="both"/>
        <w:rPr>
          <w:sz w:val="24"/>
          <w:szCs w:val="24"/>
        </w:rPr>
      </w:pPr>
    </w:p>
    <w:p w:rsidRPr="00E81385" w:rsidR="00F44568" w:rsidP="00F44568" w:rsidRDefault="00F44568" w14:paraId="068FBFEF" w14:textId="77777777">
      <w:pPr>
        <w:ind w:left="-426" w:firstLine="426"/>
        <w:jc w:val="both"/>
        <w:rPr>
          <w:b/>
          <w:bCs/>
          <w:sz w:val="24"/>
          <w:szCs w:val="24"/>
        </w:rPr>
      </w:pPr>
      <w:r w:rsidRPr="00E81385">
        <w:rPr>
          <w:b/>
          <w:bCs/>
          <w:sz w:val="24"/>
          <w:szCs w:val="24"/>
        </w:rPr>
        <w:t>Questionnaire</w:t>
      </w:r>
    </w:p>
    <w:p w:rsidR="00F44568" w:rsidP="00F44568" w:rsidRDefault="00F44568" w14:paraId="53C2E14E" w14:textId="77777777">
      <w:pPr>
        <w:pStyle w:val="Normal1"/>
        <w:jc w:val="both"/>
        <w:rPr>
          <w:rFonts w:ascii="Times New Roman" w:hAnsi="Times New Roman" w:cs="Times New Roman"/>
          <w:color w:val="000000"/>
          <w:u w:val="single"/>
          <w:shd w:val="clear" w:color="auto" w:fill="FFFFFF"/>
        </w:rPr>
      </w:pPr>
      <w:r w:rsidRPr="00504ED5">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504ED5">
        <w:rPr>
          <w:rFonts w:ascii="Times New Roman" w:hAnsi="Times New Roman" w:cs="Times New Roman"/>
          <w:bCs/>
          <w:color w:val="000000" w:themeColor="text1"/>
          <w:u w:val="single"/>
          <w:lang w:val="en"/>
        </w:rPr>
        <w:t>Responses can address some of the questions or all of them, as feasible or preferred</w:t>
      </w:r>
      <w:r w:rsidRPr="00504ED5">
        <w:rPr>
          <w:rFonts w:ascii="Times New Roman" w:hAnsi="Times New Roman" w:cs="Times New Roman"/>
          <w:color w:val="000000" w:themeColor="text1"/>
          <w:u w:val="single"/>
          <w:lang w:val="en"/>
        </w:rPr>
        <w:t>.</w:t>
      </w:r>
      <w:r w:rsidRPr="00504ED5">
        <w:rPr>
          <w:rFonts w:ascii="Times New Roman" w:hAnsi="Times New Roman" w:cs="Times New Roman"/>
          <w:color w:val="000000"/>
          <w:u w:val="single"/>
          <w:shd w:val="clear" w:color="auto" w:fill="FFFFFF"/>
        </w:rPr>
        <w:t xml:space="preserve"> </w:t>
      </w:r>
    </w:p>
    <w:p w:rsidRPr="00504ED5" w:rsidR="00F44568" w:rsidP="00F44568" w:rsidRDefault="00F44568" w14:paraId="764A50FD" w14:textId="77777777">
      <w:pPr>
        <w:pStyle w:val="Normal1"/>
        <w:jc w:val="both"/>
        <w:rPr>
          <w:rFonts w:ascii="Times New Roman" w:hAnsi="Times New Roman" w:cs="Times New Roman"/>
          <w:color w:val="000000" w:themeColor="text1"/>
          <w:u w:val="single"/>
          <w:lang w:val="en"/>
        </w:rPr>
      </w:pPr>
    </w:p>
    <w:p w:rsidR="00F44568" w:rsidP="4B78B50B" w:rsidRDefault="00F44568" w14:paraId="1C11EA15" w14:textId="77777777">
      <w:pPr>
        <w:pStyle w:val="NormalWeb"/>
        <w:numPr>
          <w:ilvl w:val="0"/>
          <w:numId w:val="1"/>
        </w:numPr>
        <w:jc w:val="both"/>
        <w:rPr>
          <w:rFonts w:ascii="Times New Roman" w:hAnsi="Times New Roman"/>
          <w:color w:val="000000" w:themeColor="text1"/>
          <w:sz w:val="24"/>
          <w:szCs w:val="24"/>
          <w:lang w:val="en-US"/>
        </w:rPr>
      </w:pPr>
      <w:r w:rsidRPr="4B78B50B" w:rsidR="00F44568">
        <w:rPr>
          <w:rFonts w:ascii="Times New Roman" w:hAnsi="Times New Roman"/>
          <w:color w:val="000000" w:themeColor="text1" w:themeTint="FF" w:themeShade="FF"/>
          <w:sz w:val="24"/>
          <w:szCs w:val="24"/>
          <w:lang w:val="en-US"/>
        </w:rPr>
        <w:t xml:space="preserve">Download the questionnaire (WORD):  English | </w:t>
      </w:r>
      <w:r w:rsidRPr="4B78B50B" w:rsidR="00F44568">
        <w:rPr>
          <w:rFonts w:ascii="Times New Roman" w:hAnsi="Times New Roman"/>
          <w:color w:val="000000" w:themeColor="text1" w:themeTint="FF" w:themeShade="FF"/>
          <w:sz w:val="24"/>
          <w:szCs w:val="24"/>
          <w:lang w:val="en-US"/>
        </w:rPr>
        <w:t>Français</w:t>
      </w:r>
      <w:r w:rsidRPr="4B78B50B" w:rsidR="00F44568">
        <w:rPr>
          <w:rFonts w:ascii="Times New Roman" w:hAnsi="Times New Roman"/>
          <w:color w:val="000000" w:themeColor="text1" w:themeTint="FF" w:themeShade="FF"/>
          <w:sz w:val="24"/>
          <w:szCs w:val="24"/>
          <w:lang w:val="en-US"/>
        </w:rPr>
        <w:t xml:space="preserve"> | </w:t>
      </w:r>
      <w:r w:rsidRPr="4B78B50B" w:rsidR="00F44568">
        <w:rPr>
          <w:rFonts w:ascii="Times New Roman" w:hAnsi="Times New Roman"/>
          <w:color w:val="000000" w:themeColor="text1" w:themeTint="FF" w:themeShade="FF"/>
          <w:sz w:val="24"/>
          <w:szCs w:val="24"/>
          <w:lang w:val="en-US"/>
        </w:rPr>
        <w:t>Español</w:t>
      </w:r>
    </w:p>
    <w:p w:rsidRPr="00504ED5" w:rsidR="00F44568" w:rsidP="00F44568" w:rsidRDefault="00F44568" w14:paraId="764DD7F4" w14:textId="77777777">
      <w:pPr>
        <w:pStyle w:val="NormalWeb"/>
        <w:ind w:left="720"/>
        <w:jc w:val="both"/>
        <w:rPr>
          <w:rFonts w:ascii="Times New Roman" w:hAnsi="Times New Roman"/>
          <w:color w:val="000000" w:themeColor="text1"/>
          <w:sz w:val="24"/>
        </w:rPr>
      </w:pPr>
    </w:p>
    <w:p w:rsidRPr="00504ED5" w:rsidR="00F44568" w:rsidP="00F44568" w:rsidRDefault="00F44568" w14:paraId="2362B1EA" w14:textId="77777777">
      <w:pPr>
        <w:pStyle w:val="Cabealho1"/>
        <w:ind w:firstLine="563"/>
        <w:jc w:val="both"/>
        <w:rPr>
          <w:sz w:val="24"/>
          <w:szCs w:val="24"/>
        </w:rPr>
      </w:pPr>
      <w:bookmarkStart w:name="_Toc48734682" w:id="1"/>
      <w:r w:rsidRPr="00504ED5">
        <w:rPr>
          <w:sz w:val="24"/>
          <w:szCs w:val="24"/>
        </w:rPr>
        <w:t>How and where to submit inputs</w:t>
      </w:r>
      <w:bookmarkEnd w:id="1"/>
    </w:p>
    <w:p w:rsidRPr="00504ED5" w:rsidR="00F44568" w:rsidP="00F44568" w:rsidRDefault="00F44568" w14:paraId="1C5024AB" w14:textId="77777777">
      <w:pPr>
        <w:pStyle w:val="NormalWeb"/>
        <w:jc w:val="both"/>
        <w:rPr>
          <w:rFonts w:ascii="Times New Roman" w:hAnsi="Times New Roman"/>
          <w:sz w:val="24"/>
        </w:rPr>
      </w:pPr>
      <w:r w:rsidRPr="00504ED5">
        <w:rPr>
          <w:rFonts w:ascii="Times New Roman" w:hAnsi="Times New Roman"/>
          <w:sz w:val="24"/>
        </w:rPr>
        <w:t>Inputs may be sent by e-mail by 15 November 2023.</w:t>
      </w:r>
    </w:p>
    <w:p w:rsidRPr="00504ED5" w:rsidR="00F44568" w:rsidP="00F44568" w:rsidRDefault="00F44568" w14:paraId="499B729C" w14:textId="77777777">
      <w:pPr>
        <w:pStyle w:val="Normal1"/>
        <w:jc w:val="both"/>
        <w:rPr>
          <w:rFonts w:ascii="Times New Roman" w:hAnsi="Times New Roman" w:cs="Times New Roman"/>
        </w:rPr>
      </w:pPr>
    </w:p>
    <w:tbl>
      <w:tblPr>
        <w:tblStyle w:val="Tabelacomgrelha"/>
        <w:tblW w:w="0" w:type="auto"/>
        <w:tblInd w:w="108" w:type="dxa"/>
        <w:tblLook w:val="04A0" w:firstRow="1" w:lastRow="0" w:firstColumn="1" w:lastColumn="0" w:noHBand="0" w:noVBand="1"/>
      </w:tblPr>
      <w:tblGrid>
        <w:gridCol w:w="2459"/>
        <w:gridCol w:w="5927"/>
      </w:tblGrid>
      <w:tr w:rsidRPr="00504ED5" w:rsidR="00F44568" w:rsidTr="00832487" w14:paraId="2312D766" w14:textId="77777777">
        <w:tc>
          <w:tcPr>
            <w:tcW w:w="2552" w:type="dxa"/>
          </w:tcPr>
          <w:p w:rsidRPr="00504ED5" w:rsidR="00F44568" w:rsidP="00832487" w:rsidRDefault="00F44568" w14:paraId="6B88B73E"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address</w:t>
            </w:r>
          </w:p>
        </w:tc>
        <w:tc>
          <w:tcPr>
            <w:tcW w:w="6237" w:type="dxa"/>
          </w:tcPr>
          <w:p w:rsidRPr="00504ED5" w:rsidR="00F44568" w:rsidP="00832487" w:rsidRDefault="00F44568" w14:paraId="76EAA6ED" w14:textId="77777777">
            <w:pPr>
              <w:pStyle w:val="NormalWeb"/>
              <w:jc w:val="both"/>
              <w:rPr>
                <w:rFonts w:ascii="Times New Roman" w:hAnsi="Times New Roman"/>
                <w:sz w:val="24"/>
                <w:lang w:val="en-US"/>
              </w:rPr>
            </w:pPr>
            <w:r w:rsidRPr="00504ED5">
              <w:rPr>
                <w:rStyle w:val="Hiperligao"/>
                <w:rFonts w:ascii="Times New Roman" w:hAnsi="Times New Roman"/>
                <w:sz w:val="24"/>
                <w:u w:color="0000FF"/>
                <w:lang w:val="pt-PT"/>
              </w:rPr>
              <w:t>ohchr-</w:t>
            </w:r>
            <w:hyperlink w:history="1" r:id="rId10">
              <w:r w:rsidRPr="00504ED5">
                <w:rPr>
                  <w:rStyle w:val="Hiperligao"/>
                  <w:rFonts w:ascii="Times New Roman" w:hAnsi="Times New Roman"/>
                  <w:sz w:val="24"/>
                  <w:u w:color="0000FF"/>
                  <w:lang w:val="pt-PT"/>
                </w:rPr>
                <w:t>srhealth@un.org</w:t>
              </w:r>
            </w:hyperlink>
          </w:p>
        </w:tc>
      </w:tr>
      <w:tr w:rsidRPr="00504ED5" w:rsidR="00F44568" w:rsidTr="00832487" w14:paraId="79DA36C8" w14:textId="77777777">
        <w:tc>
          <w:tcPr>
            <w:tcW w:w="2552" w:type="dxa"/>
          </w:tcPr>
          <w:p w:rsidRPr="00504ED5" w:rsidR="00F44568" w:rsidP="00832487" w:rsidRDefault="00F44568" w14:paraId="24DE1CED"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subject line</w:t>
            </w:r>
          </w:p>
        </w:tc>
        <w:tc>
          <w:tcPr>
            <w:tcW w:w="6237" w:type="dxa"/>
          </w:tcPr>
          <w:p w:rsidRPr="00504ED5" w:rsidR="00F44568" w:rsidP="00832487" w:rsidRDefault="00F44568" w14:paraId="780884C3" w14:textId="77777777">
            <w:pPr>
              <w:pStyle w:val="NormalWeb"/>
              <w:jc w:val="both"/>
              <w:rPr>
                <w:rFonts w:ascii="Times New Roman" w:hAnsi="Times New Roman"/>
                <w:sz w:val="24"/>
                <w:lang w:val="en-US"/>
              </w:rPr>
            </w:pPr>
            <w:r w:rsidRPr="00504ED5">
              <w:rPr>
                <w:rFonts w:ascii="Times New Roman" w:hAnsi="Times New Roman"/>
                <w:sz w:val="24"/>
                <w:lang w:val="en-US"/>
              </w:rPr>
              <w:t>Contribution to HRC report - SR right to health</w:t>
            </w:r>
          </w:p>
        </w:tc>
      </w:tr>
      <w:tr w:rsidRPr="00504ED5" w:rsidR="00F44568" w:rsidTr="00832487" w14:paraId="69BBB8EF" w14:textId="77777777">
        <w:tc>
          <w:tcPr>
            <w:tcW w:w="2552" w:type="dxa"/>
          </w:tcPr>
          <w:p w:rsidRPr="00504ED5" w:rsidR="00F44568" w:rsidP="00832487" w:rsidRDefault="00F44568" w14:paraId="43747FEE"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Word limit</w:t>
            </w:r>
          </w:p>
        </w:tc>
        <w:tc>
          <w:tcPr>
            <w:tcW w:w="6237" w:type="dxa"/>
          </w:tcPr>
          <w:p w:rsidRPr="00504ED5" w:rsidR="00F44568" w:rsidP="00832487" w:rsidRDefault="00F44568" w14:paraId="675CAF3E" w14:textId="77777777">
            <w:pPr>
              <w:pStyle w:val="NormalWeb"/>
              <w:jc w:val="both"/>
              <w:rPr>
                <w:rFonts w:ascii="Times New Roman" w:hAnsi="Times New Roman" w:eastAsia="Times New Roman"/>
                <w:color w:val="000000"/>
                <w:sz w:val="24"/>
                <w:lang w:val="en-US"/>
              </w:rPr>
            </w:pPr>
            <w:r>
              <w:rPr>
                <w:rFonts w:ascii="Times New Roman" w:hAnsi="Times New Roman" w:eastAsia="Times New Roman"/>
                <w:color w:val="000000"/>
                <w:sz w:val="24"/>
                <w:lang w:val="en-US"/>
              </w:rPr>
              <w:t xml:space="preserve">500 </w:t>
            </w:r>
            <w:r w:rsidRPr="00504ED5">
              <w:rPr>
                <w:rFonts w:ascii="Times New Roman" w:hAnsi="Times New Roman" w:eastAsia="Times New Roman"/>
                <w:color w:val="000000"/>
                <w:sz w:val="24"/>
                <w:lang w:val="en-US"/>
              </w:rPr>
              <w:t>words per question</w:t>
            </w:r>
          </w:p>
        </w:tc>
      </w:tr>
      <w:tr w:rsidRPr="00504ED5" w:rsidR="00F44568" w:rsidTr="00832487" w14:paraId="51020CAD" w14:textId="77777777">
        <w:tc>
          <w:tcPr>
            <w:tcW w:w="2552" w:type="dxa"/>
          </w:tcPr>
          <w:p w:rsidRPr="00504ED5" w:rsidR="00F44568" w:rsidP="00832487" w:rsidRDefault="00F44568" w14:paraId="61B299BD"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File formats</w:t>
            </w:r>
          </w:p>
        </w:tc>
        <w:tc>
          <w:tcPr>
            <w:tcW w:w="6237" w:type="dxa"/>
          </w:tcPr>
          <w:p w:rsidRPr="00504ED5" w:rsidR="00F44568" w:rsidP="00832487" w:rsidRDefault="00F44568" w14:paraId="1BC0DD9A"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 xml:space="preserve">Word </w:t>
            </w:r>
            <w:r>
              <w:rPr>
                <w:rFonts w:ascii="Times New Roman" w:hAnsi="Times New Roman" w:eastAsia="Times New Roman"/>
                <w:color w:val="000000"/>
                <w:sz w:val="24"/>
                <w:lang w:val="en-US"/>
              </w:rPr>
              <w:t>and PDF</w:t>
            </w:r>
          </w:p>
        </w:tc>
      </w:tr>
      <w:tr w:rsidRPr="00504ED5" w:rsidR="00F44568" w:rsidTr="00832487" w14:paraId="7C284391" w14:textId="77777777">
        <w:tc>
          <w:tcPr>
            <w:tcW w:w="2552" w:type="dxa"/>
          </w:tcPr>
          <w:p w:rsidRPr="00504ED5" w:rsidR="00F44568" w:rsidP="00832487" w:rsidRDefault="00F44568" w14:paraId="56AD175F"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Accepted languages</w:t>
            </w:r>
          </w:p>
        </w:tc>
        <w:tc>
          <w:tcPr>
            <w:tcW w:w="6237" w:type="dxa"/>
          </w:tcPr>
          <w:p w:rsidRPr="00504ED5" w:rsidR="00F44568" w:rsidP="00832487" w:rsidRDefault="00F44568" w14:paraId="49667F23"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English, French, Spanish</w:t>
            </w:r>
          </w:p>
        </w:tc>
      </w:tr>
    </w:tbl>
    <w:p w:rsidR="00F44568" w:rsidP="00F44568" w:rsidRDefault="00F44568" w14:paraId="2FB51A6C" w14:textId="77777777">
      <w:pPr>
        <w:pStyle w:val="Cabealho1"/>
        <w:jc w:val="both"/>
        <w:rPr>
          <w:sz w:val="24"/>
          <w:szCs w:val="24"/>
        </w:rPr>
      </w:pPr>
      <w:bookmarkStart w:name="_Toc48734683" w:id="2"/>
    </w:p>
    <w:p w:rsidRPr="00504ED5" w:rsidR="00F44568" w:rsidP="00F44568" w:rsidRDefault="00F44568" w14:paraId="51C367BE" w14:textId="77777777">
      <w:pPr>
        <w:pStyle w:val="Cabealho1"/>
        <w:ind w:firstLine="563"/>
        <w:jc w:val="both"/>
        <w:rPr>
          <w:sz w:val="24"/>
          <w:szCs w:val="24"/>
        </w:rPr>
      </w:pPr>
      <w:r w:rsidRPr="00504ED5">
        <w:rPr>
          <w:sz w:val="24"/>
          <w:szCs w:val="24"/>
        </w:rPr>
        <w:t>Treatment of inputs/comments received</w:t>
      </w:r>
      <w:bookmarkEnd w:id="2"/>
    </w:p>
    <w:p w:rsidR="00F44568" w:rsidP="00F44568" w:rsidRDefault="00F44568" w14:paraId="506FBAF1" w14:textId="77777777">
      <w:pPr>
        <w:pStyle w:val="Cabealho1"/>
        <w:ind w:left="0"/>
        <w:jc w:val="both"/>
        <w:rPr>
          <w:b w:val="0"/>
          <w:color w:val="000000"/>
          <w:sz w:val="24"/>
          <w:szCs w:val="24"/>
        </w:rPr>
      </w:pPr>
      <w:bookmarkStart w:name="_Toc48734684" w:id="3"/>
      <w:r w:rsidRPr="00504ED5">
        <w:rPr>
          <w:b w:val="0"/>
          <w:color w:val="000000"/>
          <w:sz w:val="24"/>
          <w:szCs w:val="24"/>
        </w:rPr>
        <w:t xml:space="preserve">Please note that all responses will be published on the official webpage of the </w:t>
      </w:r>
      <w:r>
        <w:rPr>
          <w:b w:val="0"/>
          <w:color w:val="000000"/>
          <w:sz w:val="24"/>
          <w:szCs w:val="24"/>
        </w:rPr>
        <w:t xml:space="preserve">mandate of the </w:t>
      </w:r>
      <w:r w:rsidRPr="00504ED5">
        <w:rPr>
          <w:b w:val="0"/>
          <w:color w:val="000000"/>
          <w:sz w:val="24"/>
          <w:szCs w:val="24"/>
        </w:rPr>
        <w:t>Special Rapporteur by default.</w:t>
      </w:r>
      <w:bookmarkEnd w:id="3"/>
    </w:p>
    <w:p w:rsidRPr="00D12608" w:rsidR="00F44568" w:rsidP="00F44568" w:rsidRDefault="00F44568" w14:paraId="69637E00" w14:textId="77777777"/>
    <w:p w:rsidR="00F44568" w:rsidP="00F44568" w:rsidRDefault="00F44568" w14:paraId="28E5A6A9" w14:textId="77777777">
      <w:pPr>
        <w:pStyle w:val="Cabealho1"/>
        <w:ind w:firstLine="563"/>
        <w:jc w:val="both"/>
        <w:rPr>
          <w:sz w:val="24"/>
          <w:szCs w:val="24"/>
        </w:rPr>
      </w:pPr>
      <w:r w:rsidRPr="00504ED5">
        <w:rPr>
          <w:sz w:val="24"/>
          <w:szCs w:val="24"/>
        </w:rPr>
        <w:t>Key Questions</w:t>
      </w:r>
    </w:p>
    <w:p w:rsidRPr="00D12608" w:rsidR="00F44568" w:rsidP="00F44568" w:rsidRDefault="00F44568" w14:paraId="0D376103" w14:textId="77777777"/>
    <w:p w:rsidRPr="00504ED5" w:rsidR="00F44568" w:rsidP="00F44568" w:rsidRDefault="00F44568" w14:paraId="20916BBC" w14:textId="77777777">
      <w:pPr>
        <w:pBdr>
          <w:top w:val="single" w:color="auto" w:sz="4" w:space="1"/>
          <w:left w:val="single" w:color="auto" w:sz="4" w:space="4"/>
          <w:bottom w:val="single" w:color="auto" w:sz="4" w:space="1"/>
          <w:right w:val="single" w:color="auto" w:sz="4" w:space="4"/>
        </w:pBdr>
        <w:jc w:val="both"/>
        <w:rPr>
          <w:i/>
          <w:sz w:val="24"/>
          <w:szCs w:val="24"/>
        </w:rPr>
      </w:pPr>
      <w:r w:rsidRPr="00504ED5">
        <w:rPr>
          <w:i/>
          <w:sz w:val="24"/>
          <w:szCs w:val="24"/>
        </w:rPr>
        <w:lastRenderedPageBreak/>
        <w:t>You can choose to answer all or some of the questions below. (</w:t>
      </w:r>
      <w:r>
        <w:rPr>
          <w:i/>
          <w:sz w:val="24"/>
          <w:szCs w:val="24"/>
        </w:rPr>
        <w:t>500</w:t>
      </w:r>
      <w:r w:rsidRPr="00504ED5">
        <w:rPr>
          <w:i/>
          <w:sz w:val="24"/>
          <w:szCs w:val="24"/>
        </w:rPr>
        <w:t xml:space="preserve"> words limit per question).</w:t>
      </w:r>
    </w:p>
    <w:p w:rsidRPr="00504ED5" w:rsidR="00F44568" w:rsidP="00F44568" w:rsidRDefault="00F44568" w14:paraId="05DED541" w14:textId="77777777">
      <w:pPr>
        <w:pStyle w:val="NormalWeb"/>
        <w:jc w:val="both"/>
        <w:rPr>
          <w:rFonts w:ascii="Times New Roman" w:hAnsi="Times New Roman"/>
          <w:sz w:val="24"/>
        </w:rPr>
      </w:pPr>
      <w:r w:rsidRPr="00504ED5">
        <w:rPr>
          <w:rFonts w:ascii="Times New Roman" w:hAnsi="Times New Roman"/>
          <w:sz w:val="24"/>
        </w:rPr>
        <w:t xml:space="preserve">Inputs may be sent by e-mail </w:t>
      </w:r>
      <w:r w:rsidRPr="00504ED5">
        <w:rPr>
          <w:rFonts w:ascii="Times New Roman" w:hAnsi="Times New Roman"/>
          <w:b/>
          <w:bCs/>
          <w:sz w:val="24"/>
        </w:rPr>
        <w:t>by 15 November 2023</w:t>
      </w:r>
      <w:r w:rsidRPr="00504ED5">
        <w:rPr>
          <w:rFonts w:ascii="Times New Roman" w:hAnsi="Times New Roman"/>
          <w:sz w:val="24"/>
        </w:rPr>
        <w:t>.</w:t>
      </w:r>
    </w:p>
    <w:p w:rsidR="00F44568" w:rsidP="00F44568" w:rsidRDefault="00F44568" w14:paraId="50A7DCCE" w14:textId="341D0963">
      <w:pPr>
        <w:numPr>
          <w:ilvl w:val="0"/>
          <w:numId w:val="2"/>
        </w:numPr>
        <w:spacing w:before="240" w:after="240" w:line="259" w:lineRule="auto"/>
        <w:rPr>
          <w:sz w:val="24"/>
          <w:szCs w:val="24"/>
        </w:rPr>
      </w:pPr>
      <w:r w:rsidRPr="005A1BF0">
        <w:rPr>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rsidR="00C64A2E" w:rsidP="00C64A2E" w:rsidRDefault="00315E01" w14:paraId="5147F8F2" w14:textId="206EDCFC">
      <w:pPr>
        <w:spacing w:before="240" w:after="240" w:line="259" w:lineRule="auto"/>
        <w:ind w:left="720"/>
        <w:rPr>
          <w:i/>
          <w:sz w:val="24"/>
          <w:szCs w:val="24"/>
        </w:rPr>
      </w:pPr>
      <w:r>
        <w:rPr>
          <w:i/>
          <w:sz w:val="24"/>
          <w:szCs w:val="24"/>
        </w:rPr>
        <w:t xml:space="preserve">R: </w:t>
      </w:r>
      <w:r w:rsidRPr="00315E01">
        <w:rPr>
          <w:i/>
          <w:sz w:val="24"/>
          <w:szCs w:val="24"/>
        </w:rPr>
        <w:t xml:space="preserve">Portugal was one of the first countries to devise a policy that prioritizes harm reduction in dealing with drug users. </w:t>
      </w:r>
      <w:r w:rsidRPr="00C64A2E" w:rsidR="00C64A2E">
        <w:rPr>
          <w:i/>
          <w:sz w:val="24"/>
          <w:szCs w:val="24"/>
        </w:rPr>
        <w:t xml:space="preserve">The NSP, which began in 1993 under the Portuguese Directorate-General for Health and the National Program for HIV/AIDS Infection, represents the effectiveness of the measures and strategies adopted, namely the reduction in the number of diagnosed cases of HIV infection in the group of people who </w:t>
      </w:r>
      <w:r w:rsidR="001024F7">
        <w:rPr>
          <w:i/>
          <w:sz w:val="24"/>
          <w:szCs w:val="24"/>
        </w:rPr>
        <w:t>inject</w:t>
      </w:r>
      <w:r w:rsidRPr="00C64A2E" w:rsidR="00C64A2E">
        <w:rPr>
          <w:i/>
          <w:sz w:val="24"/>
          <w:szCs w:val="24"/>
        </w:rPr>
        <w:t xml:space="preserve"> drugs</w:t>
      </w:r>
      <w:r w:rsidR="001024F7">
        <w:rPr>
          <w:i/>
          <w:sz w:val="24"/>
          <w:szCs w:val="24"/>
        </w:rPr>
        <w:t xml:space="preserve"> (PWID)</w:t>
      </w:r>
      <w:r w:rsidRPr="00C64A2E" w:rsidR="00C64A2E">
        <w:rPr>
          <w:i/>
          <w:sz w:val="24"/>
          <w:szCs w:val="24"/>
        </w:rPr>
        <w:t>.</w:t>
      </w:r>
      <w:r w:rsidR="001024F7">
        <w:rPr>
          <w:i/>
          <w:sz w:val="24"/>
          <w:szCs w:val="24"/>
        </w:rPr>
        <w:t xml:space="preserve"> </w:t>
      </w:r>
      <w:r w:rsidRPr="00315E01">
        <w:rPr>
          <w:i/>
          <w:sz w:val="24"/>
          <w:szCs w:val="24"/>
        </w:rPr>
        <w:t>Furthermore, in 2001, the government decided to decriminalize the use, possession and consumption of all drugs.</w:t>
      </w:r>
      <w:r w:rsidRPr="00315E01">
        <w:t xml:space="preserve"> </w:t>
      </w:r>
      <w:r w:rsidRPr="00315E01">
        <w:rPr>
          <w:i/>
          <w:sz w:val="24"/>
          <w:szCs w:val="24"/>
        </w:rPr>
        <w:t xml:space="preserve">However, the approach to addictions in Portugal did not stop at the decriminalization of drug use. In addition to reinforcing all the intervention that already existed in the areas of prevention, treatment and reintegration, Decree-Law no. 183/2001 of 21 June also created responses in the area of </w:t>
      </w:r>
      <w:r w:rsidR="00C64A2E">
        <w:rPr>
          <w:i/>
          <w:sz w:val="24"/>
          <w:szCs w:val="24"/>
        </w:rPr>
        <w:t>harm reduction were also created, such as Outreach</w:t>
      </w:r>
      <w:r w:rsidRPr="00315E01">
        <w:rPr>
          <w:i/>
          <w:sz w:val="24"/>
          <w:szCs w:val="24"/>
        </w:rPr>
        <w:t xml:space="preserve"> Teams, Suppo</w:t>
      </w:r>
      <w:r w:rsidR="001024F7">
        <w:rPr>
          <w:i/>
          <w:sz w:val="24"/>
          <w:szCs w:val="24"/>
        </w:rPr>
        <w:t>rt Offices, Low Threshold Substitution Programs,</w:t>
      </w:r>
      <w:r w:rsidRPr="00315E01">
        <w:rPr>
          <w:i/>
          <w:sz w:val="24"/>
          <w:szCs w:val="24"/>
        </w:rPr>
        <w:t xml:space="preserve"> Shelter Centres with the inclusion of technical teams in the area of addictions and Contact and Information Points, which today make up the National </w:t>
      </w:r>
      <w:r w:rsidR="00C64A2E">
        <w:rPr>
          <w:i/>
          <w:sz w:val="24"/>
          <w:szCs w:val="24"/>
        </w:rPr>
        <w:t>Harm Reduction</w:t>
      </w:r>
      <w:r w:rsidRPr="00315E01">
        <w:rPr>
          <w:i/>
          <w:sz w:val="24"/>
          <w:szCs w:val="24"/>
        </w:rPr>
        <w:t xml:space="preserve"> Network.</w:t>
      </w:r>
      <w:r w:rsidR="00C64A2E">
        <w:rPr>
          <w:i/>
          <w:sz w:val="24"/>
          <w:szCs w:val="24"/>
        </w:rPr>
        <w:t xml:space="preserve"> </w:t>
      </w:r>
      <w:r w:rsidRPr="00C64A2E" w:rsidR="00C64A2E">
        <w:rPr>
          <w:i/>
          <w:sz w:val="24"/>
          <w:szCs w:val="24"/>
        </w:rPr>
        <w:t xml:space="preserve">However, the drug consumption rooms </w:t>
      </w:r>
      <w:r w:rsidR="001024F7">
        <w:rPr>
          <w:i/>
          <w:sz w:val="24"/>
          <w:szCs w:val="24"/>
        </w:rPr>
        <w:t xml:space="preserve">(DCR) </w:t>
      </w:r>
      <w:r w:rsidRPr="00C64A2E" w:rsidR="00C64A2E">
        <w:rPr>
          <w:i/>
          <w:sz w:val="24"/>
          <w:szCs w:val="24"/>
        </w:rPr>
        <w:t>that had a legal framework only opened in 2021, 20 years after they were approved.</w:t>
      </w:r>
    </w:p>
    <w:p w:rsidRPr="00315E01" w:rsidR="001024F7" w:rsidP="00C64A2E" w:rsidRDefault="001024F7" w14:paraId="582065F2" w14:textId="5A267C60">
      <w:pPr>
        <w:spacing w:before="240" w:after="240" w:line="259" w:lineRule="auto"/>
        <w:ind w:left="720"/>
        <w:rPr>
          <w:i/>
          <w:sz w:val="24"/>
          <w:szCs w:val="24"/>
        </w:rPr>
      </w:pPr>
      <w:r w:rsidRPr="001024F7">
        <w:rPr>
          <w:i/>
          <w:sz w:val="24"/>
          <w:szCs w:val="24"/>
        </w:rPr>
        <w:t>In 25 years of working in the field</w:t>
      </w:r>
      <w:r>
        <w:rPr>
          <w:i/>
          <w:sz w:val="24"/>
          <w:szCs w:val="24"/>
        </w:rPr>
        <w:t xml:space="preserve"> and </w:t>
      </w:r>
      <w:r w:rsidR="00AC246D">
        <w:rPr>
          <w:i/>
          <w:sz w:val="24"/>
          <w:szCs w:val="24"/>
        </w:rPr>
        <w:t xml:space="preserve">with </w:t>
      </w:r>
      <w:r>
        <w:rPr>
          <w:i/>
          <w:sz w:val="24"/>
          <w:szCs w:val="24"/>
        </w:rPr>
        <w:t>a Harm</w:t>
      </w:r>
      <w:r w:rsidRPr="001024F7">
        <w:rPr>
          <w:i/>
          <w:sz w:val="24"/>
          <w:szCs w:val="24"/>
        </w:rPr>
        <w:t xml:space="preserve"> Reduction policy, we have seen a decrease in infectious diseases, namely HIV, which in 2001 was 60% serology positive to 14% in 2023, HCV </w:t>
      </w:r>
      <w:r w:rsidR="00AC246D">
        <w:rPr>
          <w:i/>
          <w:sz w:val="24"/>
          <w:szCs w:val="24"/>
        </w:rPr>
        <w:t xml:space="preserve">positive </w:t>
      </w:r>
      <w:r w:rsidRPr="001024F7">
        <w:rPr>
          <w:i/>
          <w:sz w:val="24"/>
          <w:szCs w:val="24"/>
        </w:rPr>
        <w:t>in 2001 was 80% to 55% in 2023 and Tuberculosis in 2001 was 14% to less than 1% in 2023.</w:t>
      </w:r>
    </w:p>
    <w:p w:rsidRPr="005A1BF0" w:rsidR="00F44568" w:rsidP="00F44568" w:rsidRDefault="00F44568" w14:paraId="52CE9B88" w14:textId="77777777">
      <w:pPr>
        <w:numPr>
          <w:ilvl w:val="0"/>
          <w:numId w:val="2"/>
        </w:numPr>
        <w:spacing w:before="240" w:after="240" w:line="259" w:lineRule="auto"/>
        <w:rPr>
          <w:sz w:val="24"/>
          <w:szCs w:val="24"/>
        </w:rPr>
      </w:pPr>
      <w:r w:rsidRPr="19D3FA24">
        <w:rPr>
          <w:sz w:val="24"/>
          <w:szCs w:val="24"/>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rsidR="55A56E73" w:rsidP="00AA6763" w:rsidRDefault="00AA6763" w14:paraId="420F4C51" w14:textId="25267726">
      <w:pPr>
        <w:spacing w:line="276" w:lineRule="auto"/>
        <w:ind w:left="630"/>
        <w:rPr>
          <w:i/>
          <w:iCs/>
          <w:sz w:val="24"/>
          <w:szCs w:val="24"/>
        </w:rPr>
      </w:pPr>
      <w:r>
        <w:rPr>
          <w:i/>
          <w:iCs/>
          <w:sz w:val="24"/>
          <w:szCs w:val="24"/>
        </w:rPr>
        <w:t xml:space="preserve">R: </w:t>
      </w:r>
      <w:r w:rsidRPr="19D3FA24" w:rsidR="55A56E73">
        <w:rPr>
          <w:i/>
          <w:iCs/>
          <w:sz w:val="24"/>
          <w:szCs w:val="24"/>
        </w:rPr>
        <w:t xml:space="preserve">In Portugal, with the implementation of the law decriminalizing drug use in 2001, addiction began to </w:t>
      </w:r>
      <w:proofErr w:type="gramStart"/>
      <w:r w:rsidRPr="19D3FA24" w:rsidR="55A56E73">
        <w:rPr>
          <w:i/>
          <w:iCs/>
          <w:sz w:val="24"/>
          <w:szCs w:val="24"/>
        </w:rPr>
        <w:t>be seen</w:t>
      </w:r>
      <w:proofErr w:type="gramEnd"/>
      <w:r w:rsidRPr="19D3FA24" w:rsidR="55A56E73">
        <w:rPr>
          <w:i/>
          <w:iCs/>
          <w:sz w:val="24"/>
          <w:szCs w:val="24"/>
        </w:rPr>
        <w:t xml:space="preserve"> as a health issue and not as something criminal. This meant that people who use drugs (PWUD) began to be seen as people and some of them as addicts, with appropriate treatment and responses. Since this change in the law (updated in September 2023) which, despite considering the use and possession of drugs to be illegal, makes an exception for those who are in possession of an amount equal to or less than 10 doses of a substance per day (table of quantities is included in the law), they are referred to a specific </w:t>
      </w:r>
      <w:r w:rsidRPr="19D3FA24" w:rsidR="55A56E73">
        <w:rPr>
          <w:i/>
          <w:iCs/>
          <w:sz w:val="24"/>
          <w:szCs w:val="24"/>
        </w:rPr>
        <w:lastRenderedPageBreak/>
        <w:t>commission which will assess their use profile and then refer them to the appropriate structures, whatever their profile.</w:t>
      </w:r>
    </w:p>
    <w:p w:rsidR="14588CBF" w:rsidP="19D3FA24" w:rsidRDefault="14588CBF" w14:paraId="1DA0AC6D" w14:textId="7FE74456">
      <w:pPr>
        <w:spacing w:line="276" w:lineRule="auto"/>
        <w:ind w:left="630" w:hanging="630"/>
        <w:rPr>
          <w:i/>
          <w:iCs/>
          <w:sz w:val="24"/>
          <w:szCs w:val="24"/>
        </w:rPr>
      </w:pPr>
      <w:r w:rsidRPr="19D3FA24">
        <w:rPr>
          <w:i/>
          <w:iCs/>
          <w:sz w:val="24"/>
          <w:szCs w:val="24"/>
        </w:rPr>
        <w:t xml:space="preserve">          </w:t>
      </w:r>
      <w:r w:rsidRPr="19D3FA24" w:rsidR="55A56E73">
        <w:rPr>
          <w:i/>
          <w:iCs/>
          <w:sz w:val="24"/>
          <w:szCs w:val="24"/>
        </w:rPr>
        <w:t>This allowed PWUS to be seen as people with vulnerabilities who needed (some) appropriate responses. The police, hospitals, courts and the population in general now saw this problem from a health perspective, with obvious benefits.</w:t>
      </w:r>
    </w:p>
    <w:p w:rsidR="4BB3E206" w:rsidP="19D3FA24" w:rsidRDefault="4BB3E206" w14:paraId="50DD7ADE" w14:textId="65BE7C2F">
      <w:pPr>
        <w:spacing w:line="276" w:lineRule="auto"/>
        <w:ind w:left="630" w:hanging="630"/>
        <w:rPr>
          <w:i/>
          <w:iCs/>
          <w:sz w:val="24"/>
          <w:szCs w:val="24"/>
        </w:rPr>
      </w:pPr>
      <w:r w:rsidRPr="19D3FA24">
        <w:rPr>
          <w:i/>
          <w:iCs/>
          <w:sz w:val="24"/>
          <w:szCs w:val="24"/>
        </w:rPr>
        <w:t xml:space="preserve">         </w:t>
      </w:r>
      <w:r w:rsidRPr="19D3FA24" w:rsidR="404DE0E6">
        <w:rPr>
          <w:i/>
          <w:iCs/>
          <w:sz w:val="24"/>
          <w:szCs w:val="24"/>
        </w:rPr>
        <w:t xml:space="preserve">This law has also given rise to a number of complementary responses to this problem, such as the opening of addiction treatment </w:t>
      </w:r>
      <w:proofErr w:type="spellStart"/>
      <w:r w:rsidRPr="19D3FA24" w:rsidR="404DE0E6">
        <w:rPr>
          <w:i/>
          <w:iCs/>
          <w:sz w:val="24"/>
          <w:szCs w:val="24"/>
        </w:rPr>
        <w:t>centers</w:t>
      </w:r>
      <w:proofErr w:type="spellEnd"/>
      <w:r w:rsidRPr="19D3FA24" w:rsidR="404DE0E6">
        <w:rPr>
          <w:i/>
          <w:iCs/>
          <w:sz w:val="24"/>
          <w:szCs w:val="24"/>
        </w:rPr>
        <w:t xml:space="preserve"> in all the country's districts, the opening of inpatient facilities for withdrawal and investments in harm reduction, namely in street teams, an outpatient methadone program and a reception </w:t>
      </w:r>
      <w:proofErr w:type="spellStart"/>
      <w:r w:rsidRPr="19D3FA24" w:rsidR="404DE0E6">
        <w:rPr>
          <w:i/>
          <w:iCs/>
          <w:sz w:val="24"/>
          <w:szCs w:val="24"/>
        </w:rPr>
        <w:t>center</w:t>
      </w:r>
      <w:proofErr w:type="spellEnd"/>
      <w:r w:rsidRPr="19D3FA24" w:rsidR="404DE0E6">
        <w:rPr>
          <w:i/>
          <w:iCs/>
          <w:sz w:val="24"/>
          <w:szCs w:val="24"/>
        </w:rPr>
        <w:t xml:space="preserve"> for PWUD.</w:t>
      </w:r>
    </w:p>
    <w:p w:rsidR="1A6F572C" w:rsidP="19D3FA24" w:rsidRDefault="1A6F572C" w14:paraId="6FA6CD62" w14:textId="39A4F739">
      <w:pPr>
        <w:spacing w:line="276" w:lineRule="auto"/>
        <w:ind w:left="630" w:hanging="630"/>
      </w:pPr>
      <w:r w:rsidRPr="19D3FA24">
        <w:rPr>
          <w:i/>
          <w:iCs/>
          <w:sz w:val="24"/>
          <w:szCs w:val="24"/>
        </w:rPr>
        <w:t xml:space="preserve">         </w:t>
      </w:r>
      <w:r w:rsidRPr="19D3FA24" w:rsidR="404DE0E6">
        <w:rPr>
          <w:i/>
          <w:iCs/>
          <w:sz w:val="24"/>
          <w:szCs w:val="24"/>
        </w:rPr>
        <w:t>Although a path has been opened up with this law, there are still blockages, both on a personal level and in some institutions, with the creation of barriers that are not in line with the population in question, such as waiting times, the number of appointments until admission, etc.</w:t>
      </w:r>
    </w:p>
    <w:p w:rsidR="55A56E73" w:rsidP="00AA6763" w:rsidRDefault="404DE0E6" w14:paraId="71F0F7A8" w14:textId="6B0953C7">
      <w:r w:rsidRPr="19D3FA24">
        <w:rPr>
          <w:i/>
          <w:iCs/>
          <w:sz w:val="24"/>
          <w:szCs w:val="24"/>
        </w:rPr>
        <w:t xml:space="preserve"> </w:t>
      </w:r>
      <w:r w:rsidRPr="19D3FA24" w:rsidR="55A56E73">
        <w:t xml:space="preserve"> </w:t>
      </w:r>
    </w:p>
    <w:p w:rsidRPr="005A1BF0" w:rsidR="00F44568" w:rsidP="00F44568" w:rsidRDefault="00F44568" w14:paraId="5B31A24C" w14:textId="77777777">
      <w:pPr>
        <w:numPr>
          <w:ilvl w:val="0"/>
          <w:numId w:val="2"/>
        </w:numPr>
        <w:spacing w:line="259" w:lineRule="auto"/>
        <w:rPr>
          <w:sz w:val="24"/>
          <w:szCs w:val="24"/>
        </w:rPr>
      </w:pPr>
      <w:r w:rsidRPr="19D3FA24">
        <w:rPr>
          <w:sz w:val="24"/>
          <w:szCs w:val="24"/>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rsidRPr="005A1BF0" w:rsidR="00F44568" w:rsidP="00F44568" w:rsidRDefault="00F44568" w14:paraId="1A2C1B0C" w14:textId="77777777">
      <w:pPr>
        <w:numPr>
          <w:ilvl w:val="0"/>
          <w:numId w:val="2"/>
        </w:numPr>
        <w:spacing w:before="240" w:after="240" w:line="259" w:lineRule="auto"/>
        <w:rPr>
          <w:sz w:val="24"/>
          <w:szCs w:val="24"/>
        </w:rPr>
      </w:pPr>
      <w:r w:rsidRPr="19D3FA24">
        <w:rPr>
          <w:sz w:val="24"/>
          <w:szCs w:val="24"/>
        </w:rPr>
        <w:t>Beyond reducing the adverse health, social, and legal consequences of drug use, what other areas can benefit from harm reduction policies, programmes, and practices in furtherance of the right to health and related human rights? Examples may include, but are not limited to, the decriminalisation of sex work, the decriminalization of abortion, and safe sex programmes.</w:t>
      </w:r>
    </w:p>
    <w:p w:rsidRPr="00104EFD" w:rsidR="352F7A6A" w:rsidP="00104EFD" w:rsidRDefault="00AA6763" w14:paraId="11A8ABE0" w14:textId="482A40C1">
      <w:pPr>
        <w:spacing w:before="240" w:after="240" w:line="259" w:lineRule="auto"/>
        <w:ind w:left="720"/>
        <w:rPr>
          <w:i/>
          <w:iCs/>
          <w:sz w:val="24"/>
          <w:szCs w:val="24"/>
        </w:rPr>
      </w:pPr>
      <w:r>
        <w:rPr>
          <w:i/>
          <w:iCs/>
          <w:sz w:val="24"/>
          <w:szCs w:val="24"/>
        </w:rPr>
        <w:t xml:space="preserve">R: </w:t>
      </w:r>
      <w:r w:rsidRPr="19D3FA24" w:rsidR="352F7A6A">
        <w:rPr>
          <w:i/>
          <w:iCs/>
          <w:sz w:val="24"/>
          <w:szCs w:val="24"/>
        </w:rPr>
        <w:t xml:space="preserve">It seems to me that in areas such as the homeless population, mental health in general and the treatment of infectious diseases. </w:t>
      </w:r>
      <w:proofErr w:type="gramStart"/>
      <w:r w:rsidRPr="19D3FA24" w:rsidR="352F7A6A">
        <w:rPr>
          <w:i/>
          <w:iCs/>
          <w:sz w:val="24"/>
          <w:szCs w:val="24"/>
        </w:rPr>
        <w:t>Although harm reduction approaches must be at the service of those who need it most and those who are least able, they should not be exclusive to them, because when we talk about harm reduction, we are talking about democratization, ease and effectiveness of access to services, health or social, for everyone, because it implies an approach of acceptance, humility, humanism and understanding that is necessary across the spectrum of the helping relationship that must exist in the various services.</w:t>
      </w:r>
      <w:proofErr w:type="gramEnd"/>
    </w:p>
    <w:p w:rsidRPr="005A1BF0" w:rsidR="00F44568" w:rsidP="00F44568" w:rsidRDefault="00F44568" w14:paraId="2916623E" w14:textId="77777777">
      <w:pPr>
        <w:numPr>
          <w:ilvl w:val="0"/>
          <w:numId w:val="2"/>
        </w:numPr>
        <w:spacing w:line="259" w:lineRule="auto"/>
        <w:rPr>
          <w:sz w:val="24"/>
          <w:szCs w:val="24"/>
        </w:rPr>
      </w:pPr>
      <w:r w:rsidRPr="19D3FA24">
        <w:rPr>
          <w:sz w:val="24"/>
          <w:szCs w:val="24"/>
        </w:rPr>
        <w:t>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stereotypes and stigma on the different groups of the population</w:t>
      </w:r>
      <w:r w:rsidRPr="19D3FA24">
        <w:rPr>
          <w:color w:val="000000" w:themeColor="text1"/>
          <w:sz w:val="24"/>
          <w:szCs w:val="24"/>
        </w:rPr>
        <w:t xml:space="preserve"> e.g., persons in situation of homelessness, </w:t>
      </w:r>
      <w:r w:rsidRPr="19D3FA24">
        <w:rPr>
          <w:sz w:val="24"/>
          <w:szCs w:val="24"/>
        </w:rPr>
        <w:t xml:space="preserve">migration, </w:t>
      </w:r>
      <w:r w:rsidRPr="19D3FA24">
        <w:rPr>
          <w:color w:val="000000" w:themeColor="text1"/>
          <w:sz w:val="24"/>
          <w:szCs w:val="24"/>
        </w:rPr>
        <w:t>or poverty, sex workers, women, children, LGBTIQ+ persons, persons who are detained or incarcerated</w:t>
      </w:r>
      <w:r w:rsidRPr="19D3FA24">
        <w:rPr>
          <w:sz w:val="24"/>
          <w:szCs w:val="24"/>
        </w:rPr>
        <w:t xml:space="preserve">, </w:t>
      </w:r>
      <w:r w:rsidRPr="19D3FA24">
        <w:rPr>
          <w:color w:val="000000" w:themeColor="text1"/>
          <w:sz w:val="24"/>
          <w:szCs w:val="24"/>
        </w:rPr>
        <w:t>persons with disabilities, Indigenous Peoples, Black persons, persons affected by HIV or hepatitis, and persons living in rural areas, etc.)</w:t>
      </w:r>
      <w:r w:rsidRPr="19D3FA24">
        <w:rPr>
          <w:sz w:val="24"/>
          <w:szCs w:val="24"/>
        </w:rPr>
        <w:t>.</w:t>
      </w:r>
    </w:p>
    <w:p w:rsidR="19D3FA24" w:rsidP="19D3FA24" w:rsidRDefault="19D3FA24" w14:paraId="3D65EB72" w14:textId="2641FD02">
      <w:pPr>
        <w:spacing w:line="259" w:lineRule="auto"/>
      </w:pPr>
    </w:p>
    <w:p w:rsidRPr="00AA6763" w:rsidR="6CA6AA73" w:rsidP="19D3FA24" w:rsidRDefault="00AA6763" w14:paraId="67BBFBAE" w14:textId="6B5168AF">
      <w:pPr>
        <w:spacing w:line="259" w:lineRule="auto"/>
        <w:ind w:left="720"/>
        <w:rPr>
          <w:i/>
          <w:iCs/>
          <w:sz w:val="24"/>
          <w:szCs w:val="24"/>
        </w:rPr>
      </w:pPr>
      <w:proofErr w:type="gramStart"/>
      <w:r w:rsidRPr="00AA6763">
        <w:rPr>
          <w:i/>
          <w:iCs/>
          <w:sz w:val="24"/>
          <w:szCs w:val="24"/>
        </w:rPr>
        <w:t xml:space="preserve">R: </w:t>
      </w:r>
      <w:r w:rsidRPr="00AA6763" w:rsidR="6CA6AA73">
        <w:rPr>
          <w:i/>
          <w:iCs/>
          <w:sz w:val="24"/>
          <w:szCs w:val="24"/>
        </w:rPr>
        <w:t xml:space="preserve">In Portugal, and in Lisbon in particular, there are several responses to PWUD, including a municipal reception </w:t>
      </w:r>
      <w:proofErr w:type="spellStart"/>
      <w:r w:rsidRPr="00AA6763" w:rsidR="6CA6AA73">
        <w:rPr>
          <w:i/>
          <w:iCs/>
          <w:sz w:val="24"/>
          <w:szCs w:val="24"/>
        </w:rPr>
        <w:t>center</w:t>
      </w:r>
      <w:proofErr w:type="spellEnd"/>
      <w:r w:rsidRPr="00AA6763" w:rsidR="6CA6AA73">
        <w:rPr>
          <w:i/>
          <w:iCs/>
          <w:sz w:val="24"/>
          <w:szCs w:val="24"/>
        </w:rPr>
        <w:t xml:space="preserve"> (CAEM </w:t>
      </w:r>
      <w:proofErr w:type="spellStart"/>
      <w:r w:rsidRPr="00AA6763" w:rsidR="6CA6AA73">
        <w:rPr>
          <w:i/>
          <w:iCs/>
          <w:sz w:val="24"/>
          <w:szCs w:val="24"/>
        </w:rPr>
        <w:t>Sta</w:t>
      </w:r>
      <w:proofErr w:type="spellEnd"/>
      <w:r w:rsidRPr="00AA6763" w:rsidR="6CA6AA73">
        <w:rPr>
          <w:i/>
          <w:iCs/>
          <w:sz w:val="24"/>
          <w:szCs w:val="24"/>
        </w:rPr>
        <w:t xml:space="preserve"> Bárbara) that houses people with disabilities, LGBTIQA+ people and/or couples, people with </w:t>
      </w:r>
      <w:r w:rsidRPr="00AA6763" w:rsidR="6CA6AA73">
        <w:rPr>
          <w:i/>
          <w:iCs/>
          <w:sz w:val="24"/>
          <w:szCs w:val="24"/>
        </w:rPr>
        <w:lastRenderedPageBreak/>
        <w:t>pets, migrants with or without legal status in the country and with a specific place for alcohol and drug use, supervised by a technical team that provides medical and psychosocial care and nursing screening and DRID screening for residents.</w:t>
      </w:r>
      <w:proofErr w:type="gramEnd"/>
      <w:r w:rsidRPr="00AA6763" w:rsidR="6CA6AA73">
        <w:rPr>
          <w:i/>
          <w:iCs/>
          <w:sz w:val="24"/>
          <w:szCs w:val="24"/>
        </w:rPr>
        <w:t xml:space="preserve"> Several municipal street teams for homeless people and PWUD, Housing First project run by various organizations, reception </w:t>
      </w:r>
      <w:proofErr w:type="spellStart"/>
      <w:r w:rsidRPr="00AA6763" w:rsidR="6CA6AA73">
        <w:rPr>
          <w:i/>
          <w:iCs/>
          <w:sz w:val="24"/>
          <w:szCs w:val="24"/>
        </w:rPr>
        <w:t>center</w:t>
      </w:r>
      <w:proofErr w:type="spellEnd"/>
      <w:r w:rsidRPr="00AA6763" w:rsidR="6CA6AA73">
        <w:rPr>
          <w:i/>
          <w:iCs/>
          <w:sz w:val="24"/>
          <w:szCs w:val="24"/>
        </w:rPr>
        <w:t xml:space="preserve"> for PWUD, general reception </w:t>
      </w:r>
      <w:proofErr w:type="spellStart"/>
      <w:r w:rsidRPr="00AA6763" w:rsidR="6CA6AA73">
        <w:rPr>
          <w:i/>
          <w:iCs/>
          <w:sz w:val="24"/>
          <w:szCs w:val="24"/>
        </w:rPr>
        <w:t>center</w:t>
      </w:r>
      <w:proofErr w:type="spellEnd"/>
      <w:r w:rsidRPr="00AA6763" w:rsidR="6CA6AA73">
        <w:rPr>
          <w:i/>
          <w:iCs/>
          <w:sz w:val="24"/>
          <w:szCs w:val="24"/>
        </w:rPr>
        <w:t>, outpatient methadone and NSP programme, mobile drug consumption room (DCR), fixed drug consumption room (DCR), oral health programmes for homeless people.</w:t>
      </w:r>
    </w:p>
    <w:p w:rsidRPr="00AA6763" w:rsidR="6CA6AA73" w:rsidP="19D3FA24" w:rsidRDefault="6CA6AA73" w14:paraId="6E430BEE" w14:textId="3EE21459">
      <w:pPr>
        <w:spacing w:line="259" w:lineRule="auto"/>
        <w:ind w:left="720"/>
        <w:rPr>
          <w:i/>
          <w:iCs/>
          <w:sz w:val="24"/>
          <w:szCs w:val="24"/>
        </w:rPr>
      </w:pPr>
      <w:r w:rsidRPr="00AA6763">
        <w:rPr>
          <w:i/>
          <w:iCs/>
          <w:sz w:val="24"/>
          <w:szCs w:val="24"/>
        </w:rPr>
        <w:t>Nucleus of NGO and official partners to assist homeless people. Decentralized consultations for diagnosis and treatment of Hepatitis C, HIV, general health and mental health.</w:t>
      </w:r>
    </w:p>
    <w:p w:rsidR="6CA6AA73" w:rsidP="19D3FA24" w:rsidRDefault="6CA6AA73" w14:paraId="3A88BA42" w14:textId="53E00709">
      <w:pPr>
        <w:spacing w:line="259" w:lineRule="auto"/>
        <w:ind w:left="720"/>
        <w:rPr>
          <w:i/>
          <w:iCs/>
          <w:sz w:val="24"/>
          <w:szCs w:val="24"/>
        </w:rPr>
      </w:pPr>
      <w:r w:rsidRPr="19D3FA24">
        <w:rPr>
          <w:i/>
          <w:iCs/>
          <w:sz w:val="24"/>
          <w:szCs w:val="24"/>
        </w:rPr>
        <w:t xml:space="preserve">There is a lack of programs specifically designed to meet the needs of women </w:t>
      </w:r>
      <w:proofErr w:type="gramStart"/>
      <w:r w:rsidRPr="19D3FA24">
        <w:rPr>
          <w:i/>
          <w:iCs/>
          <w:sz w:val="24"/>
          <w:szCs w:val="24"/>
        </w:rPr>
        <w:t>and</w:t>
      </w:r>
      <w:proofErr w:type="gramEnd"/>
      <w:r w:rsidRPr="19D3FA24">
        <w:rPr>
          <w:i/>
          <w:iCs/>
          <w:sz w:val="24"/>
          <w:szCs w:val="24"/>
        </w:rPr>
        <w:t xml:space="preserve"> the LGBTQIA+ population. In prisons in our </w:t>
      </w:r>
      <w:proofErr w:type="gramStart"/>
      <w:r w:rsidRPr="19D3FA24">
        <w:rPr>
          <w:i/>
          <w:iCs/>
          <w:sz w:val="24"/>
          <w:szCs w:val="24"/>
        </w:rPr>
        <w:t>country</w:t>
      </w:r>
      <w:proofErr w:type="gramEnd"/>
      <w:r w:rsidRPr="19D3FA24">
        <w:rPr>
          <w:i/>
          <w:iCs/>
          <w:sz w:val="24"/>
          <w:szCs w:val="24"/>
        </w:rPr>
        <w:t xml:space="preserve"> it is still very difficult to have the same kind of responses that exist in the community, be it OST, NSP access to HCV treatment and other DRID. Migrants are often excluded from treatment and health services because they don't have documentation or because of communication difficulties. </w:t>
      </w:r>
      <w:r w:rsidRPr="19D3FA24" w:rsidR="477C56B5">
        <w:rPr>
          <w:i/>
          <w:iCs/>
          <w:sz w:val="24"/>
          <w:szCs w:val="24"/>
        </w:rPr>
        <w:t>The existence of the services I mentioned is not accessible in the same way outside the country's capital. In these places, the response is scarce and increases the stigmatization of these populations, and in the case of the homeless, it is increasingly common for them to travel to the capital in search of support, putting pressure on the services.</w:t>
      </w:r>
    </w:p>
    <w:p w:rsidRPr="005A1BF0" w:rsidR="00F44568" w:rsidP="00F44568" w:rsidRDefault="00F44568" w14:paraId="5AC3B7EB" w14:textId="77777777">
      <w:pPr>
        <w:ind w:left="720"/>
        <w:rPr>
          <w:sz w:val="24"/>
          <w:szCs w:val="24"/>
        </w:rPr>
      </w:pPr>
    </w:p>
    <w:p w:rsidRPr="005A1BF0" w:rsidR="00F44568" w:rsidP="00F44568" w:rsidRDefault="00F44568" w14:paraId="21739295" w14:textId="77777777">
      <w:pPr>
        <w:numPr>
          <w:ilvl w:val="0"/>
          <w:numId w:val="2"/>
        </w:numPr>
        <w:spacing w:line="259" w:lineRule="auto"/>
        <w:rPr>
          <w:sz w:val="24"/>
          <w:szCs w:val="24"/>
        </w:rPr>
      </w:pPr>
      <w:r w:rsidRPr="19D3FA24">
        <w:rPr>
          <w:sz w:val="24"/>
          <w:szCs w:val="24"/>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rsidR="19D3FA24" w:rsidP="19D3FA24" w:rsidRDefault="19D3FA24" w14:paraId="4EF91278" w14:textId="3F9AF527">
      <w:pPr>
        <w:spacing w:line="259" w:lineRule="auto"/>
      </w:pPr>
    </w:p>
    <w:p w:rsidR="6E614F62" w:rsidP="00AA6763" w:rsidRDefault="00AA6763" w14:paraId="0256D152" w14:textId="217BB05E">
      <w:pPr>
        <w:spacing w:line="259" w:lineRule="auto"/>
        <w:ind w:left="720"/>
      </w:pPr>
      <w:r>
        <w:rPr>
          <w:i/>
          <w:iCs/>
          <w:sz w:val="24"/>
          <w:szCs w:val="24"/>
        </w:rPr>
        <w:t xml:space="preserve">R: </w:t>
      </w:r>
      <w:r w:rsidRPr="19D3FA24" w:rsidR="6E614F62">
        <w:rPr>
          <w:i/>
          <w:iCs/>
          <w:sz w:val="24"/>
          <w:szCs w:val="24"/>
        </w:rPr>
        <w:t>In our country, some judicial institutions and/or judges give PWUD convicts the chance to serve their sentence in a therapeutic community, with the aim of rehabilitating them.</w:t>
      </w:r>
    </w:p>
    <w:p w:rsidR="00F44568" w:rsidP="00F44568" w:rsidRDefault="00F44568" w14:paraId="69CB1A4B" w14:textId="77777777">
      <w:pPr>
        <w:pStyle w:val="PargrafodaLista"/>
        <w:numPr>
          <w:ilvl w:val="0"/>
          <w:numId w:val="2"/>
        </w:numPr>
        <w:spacing w:before="240" w:after="240" w:line="259" w:lineRule="auto"/>
        <w:rPr>
          <w:sz w:val="24"/>
          <w:szCs w:val="24"/>
        </w:rPr>
      </w:pPr>
      <w:r w:rsidRPr="19D3FA24">
        <w:rPr>
          <w:sz w:val="24"/>
          <w:szCs w:val="24"/>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19D3FA24">
        <w:rPr>
          <w:color w:val="000000" w:themeColor="text1"/>
          <w:sz w:val="24"/>
          <w:szCs w:val="24"/>
        </w:rPr>
        <w:t xml:space="preserve">Please also provide examples focusing on the need for, and impact of, harm reduction </w:t>
      </w:r>
      <w:r w:rsidRPr="19D3FA24">
        <w:rPr>
          <w:sz w:val="24"/>
          <w:szCs w:val="24"/>
        </w:rPr>
        <w:t>policies, programmes, and practices</w:t>
      </w:r>
      <w:r w:rsidRPr="19D3FA24">
        <w:rPr>
          <w:color w:val="000000" w:themeColor="text1"/>
          <w:sz w:val="24"/>
          <w:szCs w:val="24"/>
        </w:rPr>
        <w:t xml:space="preserve"> on different groups of the population (e.g., persons in situation of homelessness, </w:t>
      </w:r>
      <w:r w:rsidRPr="19D3FA24">
        <w:rPr>
          <w:sz w:val="24"/>
          <w:szCs w:val="24"/>
        </w:rPr>
        <w:t xml:space="preserve">migration, </w:t>
      </w:r>
      <w:r w:rsidRPr="19D3FA24">
        <w:rPr>
          <w:color w:val="000000" w:themeColor="text1"/>
          <w:sz w:val="24"/>
          <w:szCs w:val="24"/>
        </w:rPr>
        <w:t>or poverty, sex workers, women, children, LGBTIQ+ persons, persons who are detained or incarcerated</w:t>
      </w:r>
      <w:r w:rsidRPr="19D3FA24">
        <w:rPr>
          <w:sz w:val="24"/>
          <w:szCs w:val="24"/>
        </w:rPr>
        <w:t xml:space="preserve">, </w:t>
      </w:r>
      <w:r w:rsidRPr="19D3FA24">
        <w:rPr>
          <w:color w:val="000000" w:themeColor="text1"/>
          <w:sz w:val="24"/>
          <w:szCs w:val="24"/>
        </w:rPr>
        <w:t>persons with disabilities, Indigenous Peoples, Black persons, persons affected by HIV or hepatitis, and persons living in rural areas, etc.)</w:t>
      </w:r>
      <w:r w:rsidRPr="19D3FA24">
        <w:rPr>
          <w:sz w:val="24"/>
          <w:szCs w:val="24"/>
        </w:rPr>
        <w:t>.</w:t>
      </w:r>
    </w:p>
    <w:p w:rsidRPr="005A1BF0" w:rsidR="00F44568" w:rsidP="00F44568" w:rsidRDefault="00F44568" w14:paraId="2FBCA9FB" w14:textId="77777777">
      <w:pPr>
        <w:pStyle w:val="PargrafodaLista"/>
        <w:spacing w:before="240" w:after="240"/>
        <w:rPr>
          <w:sz w:val="24"/>
          <w:szCs w:val="24"/>
        </w:rPr>
      </w:pPr>
    </w:p>
    <w:p w:rsidRPr="005A1BF0" w:rsidR="00F44568" w:rsidP="00F44568" w:rsidRDefault="00F44568" w14:paraId="73D1C9E3" w14:textId="77777777">
      <w:pPr>
        <w:pStyle w:val="PargrafodaLista"/>
        <w:numPr>
          <w:ilvl w:val="0"/>
          <w:numId w:val="2"/>
        </w:numPr>
        <w:spacing w:after="160" w:line="259" w:lineRule="auto"/>
        <w:rPr>
          <w:sz w:val="24"/>
          <w:szCs w:val="24"/>
        </w:rPr>
      </w:pPr>
      <w:r w:rsidRPr="19D3FA24">
        <w:rPr>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rsidRPr="00AA6763" w:rsidR="40017D6A" w:rsidP="19D3FA24" w:rsidRDefault="00AA6763" w14:paraId="09C6FAAE" w14:textId="07262C2D">
      <w:pPr>
        <w:spacing w:after="160" w:line="259" w:lineRule="auto"/>
        <w:ind w:left="720"/>
        <w:rPr>
          <w:i/>
          <w:iCs/>
        </w:rPr>
      </w:pPr>
      <w:r w:rsidRPr="00AA6763">
        <w:rPr>
          <w:i/>
          <w:sz w:val="24"/>
          <w:szCs w:val="24"/>
        </w:rPr>
        <w:lastRenderedPageBreak/>
        <w:t xml:space="preserve">R: </w:t>
      </w:r>
      <w:r w:rsidRPr="00AA6763" w:rsidR="40017D6A">
        <w:rPr>
          <w:i/>
          <w:sz w:val="24"/>
          <w:szCs w:val="24"/>
        </w:rPr>
        <w:t xml:space="preserve">Yes there are many, for example, </w:t>
      </w:r>
      <w:r w:rsidRPr="00AA6763" w:rsidR="40017D6A">
        <w:rPr>
          <w:i/>
          <w:iCs/>
          <w:sz w:val="24"/>
          <w:szCs w:val="24"/>
        </w:rPr>
        <w:t>outpatient methadone and NSP, outreach teams delivering NSP programme, mobile drug consumption room (DCR), fixed drug consumption room (DCR)</w:t>
      </w:r>
      <w:r w:rsidRPr="00AA6763" w:rsidR="686E1573">
        <w:rPr>
          <w:i/>
          <w:iCs/>
          <w:sz w:val="24"/>
          <w:szCs w:val="24"/>
        </w:rPr>
        <w:t>.</w:t>
      </w:r>
    </w:p>
    <w:p w:rsidR="00706561" w:rsidRDefault="00706561" w14:paraId="0E383939" w14:textId="77777777"/>
    <w:sectPr w:rsidR="00706561" w:rsidSect="00ED053D">
      <w:footerReference w:type="default" r:id="rId11"/>
      <w:headerReference w:type="first" r:id="rId12"/>
      <w:footerReference w:type="first" r:id="rId13"/>
      <w:pgSz w:w="11906" w:h="16838" w:orient="portrait"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45" w:rsidP="00F44568" w:rsidRDefault="002B7245" w14:paraId="2C5883BE" w14:textId="77777777">
      <w:r>
        <w:separator/>
      </w:r>
    </w:p>
  </w:endnote>
  <w:endnote w:type="continuationSeparator" w:id="0">
    <w:p w:rsidR="002B7245" w:rsidP="00F44568" w:rsidRDefault="002B7245" w14:paraId="7EAD21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rsidR="00DD28C7" w:rsidRDefault="00F44568" w14:paraId="3B96BF74" w14:textId="6CF31300">
        <w:pPr>
          <w:pStyle w:val="Rodap"/>
          <w:jc w:val="center"/>
        </w:pPr>
        <w:r>
          <w:fldChar w:fldCharType="begin"/>
        </w:r>
        <w:r>
          <w:instrText xml:space="preserve"> PAGE   \* MERGEFORMAT </w:instrText>
        </w:r>
        <w:r>
          <w:fldChar w:fldCharType="separate"/>
        </w:r>
        <w:r w:rsidR="00E675DE">
          <w:rPr>
            <w:noProof/>
          </w:rPr>
          <w:t>6</w:t>
        </w:r>
        <w:r>
          <w:rPr>
            <w:noProof/>
          </w:rPr>
          <w:fldChar w:fldCharType="end"/>
        </w:r>
      </w:p>
    </w:sdtContent>
  </w:sdt>
  <w:p w:rsidR="00DD28C7" w:rsidP="00F80A14" w:rsidRDefault="00DD28C7" w14:paraId="213B9C82" w14:textId="77777777">
    <w:pPr>
      <w:pStyle w:val="Rodap"/>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F10CA" w:rsidR="00DD28C7" w:rsidP="0044209B" w:rsidRDefault="00F44568" w14:paraId="1A917967" w14:textId="77777777">
    <w:pPr>
      <w:pStyle w:val="Rodap"/>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rsidRPr="00282983" w:rsidR="00DD28C7" w:rsidP="000448F9" w:rsidRDefault="00F44568" w14:paraId="59EB3650" w14:textId="77777777">
    <w:pPr>
      <w:pStyle w:val="Rodap"/>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45" w:rsidP="00F44568" w:rsidRDefault="002B7245" w14:paraId="7F3BA47A" w14:textId="77777777">
      <w:r>
        <w:separator/>
      </w:r>
    </w:p>
  </w:footnote>
  <w:footnote w:type="continuationSeparator" w:id="0">
    <w:p w:rsidR="002B7245" w:rsidP="00F44568" w:rsidRDefault="002B7245" w14:paraId="65D63E40" w14:textId="77777777">
      <w:r>
        <w:continuationSeparator/>
      </w:r>
    </w:p>
  </w:footnote>
  <w:footnote w:id="1">
    <w:p w:rsidR="00F44568" w:rsidP="00F44568" w:rsidRDefault="00F44568" w14:paraId="3CF4A20B" w14:textId="77777777">
      <w:pPr>
        <w:pStyle w:val="Textodenotaderodap"/>
      </w:pPr>
      <w:r>
        <w:rPr>
          <w:rStyle w:val="Refdenotaderodap"/>
        </w:rPr>
        <w:footnoteRef/>
      </w:r>
      <w:r>
        <w:t xml:space="preserve"> See: </w:t>
      </w:r>
      <w:hyperlink w:history="1" r:id="rId1">
        <w:r w:rsidRPr="00CF7286">
          <w:rPr>
            <w:rStyle w:val="Hiperligao"/>
          </w:rPr>
          <w:t>www.who.int/news-room/fact-sheets/detail/commercial-determinants-of-health</w:t>
        </w:r>
      </w:hyperlink>
    </w:p>
  </w:footnote>
  <w:footnote w:id="2">
    <w:p w:rsidRPr="005A1BF0" w:rsidR="00F44568" w:rsidP="00F44568" w:rsidRDefault="00F44568" w14:paraId="0FF966A7" w14:textId="77777777">
      <w:pPr>
        <w:pStyle w:val="Textodenotaderodap"/>
      </w:pPr>
      <w:r>
        <w:rPr>
          <w:rStyle w:val="Refdenotaderodap"/>
        </w:rPr>
        <w:footnoteRef/>
      </w:r>
      <w:r w:rsidRPr="00B612B4">
        <w:t xml:space="preserve"> See also: </w:t>
      </w:r>
      <w:hyperlink w:history="1" r:id="rId2">
        <w:r w:rsidRPr="00B612B4">
          <w:rPr>
            <w:rStyle w:val="Hiperligao"/>
          </w:rPr>
          <w:t>https://undocs.org/Home/Mobile?FinalSymbol=A%2F65%2F255&amp;Language=E&amp;DeviceType=Desktop&amp;LangRequested=False</w:t>
        </w:r>
      </w:hyperlink>
      <w:r w:rsidRPr="00B612B4">
        <w:t xml:space="preserve">, para. </w:t>
      </w:r>
      <w:r w:rsidRPr="005A1BF0">
        <w:t>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25A9D" w:rsidR="00DD28C7" w:rsidP="001D2D0D" w:rsidRDefault="00F44568" w14:paraId="3F35088E" w14:textId="77777777">
    <w:pPr>
      <w:pStyle w:val="Cabealho"/>
      <w:tabs>
        <w:tab w:val="clear" w:pos="4153"/>
        <w:tab w:val="clear" w:pos="8306"/>
      </w:tabs>
      <w:jc w:val="center"/>
      <w:rPr>
        <w:sz w:val="14"/>
        <w:szCs w:val="14"/>
        <w:lang w:val="en-GB"/>
      </w:rPr>
    </w:pPr>
    <w:r w:rsidRPr="003F7C17">
      <w:rPr>
        <w:noProof/>
        <w:snapToGrid/>
        <w:sz w:val="14"/>
        <w:szCs w:val="14"/>
        <w:lang w:val="pt-PT" w:eastAsia="pt-PT"/>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Pr="002745FF" w:rsidR="00DD28C7" w:rsidP="001D2D0D" w:rsidRDefault="00F44568" w14:paraId="709617CF" w14:textId="77777777">
    <w:pPr>
      <w:pStyle w:val="Cabealho"/>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DD28C7" w:rsidP="000448F9" w:rsidRDefault="00F44568" w14:paraId="491C5370" w14:textId="77777777">
    <w:pPr>
      <w:pStyle w:val="Cabealho"/>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w:history="1" r:id="rId2">
      <w:r w:rsidRPr="00563C2A">
        <w:rPr>
          <w:rStyle w:val="Hiperligao"/>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3D3357"/>
    <w:multiLevelType w:val="hybridMultilevel"/>
    <w:tmpl w:val="B59E0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68"/>
    <w:rsid w:val="00053CD5"/>
    <w:rsid w:val="001024F7"/>
    <w:rsid w:val="00104EFD"/>
    <w:rsid w:val="002B7245"/>
    <w:rsid w:val="00315E01"/>
    <w:rsid w:val="00706561"/>
    <w:rsid w:val="00886430"/>
    <w:rsid w:val="009321F2"/>
    <w:rsid w:val="00985EEF"/>
    <w:rsid w:val="00AA6763"/>
    <w:rsid w:val="00AC246D"/>
    <w:rsid w:val="00C64A2E"/>
    <w:rsid w:val="00DD28C7"/>
    <w:rsid w:val="00E675DE"/>
    <w:rsid w:val="00EE19A0"/>
    <w:rsid w:val="00F44568"/>
    <w:rsid w:val="0F420BBF"/>
    <w:rsid w:val="14588CBF"/>
    <w:rsid w:val="19D3FA24"/>
    <w:rsid w:val="1A6F572C"/>
    <w:rsid w:val="23021ECB"/>
    <w:rsid w:val="2B666CFE"/>
    <w:rsid w:val="352F7A6A"/>
    <w:rsid w:val="40017D6A"/>
    <w:rsid w:val="404DE0E6"/>
    <w:rsid w:val="46B4618C"/>
    <w:rsid w:val="477C56B5"/>
    <w:rsid w:val="47D7744E"/>
    <w:rsid w:val="4B78B50B"/>
    <w:rsid w:val="4BB3E206"/>
    <w:rsid w:val="537AADBE"/>
    <w:rsid w:val="55A56E73"/>
    <w:rsid w:val="605181A4"/>
    <w:rsid w:val="619C67E4"/>
    <w:rsid w:val="626F14F4"/>
    <w:rsid w:val="686E1573"/>
    <w:rsid w:val="6B0B755D"/>
    <w:rsid w:val="6CA6AA73"/>
    <w:rsid w:val="6E614F62"/>
    <w:rsid w:val="78FC6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1534"/>
  <w15:chartTrackingRefBased/>
  <w15:docId w15:val="{685C907D-4E54-487B-A158-8CC30640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4568"/>
    <w:pPr>
      <w:spacing w:after="0" w:line="240" w:lineRule="auto"/>
    </w:pPr>
    <w:rPr>
      <w:rFonts w:ascii="Times New Roman" w:hAnsi="Times New Roman" w:eastAsia="Times New Roman" w:cs="Times New Roman"/>
      <w:sz w:val="20"/>
      <w:szCs w:val="20"/>
    </w:rPr>
  </w:style>
  <w:style w:type="paragraph" w:styleId="Cabealho1">
    <w:name w:val="heading 1"/>
    <w:basedOn w:val="Normal"/>
    <w:next w:val="Normal"/>
    <w:link w:val="Cabealho1Carter"/>
    <w:qFormat/>
    <w:rsid w:val="00F44568"/>
    <w:pPr>
      <w:keepNext/>
      <w:ind w:left="-563"/>
      <w:jc w:val="center"/>
      <w:outlineLvl w:val="0"/>
    </w:pPr>
    <w:rPr>
      <w:b/>
      <w:sz w:val="18"/>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Cabealho1Carter" w:customStyle="1">
    <w:name w:val="Cabeçalho 1 Caráter"/>
    <w:basedOn w:val="Tipodeletrapredefinidodopargrafo"/>
    <w:link w:val="Cabealho1"/>
    <w:rsid w:val="00F44568"/>
    <w:rPr>
      <w:rFonts w:ascii="Times New Roman" w:hAnsi="Times New Roman" w:eastAsia="Times New Roman" w:cs="Times New Roman"/>
      <w:b/>
      <w:sz w:val="18"/>
      <w:szCs w:val="20"/>
    </w:rPr>
  </w:style>
  <w:style w:type="paragraph" w:styleId="Cabealho">
    <w:name w:val="header"/>
    <w:basedOn w:val="Normal"/>
    <w:link w:val="CabealhoCarter"/>
    <w:uiPriority w:val="99"/>
    <w:rsid w:val="00F44568"/>
    <w:pPr>
      <w:tabs>
        <w:tab w:val="center" w:pos="4153"/>
        <w:tab w:val="right" w:pos="8306"/>
      </w:tabs>
    </w:pPr>
    <w:rPr>
      <w:snapToGrid w:val="0"/>
      <w:lang w:val="en-AU"/>
    </w:rPr>
  </w:style>
  <w:style w:type="character" w:styleId="CabealhoCarter" w:customStyle="1">
    <w:name w:val="Cabeçalho Caráter"/>
    <w:basedOn w:val="Tipodeletrapredefinidodopargrafo"/>
    <w:link w:val="Cabealho"/>
    <w:uiPriority w:val="99"/>
    <w:rsid w:val="00F44568"/>
    <w:rPr>
      <w:rFonts w:ascii="Times New Roman" w:hAnsi="Times New Roman" w:eastAsia="Times New Roman" w:cs="Times New Roman"/>
      <w:snapToGrid w:val="0"/>
      <w:sz w:val="20"/>
      <w:szCs w:val="20"/>
      <w:lang w:val="en-AU"/>
    </w:rPr>
  </w:style>
  <w:style w:type="paragraph" w:styleId="Rodap">
    <w:name w:val="footer"/>
    <w:basedOn w:val="Normal"/>
    <w:link w:val="RodapCarter"/>
    <w:uiPriority w:val="99"/>
    <w:rsid w:val="00F44568"/>
    <w:pPr>
      <w:tabs>
        <w:tab w:val="center" w:pos="4153"/>
        <w:tab w:val="right" w:pos="8306"/>
      </w:tabs>
    </w:pPr>
  </w:style>
  <w:style w:type="character" w:styleId="RodapCarter" w:customStyle="1">
    <w:name w:val="Rodapé Caráter"/>
    <w:basedOn w:val="Tipodeletrapredefinidodopargrafo"/>
    <w:link w:val="Rodap"/>
    <w:uiPriority w:val="99"/>
    <w:rsid w:val="00F44568"/>
    <w:rPr>
      <w:rFonts w:ascii="Times New Roman" w:hAnsi="Times New Roman" w:eastAsia="Times New Roman" w:cs="Times New Roman"/>
      <w:sz w:val="20"/>
      <w:szCs w:val="20"/>
    </w:rPr>
  </w:style>
  <w:style w:type="table" w:styleId="Tabelacomgrelha">
    <w:name w:val="Table Grid"/>
    <w:basedOn w:val="Tabelanormal"/>
    <w:uiPriority w:val="59"/>
    <w:rsid w:val="00F4456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notaderodap">
    <w:name w:val="footnote reference"/>
    <w:aliases w:val="4_G"/>
    <w:uiPriority w:val="99"/>
    <w:qFormat/>
    <w:rsid w:val="00F44568"/>
    <w:rPr>
      <w:rFonts w:cs="Times New Roman"/>
      <w:vertAlign w:val="superscript"/>
    </w:rPr>
  </w:style>
  <w:style w:type="character" w:styleId="Hiperligao">
    <w:name w:val="Hyperlink"/>
    <w:rsid w:val="00F44568"/>
    <w:rPr>
      <w:color w:val="0000FF"/>
      <w:u w:val="single"/>
    </w:rPr>
  </w:style>
  <w:style w:type="paragraph" w:styleId="PargrafodaLista">
    <w:name w:val="List Paragraph"/>
    <w:basedOn w:val="Normal"/>
    <w:uiPriority w:val="34"/>
    <w:qFormat/>
    <w:rsid w:val="00F44568"/>
    <w:pPr>
      <w:ind w:left="720"/>
      <w:contextualSpacing/>
    </w:pPr>
  </w:style>
  <w:style w:type="paragraph" w:styleId="BodyA" w:customStyle="1">
    <w:name w:val="Body A"/>
    <w:uiPriority w:val="99"/>
    <w:rsid w:val="00F44568"/>
    <w:pPr>
      <w:pBdr>
        <w:top w:val="nil"/>
        <w:left w:val="nil"/>
        <w:bottom w:val="nil"/>
        <w:right w:val="nil"/>
        <w:between w:val="nil"/>
        <w:bar w:val="nil"/>
      </w:pBdr>
      <w:spacing w:after="0" w:line="240" w:lineRule="auto"/>
    </w:pPr>
    <w:rPr>
      <w:rFonts w:ascii="Cambria" w:hAnsi="Cambria"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None" w:customStyle="1">
    <w:name w:val="None"/>
    <w:rsid w:val="00F44568"/>
  </w:style>
  <w:style w:type="paragraph" w:styleId="NormalWeb">
    <w:name w:val="Normal (Web)"/>
    <w:basedOn w:val="Normal"/>
    <w:uiPriority w:val="99"/>
    <w:unhideWhenUsed/>
    <w:rsid w:val="00F44568"/>
    <w:pPr>
      <w:spacing w:before="120"/>
    </w:pPr>
    <w:rPr>
      <w:rFonts w:ascii="Verdana" w:hAnsi="Verdana" w:eastAsia="Helvetica Neue"/>
      <w:szCs w:val="24"/>
      <w:lang w:val="en"/>
    </w:rPr>
  </w:style>
  <w:style w:type="paragraph" w:styleId="Normal1" w:customStyle="1">
    <w:name w:val="Normal1"/>
    <w:rsid w:val="00F44568"/>
    <w:pPr>
      <w:spacing w:after="0" w:line="240" w:lineRule="auto"/>
    </w:pPr>
    <w:rPr>
      <w:rFonts w:ascii="Helvetica Neue" w:hAnsi="Helvetica Neue" w:eastAsia="Helvetica Neue" w:cs="Helvetica Neue"/>
      <w:sz w:val="24"/>
      <w:szCs w:val="24"/>
      <w:lang w:val="en-US"/>
    </w:rPr>
  </w:style>
  <w:style w:type="paragraph" w:styleId="Textodenotaderodap">
    <w:name w:val="footnote text"/>
    <w:aliases w:val="5_G"/>
    <w:basedOn w:val="Normal"/>
    <w:link w:val="TextodenotaderodapCarter"/>
    <w:uiPriority w:val="99"/>
    <w:qFormat/>
    <w:rsid w:val="00F44568"/>
    <w:pPr>
      <w:tabs>
        <w:tab w:val="right" w:pos="1021"/>
      </w:tabs>
      <w:suppressAutoHyphens/>
      <w:spacing w:line="220" w:lineRule="exact"/>
      <w:ind w:left="1134" w:right="1134" w:hanging="1134"/>
    </w:pPr>
    <w:rPr>
      <w:sz w:val="18"/>
    </w:rPr>
  </w:style>
  <w:style w:type="character" w:styleId="TextodenotaderodapCarter" w:customStyle="1">
    <w:name w:val="Texto de nota de rodapé Caráter"/>
    <w:aliases w:val="5_G Caráter"/>
    <w:basedOn w:val="Tipodeletrapredefinidodopargrafo"/>
    <w:link w:val="Textodenotaderodap"/>
    <w:uiPriority w:val="99"/>
    <w:rsid w:val="00F44568"/>
    <w:rPr>
      <w:rFonts w:ascii="Times New Roman" w:hAnsi="Times New Roman"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rhealth@un.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Lisbon Ares do Pinhal</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2.xml><?xml version="1.0" encoding="utf-8"?>
<ds:datastoreItem xmlns:ds="http://schemas.openxmlformats.org/officeDocument/2006/customXml" ds:itemID="{B2643C5A-19DB-4166-82BB-1AE886DC3403}"/>
</file>

<file path=customXml/itemProps3.xml><?xml version="1.0" encoding="utf-8"?>
<ds:datastoreItem xmlns:ds="http://schemas.openxmlformats.org/officeDocument/2006/customXml" ds:itemID="{C98C2F56-7773-4357-BEDD-D3CD869E59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Karin Hechenleitner Schacht</cp:lastModifiedBy>
  <cp:revision>6</cp:revision>
  <cp:lastPrinted>2023-11-14T11:37:00Z</cp:lastPrinted>
  <dcterms:created xsi:type="dcterms:W3CDTF">2023-11-13T11:47:00Z</dcterms:created>
  <dcterms:modified xsi:type="dcterms:W3CDTF">2024-06-21T14:27:18Z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