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CBA17" w14:textId="77777777" w:rsidR="00F44568" w:rsidRPr="00504ED5" w:rsidRDefault="00F44568" w:rsidP="00F44568">
      <w:pPr>
        <w:ind w:left="2160" w:firstLine="720"/>
        <w:rPr>
          <w:b/>
          <w:sz w:val="24"/>
          <w:szCs w:val="24"/>
          <w:u w:val="single"/>
        </w:rPr>
      </w:pPr>
      <w:r w:rsidRPr="00504ED5">
        <w:rPr>
          <w:b/>
          <w:sz w:val="24"/>
          <w:szCs w:val="24"/>
          <w:u w:val="single"/>
        </w:rPr>
        <w:t>QUESTIONNAIRE</w:t>
      </w:r>
    </w:p>
    <w:p w14:paraId="03FBCCD1" w14:textId="77777777" w:rsidR="00F44568" w:rsidRPr="00504ED5" w:rsidRDefault="00F44568" w:rsidP="00F44568">
      <w:pPr>
        <w:pStyle w:val="BodyA"/>
        <w:outlineLvl w:val="0"/>
        <w:rPr>
          <w:rFonts w:ascii="Times New Roman" w:eastAsia="Times New Roman" w:hAnsi="Times New Roman" w:cs="Times New Roman"/>
          <w:b/>
          <w:color w:val="auto"/>
          <w:u w:val="single"/>
          <w:bdr w:val="none" w:sz="0" w:space="0" w:color="auto"/>
          <w:lang w:val="en-GB" w:eastAsia="en-US"/>
          <w14:textOutline w14:w="0" w14:cap="rnd" w14:cmpd="sng" w14:algn="ctr">
            <w14:noFill/>
            <w14:prstDash w14:val="solid"/>
            <w14:bevel/>
          </w14:textOutline>
        </w:rPr>
      </w:pPr>
    </w:p>
    <w:p w14:paraId="6DED13D6" w14:textId="77777777" w:rsidR="00F44568" w:rsidRPr="00504ED5" w:rsidRDefault="00F44568" w:rsidP="00F44568">
      <w:pPr>
        <w:pStyle w:val="BodyA"/>
        <w:outlineLvl w:val="0"/>
        <w:rPr>
          <w:rStyle w:val="None"/>
          <w:rFonts w:ascii="Times New Roman" w:eastAsia="Times New Roman" w:hAnsi="Times New Roman" w:cs="Times New Roman"/>
          <w:b/>
          <w:bCs/>
        </w:rPr>
      </w:pPr>
      <w:r w:rsidRPr="00504ED5">
        <w:rPr>
          <w:rStyle w:val="None"/>
          <w:rFonts w:ascii="Times New Roman" w:hAnsi="Times New Roman" w:cs="Times New Roman"/>
          <w:b/>
          <w:bCs/>
        </w:rPr>
        <w:t>Contact Details</w:t>
      </w:r>
    </w:p>
    <w:p w14:paraId="3B1EF580" w14:textId="77777777" w:rsidR="00F44568" w:rsidRPr="00504ED5" w:rsidRDefault="00F44568" w:rsidP="00F44568">
      <w:pPr>
        <w:pStyle w:val="BodyA"/>
        <w:rPr>
          <w:rStyle w:val="None"/>
          <w:rFonts w:ascii="Times New Roman" w:eastAsia="Times New Roman" w:hAnsi="Times New Roman" w:cs="Times New Roman"/>
        </w:rPr>
      </w:pPr>
    </w:p>
    <w:p w14:paraId="2DBCF39C" w14:textId="77777777" w:rsidR="00F44568" w:rsidRPr="00504ED5" w:rsidRDefault="00F44568" w:rsidP="00F44568">
      <w:pPr>
        <w:pStyle w:val="BodyA"/>
        <w:rPr>
          <w:rStyle w:val="None"/>
          <w:rFonts w:ascii="Times New Roman" w:eastAsia="Times New Roman" w:hAnsi="Times New Roman" w:cs="Times New Roman"/>
        </w:rPr>
      </w:pPr>
      <w:r w:rsidRPr="00E81385">
        <w:rPr>
          <w:rStyle w:val="None"/>
          <w:rFonts w:ascii="Times New Roman" w:hAnsi="Times New Roman" w:cs="Times New Roman"/>
        </w:rPr>
        <w:t>Please provide your contact details in case we need to contact you in connection with this questionnaire</w:t>
      </w:r>
      <w:r w:rsidRPr="00504ED5">
        <w:rPr>
          <w:rStyle w:val="None"/>
          <w:rFonts w:ascii="Times New Roman" w:hAnsi="Times New Roman" w:cs="Times New Roman"/>
        </w:rPr>
        <w:t>. Note that this is optional.</w:t>
      </w:r>
    </w:p>
    <w:p w14:paraId="44DA85C8" w14:textId="77777777" w:rsidR="00F44568" w:rsidRPr="00504ED5" w:rsidRDefault="00F44568" w:rsidP="00F44568">
      <w:pPr>
        <w:pStyle w:val="BodyA"/>
        <w:rPr>
          <w:rStyle w:val="None"/>
          <w:rFonts w:ascii="Times New Roman" w:eastAsia="Times New Roman" w:hAnsi="Times New Roman" w:cs="Times New Roman"/>
        </w:rPr>
      </w:pPr>
    </w:p>
    <w:tbl>
      <w:tblPr>
        <w:tblW w:w="850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13"/>
        <w:gridCol w:w="5192"/>
      </w:tblGrid>
      <w:tr w:rsidR="00F44568" w:rsidRPr="00504ED5" w14:paraId="7B93D4D2" w14:textId="77777777" w:rsidTr="00832487">
        <w:trPr>
          <w:trHeight w:val="933"/>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B28E5" w14:textId="77777777" w:rsidR="00F44568" w:rsidRPr="00693A50" w:rsidRDefault="00F44568" w:rsidP="00832487">
            <w:pPr>
              <w:pStyle w:val="BodyA"/>
              <w:rPr>
                <w:rFonts w:ascii="Times New Roman" w:hAnsi="Times New Roman" w:cs="Times New Roman"/>
                <w:lang w:val="fr-FR"/>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C877F" w14:textId="1CE323C6" w:rsidR="00F44568" w:rsidRPr="00504ED5" w:rsidRDefault="00316278" w:rsidP="00832487">
            <w:pPr>
              <w:rPr>
                <w:sz w:val="24"/>
                <w:szCs w:val="24"/>
              </w:rPr>
            </w:pPr>
            <w:r w:rsidRPr="00316278">
              <w:rPr>
                <w:sz w:val="24"/>
                <w:szCs w:val="24"/>
                <w:highlight w:val="yellow"/>
              </w:rPr>
              <w:fldChar w:fldCharType="begin">
                <w:ffData>
                  <w:name w:val="Check3"/>
                  <w:enabled/>
                  <w:calcOnExit w:val="0"/>
                  <w:checkBox>
                    <w:sizeAuto/>
                    <w:default w:val="0"/>
                  </w:checkBox>
                </w:ffData>
              </w:fldChar>
            </w:r>
            <w:bookmarkStart w:id="0" w:name="Check3"/>
            <w:r w:rsidRPr="00316278">
              <w:rPr>
                <w:sz w:val="24"/>
                <w:szCs w:val="24"/>
                <w:highlight w:val="yellow"/>
              </w:rPr>
              <w:instrText xml:space="preserve"> FORMCHECKBOX </w:instrText>
            </w:r>
            <w:r w:rsidR="00000000">
              <w:rPr>
                <w:sz w:val="24"/>
                <w:szCs w:val="24"/>
                <w:highlight w:val="yellow"/>
              </w:rPr>
            </w:r>
            <w:r w:rsidR="00000000">
              <w:rPr>
                <w:sz w:val="24"/>
                <w:szCs w:val="24"/>
                <w:highlight w:val="yellow"/>
              </w:rPr>
              <w:fldChar w:fldCharType="separate"/>
            </w:r>
            <w:r w:rsidRPr="00316278">
              <w:rPr>
                <w:sz w:val="24"/>
                <w:szCs w:val="24"/>
                <w:highlight w:val="yellow"/>
              </w:rPr>
              <w:fldChar w:fldCharType="end"/>
            </w:r>
            <w:bookmarkEnd w:id="0"/>
            <w:r w:rsidR="00F44568" w:rsidRPr="00316278">
              <w:rPr>
                <w:sz w:val="24"/>
                <w:szCs w:val="24"/>
                <w:highlight w:val="yellow"/>
              </w:rPr>
              <w:t xml:space="preserve">  Member State</w:t>
            </w:r>
            <w:r w:rsidR="00F44568" w:rsidRPr="00504ED5">
              <w:rPr>
                <w:sz w:val="24"/>
                <w:szCs w:val="24"/>
              </w:rPr>
              <w:t xml:space="preserve">     </w:t>
            </w:r>
          </w:p>
          <w:p w14:paraId="0296F6B8" w14:textId="77777777" w:rsidR="00F44568" w:rsidRPr="00504ED5" w:rsidRDefault="00F44568" w:rsidP="00832487">
            <w:pPr>
              <w:ind w:left="394" w:hanging="394"/>
              <w:rPr>
                <w:sz w:val="24"/>
                <w:szCs w:val="24"/>
              </w:rPr>
            </w:pPr>
            <w:r w:rsidRPr="00504ED5">
              <w:rPr>
                <w:sz w:val="24"/>
                <w:szCs w:val="24"/>
              </w:rPr>
              <w:fldChar w:fldCharType="begin">
                <w:ffData>
                  <w:name w:val="Check3"/>
                  <w:enabled/>
                  <w:calcOnExit w:val="0"/>
                  <w:checkBox>
                    <w:sizeAuto/>
                    <w:default w:val="0"/>
                  </w:checkBox>
                </w:ffData>
              </w:fldChar>
            </w:r>
            <w:r w:rsidRPr="00504ED5">
              <w:rPr>
                <w:sz w:val="24"/>
                <w:szCs w:val="24"/>
              </w:rPr>
              <w:instrText xml:space="preserve"> FORMCHECKBOX </w:instrText>
            </w:r>
            <w:r w:rsidR="00000000">
              <w:rPr>
                <w:sz w:val="24"/>
                <w:szCs w:val="24"/>
              </w:rPr>
            </w:r>
            <w:r w:rsidR="00000000">
              <w:rPr>
                <w:sz w:val="24"/>
                <w:szCs w:val="24"/>
              </w:rPr>
              <w:fldChar w:fldCharType="separate"/>
            </w:r>
            <w:r w:rsidRPr="00504ED5">
              <w:rPr>
                <w:sz w:val="24"/>
                <w:szCs w:val="24"/>
              </w:rPr>
              <w:fldChar w:fldCharType="end"/>
            </w:r>
            <w:r w:rsidRPr="00504ED5">
              <w:rPr>
                <w:sz w:val="24"/>
                <w:szCs w:val="24"/>
              </w:rPr>
              <w:t xml:space="preserve">  Observer State</w:t>
            </w:r>
          </w:p>
          <w:p w14:paraId="7483B3C0" w14:textId="77777777" w:rsidR="00F44568" w:rsidRPr="00504ED5" w:rsidRDefault="00F44568" w:rsidP="00832487">
            <w:pPr>
              <w:ind w:left="394" w:hanging="394"/>
              <w:rPr>
                <w:sz w:val="24"/>
                <w:szCs w:val="24"/>
              </w:rPr>
            </w:pPr>
            <w:r w:rsidRPr="00504ED5">
              <w:rPr>
                <w:sz w:val="24"/>
                <w:szCs w:val="24"/>
              </w:rPr>
              <w:fldChar w:fldCharType="begin">
                <w:ffData>
                  <w:name w:val="Check3"/>
                  <w:enabled/>
                  <w:calcOnExit w:val="0"/>
                  <w:checkBox>
                    <w:sizeAuto/>
                    <w:default w:val="0"/>
                  </w:checkBox>
                </w:ffData>
              </w:fldChar>
            </w:r>
            <w:r w:rsidRPr="00504ED5">
              <w:rPr>
                <w:sz w:val="24"/>
                <w:szCs w:val="24"/>
              </w:rPr>
              <w:instrText xml:space="preserve"> FORMCHECKBOX </w:instrText>
            </w:r>
            <w:r w:rsidR="00000000">
              <w:rPr>
                <w:sz w:val="24"/>
                <w:szCs w:val="24"/>
              </w:rPr>
            </w:r>
            <w:r w:rsidR="00000000">
              <w:rPr>
                <w:sz w:val="24"/>
                <w:szCs w:val="24"/>
              </w:rPr>
              <w:fldChar w:fldCharType="separate"/>
            </w:r>
            <w:r w:rsidRPr="00504ED5">
              <w:rPr>
                <w:sz w:val="24"/>
                <w:szCs w:val="24"/>
              </w:rPr>
              <w:fldChar w:fldCharType="end"/>
            </w:r>
            <w:r w:rsidRPr="00504ED5">
              <w:rPr>
                <w:sz w:val="24"/>
                <w:szCs w:val="24"/>
              </w:rPr>
              <w:t xml:space="preserve">  Other (please specify)</w:t>
            </w:r>
          </w:p>
        </w:tc>
      </w:tr>
      <w:tr w:rsidR="00F44568" w:rsidRPr="00504ED5" w14:paraId="1206EBDD" w14:textId="77777777" w:rsidTr="00832487">
        <w:trPr>
          <w:trHeight w:val="538"/>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5867CF" w14:textId="77777777" w:rsidR="00F44568" w:rsidRPr="00504ED5" w:rsidRDefault="00F44568" w:rsidP="00832487">
            <w:pPr>
              <w:pStyle w:val="BodyA"/>
              <w:rPr>
                <w:rStyle w:val="None"/>
                <w:rFonts w:ascii="Times New Roman" w:eastAsia="Times New Roman" w:hAnsi="Times New Roman" w:cs="Times New Roman"/>
              </w:rPr>
            </w:pPr>
            <w:r w:rsidRPr="00504ED5">
              <w:rPr>
                <w:rStyle w:val="None"/>
                <w:rFonts w:ascii="Times New Roman" w:hAnsi="Times New Roman" w:cs="Times New Roman"/>
              </w:rPr>
              <w:t>Name of State</w:t>
            </w:r>
          </w:p>
          <w:p w14:paraId="67936336" w14:textId="77777777" w:rsidR="00F44568" w:rsidRPr="00504ED5" w:rsidRDefault="00F44568" w:rsidP="00832487">
            <w:pPr>
              <w:pStyle w:val="BodyA"/>
              <w:rPr>
                <w:rFonts w:ascii="Times New Roman" w:hAnsi="Times New Roman" w:cs="Times New Roman"/>
              </w:rPr>
            </w:pPr>
            <w:r w:rsidRPr="00504ED5">
              <w:rPr>
                <w:rStyle w:val="None"/>
                <w:rFonts w:ascii="Times New Roman" w:hAnsi="Times New Roman" w:cs="Times New Roman"/>
              </w:rPr>
              <w:t>Name of Survey Respondent</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207EE" w14:textId="4025BAEA" w:rsidR="00F44568" w:rsidRPr="00504ED5" w:rsidRDefault="00316278" w:rsidP="00832487">
            <w:pPr>
              <w:rPr>
                <w:sz w:val="24"/>
                <w:szCs w:val="24"/>
              </w:rPr>
            </w:pPr>
            <w:r>
              <w:rPr>
                <w:sz w:val="24"/>
                <w:szCs w:val="24"/>
              </w:rPr>
              <w:t>Singapore</w:t>
            </w:r>
          </w:p>
        </w:tc>
      </w:tr>
      <w:tr w:rsidR="00F44568" w:rsidRPr="00504ED5" w14:paraId="54BB8032" w14:textId="77777777" w:rsidTr="00832487">
        <w:trPr>
          <w:trHeight w:val="396"/>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32BD1" w14:textId="77777777" w:rsidR="00F44568" w:rsidRPr="00504ED5" w:rsidRDefault="00F44568" w:rsidP="00832487">
            <w:pPr>
              <w:pStyle w:val="BodyA"/>
              <w:rPr>
                <w:rStyle w:val="None"/>
                <w:rFonts w:ascii="Times New Roman" w:hAnsi="Times New Roman" w:cs="Times New Roman"/>
              </w:rPr>
            </w:pPr>
            <w:r w:rsidRPr="00504ED5">
              <w:rPr>
                <w:rStyle w:val="None"/>
                <w:rFonts w:ascii="Times New Roman" w:hAnsi="Times New Roman" w:cs="Times New Roman"/>
              </w:rPr>
              <w:t>Email</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4C30C" w14:textId="793CE508" w:rsidR="00F44568" w:rsidRPr="00504ED5" w:rsidRDefault="00316278" w:rsidP="00832487">
            <w:pPr>
              <w:rPr>
                <w:sz w:val="24"/>
                <w:szCs w:val="24"/>
              </w:rPr>
            </w:pPr>
            <w:r>
              <w:rPr>
                <w:sz w:val="24"/>
                <w:szCs w:val="24"/>
              </w:rPr>
              <w:t>Vera_eu@mha.gov.sg</w:t>
            </w:r>
          </w:p>
        </w:tc>
      </w:tr>
    </w:tbl>
    <w:p w14:paraId="3831DA07" w14:textId="77777777" w:rsidR="00F44568" w:rsidRPr="00504ED5" w:rsidRDefault="00F44568" w:rsidP="00F44568">
      <w:pPr>
        <w:rPr>
          <w:b/>
          <w:sz w:val="24"/>
          <w:szCs w:val="24"/>
        </w:rPr>
      </w:pPr>
    </w:p>
    <w:p w14:paraId="6B860C8A" w14:textId="77777777" w:rsidR="00F44568" w:rsidRDefault="00F44568" w:rsidP="00F44568">
      <w:pPr>
        <w:rPr>
          <w:b/>
          <w:sz w:val="24"/>
          <w:szCs w:val="24"/>
        </w:rPr>
      </w:pPr>
      <w:r w:rsidRPr="00504ED5">
        <w:rPr>
          <w:b/>
          <w:sz w:val="24"/>
          <w:szCs w:val="24"/>
        </w:rPr>
        <w:t>Background</w:t>
      </w:r>
    </w:p>
    <w:p w14:paraId="109C0DB6" w14:textId="77777777" w:rsidR="00F44568" w:rsidRDefault="00F44568" w:rsidP="00F44568">
      <w:pPr>
        <w:rPr>
          <w:sz w:val="24"/>
          <w:szCs w:val="24"/>
        </w:rPr>
      </w:pPr>
      <w:r w:rsidRPr="00504ED5">
        <w:rPr>
          <w:sz w:val="24"/>
          <w:szCs w:val="24"/>
        </w:rPr>
        <w:t>Within the framework of Human Rights Council resolution 51/21, the Special Rapporteur on the highest attainable standard of physical and mental health has identified health equity as a strategic priority, ranging from the underlying determinants of health to the need to eliminate structural and systemic barriers in accessing health care services, goods, and facilities, particularly among persons living under vulnerable or marginalised circumstances. In compliance with her mandate and in line with these priorities, the Special Rapporteur on the right to health has decided to devote her next thematic report to the Human Rights Council, to be held in June 2024 to the theme of “Drug policies and responses: a right to health framework on harm reduction</w:t>
      </w:r>
      <w:r>
        <w:rPr>
          <w:sz w:val="24"/>
          <w:szCs w:val="24"/>
        </w:rPr>
        <w:t>”</w:t>
      </w:r>
      <w:r w:rsidRPr="00504ED5">
        <w:rPr>
          <w:sz w:val="24"/>
          <w:szCs w:val="24"/>
        </w:rPr>
        <w:t>.</w:t>
      </w:r>
    </w:p>
    <w:p w14:paraId="4DC6B118" w14:textId="77777777" w:rsidR="00F44568" w:rsidRPr="00504ED5" w:rsidRDefault="00F44568" w:rsidP="00F44568">
      <w:pPr>
        <w:rPr>
          <w:b/>
          <w:sz w:val="24"/>
          <w:szCs w:val="24"/>
        </w:rPr>
      </w:pPr>
    </w:p>
    <w:p w14:paraId="5A84C57A" w14:textId="77777777" w:rsidR="00F44568" w:rsidRDefault="00F44568" w:rsidP="00F44568">
      <w:pPr>
        <w:rPr>
          <w:b/>
          <w:sz w:val="24"/>
          <w:szCs w:val="24"/>
        </w:rPr>
      </w:pPr>
      <w:r w:rsidRPr="00504ED5">
        <w:rPr>
          <w:b/>
          <w:sz w:val="24"/>
          <w:szCs w:val="24"/>
        </w:rPr>
        <w:t>Objectives of the report</w:t>
      </w:r>
    </w:p>
    <w:p w14:paraId="3298B868" w14:textId="77777777" w:rsidR="00F44568" w:rsidRDefault="00F44568" w:rsidP="00F44568">
      <w:pPr>
        <w:rPr>
          <w:sz w:val="24"/>
          <w:szCs w:val="24"/>
        </w:rPr>
      </w:pPr>
      <w:r>
        <w:rPr>
          <w:sz w:val="24"/>
          <w:szCs w:val="24"/>
        </w:rPr>
        <w:t>A</w:t>
      </w:r>
      <w:r w:rsidRPr="00504ED5">
        <w:rPr>
          <w:sz w:val="24"/>
          <w:szCs w:val="24"/>
        </w:rPr>
        <w:t xml:space="preserve">ll </w:t>
      </w:r>
      <w:r>
        <w:rPr>
          <w:sz w:val="24"/>
          <w:szCs w:val="24"/>
        </w:rPr>
        <w:t xml:space="preserve">persons </w:t>
      </w:r>
      <w:r w:rsidRPr="00504ED5">
        <w:rPr>
          <w:sz w:val="24"/>
          <w:szCs w:val="24"/>
        </w:rPr>
        <w:t xml:space="preserve">are entitled to the </w:t>
      </w:r>
      <w:r>
        <w:rPr>
          <w:sz w:val="24"/>
          <w:szCs w:val="24"/>
        </w:rPr>
        <w:t xml:space="preserve">enjoyment of the highest attainable standard of physical and mental </w:t>
      </w:r>
      <w:r w:rsidRPr="00504ED5">
        <w:rPr>
          <w:sz w:val="24"/>
          <w:szCs w:val="24"/>
        </w:rPr>
        <w:t xml:space="preserve">health, which includes the underlying determinants of health and timely and appropriate health care. In the present report, the Special Rapporteur intends to explore the ways in which harm reduction </w:t>
      </w:r>
      <w:r w:rsidRPr="005A1BF0">
        <w:rPr>
          <w:sz w:val="24"/>
          <w:szCs w:val="24"/>
        </w:rPr>
        <w:t>intersects with the enjoyment of right to health and related human rights. Relying on the frameworks of the social and commercial,</w:t>
      </w:r>
      <w:r w:rsidRPr="005A1BF0">
        <w:rPr>
          <w:rStyle w:val="FootnoteReference"/>
          <w:sz w:val="24"/>
          <w:szCs w:val="24"/>
        </w:rPr>
        <w:footnoteReference w:id="1"/>
      </w:r>
      <w:r w:rsidRPr="005A1BF0">
        <w:rPr>
          <w:sz w:val="24"/>
          <w:szCs w:val="24"/>
        </w:rPr>
        <w:t xml:space="preserve"> determinants of health, the Special Rapporteur will examine the laws, policies, and practices that give rise to the need for harm reduction, as well as the laws, policies, and practices that take a harm reduction approach, aiming to address the negative health, social, and legal outcomes in various contexts.</w:t>
      </w:r>
    </w:p>
    <w:p w14:paraId="27E73484" w14:textId="77777777" w:rsidR="00F44568" w:rsidRPr="005A1BF0" w:rsidRDefault="00F44568" w:rsidP="00F44568">
      <w:pPr>
        <w:rPr>
          <w:sz w:val="24"/>
          <w:szCs w:val="24"/>
        </w:rPr>
      </w:pPr>
    </w:p>
    <w:p w14:paraId="6BD67169" w14:textId="77777777" w:rsidR="00F44568" w:rsidRDefault="00F44568" w:rsidP="00F44568">
      <w:pPr>
        <w:rPr>
          <w:sz w:val="24"/>
          <w:szCs w:val="24"/>
        </w:rPr>
      </w:pPr>
      <w:r w:rsidRPr="005A1BF0">
        <w:rPr>
          <w:sz w:val="24"/>
          <w:szCs w:val="24"/>
        </w:rPr>
        <w:t>Harm reduction has been primarily developed in the context</w:t>
      </w:r>
      <w:r w:rsidRPr="00504ED5">
        <w:rPr>
          <w:sz w:val="24"/>
          <w:szCs w:val="24"/>
        </w:rPr>
        <w:t xml:space="preserve"> of drug use, including needle and syringe programs, supervised injection and drug use facilities, opioid substitution therapy, overdose prevention, and community outreach programs, as well as access to legal assistance, social services, housing, and adequate food. However, in this report, the Special Rapporteur will take a broadened view of harm reduction to </w:t>
      </w:r>
      <w:r w:rsidRPr="005A1BF0">
        <w:rPr>
          <w:sz w:val="24"/>
          <w:szCs w:val="24"/>
        </w:rPr>
        <w:t xml:space="preserve">examine </w:t>
      </w:r>
      <w:r w:rsidRPr="005A1BF0">
        <w:rPr>
          <w:sz w:val="24"/>
          <w:szCs w:val="24"/>
        </w:rPr>
        <w:lastRenderedPageBreak/>
        <w:t xml:space="preserve">how this approach can intersect with the right to health and related human rights in other realms, including but not limited to sex work, abortion, and safe sex. </w:t>
      </w:r>
    </w:p>
    <w:p w14:paraId="1CC9B199" w14:textId="77777777" w:rsidR="00F44568" w:rsidRPr="00504ED5" w:rsidRDefault="00F44568" w:rsidP="00F44568">
      <w:pPr>
        <w:rPr>
          <w:sz w:val="24"/>
          <w:szCs w:val="24"/>
        </w:rPr>
      </w:pPr>
    </w:p>
    <w:p w14:paraId="00AEF627" w14:textId="77777777" w:rsidR="00F44568" w:rsidRPr="00504ED5" w:rsidRDefault="00F44568" w:rsidP="00F44568">
      <w:pPr>
        <w:rPr>
          <w:sz w:val="24"/>
          <w:szCs w:val="24"/>
        </w:rPr>
      </w:pPr>
      <w:r>
        <w:rPr>
          <w:sz w:val="24"/>
          <w:szCs w:val="24"/>
        </w:rPr>
        <w:t>T</w:t>
      </w:r>
      <w:r w:rsidRPr="00504ED5">
        <w:rPr>
          <w:sz w:val="24"/>
          <w:szCs w:val="24"/>
        </w:rPr>
        <w:t xml:space="preserve">he </w:t>
      </w:r>
      <w:r w:rsidRPr="005A1BF0">
        <w:rPr>
          <w:sz w:val="24"/>
          <w:szCs w:val="24"/>
        </w:rPr>
        <w:t>Special Rapporteur also intends consider harm reduction as key public health interventions for populations that are often stigmatised and discriminated against. She will explore how the laws, policies, and practices that give rise to the need for harm reduction can disproportionately impact certain people, such as those in situations of homelessness or poverty, persons who use drugs, sex workers, women, children, LGBTIQ+</w:t>
      </w:r>
      <w:r>
        <w:rPr>
          <w:sz w:val="24"/>
          <w:szCs w:val="24"/>
        </w:rPr>
        <w:t xml:space="preserve"> persons</w:t>
      </w:r>
      <w:r w:rsidRPr="005A1BF0">
        <w:rPr>
          <w:sz w:val="24"/>
          <w:szCs w:val="24"/>
        </w:rPr>
        <w:t>, persons with disabilities, persons who are incarcerated or detained, migrants, Indigenous Peoples, Black persons, persons living with HIV or hepatitis, and persons living in rural areas. Taking an anti-coloniality and anti-racism approach, the Special Rapporteur will explore how in some contexts criminalisation</w:t>
      </w:r>
      <w:r w:rsidRPr="00504ED5">
        <w:rPr>
          <w:sz w:val="24"/>
          <w:szCs w:val="24"/>
        </w:rPr>
        <w:t xml:space="preserve"> and stigmatisation can serve as a legacy of colonialism and slavery.</w:t>
      </w:r>
    </w:p>
    <w:p w14:paraId="5325F927" w14:textId="77777777" w:rsidR="00F44568" w:rsidRDefault="00F44568" w:rsidP="00F44568">
      <w:pPr>
        <w:jc w:val="both"/>
        <w:rPr>
          <w:b/>
          <w:sz w:val="24"/>
          <w:szCs w:val="24"/>
        </w:rPr>
      </w:pPr>
    </w:p>
    <w:p w14:paraId="72D435D7" w14:textId="77777777" w:rsidR="00F44568" w:rsidRDefault="00F44568" w:rsidP="00F44568">
      <w:pPr>
        <w:ind w:left="-567" w:firstLine="567"/>
        <w:jc w:val="both"/>
        <w:rPr>
          <w:sz w:val="24"/>
          <w:szCs w:val="24"/>
        </w:rPr>
      </w:pPr>
      <w:r w:rsidRPr="00504ED5">
        <w:rPr>
          <w:b/>
          <w:sz w:val="24"/>
          <w:szCs w:val="24"/>
        </w:rPr>
        <w:t>Definitions</w:t>
      </w:r>
    </w:p>
    <w:p w14:paraId="52227B41" w14:textId="77777777" w:rsidR="00F44568" w:rsidRDefault="00F44568" w:rsidP="00F44568">
      <w:pPr>
        <w:jc w:val="both"/>
        <w:rPr>
          <w:sz w:val="24"/>
          <w:szCs w:val="24"/>
        </w:rPr>
      </w:pPr>
      <w:r w:rsidRPr="00504ED5">
        <w:rPr>
          <w:sz w:val="24"/>
          <w:szCs w:val="24"/>
        </w:rPr>
        <w:t>Most commonly, harm reduction refers to policies, programmes and practices that aim to minimise the negative health, social and legal impacts associated with drug use, drug policies and drug laws</w:t>
      </w:r>
      <w:sdt>
        <w:sdtPr>
          <w:rPr>
            <w:sz w:val="24"/>
            <w:szCs w:val="24"/>
          </w:rPr>
          <w:tag w:val="goog_rdk_0"/>
          <w:id w:val="-374002220"/>
        </w:sdtPr>
        <w:sdtContent/>
      </w:sdt>
      <w:r w:rsidRPr="00504ED5">
        <w:rPr>
          <w:sz w:val="24"/>
          <w:szCs w:val="24"/>
        </w:rPr>
        <w:t>.</w:t>
      </w:r>
      <w:r w:rsidRPr="00504ED5">
        <w:rPr>
          <w:rStyle w:val="FootnoteReference"/>
          <w:sz w:val="24"/>
          <w:szCs w:val="24"/>
        </w:rPr>
        <w:footnoteReference w:id="2"/>
      </w:r>
      <w:r w:rsidRPr="00504ED5">
        <w:rPr>
          <w:sz w:val="24"/>
          <w:szCs w:val="24"/>
        </w:rPr>
        <w:t xml:space="preserve"> For the purposes of this report, the Special Rapporteur defines harm reduction in a broader sense, including the policies, programmes, and practices that aim to minimise the negative health, social, and legal impacts associated with various behaviours and related policies and laws, as exemplified above. </w:t>
      </w:r>
    </w:p>
    <w:p w14:paraId="0FDF5A16" w14:textId="77777777" w:rsidR="00F44568" w:rsidRDefault="00F44568" w:rsidP="00F44568">
      <w:pPr>
        <w:jc w:val="both"/>
        <w:rPr>
          <w:sz w:val="24"/>
          <w:szCs w:val="24"/>
        </w:rPr>
      </w:pPr>
    </w:p>
    <w:p w14:paraId="068FBFEF" w14:textId="77777777" w:rsidR="00F44568" w:rsidRPr="00E81385" w:rsidRDefault="00F44568" w:rsidP="00F44568">
      <w:pPr>
        <w:ind w:left="-426" w:firstLine="426"/>
        <w:jc w:val="both"/>
        <w:rPr>
          <w:b/>
          <w:bCs/>
          <w:sz w:val="24"/>
          <w:szCs w:val="24"/>
        </w:rPr>
      </w:pPr>
      <w:r w:rsidRPr="00E81385">
        <w:rPr>
          <w:b/>
          <w:bCs/>
          <w:sz w:val="24"/>
          <w:szCs w:val="24"/>
        </w:rPr>
        <w:t>Questionnaire</w:t>
      </w:r>
    </w:p>
    <w:p w14:paraId="53C2E14E" w14:textId="77777777" w:rsidR="00F44568" w:rsidRDefault="00F44568" w:rsidP="00F44568">
      <w:pPr>
        <w:pStyle w:val="Normal1"/>
        <w:jc w:val="both"/>
        <w:rPr>
          <w:rFonts w:ascii="Times New Roman" w:hAnsi="Times New Roman" w:cs="Times New Roman"/>
          <w:color w:val="000000"/>
          <w:u w:val="single"/>
          <w:shd w:val="clear" w:color="auto" w:fill="FFFFFF"/>
        </w:rPr>
      </w:pPr>
      <w:r w:rsidRPr="00504ED5">
        <w:rPr>
          <w:rFonts w:ascii="Times New Roman" w:hAnsi="Times New Roman" w:cs="Times New Roman"/>
          <w:color w:val="000000" w:themeColor="text1"/>
          <w:lang w:val="en"/>
        </w:rPr>
        <w:t xml:space="preserve">The questionnaire can be downloaded below in English (original language), French and Spanish (unofficial translations). </w:t>
      </w:r>
      <w:r w:rsidRPr="00504ED5">
        <w:rPr>
          <w:rFonts w:ascii="Times New Roman" w:hAnsi="Times New Roman" w:cs="Times New Roman"/>
          <w:bCs/>
          <w:color w:val="000000" w:themeColor="text1"/>
          <w:u w:val="single"/>
          <w:lang w:val="en"/>
        </w:rPr>
        <w:t>Responses can address some of the questions or all of them, as feasible or preferred</w:t>
      </w:r>
      <w:r w:rsidRPr="00504ED5">
        <w:rPr>
          <w:rFonts w:ascii="Times New Roman" w:hAnsi="Times New Roman" w:cs="Times New Roman"/>
          <w:color w:val="000000" w:themeColor="text1"/>
          <w:u w:val="single"/>
          <w:lang w:val="en"/>
        </w:rPr>
        <w:t>.</w:t>
      </w:r>
      <w:r w:rsidRPr="00504ED5">
        <w:rPr>
          <w:rFonts w:ascii="Times New Roman" w:hAnsi="Times New Roman" w:cs="Times New Roman"/>
          <w:color w:val="000000"/>
          <w:u w:val="single"/>
          <w:shd w:val="clear" w:color="auto" w:fill="FFFFFF"/>
        </w:rPr>
        <w:t xml:space="preserve"> </w:t>
      </w:r>
    </w:p>
    <w:p w14:paraId="764A50FD" w14:textId="77777777" w:rsidR="00F44568" w:rsidRPr="00504ED5" w:rsidRDefault="00F44568" w:rsidP="00F44568">
      <w:pPr>
        <w:pStyle w:val="Normal1"/>
        <w:jc w:val="both"/>
        <w:rPr>
          <w:rFonts w:ascii="Times New Roman" w:hAnsi="Times New Roman" w:cs="Times New Roman"/>
          <w:color w:val="000000" w:themeColor="text1"/>
          <w:u w:val="single"/>
          <w:lang w:val="en"/>
        </w:rPr>
      </w:pPr>
    </w:p>
    <w:p w14:paraId="1C11EA15" w14:textId="77777777" w:rsidR="00F44568" w:rsidRDefault="00F44568" w:rsidP="00F44568">
      <w:pPr>
        <w:pStyle w:val="NormalWeb"/>
        <w:numPr>
          <w:ilvl w:val="0"/>
          <w:numId w:val="1"/>
        </w:numPr>
        <w:jc w:val="both"/>
        <w:rPr>
          <w:rFonts w:ascii="Times New Roman" w:hAnsi="Times New Roman"/>
          <w:color w:val="000000" w:themeColor="text1"/>
          <w:sz w:val="24"/>
        </w:rPr>
      </w:pPr>
      <w:r w:rsidRPr="00504ED5">
        <w:rPr>
          <w:rFonts w:ascii="Times New Roman" w:hAnsi="Times New Roman"/>
          <w:color w:val="000000" w:themeColor="text1"/>
          <w:sz w:val="24"/>
        </w:rPr>
        <w:t>Download the questionnaire (WORD):  English | Français | Español</w:t>
      </w:r>
    </w:p>
    <w:p w14:paraId="764DD7F4" w14:textId="77777777" w:rsidR="00F44568" w:rsidRPr="00504ED5" w:rsidRDefault="00F44568" w:rsidP="00F44568">
      <w:pPr>
        <w:pStyle w:val="NormalWeb"/>
        <w:ind w:left="720"/>
        <w:jc w:val="both"/>
        <w:rPr>
          <w:rFonts w:ascii="Times New Roman" w:hAnsi="Times New Roman"/>
          <w:color w:val="000000" w:themeColor="text1"/>
          <w:sz w:val="24"/>
        </w:rPr>
      </w:pPr>
    </w:p>
    <w:p w14:paraId="2362B1EA" w14:textId="77777777" w:rsidR="00F44568" w:rsidRPr="00504ED5" w:rsidRDefault="00F44568" w:rsidP="00F44568">
      <w:pPr>
        <w:pStyle w:val="Heading1"/>
        <w:ind w:firstLine="563"/>
        <w:jc w:val="both"/>
        <w:rPr>
          <w:sz w:val="24"/>
          <w:szCs w:val="24"/>
        </w:rPr>
      </w:pPr>
      <w:bookmarkStart w:id="1" w:name="_Toc48734682"/>
      <w:r w:rsidRPr="00504ED5">
        <w:rPr>
          <w:sz w:val="24"/>
          <w:szCs w:val="24"/>
        </w:rPr>
        <w:t>How and where to submit inputs</w:t>
      </w:r>
      <w:bookmarkEnd w:id="1"/>
    </w:p>
    <w:p w14:paraId="1C5024AB" w14:textId="77777777" w:rsidR="00F44568" w:rsidRPr="00504ED5" w:rsidRDefault="00F44568" w:rsidP="00F44568">
      <w:pPr>
        <w:pStyle w:val="NormalWeb"/>
        <w:jc w:val="both"/>
        <w:rPr>
          <w:rFonts w:ascii="Times New Roman" w:hAnsi="Times New Roman"/>
          <w:sz w:val="24"/>
        </w:rPr>
      </w:pPr>
      <w:r w:rsidRPr="00504ED5">
        <w:rPr>
          <w:rFonts w:ascii="Times New Roman" w:hAnsi="Times New Roman"/>
          <w:sz w:val="24"/>
        </w:rPr>
        <w:t>Inputs may be sent by e-mail by 15 November 2023.</w:t>
      </w:r>
    </w:p>
    <w:p w14:paraId="499B729C" w14:textId="77777777" w:rsidR="00F44568" w:rsidRPr="00504ED5" w:rsidRDefault="00F44568" w:rsidP="00F44568">
      <w:pPr>
        <w:pStyle w:val="Normal1"/>
        <w:jc w:val="both"/>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2459"/>
        <w:gridCol w:w="5927"/>
      </w:tblGrid>
      <w:tr w:rsidR="00F44568" w:rsidRPr="00504ED5" w14:paraId="2312D766" w14:textId="77777777" w:rsidTr="00832487">
        <w:tc>
          <w:tcPr>
            <w:tcW w:w="2552" w:type="dxa"/>
          </w:tcPr>
          <w:p w14:paraId="6B88B73E" w14:textId="77777777" w:rsidR="00F44568" w:rsidRPr="00504ED5" w:rsidRDefault="00F44568" w:rsidP="00832487">
            <w:pPr>
              <w:pStyle w:val="NormalWeb"/>
              <w:jc w:val="both"/>
              <w:rPr>
                <w:rFonts w:ascii="Times New Roman" w:hAnsi="Times New Roman"/>
                <w:sz w:val="24"/>
                <w:lang w:val="en-US"/>
              </w:rPr>
            </w:pPr>
            <w:r w:rsidRPr="00504ED5">
              <w:rPr>
                <w:rFonts w:ascii="Times New Roman" w:eastAsia="Times New Roman" w:hAnsi="Times New Roman"/>
                <w:b/>
                <w:color w:val="000000"/>
                <w:sz w:val="24"/>
                <w:lang w:val="en-US"/>
              </w:rPr>
              <w:t>E-mail address</w:t>
            </w:r>
          </w:p>
        </w:tc>
        <w:tc>
          <w:tcPr>
            <w:tcW w:w="6237" w:type="dxa"/>
          </w:tcPr>
          <w:p w14:paraId="76EAA6ED" w14:textId="77777777" w:rsidR="00F44568" w:rsidRPr="00504ED5" w:rsidRDefault="00F44568" w:rsidP="00832487">
            <w:pPr>
              <w:pStyle w:val="NormalWeb"/>
              <w:jc w:val="both"/>
              <w:rPr>
                <w:rFonts w:ascii="Times New Roman" w:hAnsi="Times New Roman"/>
                <w:sz w:val="24"/>
                <w:lang w:val="en-US"/>
              </w:rPr>
            </w:pPr>
            <w:r w:rsidRPr="00504ED5">
              <w:rPr>
                <w:rStyle w:val="Hyperlink"/>
                <w:rFonts w:ascii="Times New Roman" w:hAnsi="Times New Roman"/>
                <w:sz w:val="24"/>
                <w:u w:color="0000FF"/>
                <w:lang w:val="pt-PT"/>
              </w:rPr>
              <w:t>ohchr-</w:t>
            </w:r>
            <w:hyperlink r:id="rId11" w:history="1">
              <w:r w:rsidRPr="00504ED5">
                <w:rPr>
                  <w:rStyle w:val="Hyperlink"/>
                  <w:rFonts w:ascii="Times New Roman" w:hAnsi="Times New Roman"/>
                  <w:sz w:val="24"/>
                  <w:u w:color="0000FF"/>
                  <w:lang w:val="pt-PT"/>
                </w:rPr>
                <w:t>srhealth@un.org</w:t>
              </w:r>
            </w:hyperlink>
          </w:p>
        </w:tc>
      </w:tr>
      <w:tr w:rsidR="00F44568" w:rsidRPr="00504ED5" w14:paraId="79DA36C8" w14:textId="77777777" w:rsidTr="00832487">
        <w:tc>
          <w:tcPr>
            <w:tcW w:w="2552" w:type="dxa"/>
          </w:tcPr>
          <w:p w14:paraId="24DE1CED" w14:textId="77777777" w:rsidR="00F44568" w:rsidRPr="00504ED5" w:rsidRDefault="00F44568" w:rsidP="00832487">
            <w:pPr>
              <w:pStyle w:val="NormalWeb"/>
              <w:jc w:val="both"/>
              <w:rPr>
                <w:rFonts w:ascii="Times New Roman" w:hAnsi="Times New Roman"/>
                <w:sz w:val="24"/>
                <w:lang w:val="en-US"/>
              </w:rPr>
            </w:pPr>
            <w:r w:rsidRPr="00504ED5">
              <w:rPr>
                <w:rFonts w:ascii="Times New Roman" w:eastAsia="Times New Roman" w:hAnsi="Times New Roman"/>
                <w:b/>
                <w:color w:val="000000"/>
                <w:sz w:val="24"/>
                <w:lang w:val="en-US"/>
              </w:rPr>
              <w:t>E-mail subject line</w:t>
            </w:r>
          </w:p>
        </w:tc>
        <w:tc>
          <w:tcPr>
            <w:tcW w:w="6237" w:type="dxa"/>
          </w:tcPr>
          <w:p w14:paraId="780884C3" w14:textId="77777777" w:rsidR="00F44568" w:rsidRPr="00504ED5" w:rsidRDefault="00F44568" w:rsidP="00832487">
            <w:pPr>
              <w:pStyle w:val="NormalWeb"/>
              <w:jc w:val="both"/>
              <w:rPr>
                <w:rFonts w:ascii="Times New Roman" w:hAnsi="Times New Roman"/>
                <w:sz w:val="24"/>
                <w:lang w:val="en-US"/>
              </w:rPr>
            </w:pPr>
            <w:r w:rsidRPr="00504ED5">
              <w:rPr>
                <w:rFonts w:ascii="Times New Roman" w:hAnsi="Times New Roman"/>
                <w:sz w:val="24"/>
                <w:lang w:val="en-US"/>
              </w:rPr>
              <w:t>Contribution to HRC report - SR right to health</w:t>
            </w:r>
          </w:p>
        </w:tc>
      </w:tr>
      <w:tr w:rsidR="00F44568" w:rsidRPr="00504ED5" w14:paraId="69BBB8EF" w14:textId="77777777" w:rsidTr="00832487">
        <w:tc>
          <w:tcPr>
            <w:tcW w:w="2552" w:type="dxa"/>
          </w:tcPr>
          <w:p w14:paraId="43747FEE" w14:textId="77777777" w:rsidR="00F44568" w:rsidRPr="00504ED5" w:rsidRDefault="00F44568" w:rsidP="00832487">
            <w:pPr>
              <w:pStyle w:val="NormalWeb"/>
              <w:jc w:val="both"/>
              <w:rPr>
                <w:rFonts w:ascii="Times New Roman" w:eastAsia="Times New Roman" w:hAnsi="Times New Roman"/>
                <w:b/>
                <w:color w:val="000000"/>
                <w:sz w:val="24"/>
                <w:lang w:val="en-US"/>
              </w:rPr>
            </w:pPr>
            <w:r w:rsidRPr="00504ED5">
              <w:rPr>
                <w:rFonts w:ascii="Times New Roman" w:eastAsia="Times New Roman" w:hAnsi="Times New Roman"/>
                <w:b/>
                <w:color w:val="000000"/>
                <w:sz w:val="24"/>
                <w:lang w:val="en-US"/>
              </w:rPr>
              <w:t>Word limit</w:t>
            </w:r>
          </w:p>
        </w:tc>
        <w:tc>
          <w:tcPr>
            <w:tcW w:w="6237" w:type="dxa"/>
          </w:tcPr>
          <w:p w14:paraId="675CAF3E" w14:textId="77777777" w:rsidR="00F44568" w:rsidRPr="00504ED5" w:rsidRDefault="00F44568" w:rsidP="00832487">
            <w:pPr>
              <w:pStyle w:val="NormalWeb"/>
              <w:jc w:val="both"/>
              <w:rPr>
                <w:rFonts w:ascii="Times New Roman" w:eastAsia="Times New Roman" w:hAnsi="Times New Roman"/>
                <w:color w:val="000000"/>
                <w:sz w:val="24"/>
                <w:lang w:val="en-US"/>
              </w:rPr>
            </w:pPr>
            <w:r>
              <w:rPr>
                <w:rFonts w:ascii="Times New Roman" w:eastAsia="Times New Roman" w:hAnsi="Times New Roman"/>
                <w:color w:val="000000"/>
                <w:sz w:val="24"/>
                <w:lang w:val="en-US"/>
              </w:rPr>
              <w:t xml:space="preserve">500 </w:t>
            </w:r>
            <w:r w:rsidRPr="00504ED5">
              <w:rPr>
                <w:rFonts w:ascii="Times New Roman" w:eastAsia="Times New Roman" w:hAnsi="Times New Roman"/>
                <w:color w:val="000000"/>
                <w:sz w:val="24"/>
                <w:lang w:val="en-US"/>
              </w:rPr>
              <w:t>words per question</w:t>
            </w:r>
          </w:p>
        </w:tc>
      </w:tr>
      <w:tr w:rsidR="00F44568" w:rsidRPr="00504ED5" w14:paraId="51020CAD" w14:textId="77777777" w:rsidTr="00832487">
        <w:tc>
          <w:tcPr>
            <w:tcW w:w="2552" w:type="dxa"/>
          </w:tcPr>
          <w:p w14:paraId="61B299BD" w14:textId="77777777" w:rsidR="00F44568" w:rsidRPr="00504ED5" w:rsidRDefault="00F44568" w:rsidP="00832487">
            <w:pPr>
              <w:pStyle w:val="NormalWeb"/>
              <w:jc w:val="both"/>
              <w:rPr>
                <w:rFonts w:ascii="Times New Roman" w:eastAsia="Times New Roman" w:hAnsi="Times New Roman"/>
                <w:b/>
                <w:color w:val="000000"/>
                <w:sz w:val="24"/>
                <w:lang w:val="en-US"/>
              </w:rPr>
            </w:pPr>
            <w:r w:rsidRPr="00504ED5">
              <w:rPr>
                <w:rFonts w:ascii="Times New Roman" w:eastAsia="Times New Roman" w:hAnsi="Times New Roman"/>
                <w:b/>
                <w:color w:val="000000"/>
                <w:sz w:val="24"/>
                <w:lang w:val="en-US"/>
              </w:rPr>
              <w:t>File formats</w:t>
            </w:r>
          </w:p>
        </w:tc>
        <w:tc>
          <w:tcPr>
            <w:tcW w:w="6237" w:type="dxa"/>
          </w:tcPr>
          <w:p w14:paraId="1BC0DD9A" w14:textId="77777777" w:rsidR="00F44568" w:rsidRPr="00504ED5" w:rsidRDefault="00F44568" w:rsidP="00832487">
            <w:pPr>
              <w:pStyle w:val="NormalWeb"/>
              <w:jc w:val="both"/>
              <w:rPr>
                <w:rFonts w:ascii="Times New Roman" w:eastAsia="Times New Roman" w:hAnsi="Times New Roman"/>
                <w:color w:val="000000"/>
                <w:sz w:val="24"/>
                <w:lang w:val="en-US"/>
              </w:rPr>
            </w:pPr>
            <w:r w:rsidRPr="00504ED5">
              <w:rPr>
                <w:rFonts w:ascii="Times New Roman" w:eastAsia="Times New Roman" w:hAnsi="Times New Roman"/>
                <w:color w:val="000000"/>
                <w:sz w:val="24"/>
                <w:lang w:val="en-US"/>
              </w:rPr>
              <w:t xml:space="preserve">Word </w:t>
            </w:r>
            <w:r>
              <w:rPr>
                <w:rFonts w:ascii="Times New Roman" w:eastAsia="Times New Roman" w:hAnsi="Times New Roman"/>
                <w:color w:val="000000"/>
                <w:sz w:val="24"/>
                <w:lang w:val="en-US"/>
              </w:rPr>
              <w:t>and PDF</w:t>
            </w:r>
          </w:p>
        </w:tc>
      </w:tr>
      <w:tr w:rsidR="00F44568" w:rsidRPr="00504ED5" w14:paraId="7C284391" w14:textId="77777777" w:rsidTr="00832487">
        <w:tc>
          <w:tcPr>
            <w:tcW w:w="2552" w:type="dxa"/>
          </w:tcPr>
          <w:p w14:paraId="56AD175F" w14:textId="77777777" w:rsidR="00F44568" w:rsidRPr="00504ED5" w:rsidRDefault="00F44568" w:rsidP="00832487">
            <w:pPr>
              <w:pStyle w:val="NormalWeb"/>
              <w:jc w:val="both"/>
              <w:rPr>
                <w:rFonts w:ascii="Times New Roman" w:eastAsia="Times New Roman" w:hAnsi="Times New Roman"/>
                <w:b/>
                <w:color w:val="000000"/>
                <w:sz w:val="24"/>
                <w:lang w:val="en-US"/>
              </w:rPr>
            </w:pPr>
            <w:r w:rsidRPr="00504ED5">
              <w:rPr>
                <w:rFonts w:ascii="Times New Roman" w:eastAsia="Times New Roman" w:hAnsi="Times New Roman"/>
                <w:b/>
                <w:color w:val="000000"/>
                <w:sz w:val="24"/>
                <w:lang w:val="en-US"/>
              </w:rPr>
              <w:t>Accepted languages</w:t>
            </w:r>
          </w:p>
        </w:tc>
        <w:tc>
          <w:tcPr>
            <w:tcW w:w="6237" w:type="dxa"/>
          </w:tcPr>
          <w:p w14:paraId="49667F23" w14:textId="77777777" w:rsidR="00F44568" w:rsidRPr="00504ED5" w:rsidRDefault="00F44568" w:rsidP="00832487">
            <w:pPr>
              <w:pStyle w:val="NormalWeb"/>
              <w:jc w:val="both"/>
              <w:rPr>
                <w:rFonts w:ascii="Times New Roman" w:eastAsia="Times New Roman" w:hAnsi="Times New Roman"/>
                <w:color w:val="000000"/>
                <w:sz w:val="24"/>
                <w:lang w:val="en-US"/>
              </w:rPr>
            </w:pPr>
            <w:r w:rsidRPr="00504ED5">
              <w:rPr>
                <w:rFonts w:ascii="Times New Roman" w:eastAsia="Times New Roman" w:hAnsi="Times New Roman"/>
                <w:color w:val="000000"/>
                <w:sz w:val="24"/>
                <w:lang w:val="en-US"/>
              </w:rPr>
              <w:t>English, French, Spanish</w:t>
            </w:r>
          </w:p>
        </w:tc>
      </w:tr>
    </w:tbl>
    <w:p w14:paraId="2FB51A6C" w14:textId="77777777" w:rsidR="00F44568" w:rsidRDefault="00F44568" w:rsidP="00F44568">
      <w:pPr>
        <w:pStyle w:val="Heading1"/>
        <w:jc w:val="both"/>
        <w:rPr>
          <w:sz w:val="24"/>
          <w:szCs w:val="24"/>
        </w:rPr>
      </w:pPr>
      <w:bookmarkStart w:id="2" w:name="_Toc48734683"/>
    </w:p>
    <w:p w14:paraId="51C367BE" w14:textId="77777777" w:rsidR="00F44568" w:rsidRPr="00504ED5" w:rsidRDefault="00F44568" w:rsidP="00F44568">
      <w:pPr>
        <w:pStyle w:val="Heading1"/>
        <w:ind w:firstLine="563"/>
        <w:jc w:val="both"/>
        <w:rPr>
          <w:sz w:val="24"/>
          <w:szCs w:val="24"/>
        </w:rPr>
      </w:pPr>
      <w:r w:rsidRPr="00504ED5">
        <w:rPr>
          <w:sz w:val="24"/>
          <w:szCs w:val="24"/>
        </w:rPr>
        <w:t>Treatment of inputs/comments received</w:t>
      </w:r>
      <w:bookmarkEnd w:id="2"/>
    </w:p>
    <w:p w14:paraId="506FBAF1" w14:textId="77777777" w:rsidR="00F44568" w:rsidRDefault="00F44568" w:rsidP="00F44568">
      <w:pPr>
        <w:pStyle w:val="Heading1"/>
        <w:ind w:left="0"/>
        <w:jc w:val="both"/>
        <w:rPr>
          <w:b w:val="0"/>
          <w:color w:val="000000"/>
          <w:sz w:val="24"/>
          <w:szCs w:val="24"/>
        </w:rPr>
      </w:pPr>
      <w:bookmarkStart w:id="3" w:name="_Toc48734684"/>
      <w:r w:rsidRPr="00504ED5">
        <w:rPr>
          <w:b w:val="0"/>
          <w:color w:val="000000"/>
          <w:sz w:val="24"/>
          <w:szCs w:val="24"/>
        </w:rPr>
        <w:t xml:space="preserve">Please note that all responses will be published on the official webpage of the </w:t>
      </w:r>
      <w:r>
        <w:rPr>
          <w:b w:val="0"/>
          <w:color w:val="000000"/>
          <w:sz w:val="24"/>
          <w:szCs w:val="24"/>
        </w:rPr>
        <w:t xml:space="preserve">mandate of the </w:t>
      </w:r>
      <w:r w:rsidRPr="00504ED5">
        <w:rPr>
          <w:b w:val="0"/>
          <w:color w:val="000000"/>
          <w:sz w:val="24"/>
          <w:szCs w:val="24"/>
        </w:rPr>
        <w:t>Special Rapporteur by default.</w:t>
      </w:r>
      <w:bookmarkEnd w:id="3"/>
    </w:p>
    <w:p w14:paraId="69637E00" w14:textId="77777777" w:rsidR="00F44568" w:rsidRPr="00D12608" w:rsidRDefault="00F44568" w:rsidP="00F44568"/>
    <w:p w14:paraId="28E5A6A9" w14:textId="77777777" w:rsidR="00F44568" w:rsidRDefault="00F44568" w:rsidP="00F44568">
      <w:pPr>
        <w:pStyle w:val="Heading1"/>
        <w:ind w:firstLine="563"/>
        <w:jc w:val="both"/>
        <w:rPr>
          <w:sz w:val="24"/>
          <w:szCs w:val="24"/>
        </w:rPr>
      </w:pPr>
      <w:r w:rsidRPr="00504ED5">
        <w:rPr>
          <w:sz w:val="24"/>
          <w:szCs w:val="24"/>
        </w:rPr>
        <w:t>Key Questions</w:t>
      </w:r>
    </w:p>
    <w:p w14:paraId="0D376103" w14:textId="77777777" w:rsidR="00F44568" w:rsidRPr="00D12608" w:rsidRDefault="00F44568" w:rsidP="00F44568"/>
    <w:p w14:paraId="20916BBC" w14:textId="77777777" w:rsidR="00F44568" w:rsidRPr="00504ED5" w:rsidRDefault="00F44568" w:rsidP="00F44568">
      <w:pPr>
        <w:pBdr>
          <w:top w:val="single" w:sz="4" w:space="1" w:color="auto"/>
          <w:left w:val="single" w:sz="4" w:space="4" w:color="auto"/>
          <w:bottom w:val="single" w:sz="4" w:space="1" w:color="auto"/>
          <w:right w:val="single" w:sz="4" w:space="4" w:color="auto"/>
        </w:pBdr>
        <w:jc w:val="both"/>
        <w:rPr>
          <w:i/>
          <w:sz w:val="24"/>
          <w:szCs w:val="24"/>
        </w:rPr>
      </w:pPr>
      <w:r w:rsidRPr="00504ED5">
        <w:rPr>
          <w:i/>
          <w:sz w:val="24"/>
          <w:szCs w:val="24"/>
        </w:rPr>
        <w:lastRenderedPageBreak/>
        <w:t>You can choose to answer all or some of the questions below. (</w:t>
      </w:r>
      <w:r>
        <w:rPr>
          <w:i/>
          <w:sz w:val="24"/>
          <w:szCs w:val="24"/>
        </w:rPr>
        <w:t>500</w:t>
      </w:r>
      <w:r w:rsidRPr="00504ED5">
        <w:rPr>
          <w:i/>
          <w:sz w:val="24"/>
          <w:szCs w:val="24"/>
        </w:rPr>
        <w:t xml:space="preserve"> words limit per question).</w:t>
      </w:r>
    </w:p>
    <w:p w14:paraId="05DED541" w14:textId="77777777" w:rsidR="00F44568" w:rsidRPr="00504ED5" w:rsidRDefault="00F44568" w:rsidP="00F44568">
      <w:pPr>
        <w:pStyle w:val="NormalWeb"/>
        <w:jc w:val="both"/>
        <w:rPr>
          <w:rFonts w:ascii="Times New Roman" w:hAnsi="Times New Roman"/>
          <w:sz w:val="24"/>
        </w:rPr>
      </w:pPr>
      <w:r w:rsidRPr="00504ED5">
        <w:rPr>
          <w:rFonts w:ascii="Times New Roman" w:hAnsi="Times New Roman"/>
          <w:sz w:val="24"/>
        </w:rPr>
        <w:t xml:space="preserve">Inputs may be sent by e-mail </w:t>
      </w:r>
      <w:r w:rsidRPr="00504ED5">
        <w:rPr>
          <w:rFonts w:ascii="Times New Roman" w:hAnsi="Times New Roman"/>
          <w:b/>
          <w:bCs/>
          <w:sz w:val="24"/>
        </w:rPr>
        <w:t>by 15 November 2023</w:t>
      </w:r>
      <w:r w:rsidRPr="00504ED5">
        <w:rPr>
          <w:rFonts w:ascii="Times New Roman" w:hAnsi="Times New Roman"/>
          <w:sz w:val="24"/>
        </w:rPr>
        <w:t>.</w:t>
      </w:r>
    </w:p>
    <w:p w14:paraId="50A7DCCE" w14:textId="77777777" w:rsidR="00F44568" w:rsidRDefault="00F44568" w:rsidP="00F44568">
      <w:pPr>
        <w:numPr>
          <w:ilvl w:val="0"/>
          <w:numId w:val="2"/>
        </w:numPr>
        <w:spacing w:before="240" w:after="240" w:line="259" w:lineRule="auto"/>
        <w:rPr>
          <w:sz w:val="24"/>
          <w:szCs w:val="24"/>
        </w:rPr>
      </w:pPr>
      <w:r w:rsidRPr="005A1BF0">
        <w:rPr>
          <w:sz w:val="24"/>
          <w:szCs w:val="24"/>
        </w:rPr>
        <w:t>While the concept of harm reduction has traditionally been applied to drug use, the Special Rapporteur is taking a broadened approach to harm reduction. What types of harm reduction policies, programmes, and practices are in place in your community, and what is their purpose or aim? How successful have they been at achieving that aim? Please provide data, as possible.</w:t>
      </w:r>
    </w:p>
    <w:p w14:paraId="755C1902" w14:textId="14468919" w:rsidR="00AF6C5D" w:rsidRDefault="0019706F" w:rsidP="005D4B92">
      <w:pPr>
        <w:spacing w:before="240" w:after="240" w:line="259" w:lineRule="auto"/>
        <w:ind w:left="720"/>
        <w:jc w:val="both"/>
        <w:rPr>
          <w:color w:val="C00000"/>
          <w:sz w:val="24"/>
          <w:szCs w:val="24"/>
          <w:lang w:val="en-US"/>
        </w:rPr>
      </w:pPr>
      <w:r>
        <w:rPr>
          <w:color w:val="C00000"/>
          <w:sz w:val="24"/>
          <w:szCs w:val="24"/>
          <w:lang w:val="en-US"/>
        </w:rPr>
        <w:t xml:space="preserve">The </w:t>
      </w:r>
      <w:r w:rsidR="007E7B81">
        <w:rPr>
          <w:color w:val="C00000"/>
          <w:sz w:val="24"/>
          <w:szCs w:val="24"/>
          <w:lang w:val="en-US"/>
        </w:rPr>
        <w:t>world drug problem is a</w:t>
      </w:r>
      <w:r>
        <w:rPr>
          <w:color w:val="C00000"/>
          <w:sz w:val="24"/>
          <w:szCs w:val="24"/>
          <w:lang w:val="en-US"/>
        </w:rPr>
        <w:t xml:space="preserve"> highly complex and multi-faceted issue </w:t>
      </w:r>
      <w:r w:rsidR="007E7B81">
        <w:rPr>
          <w:color w:val="C00000"/>
          <w:sz w:val="24"/>
          <w:szCs w:val="24"/>
          <w:lang w:val="en-US"/>
        </w:rPr>
        <w:t>that inflicts immense damage on the livelihood of communities,</w:t>
      </w:r>
      <w:r>
        <w:rPr>
          <w:color w:val="C00000"/>
          <w:sz w:val="24"/>
          <w:szCs w:val="24"/>
          <w:lang w:val="en-US"/>
        </w:rPr>
        <w:t xml:space="preserve"> </w:t>
      </w:r>
      <w:r w:rsidR="007E7B81">
        <w:rPr>
          <w:color w:val="C00000"/>
          <w:sz w:val="24"/>
          <w:szCs w:val="24"/>
          <w:lang w:val="en-US"/>
        </w:rPr>
        <w:t>and affects the realisation of</w:t>
      </w:r>
      <w:r>
        <w:rPr>
          <w:color w:val="C00000"/>
          <w:sz w:val="24"/>
          <w:szCs w:val="24"/>
          <w:lang w:val="en-US"/>
        </w:rPr>
        <w:t xml:space="preserve"> </w:t>
      </w:r>
      <w:r w:rsidR="007E7B81">
        <w:rPr>
          <w:color w:val="C00000"/>
          <w:sz w:val="24"/>
          <w:szCs w:val="24"/>
          <w:lang w:val="en-US"/>
        </w:rPr>
        <w:t xml:space="preserve">individuals’ </w:t>
      </w:r>
      <w:r>
        <w:rPr>
          <w:color w:val="C00000"/>
          <w:sz w:val="24"/>
          <w:szCs w:val="24"/>
          <w:lang w:val="en-US"/>
        </w:rPr>
        <w:t xml:space="preserve">right to health. </w:t>
      </w:r>
      <w:r w:rsidR="007E7B81">
        <w:rPr>
          <w:color w:val="C00000"/>
          <w:sz w:val="24"/>
          <w:szCs w:val="24"/>
          <w:lang w:val="en-US"/>
        </w:rPr>
        <w:t xml:space="preserve">The challenges posed by illicit and narcotic drugs </w:t>
      </w:r>
      <w:r>
        <w:rPr>
          <w:color w:val="C00000"/>
          <w:sz w:val="24"/>
          <w:szCs w:val="24"/>
          <w:lang w:val="en-US"/>
        </w:rPr>
        <w:t>present</w:t>
      </w:r>
      <w:r w:rsidR="007E7B81">
        <w:rPr>
          <w:color w:val="C00000"/>
          <w:sz w:val="24"/>
          <w:szCs w:val="24"/>
          <w:lang w:val="en-US"/>
        </w:rPr>
        <w:t xml:space="preserve"> themselves </w:t>
      </w:r>
      <w:r>
        <w:rPr>
          <w:color w:val="C00000"/>
          <w:sz w:val="24"/>
          <w:szCs w:val="24"/>
          <w:lang w:val="en-US"/>
        </w:rPr>
        <w:t xml:space="preserve">in diverse </w:t>
      </w:r>
      <w:r w:rsidR="007E7B81">
        <w:rPr>
          <w:color w:val="C00000"/>
          <w:sz w:val="24"/>
          <w:szCs w:val="24"/>
          <w:lang w:val="en-US"/>
        </w:rPr>
        <w:t>settings</w:t>
      </w:r>
      <w:r>
        <w:rPr>
          <w:color w:val="C00000"/>
          <w:sz w:val="24"/>
          <w:szCs w:val="24"/>
          <w:lang w:val="en-US"/>
        </w:rPr>
        <w:t xml:space="preserve"> and circumstances globally</w:t>
      </w:r>
      <w:r w:rsidR="007E7B81">
        <w:rPr>
          <w:color w:val="C00000"/>
          <w:sz w:val="24"/>
          <w:szCs w:val="24"/>
          <w:lang w:val="en-US"/>
        </w:rPr>
        <w:t>, which</w:t>
      </w:r>
      <w:r>
        <w:rPr>
          <w:color w:val="C00000"/>
          <w:sz w:val="24"/>
          <w:szCs w:val="24"/>
          <w:lang w:val="en-US"/>
        </w:rPr>
        <w:t xml:space="preserve"> necessitates States to take tailored</w:t>
      </w:r>
      <w:r w:rsidR="00AF6C5D">
        <w:rPr>
          <w:color w:val="C00000"/>
          <w:sz w:val="24"/>
          <w:szCs w:val="24"/>
          <w:lang w:val="en-US"/>
        </w:rPr>
        <w:t xml:space="preserve"> drug control approach</w:t>
      </w:r>
      <w:r>
        <w:rPr>
          <w:color w:val="C00000"/>
          <w:sz w:val="24"/>
          <w:szCs w:val="24"/>
          <w:lang w:val="en-US"/>
        </w:rPr>
        <w:t>es</w:t>
      </w:r>
      <w:r w:rsidR="00AF6C5D">
        <w:rPr>
          <w:color w:val="C00000"/>
          <w:sz w:val="24"/>
          <w:szCs w:val="24"/>
          <w:lang w:val="en-US"/>
        </w:rPr>
        <w:t xml:space="preserve"> that best suit their own context</w:t>
      </w:r>
      <w:r w:rsidR="007E7B81">
        <w:rPr>
          <w:color w:val="C00000"/>
          <w:sz w:val="24"/>
          <w:szCs w:val="24"/>
          <w:lang w:val="en-US"/>
        </w:rPr>
        <w:t>s</w:t>
      </w:r>
      <w:r w:rsidR="00AF6C5D">
        <w:rPr>
          <w:color w:val="C00000"/>
          <w:sz w:val="24"/>
          <w:szCs w:val="24"/>
          <w:lang w:val="en-US"/>
        </w:rPr>
        <w:t>.</w:t>
      </w:r>
    </w:p>
    <w:p w14:paraId="2F53AA69" w14:textId="23C2055D" w:rsidR="00F118AB" w:rsidRDefault="00200F83" w:rsidP="005D4B92">
      <w:pPr>
        <w:spacing w:before="240" w:after="240" w:line="259" w:lineRule="auto"/>
        <w:ind w:left="720"/>
        <w:jc w:val="both"/>
        <w:rPr>
          <w:color w:val="C00000"/>
          <w:sz w:val="24"/>
          <w:szCs w:val="24"/>
          <w:lang w:val="en-US"/>
        </w:rPr>
      </w:pPr>
      <w:r>
        <w:rPr>
          <w:color w:val="C00000"/>
          <w:sz w:val="24"/>
          <w:szCs w:val="24"/>
        </w:rPr>
        <w:t xml:space="preserve">Singapore adopts a </w:t>
      </w:r>
      <w:r w:rsidR="007379E9">
        <w:rPr>
          <w:color w:val="C00000"/>
          <w:sz w:val="24"/>
          <w:szCs w:val="24"/>
        </w:rPr>
        <w:t xml:space="preserve">harm prevention </w:t>
      </w:r>
      <w:r w:rsidR="007A2877" w:rsidRPr="007A2877">
        <w:rPr>
          <w:color w:val="C00000"/>
          <w:sz w:val="24"/>
          <w:szCs w:val="24"/>
        </w:rPr>
        <w:t xml:space="preserve">approach to </w:t>
      </w:r>
      <w:r w:rsidR="007E7B81">
        <w:rPr>
          <w:color w:val="C00000"/>
          <w:sz w:val="24"/>
          <w:szCs w:val="24"/>
        </w:rPr>
        <w:t>tackling the drug problem,</w:t>
      </w:r>
      <w:r w:rsidR="00BD4565">
        <w:rPr>
          <w:color w:val="C00000"/>
          <w:sz w:val="24"/>
          <w:szCs w:val="24"/>
        </w:rPr>
        <w:t xml:space="preserve"> which </w:t>
      </w:r>
      <w:r w:rsidR="007E7B81">
        <w:rPr>
          <w:color w:val="C00000"/>
          <w:sz w:val="24"/>
          <w:szCs w:val="24"/>
        </w:rPr>
        <w:t>we have found</w:t>
      </w:r>
      <w:r w:rsidR="007A2877" w:rsidRPr="007A2877">
        <w:rPr>
          <w:color w:val="C00000"/>
          <w:sz w:val="24"/>
          <w:szCs w:val="24"/>
        </w:rPr>
        <w:t xml:space="preserve"> best serves our needs</w:t>
      </w:r>
      <w:r w:rsidR="00B649E8">
        <w:rPr>
          <w:color w:val="C00000"/>
          <w:sz w:val="24"/>
          <w:szCs w:val="24"/>
        </w:rPr>
        <w:t xml:space="preserve"> within our context</w:t>
      </w:r>
      <w:r w:rsidR="00FF2C6C">
        <w:rPr>
          <w:color w:val="C00000"/>
          <w:sz w:val="24"/>
          <w:szCs w:val="24"/>
          <w:lang w:val="en-US"/>
        </w:rPr>
        <w:t xml:space="preserve">. </w:t>
      </w:r>
      <w:r w:rsidR="00052A42">
        <w:rPr>
          <w:color w:val="C00000"/>
          <w:sz w:val="24"/>
          <w:szCs w:val="24"/>
          <w:lang w:val="en-US"/>
        </w:rPr>
        <w:t>This approach focuses on</w:t>
      </w:r>
      <w:r w:rsidR="007B7291">
        <w:rPr>
          <w:color w:val="C00000"/>
          <w:sz w:val="24"/>
          <w:szCs w:val="24"/>
          <w:lang w:val="en-US"/>
        </w:rPr>
        <w:t xml:space="preserve"> comprehensive preventive drug education, </w:t>
      </w:r>
      <w:r w:rsidR="00052A42">
        <w:rPr>
          <w:color w:val="C00000"/>
          <w:sz w:val="24"/>
          <w:szCs w:val="24"/>
          <w:lang w:val="en-US"/>
        </w:rPr>
        <w:t>evidence-informed and effective</w:t>
      </w:r>
      <w:r w:rsidR="007B7291">
        <w:rPr>
          <w:color w:val="C00000"/>
          <w:sz w:val="24"/>
          <w:szCs w:val="24"/>
          <w:lang w:val="en-US"/>
        </w:rPr>
        <w:t xml:space="preserve"> treatment and rehabilitation for abusers</w:t>
      </w:r>
      <w:r w:rsidR="00B87590">
        <w:rPr>
          <w:color w:val="C00000"/>
          <w:sz w:val="24"/>
          <w:szCs w:val="24"/>
          <w:lang w:val="en-US"/>
        </w:rPr>
        <w:t>,</w:t>
      </w:r>
      <w:r w:rsidR="007B7291">
        <w:rPr>
          <w:color w:val="C00000"/>
          <w:sz w:val="24"/>
          <w:szCs w:val="24"/>
          <w:lang w:val="en-US"/>
        </w:rPr>
        <w:t xml:space="preserve"> and </w:t>
      </w:r>
      <w:r w:rsidR="00052A42">
        <w:rPr>
          <w:color w:val="C00000"/>
          <w:sz w:val="24"/>
          <w:szCs w:val="24"/>
          <w:lang w:val="en-US"/>
        </w:rPr>
        <w:t xml:space="preserve">robust </w:t>
      </w:r>
      <w:r w:rsidR="007B7291">
        <w:rPr>
          <w:color w:val="C00000"/>
          <w:sz w:val="24"/>
          <w:szCs w:val="24"/>
          <w:lang w:val="en-US"/>
        </w:rPr>
        <w:t xml:space="preserve">aftercare support. </w:t>
      </w:r>
    </w:p>
    <w:p w14:paraId="3742765D" w14:textId="53D5D0AF" w:rsidR="00C761CE" w:rsidRDefault="00C761CE" w:rsidP="005D4B92">
      <w:pPr>
        <w:spacing w:before="240" w:after="240" w:line="259" w:lineRule="auto"/>
        <w:ind w:left="720"/>
        <w:jc w:val="both"/>
        <w:rPr>
          <w:color w:val="C00000"/>
          <w:sz w:val="24"/>
          <w:szCs w:val="24"/>
          <w:lang w:val="en-US"/>
        </w:rPr>
      </w:pPr>
      <w:r>
        <w:rPr>
          <w:color w:val="C00000"/>
          <w:sz w:val="24"/>
          <w:szCs w:val="24"/>
          <w:lang w:val="en-US"/>
        </w:rPr>
        <w:t>For those who consume drugs and have no other concurrent</w:t>
      </w:r>
      <w:r w:rsidR="00052A42">
        <w:rPr>
          <w:color w:val="C00000"/>
          <w:sz w:val="24"/>
          <w:szCs w:val="24"/>
          <w:lang w:val="en-US"/>
        </w:rPr>
        <w:t xml:space="preserve"> criminal</w:t>
      </w:r>
      <w:r>
        <w:rPr>
          <w:color w:val="C00000"/>
          <w:sz w:val="24"/>
          <w:szCs w:val="24"/>
          <w:lang w:val="en-US"/>
        </w:rPr>
        <w:t xml:space="preserve"> offences, they are </w:t>
      </w:r>
      <w:r w:rsidR="000457B7">
        <w:rPr>
          <w:color w:val="C00000"/>
          <w:sz w:val="24"/>
          <w:szCs w:val="24"/>
          <w:lang w:val="en-US"/>
        </w:rPr>
        <w:t>directed to attend</w:t>
      </w:r>
      <w:r>
        <w:rPr>
          <w:color w:val="C00000"/>
          <w:sz w:val="24"/>
          <w:szCs w:val="24"/>
          <w:lang w:val="en-US"/>
        </w:rPr>
        <w:t xml:space="preserve"> mandatory rehabilitation</w:t>
      </w:r>
      <w:r w:rsidR="000457B7">
        <w:rPr>
          <w:color w:val="C00000"/>
          <w:sz w:val="24"/>
          <w:szCs w:val="24"/>
          <w:lang w:val="en-US"/>
        </w:rPr>
        <w:t xml:space="preserve"> either in the community</w:t>
      </w:r>
      <w:r w:rsidR="00F63F58">
        <w:rPr>
          <w:color w:val="C00000"/>
          <w:sz w:val="24"/>
          <w:szCs w:val="24"/>
          <w:lang w:val="en-US"/>
        </w:rPr>
        <w:t xml:space="preserve"> </w:t>
      </w:r>
      <w:r w:rsidR="000457B7">
        <w:rPr>
          <w:color w:val="C00000"/>
          <w:sz w:val="24"/>
          <w:szCs w:val="24"/>
          <w:lang w:val="en-US"/>
        </w:rPr>
        <w:t>or in a Drug Rehabilitation Centre (DRC)</w:t>
      </w:r>
      <w:r w:rsidR="00511A66">
        <w:rPr>
          <w:color w:val="C00000"/>
          <w:sz w:val="24"/>
          <w:szCs w:val="24"/>
          <w:lang w:val="en-US"/>
        </w:rPr>
        <w:t xml:space="preserve">, depending on </w:t>
      </w:r>
      <w:r w:rsidR="00406F79">
        <w:rPr>
          <w:color w:val="C00000"/>
          <w:sz w:val="24"/>
          <w:szCs w:val="24"/>
          <w:lang w:val="en-US"/>
        </w:rPr>
        <w:t>their risk</w:t>
      </w:r>
      <w:r w:rsidR="00052A42">
        <w:rPr>
          <w:color w:val="C00000"/>
          <w:sz w:val="24"/>
          <w:szCs w:val="24"/>
          <w:lang w:val="en-US"/>
        </w:rPr>
        <w:t>s and needs</w:t>
      </w:r>
      <w:r w:rsidR="000457B7">
        <w:rPr>
          <w:color w:val="C00000"/>
          <w:sz w:val="24"/>
          <w:szCs w:val="24"/>
          <w:lang w:val="en-US"/>
        </w:rPr>
        <w:t xml:space="preserve">. Those placed on community rehabilitation attend counselling and casework </w:t>
      </w:r>
      <w:r w:rsidR="00191460">
        <w:rPr>
          <w:color w:val="C00000"/>
          <w:sz w:val="24"/>
          <w:szCs w:val="24"/>
          <w:lang w:val="en-US"/>
        </w:rPr>
        <w:t xml:space="preserve">provided </w:t>
      </w:r>
      <w:r w:rsidR="00F63F58">
        <w:rPr>
          <w:color w:val="C00000"/>
          <w:sz w:val="24"/>
          <w:szCs w:val="24"/>
          <w:lang w:val="en-US"/>
        </w:rPr>
        <w:t xml:space="preserve">by an appointed service provider, </w:t>
      </w:r>
      <w:r w:rsidR="000457B7">
        <w:rPr>
          <w:color w:val="C00000"/>
          <w:sz w:val="24"/>
          <w:szCs w:val="24"/>
          <w:lang w:val="en-US"/>
        </w:rPr>
        <w:t>together with urine supervision</w:t>
      </w:r>
      <w:r w:rsidR="00F63F58">
        <w:rPr>
          <w:color w:val="C00000"/>
          <w:sz w:val="24"/>
          <w:szCs w:val="24"/>
          <w:lang w:val="en-US"/>
        </w:rPr>
        <w:t xml:space="preserve">. </w:t>
      </w:r>
      <w:r w:rsidR="00B87590">
        <w:rPr>
          <w:color w:val="C00000"/>
          <w:sz w:val="24"/>
          <w:szCs w:val="24"/>
          <w:lang w:val="en-US"/>
        </w:rPr>
        <w:t xml:space="preserve">Individuals committed to a DRC first undergo evidence-informed treatment and rehabilitation programmes based on their assessed risks and needs, </w:t>
      </w:r>
      <w:r w:rsidR="00B32E7F">
        <w:rPr>
          <w:color w:val="C00000"/>
          <w:sz w:val="24"/>
          <w:szCs w:val="24"/>
          <w:lang w:val="en-US"/>
        </w:rPr>
        <w:t>which are guided by local research as well as best practices from correctional programmes globally. These include</w:t>
      </w:r>
      <w:r w:rsidR="00B87590">
        <w:rPr>
          <w:color w:val="C00000"/>
          <w:sz w:val="24"/>
          <w:szCs w:val="24"/>
          <w:lang w:val="en-US"/>
        </w:rPr>
        <w:t xml:space="preserve"> </w:t>
      </w:r>
      <w:r w:rsidR="00B32E7F">
        <w:rPr>
          <w:color w:val="C00000"/>
          <w:sz w:val="24"/>
          <w:szCs w:val="24"/>
          <w:lang w:val="en-US"/>
        </w:rPr>
        <w:t>p</w:t>
      </w:r>
      <w:r w:rsidR="00B87590">
        <w:rPr>
          <w:color w:val="C00000"/>
          <w:sz w:val="24"/>
          <w:szCs w:val="24"/>
          <w:lang w:val="en-US"/>
        </w:rPr>
        <w:t xml:space="preserve">sychology-based </w:t>
      </w:r>
      <w:r w:rsidR="00B32E7F">
        <w:rPr>
          <w:color w:val="C00000"/>
          <w:sz w:val="24"/>
          <w:szCs w:val="24"/>
          <w:lang w:val="en-US"/>
        </w:rPr>
        <w:t>correctional</w:t>
      </w:r>
      <w:r w:rsidR="00B87590">
        <w:rPr>
          <w:color w:val="C00000"/>
          <w:sz w:val="24"/>
          <w:szCs w:val="24"/>
          <w:lang w:val="en-US"/>
        </w:rPr>
        <w:t xml:space="preserve"> </w:t>
      </w:r>
      <w:r w:rsidR="00B32E7F">
        <w:rPr>
          <w:color w:val="C00000"/>
          <w:sz w:val="24"/>
          <w:szCs w:val="24"/>
          <w:lang w:val="en-US"/>
        </w:rPr>
        <w:t>p</w:t>
      </w:r>
      <w:r w:rsidR="00B87590">
        <w:rPr>
          <w:color w:val="C00000"/>
          <w:sz w:val="24"/>
          <w:szCs w:val="24"/>
          <w:lang w:val="en-US"/>
        </w:rPr>
        <w:t xml:space="preserve">rogrammes to address underlying thinking patterns related to substance abuse and addiction, </w:t>
      </w:r>
      <w:r w:rsidR="00B32E7F">
        <w:rPr>
          <w:color w:val="C00000"/>
          <w:sz w:val="24"/>
          <w:szCs w:val="24"/>
          <w:lang w:val="en-US"/>
        </w:rPr>
        <w:t xml:space="preserve">as well as enrichment programmes in life skills and employability skills, with the support of in-house psychologists and Correctional Rehabilitation Specialists. </w:t>
      </w:r>
    </w:p>
    <w:p w14:paraId="2EB6B0BB" w14:textId="13359FC6" w:rsidR="00C761CE" w:rsidRPr="00316278" w:rsidRDefault="00316278" w:rsidP="00316278">
      <w:pPr>
        <w:spacing w:before="240" w:after="240" w:line="259" w:lineRule="auto"/>
        <w:ind w:left="720"/>
        <w:jc w:val="both"/>
        <w:rPr>
          <w:color w:val="C00000"/>
          <w:sz w:val="24"/>
          <w:szCs w:val="24"/>
        </w:rPr>
      </w:pPr>
      <w:r w:rsidRPr="00316278">
        <w:rPr>
          <w:color w:val="C00000"/>
          <w:sz w:val="24"/>
          <w:szCs w:val="24"/>
          <w:lang w:val="en-US"/>
        </w:rPr>
        <w:t>To facilitate the smooth reintegration of drug abusers into the community</w:t>
      </w:r>
      <w:r w:rsidR="001C621C">
        <w:rPr>
          <w:color w:val="C00000"/>
          <w:sz w:val="24"/>
          <w:szCs w:val="24"/>
          <w:lang w:val="en-US"/>
        </w:rPr>
        <w:t>,</w:t>
      </w:r>
      <w:r w:rsidRPr="00316278">
        <w:rPr>
          <w:color w:val="C00000"/>
          <w:sz w:val="24"/>
          <w:szCs w:val="24"/>
          <w:lang w:val="en-US"/>
        </w:rPr>
        <w:t xml:space="preserve"> aftercare support and supervision are provided </w:t>
      </w:r>
      <w:r w:rsidR="00B87590">
        <w:rPr>
          <w:color w:val="C00000"/>
          <w:sz w:val="24"/>
          <w:szCs w:val="24"/>
          <w:lang w:val="en-US"/>
        </w:rPr>
        <w:t xml:space="preserve">under various community-based programmes </w:t>
      </w:r>
      <w:r w:rsidRPr="00316278">
        <w:rPr>
          <w:color w:val="C00000"/>
          <w:sz w:val="24"/>
          <w:szCs w:val="24"/>
          <w:lang w:val="en-US"/>
        </w:rPr>
        <w:t xml:space="preserve">to cater to diverse needs and </w:t>
      </w:r>
      <w:r w:rsidR="00B32E7F">
        <w:rPr>
          <w:color w:val="C00000"/>
          <w:sz w:val="24"/>
          <w:szCs w:val="24"/>
          <w:lang w:val="en-US"/>
        </w:rPr>
        <w:t xml:space="preserve">individual </w:t>
      </w:r>
      <w:r w:rsidRPr="00316278">
        <w:rPr>
          <w:color w:val="C00000"/>
          <w:sz w:val="24"/>
          <w:szCs w:val="24"/>
          <w:lang w:val="en-US"/>
        </w:rPr>
        <w:t>profiles</w:t>
      </w:r>
      <w:r w:rsidR="0005483E">
        <w:rPr>
          <w:color w:val="C00000"/>
          <w:sz w:val="24"/>
          <w:szCs w:val="24"/>
          <w:lang w:val="en-US"/>
        </w:rPr>
        <w:t xml:space="preserve">. </w:t>
      </w:r>
      <w:r w:rsidR="00B87590">
        <w:rPr>
          <w:color w:val="C00000"/>
          <w:sz w:val="24"/>
          <w:szCs w:val="24"/>
          <w:lang w:val="en-US"/>
        </w:rPr>
        <w:t>A</w:t>
      </w:r>
      <w:r w:rsidRPr="00316278">
        <w:rPr>
          <w:color w:val="C00000"/>
          <w:sz w:val="24"/>
          <w:szCs w:val="24"/>
          <w:lang w:val="en-US"/>
        </w:rPr>
        <w:t xml:space="preserve"> holistic support structure is in place to assist them, including formulation of case management plans by </w:t>
      </w:r>
      <w:r w:rsidR="00B32E7F">
        <w:rPr>
          <w:color w:val="C00000"/>
          <w:sz w:val="24"/>
          <w:szCs w:val="24"/>
          <w:lang w:val="en-US"/>
        </w:rPr>
        <w:t>the Singapore Prison Service (</w:t>
      </w:r>
      <w:r w:rsidRPr="00316278">
        <w:rPr>
          <w:color w:val="C00000"/>
          <w:sz w:val="24"/>
          <w:szCs w:val="24"/>
          <w:lang w:val="en-US"/>
        </w:rPr>
        <w:t>SPS</w:t>
      </w:r>
      <w:r w:rsidR="00B32E7F">
        <w:rPr>
          <w:color w:val="C00000"/>
          <w:sz w:val="24"/>
          <w:szCs w:val="24"/>
          <w:lang w:val="en-US"/>
        </w:rPr>
        <w:t>)</w:t>
      </w:r>
      <w:r w:rsidRPr="00316278">
        <w:rPr>
          <w:color w:val="C00000"/>
          <w:sz w:val="24"/>
          <w:szCs w:val="24"/>
          <w:lang w:val="en-US"/>
        </w:rPr>
        <w:t>’s Reintegration Officers and Correctional Rehabilitation Specialists as well as job placement and career guidance support by Yellow Ribbon Singapore</w:t>
      </w:r>
      <w:r w:rsidR="00B32E7F">
        <w:rPr>
          <w:color w:val="C00000"/>
          <w:sz w:val="24"/>
          <w:szCs w:val="24"/>
          <w:lang w:val="en-US"/>
        </w:rPr>
        <w:t xml:space="preserve"> (YRSG)</w:t>
      </w:r>
      <w:r w:rsidRPr="00316278">
        <w:rPr>
          <w:color w:val="C00000"/>
          <w:sz w:val="24"/>
          <w:szCs w:val="24"/>
          <w:lang w:val="en-US"/>
        </w:rPr>
        <w:t>.</w:t>
      </w:r>
      <w:r w:rsidR="00B32E7F" w:rsidRPr="00405DC0">
        <w:rPr>
          <w:rStyle w:val="FootnoteReference"/>
          <w:bCs/>
          <w:color w:val="C00000"/>
          <w:sz w:val="24"/>
          <w:szCs w:val="24"/>
          <w:lang w:eastAsia="en-GB"/>
        </w:rPr>
        <w:footnoteReference w:id="3"/>
      </w:r>
    </w:p>
    <w:p w14:paraId="0CF4F6FC" w14:textId="0EEFAE8B" w:rsidR="00D87160" w:rsidRPr="00ED4956" w:rsidRDefault="00562CD6" w:rsidP="004A6C13">
      <w:pPr>
        <w:spacing w:before="240" w:after="240" w:line="259" w:lineRule="auto"/>
        <w:ind w:left="720"/>
        <w:jc w:val="both"/>
        <w:rPr>
          <w:color w:val="C00000"/>
          <w:sz w:val="24"/>
          <w:szCs w:val="24"/>
        </w:rPr>
      </w:pPr>
      <w:r w:rsidRPr="004C1605">
        <w:rPr>
          <w:color w:val="C00000"/>
          <w:sz w:val="24"/>
          <w:szCs w:val="24"/>
          <w:lang w:val="en-US"/>
        </w:rPr>
        <w:lastRenderedPageBreak/>
        <w:t xml:space="preserve">The </w:t>
      </w:r>
      <w:r w:rsidR="00E378FF">
        <w:rPr>
          <w:color w:val="C00000"/>
          <w:sz w:val="24"/>
          <w:szCs w:val="24"/>
          <w:lang w:val="en-US"/>
        </w:rPr>
        <w:t>two-year</w:t>
      </w:r>
      <w:r w:rsidRPr="004C1605">
        <w:rPr>
          <w:color w:val="C00000"/>
          <w:sz w:val="24"/>
          <w:szCs w:val="24"/>
          <w:lang w:val="en-US"/>
        </w:rPr>
        <w:t xml:space="preserve"> recidivism rate for drug abusers released from DRC </w:t>
      </w:r>
      <w:r w:rsidR="00052A42">
        <w:rPr>
          <w:color w:val="C00000"/>
          <w:sz w:val="24"/>
          <w:szCs w:val="24"/>
          <w:lang w:val="en-US"/>
        </w:rPr>
        <w:t xml:space="preserve">remains </w:t>
      </w:r>
      <w:r w:rsidRPr="004C1605">
        <w:rPr>
          <w:color w:val="C00000"/>
          <w:sz w:val="24"/>
          <w:szCs w:val="24"/>
          <w:lang w:val="en-US"/>
        </w:rPr>
        <w:t xml:space="preserve">low and stable, at 26.1%, </w:t>
      </w:r>
      <w:r w:rsidR="00E378FF">
        <w:rPr>
          <w:color w:val="C00000"/>
          <w:sz w:val="24"/>
          <w:szCs w:val="24"/>
          <w:lang w:val="en-US"/>
        </w:rPr>
        <w:t xml:space="preserve">for the </w:t>
      </w:r>
      <w:r w:rsidRPr="004C1605">
        <w:rPr>
          <w:color w:val="C00000"/>
          <w:sz w:val="24"/>
          <w:szCs w:val="24"/>
          <w:lang w:val="en-US"/>
        </w:rPr>
        <w:t>2020</w:t>
      </w:r>
      <w:r w:rsidR="00E378FF">
        <w:rPr>
          <w:color w:val="C00000"/>
          <w:sz w:val="24"/>
          <w:szCs w:val="24"/>
          <w:lang w:val="en-US"/>
        </w:rPr>
        <w:t xml:space="preserve"> release cohort</w:t>
      </w:r>
      <w:r w:rsidRPr="004C1605">
        <w:rPr>
          <w:color w:val="C00000"/>
          <w:sz w:val="24"/>
          <w:szCs w:val="24"/>
          <w:lang w:val="en-US"/>
        </w:rPr>
        <w:t>.</w:t>
      </w:r>
      <w:r w:rsidR="004803E8">
        <w:rPr>
          <w:color w:val="C00000"/>
          <w:sz w:val="24"/>
          <w:szCs w:val="24"/>
          <w:lang w:val="en-US"/>
        </w:rPr>
        <w:t xml:space="preserve"> </w:t>
      </w:r>
      <w:r w:rsidR="001221B4">
        <w:rPr>
          <w:color w:val="C00000"/>
          <w:sz w:val="24"/>
          <w:szCs w:val="24"/>
          <w:lang w:val="en-US"/>
        </w:rPr>
        <w:t>Our</w:t>
      </w:r>
      <w:r w:rsidR="004803E8">
        <w:rPr>
          <w:color w:val="C00000"/>
          <w:sz w:val="24"/>
          <w:szCs w:val="24"/>
          <w:lang w:val="en-US"/>
        </w:rPr>
        <w:t xml:space="preserve"> harm prevention approach has worked well for us in our fight against drugs.   </w:t>
      </w:r>
    </w:p>
    <w:p w14:paraId="52CE9B88" w14:textId="77777777" w:rsidR="00F44568" w:rsidRDefault="00F44568" w:rsidP="00F44568">
      <w:pPr>
        <w:numPr>
          <w:ilvl w:val="0"/>
          <w:numId w:val="2"/>
        </w:numPr>
        <w:spacing w:before="240" w:after="240" w:line="259" w:lineRule="auto"/>
        <w:rPr>
          <w:sz w:val="24"/>
          <w:szCs w:val="24"/>
        </w:rPr>
      </w:pPr>
      <w:r w:rsidRPr="005A1BF0">
        <w:rPr>
          <w:sz w:val="24"/>
          <w:szCs w:val="24"/>
        </w:rPr>
        <w:t xml:space="preserve">How do legal frameworks affect the harm reduction policies, programmes, and practices (whether related to drug use or otherwise) that are available in your community, country, or region? Are there laws or policies that either facilitate or serve as a barrier to adopting or implementing certain harm reduction policies, programmes, and practices? Aside from legal and regulatory barriers, are there other obstacles in place? Please provide specific examples. </w:t>
      </w:r>
    </w:p>
    <w:p w14:paraId="4B1D4B14" w14:textId="7A17EF0C" w:rsidR="00A00800" w:rsidRDefault="00452063" w:rsidP="00600B9A">
      <w:pPr>
        <w:spacing w:before="240" w:after="240" w:line="259" w:lineRule="auto"/>
        <w:ind w:left="720"/>
        <w:jc w:val="both"/>
        <w:rPr>
          <w:color w:val="C00000"/>
          <w:sz w:val="24"/>
          <w:szCs w:val="24"/>
        </w:rPr>
      </w:pPr>
      <w:r w:rsidRPr="00AA2340">
        <w:rPr>
          <w:color w:val="C00000"/>
          <w:sz w:val="24"/>
          <w:szCs w:val="24"/>
        </w:rPr>
        <w:t xml:space="preserve">The primary anti-drug legislation </w:t>
      </w:r>
      <w:r w:rsidR="00B32E7F">
        <w:rPr>
          <w:color w:val="C00000"/>
          <w:sz w:val="24"/>
          <w:szCs w:val="24"/>
        </w:rPr>
        <w:t xml:space="preserve">in Singapore </w:t>
      </w:r>
      <w:r w:rsidRPr="00AA2340">
        <w:rPr>
          <w:color w:val="C00000"/>
          <w:sz w:val="24"/>
          <w:szCs w:val="24"/>
        </w:rPr>
        <w:t xml:space="preserve">is the Misuse of Drugs Act </w:t>
      </w:r>
      <w:r w:rsidR="00EB23F2">
        <w:rPr>
          <w:color w:val="C00000"/>
          <w:sz w:val="24"/>
          <w:szCs w:val="24"/>
        </w:rPr>
        <w:t xml:space="preserve">1975 </w:t>
      </w:r>
      <w:r w:rsidRPr="00AA2340">
        <w:rPr>
          <w:color w:val="C00000"/>
          <w:sz w:val="24"/>
          <w:szCs w:val="24"/>
        </w:rPr>
        <w:t>(MDA), which is complemented by a host of other legislations</w:t>
      </w:r>
      <w:r w:rsidR="00406F79">
        <w:rPr>
          <w:color w:val="C00000"/>
          <w:sz w:val="24"/>
          <w:szCs w:val="24"/>
        </w:rPr>
        <w:t xml:space="preserve"> (e</w:t>
      </w:r>
      <w:r w:rsidR="00B32E7F">
        <w:rPr>
          <w:color w:val="C00000"/>
          <w:sz w:val="24"/>
          <w:szCs w:val="24"/>
        </w:rPr>
        <w:t>.</w:t>
      </w:r>
      <w:r w:rsidR="00406F79">
        <w:rPr>
          <w:color w:val="C00000"/>
          <w:sz w:val="24"/>
          <w:szCs w:val="24"/>
        </w:rPr>
        <w:t>g</w:t>
      </w:r>
      <w:r w:rsidR="00B32E7F">
        <w:rPr>
          <w:color w:val="C00000"/>
          <w:sz w:val="24"/>
          <w:szCs w:val="24"/>
        </w:rPr>
        <w:t>.,</w:t>
      </w:r>
      <w:r w:rsidR="00406F79">
        <w:rPr>
          <w:color w:val="C00000"/>
          <w:sz w:val="24"/>
          <w:szCs w:val="24"/>
        </w:rPr>
        <w:t xml:space="preserve"> the Criminal Procedure Code for investigative powers, Evidence Act etc</w:t>
      </w:r>
      <w:r w:rsidR="00B32E7F">
        <w:rPr>
          <w:color w:val="C00000"/>
          <w:sz w:val="24"/>
          <w:szCs w:val="24"/>
        </w:rPr>
        <w:t>.</w:t>
      </w:r>
      <w:r w:rsidR="00406F79">
        <w:rPr>
          <w:color w:val="C00000"/>
          <w:sz w:val="24"/>
          <w:szCs w:val="24"/>
        </w:rPr>
        <w:t>)</w:t>
      </w:r>
      <w:r w:rsidRPr="00AA2340">
        <w:rPr>
          <w:color w:val="C00000"/>
          <w:sz w:val="24"/>
          <w:szCs w:val="24"/>
        </w:rPr>
        <w:t>.</w:t>
      </w:r>
      <w:r w:rsidR="00C2404B">
        <w:rPr>
          <w:color w:val="C00000"/>
          <w:sz w:val="24"/>
          <w:szCs w:val="24"/>
        </w:rPr>
        <w:t xml:space="preserve"> </w:t>
      </w:r>
    </w:p>
    <w:p w14:paraId="293E9ACD" w14:textId="2AE4C1EE" w:rsidR="003017BD" w:rsidRDefault="00A00800" w:rsidP="00600B9A">
      <w:pPr>
        <w:spacing w:before="240" w:after="240" w:line="259" w:lineRule="auto"/>
        <w:ind w:left="720"/>
        <w:jc w:val="both"/>
        <w:rPr>
          <w:color w:val="C00000"/>
          <w:sz w:val="24"/>
          <w:szCs w:val="24"/>
        </w:rPr>
      </w:pPr>
      <w:r>
        <w:rPr>
          <w:color w:val="C00000"/>
          <w:sz w:val="24"/>
          <w:szCs w:val="24"/>
        </w:rPr>
        <w:t xml:space="preserve">The MDA </w:t>
      </w:r>
      <w:r w:rsidR="00BF5CF8">
        <w:rPr>
          <w:color w:val="C00000"/>
          <w:sz w:val="24"/>
          <w:szCs w:val="24"/>
        </w:rPr>
        <w:t xml:space="preserve">provides the Director of the Central Narcotics Bureau </w:t>
      </w:r>
      <w:r w:rsidR="000F5CAD">
        <w:rPr>
          <w:color w:val="C00000"/>
          <w:sz w:val="24"/>
          <w:szCs w:val="24"/>
        </w:rPr>
        <w:t xml:space="preserve">(CNB, Singapore’s drug enforcement agency) </w:t>
      </w:r>
      <w:r w:rsidR="00EB23F2">
        <w:rPr>
          <w:color w:val="C00000"/>
          <w:sz w:val="24"/>
          <w:szCs w:val="24"/>
        </w:rPr>
        <w:t xml:space="preserve">with powers </w:t>
      </w:r>
      <w:r w:rsidR="00BF5CF8">
        <w:rPr>
          <w:color w:val="C00000"/>
          <w:sz w:val="24"/>
          <w:szCs w:val="24"/>
        </w:rPr>
        <w:t xml:space="preserve">to subject an abuser to rehabilitation </w:t>
      </w:r>
      <w:r w:rsidR="00EB23F2">
        <w:rPr>
          <w:color w:val="C00000"/>
          <w:sz w:val="24"/>
          <w:szCs w:val="24"/>
        </w:rPr>
        <w:t>either in the community or in a DRC</w:t>
      </w:r>
      <w:r w:rsidR="003017BD">
        <w:rPr>
          <w:color w:val="C00000"/>
          <w:sz w:val="24"/>
          <w:szCs w:val="24"/>
        </w:rPr>
        <w:t xml:space="preserve">, and the administration of the DRC and management of persons committed in a </w:t>
      </w:r>
      <w:r w:rsidR="004A6C13">
        <w:rPr>
          <w:color w:val="C00000"/>
          <w:sz w:val="24"/>
          <w:szCs w:val="24"/>
        </w:rPr>
        <w:t>DRC</w:t>
      </w:r>
      <w:r w:rsidR="00EB23F2">
        <w:rPr>
          <w:color w:val="C00000"/>
          <w:sz w:val="24"/>
          <w:szCs w:val="24"/>
        </w:rPr>
        <w:t xml:space="preserve">. </w:t>
      </w:r>
    </w:p>
    <w:p w14:paraId="184672C8" w14:textId="20F31395" w:rsidR="00522427" w:rsidRPr="004A6C13" w:rsidRDefault="00EB23F2" w:rsidP="004A6C13">
      <w:pPr>
        <w:spacing w:before="240" w:after="240" w:line="259" w:lineRule="auto"/>
        <w:ind w:left="720"/>
        <w:jc w:val="both"/>
        <w:rPr>
          <w:color w:val="C00000"/>
          <w:sz w:val="24"/>
          <w:szCs w:val="24"/>
        </w:rPr>
      </w:pPr>
      <w:r>
        <w:rPr>
          <w:color w:val="C00000"/>
          <w:sz w:val="24"/>
          <w:szCs w:val="24"/>
        </w:rPr>
        <w:t xml:space="preserve">The </w:t>
      </w:r>
      <w:r w:rsidR="00DF6BC4">
        <w:rPr>
          <w:color w:val="C00000"/>
          <w:sz w:val="24"/>
          <w:szCs w:val="24"/>
        </w:rPr>
        <w:t xml:space="preserve">type of </w:t>
      </w:r>
      <w:r>
        <w:rPr>
          <w:color w:val="C00000"/>
          <w:sz w:val="24"/>
          <w:szCs w:val="24"/>
        </w:rPr>
        <w:t>rehabilitation programmes</w:t>
      </w:r>
      <w:r w:rsidR="00DF6BC4">
        <w:rPr>
          <w:color w:val="C00000"/>
          <w:sz w:val="24"/>
          <w:szCs w:val="24"/>
        </w:rPr>
        <w:t xml:space="preserve"> and support</w:t>
      </w:r>
      <w:r>
        <w:rPr>
          <w:color w:val="C00000"/>
          <w:sz w:val="24"/>
          <w:szCs w:val="24"/>
        </w:rPr>
        <w:t xml:space="preserve"> that an abuser </w:t>
      </w:r>
      <w:r w:rsidR="00DF6BC4">
        <w:rPr>
          <w:color w:val="C00000"/>
          <w:sz w:val="24"/>
          <w:szCs w:val="24"/>
        </w:rPr>
        <w:t>receives</w:t>
      </w:r>
      <w:r>
        <w:rPr>
          <w:color w:val="C00000"/>
          <w:sz w:val="24"/>
          <w:szCs w:val="24"/>
        </w:rPr>
        <w:t xml:space="preserve"> is </w:t>
      </w:r>
      <w:r w:rsidR="00BA4F68">
        <w:rPr>
          <w:color w:val="C00000"/>
          <w:sz w:val="24"/>
          <w:szCs w:val="24"/>
        </w:rPr>
        <w:t xml:space="preserve">informed </w:t>
      </w:r>
      <w:r w:rsidR="00DF6BC4">
        <w:rPr>
          <w:color w:val="C00000"/>
          <w:sz w:val="24"/>
          <w:szCs w:val="24"/>
        </w:rPr>
        <w:t xml:space="preserve">by </w:t>
      </w:r>
      <w:r w:rsidR="000F5CAD">
        <w:rPr>
          <w:color w:val="C00000"/>
          <w:sz w:val="24"/>
          <w:szCs w:val="24"/>
        </w:rPr>
        <w:t xml:space="preserve">evidence and research. </w:t>
      </w:r>
      <w:r w:rsidR="00522427">
        <w:rPr>
          <w:color w:val="C00000"/>
          <w:sz w:val="24"/>
          <w:szCs w:val="24"/>
        </w:rPr>
        <w:t>O</w:t>
      </w:r>
      <w:r w:rsidR="00522427" w:rsidRPr="00522427">
        <w:rPr>
          <w:color w:val="C00000"/>
          <w:sz w:val="24"/>
          <w:szCs w:val="24"/>
        </w:rPr>
        <w:t xml:space="preserve">ver the years, SPS and </w:t>
      </w:r>
      <w:r w:rsidR="000F5CAD">
        <w:rPr>
          <w:color w:val="C00000"/>
          <w:sz w:val="24"/>
          <w:szCs w:val="24"/>
        </w:rPr>
        <w:t>YRSG</w:t>
      </w:r>
      <w:r w:rsidR="00B32E7F">
        <w:rPr>
          <w:color w:val="C00000"/>
          <w:sz w:val="24"/>
          <w:szCs w:val="24"/>
        </w:rPr>
        <w:t xml:space="preserve"> </w:t>
      </w:r>
      <w:r w:rsidR="00522427" w:rsidRPr="00522427">
        <w:rPr>
          <w:color w:val="C00000"/>
          <w:sz w:val="24"/>
          <w:szCs w:val="24"/>
        </w:rPr>
        <w:t>have stepped up</w:t>
      </w:r>
      <w:r w:rsidR="00522427">
        <w:rPr>
          <w:color w:val="C00000"/>
          <w:sz w:val="24"/>
          <w:szCs w:val="24"/>
        </w:rPr>
        <w:t xml:space="preserve"> </w:t>
      </w:r>
      <w:r w:rsidR="00522427" w:rsidRPr="00522427">
        <w:rPr>
          <w:color w:val="C00000"/>
          <w:sz w:val="24"/>
          <w:szCs w:val="24"/>
        </w:rPr>
        <w:t xml:space="preserve">support for abusers. </w:t>
      </w:r>
      <w:r w:rsidR="00A33C37">
        <w:rPr>
          <w:color w:val="C00000"/>
          <w:sz w:val="24"/>
          <w:szCs w:val="24"/>
        </w:rPr>
        <w:t xml:space="preserve">Abusers are also </w:t>
      </w:r>
      <w:r w:rsidR="00522427" w:rsidRPr="00522427">
        <w:rPr>
          <w:color w:val="C00000"/>
          <w:sz w:val="24"/>
          <w:szCs w:val="24"/>
        </w:rPr>
        <w:t>given skills training and work programmes. In 2014, the Mandatory Aftercare Scheme</w:t>
      </w:r>
      <w:r w:rsidR="009B6B1A">
        <w:rPr>
          <w:color w:val="C00000"/>
          <w:sz w:val="24"/>
          <w:szCs w:val="24"/>
        </w:rPr>
        <w:t xml:space="preserve"> </w:t>
      </w:r>
      <w:r w:rsidR="00A33C37">
        <w:rPr>
          <w:color w:val="C00000"/>
          <w:sz w:val="24"/>
          <w:szCs w:val="24"/>
        </w:rPr>
        <w:t xml:space="preserve">was introduced </w:t>
      </w:r>
      <w:r w:rsidR="009B6B1A">
        <w:rPr>
          <w:color w:val="C00000"/>
          <w:sz w:val="24"/>
          <w:szCs w:val="24"/>
        </w:rPr>
        <w:t>for</w:t>
      </w:r>
      <w:r w:rsidR="00522427" w:rsidRPr="00522427">
        <w:rPr>
          <w:color w:val="C00000"/>
          <w:sz w:val="24"/>
          <w:szCs w:val="24"/>
        </w:rPr>
        <w:t xml:space="preserve"> offenders</w:t>
      </w:r>
      <w:r w:rsidR="00052A42">
        <w:rPr>
          <w:color w:val="C00000"/>
          <w:sz w:val="24"/>
          <w:szCs w:val="24"/>
        </w:rPr>
        <w:t xml:space="preserve"> with a higher risk of relapse</w:t>
      </w:r>
      <w:r w:rsidR="00522427" w:rsidRPr="00522427">
        <w:rPr>
          <w:color w:val="C00000"/>
          <w:sz w:val="24"/>
          <w:szCs w:val="24"/>
        </w:rPr>
        <w:t xml:space="preserve">, </w:t>
      </w:r>
      <w:r w:rsidR="009B6B1A">
        <w:rPr>
          <w:color w:val="C00000"/>
          <w:sz w:val="24"/>
          <w:szCs w:val="24"/>
        </w:rPr>
        <w:t>where</w:t>
      </w:r>
      <w:r w:rsidR="00522427" w:rsidRPr="00522427">
        <w:rPr>
          <w:color w:val="C00000"/>
          <w:sz w:val="24"/>
          <w:szCs w:val="24"/>
        </w:rPr>
        <w:t xml:space="preserve"> they </w:t>
      </w:r>
      <w:r w:rsidR="009B6B1A">
        <w:rPr>
          <w:color w:val="C00000"/>
          <w:sz w:val="24"/>
          <w:szCs w:val="24"/>
        </w:rPr>
        <w:t>are</w:t>
      </w:r>
      <w:r w:rsidR="00522427" w:rsidRPr="00522427">
        <w:rPr>
          <w:color w:val="C00000"/>
          <w:sz w:val="24"/>
          <w:szCs w:val="24"/>
        </w:rPr>
        <w:t xml:space="preserve"> given compulsory</w:t>
      </w:r>
      <w:r w:rsidR="009B6B1A">
        <w:rPr>
          <w:color w:val="C00000"/>
          <w:sz w:val="24"/>
          <w:szCs w:val="24"/>
        </w:rPr>
        <w:t xml:space="preserve"> </w:t>
      </w:r>
      <w:r w:rsidR="00522427" w:rsidRPr="00522427">
        <w:rPr>
          <w:color w:val="C00000"/>
          <w:sz w:val="24"/>
          <w:szCs w:val="24"/>
        </w:rPr>
        <w:t xml:space="preserve">structured programmes after they </w:t>
      </w:r>
      <w:r w:rsidR="00A33C37">
        <w:rPr>
          <w:color w:val="C00000"/>
          <w:sz w:val="24"/>
          <w:szCs w:val="24"/>
        </w:rPr>
        <w:t>complete detention</w:t>
      </w:r>
      <w:r w:rsidR="00522427" w:rsidRPr="00522427">
        <w:rPr>
          <w:color w:val="C00000"/>
          <w:sz w:val="24"/>
          <w:szCs w:val="24"/>
        </w:rPr>
        <w:t xml:space="preserve">. </w:t>
      </w:r>
    </w:p>
    <w:p w14:paraId="4EE8206D" w14:textId="77777777" w:rsidR="008D3855" w:rsidRDefault="00F44568" w:rsidP="008D3855">
      <w:pPr>
        <w:numPr>
          <w:ilvl w:val="0"/>
          <w:numId w:val="2"/>
        </w:numPr>
        <w:spacing w:line="259" w:lineRule="auto"/>
        <w:rPr>
          <w:sz w:val="24"/>
          <w:szCs w:val="24"/>
        </w:rPr>
      </w:pPr>
      <w:r w:rsidRPr="005A1BF0">
        <w:rPr>
          <w:sz w:val="24"/>
          <w:szCs w:val="24"/>
        </w:rPr>
        <w:t>How does the jurisdiction in place in your region/country/state approach the criminalisation (or decriminalisation) of drug use? Please provide disaggregated data, including but not limited to gender, age, race/ethnicity, status of poverty, sexual orientation and the number of persons deprived of liberty for drug possession or consumption.</w:t>
      </w:r>
    </w:p>
    <w:p w14:paraId="79A16BF1" w14:textId="77777777" w:rsidR="008D3855" w:rsidRDefault="008D3855" w:rsidP="008D3855">
      <w:pPr>
        <w:spacing w:line="259" w:lineRule="auto"/>
        <w:ind w:left="720"/>
        <w:rPr>
          <w:sz w:val="24"/>
          <w:szCs w:val="24"/>
        </w:rPr>
      </w:pPr>
    </w:p>
    <w:p w14:paraId="59BEC623" w14:textId="64FE28A6" w:rsidR="00227395" w:rsidRDefault="00227395" w:rsidP="00313B54">
      <w:pPr>
        <w:spacing w:line="259" w:lineRule="auto"/>
        <w:ind w:left="720"/>
        <w:jc w:val="both"/>
        <w:rPr>
          <w:color w:val="C00000"/>
          <w:sz w:val="24"/>
          <w:szCs w:val="24"/>
          <w:lang w:val="en-US"/>
        </w:rPr>
      </w:pPr>
      <w:r w:rsidRPr="00227395">
        <w:rPr>
          <w:color w:val="C00000"/>
          <w:sz w:val="24"/>
          <w:szCs w:val="24"/>
          <w:lang w:val="en-US"/>
        </w:rPr>
        <w:t>In Singapore, drug abusers who do not face other concurrent criminal charges will be channeled to the relevant rehabilitation pathway</w:t>
      </w:r>
      <w:r w:rsidR="00AA7B57">
        <w:rPr>
          <w:color w:val="C00000"/>
          <w:sz w:val="24"/>
          <w:szCs w:val="24"/>
          <w:lang w:val="en-US"/>
        </w:rPr>
        <w:t xml:space="preserve">s (see answer </w:t>
      </w:r>
      <w:r w:rsidR="00B32E7F">
        <w:rPr>
          <w:color w:val="C00000"/>
          <w:sz w:val="24"/>
          <w:szCs w:val="24"/>
          <w:lang w:val="en-US"/>
        </w:rPr>
        <w:t xml:space="preserve">to </w:t>
      </w:r>
      <w:r w:rsidR="00AA7B57">
        <w:rPr>
          <w:color w:val="C00000"/>
          <w:sz w:val="24"/>
          <w:szCs w:val="24"/>
          <w:lang w:val="en-US"/>
        </w:rPr>
        <w:t>Qn 1)</w:t>
      </w:r>
      <w:r w:rsidR="006826E1">
        <w:rPr>
          <w:color w:val="C00000"/>
          <w:sz w:val="24"/>
          <w:szCs w:val="24"/>
          <w:lang w:val="en-US"/>
        </w:rPr>
        <w:t>.</w:t>
      </w:r>
      <w:r w:rsidR="00313B54">
        <w:rPr>
          <w:color w:val="C00000"/>
          <w:sz w:val="24"/>
          <w:szCs w:val="24"/>
          <w:lang w:val="en-US"/>
        </w:rPr>
        <w:t xml:space="preserve"> This</w:t>
      </w:r>
      <w:r w:rsidR="00313B54" w:rsidRPr="00313B54">
        <w:rPr>
          <w:color w:val="C00000"/>
          <w:sz w:val="24"/>
          <w:szCs w:val="24"/>
          <w:lang w:val="en-US"/>
        </w:rPr>
        <w:t xml:space="preserve"> group of abusers may also include those who have minor consumption-related offences like</w:t>
      </w:r>
      <w:r w:rsidR="00313B54">
        <w:rPr>
          <w:color w:val="C00000"/>
          <w:sz w:val="24"/>
          <w:szCs w:val="24"/>
          <w:lang w:val="en-US"/>
        </w:rPr>
        <w:t xml:space="preserve"> </w:t>
      </w:r>
      <w:r w:rsidR="00313B54" w:rsidRPr="00313B54">
        <w:rPr>
          <w:color w:val="C00000"/>
          <w:sz w:val="24"/>
          <w:szCs w:val="24"/>
          <w:lang w:val="en-US"/>
        </w:rPr>
        <w:t>possession of drug-taking utensils or possession of small quantities of drugs</w:t>
      </w:r>
      <w:r w:rsidR="00436B62">
        <w:rPr>
          <w:color w:val="C00000"/>
          <w:sz w:val="24"/>
          <w:szCs w:val="24"/>
          <w:lang w:val="en-US"/>
        </w:rPr>
        <w:t xml:space="preserve">. </w:t>
      </w:r>
      <w:r w:rsidR="006826E1">
        <w:rPr>
          <w:color w:val="C00000"/>
          <w:sz w:val="24"/>
          <w:szCs w:val="24"/>
          <w:lang w:val="en-US"/>
        </w:rPr>
        <w:t xml:space="preserve">An abuser </w:t>
      </w:r>
      <w:r w:rsidR="00313B54">
        <w:rPr>
          <w:color w:val="C00000"/>
          <w:sz w:val="24"/>
          <w:szCs w:val="24"/>
          <w:lang w:val="en-US"/>
        </w:rPr>
        <w:t xml:space="preserve">channeled </w:t>
      </w:r>
      <w:r w:rsidR="00436B62">
        <w:rPr>
          <w:color w:val="C00000"/>
          <w:sz w:val="24"/>
          <w:szCs w:val="24"/>
          <w:lang w:val="en-US"/>
        </w:rPr>
        <w:t>to</w:t>
      </w:r>
      <w:r w:rsidR="00313B54">
        <w:rPr>
          <w:color w:val="C00000"/>
          <w:sz w:val="24"/>
          <w:szCs w:val="24"/>
          <w:lang w:val="en-US"/>
        </w:rPr>
        <w:t xml:space="preserve"> the rehabilitation </w:t>
      </w:r>
      <w:r w:rsidR="006826E1">
        <w:rPr>
          <w:color w:val="C00000"/>
          <w:sz w:val="24"/>
          <w:szCs w:val="24"/>
          <w:lang w:val="en-US"/>
        </w:rPr>
        <w:t xml:space="preserve">pathway will not have a </w:t>
      </w:r>
      <w:r w:rsidRPr="00227395">
        <w:rPr>
          <w:color w:val="C00000"/>
          <w:sz w:val="24"/>
          <w:szCs w:val="24"/>
          <w:lang w:val="en-US"/>
        </w:rPr>
        <w:t xml:space="preserve">criminal record. </w:t>
      </w:r>
    </w:p>
    <w:p w14:paraId="02809090" w14:textId="77777777" w:rsidR="00F74665" w:rsidRDefault="00F74665" w:rsidP="00313B54">
      <w:pPr>
        <w:spacing w:line="259" w:lineRule="auto"/>
        <w:ind w:left="720"/>
        <w:jc w:val="both"/>
        <w:rPr>
          <w:color w:val="C00000"/>
          <w:sz w:val="24"/>
          <w:szCs w:val="24"/>
          <w:lang w:val="en-US"/>
        </w:rPr>
      </w:pPr>
    </w:p>
    <w:p w14:paraId="266C0255" w14:textId="64F248F4" w:rsidR="00F74665" w:rsidRDefault="00F74665" w:rsidP="00F74665">
      <w:pPr>
        <w:spacing w:line="259" w:lineRule="auto"/>
        <w:ind w:left="720"/>
        <w:jc w:val="both"/>
        <w:rPr>
          <w:color w:val="C00000"/>
          <w:sz w:val="24"/>
          <w:szCs w:val="24"/>
        </w:rPr>
      </w:pPr>
      <w:r>
        <w:rPr>
          <w:color w:val="C00000"/>
          <w:sz w:val="24"/>
          <w:szCs w:val="24"/>
        </w:rPr>
        <w:t>Our figures for the last 5 years based on total number of drug abusers</w:t>
      </w:r>
      <w:r w:rsidR="00A87D01">
        <w:rPr>
          <w:color w:val="C00000"/>
          <w:sz w:val="24"/>
          <w:szCs w:val="24"/>
        </w:rPr>
        <w:t xml:space="preserve"> and</w:t>
      </w:r>
      <w:r>
        <w:rPr>
          <w:color w:val="C00000"/>
          <w:sz w:val="24"/>
          <w:szCs w:val="24"/>
        </w:rPr>
        <w:t xml:space="preserve"> their sex are as follows:</w:t>
      </w:r>
    </w:p>
    <w:p w14:paraId="5D46CA6F" w14:textId="77777777" w:rsidR="00F74665" w:rsidRDefault="00F74665" w:rsidP="00313B54">
      <w:pPr>
        <w:spacing w:line="259" w:lineRule="auto"/>
        <w:ind w:left="720"/>
        <w:jc w:val="both"/>
        <w:rPr>
          <w:color w:val="C00000"/>
          <w:sz w:val="24"/>
          <w:szCs w:val="24"/>
          <w:lang w:val="en-US"/>
        </w:rPr>
      </w:pPr>
    </w:p>
    <w:tbl>
      <w:tblPr>
        <w:tblStyle w:val="TableGrid"/>
        <w:tblW w:w="8494" w:type="dxa"/>
        <w:tblInd w:w="607" w:type="dxa"/>
        <w:tblLook w:val="04A0" w:firstRow="1" w:lastRow="0" w:firstColumn="1" w:lastColumn="0" w:noHBand="0" w:noVBand="1"/>
      </w:tblPr>
      <w:tblGrid>
        <w:gridCol w:w="2082"/>
        <w:gridCol w:w="992"/>
        <w:gridCol w:w="1187"/>
        <w:gridCol w:w="1411"/>
        <w:gridCol w:w="1411"/>
        <w:gridCol w:w="1411"/>
      </w:tblGrid>
      <w:tr w:rsidR="004A6C13" w:rsidRPr="004A6C13" w14:paraId="7EAB6363" w14:textId="77777777" w:rsidTr="004A6C13">
        <w:tc>
          <w:tcPr>
            <w:tcW w:w="2082" w:type="dxa"/>
            <w:tcBorders>
              <w:top w:val="single" w:sz="4" w:space="0" w:color="auto"/>
              <w:left w:val="single" w:sz="4" w:space="0" w:color="auto"/>
              <w:bottom w:val="single" w:sz="4" w:space="0" w:color="auto"/>
              <w:right w:val="single" w:sz="4" w:space="0" w:color="auto"/>
            </w:tcBorders>
          </w:tcPr>
          <w:p w14:paraId="5AD34A61" w14:textId="77777777" w:rsidR="00F74665" w:rsidRPr="004A6C13" w:rsidRDefault="00F74665" w:rsidP="00EB4BE8">
            <w:pPr>
              <w:rPr>
                <w:b/>
                <w:bCs/>
                <w:color w:val="C00000"/>
                <w:sz w:val="24"/>
                <w:szCs w:val="24"/>
                <w:lang w:eastAsia="zh-CN"/>
              </w:rPr>
            </w:pPr>
            <w:r w:rsidRPr="004A6C13">
              <w:rPr>
                <w:b/>
                <w:bCs/>
                <w:color w:val="C00000"/>
                <w:sz w:val="24"/>
                <w:szCs w:val="24"/>
                <w:lang w:eastAsia="zh-CN"/>
              </w:rPr>
              <w:t>Total number of drug abusers</w:t>
            </w:r>
          </w:p>
        </w:tc>
        <w:tc>
          <w:tcPr>
            <w:tcW w:w="992" w:type="dxa"/>
            <w:tcBorders>
              <w:top w:val="single" w:sz="4" w:space="0" w:color="auto"/>
              <w:left w:val="single" w:sz="4" w:space="0" w:color="auto"/>
              <w:bottom w:val="single" w:sz="4" w:space="0" w:color="auto"/>
              <w:right w:val="single" w:sz="4" w:space="0" w:color="auto"/>
            </w:tcBorders>
            <w:hideMark/>
          </w:tcPr>
          <w:p w14:paraId="76D95ACE" w14:textId="77777777" w:rsidR="00F74665" w:rsidRPr="004A6C13" w:rsidRDefault="00F74665" w:rsidP="00EB4BE8">
            <w:pPr>
              <w:rPr>
                <w:color w:val="C00000"/>
                <w:sz w:val="24"/>
                <w:szCs w:val="24"/>
                <w:lang w:eastAsia="zh-CN"/>
              </w:rPr>
            </w:pPr>
            <w:r w:rsidRPr="004A6C13">
              <w:rPr>
                <w:color w:val="C00000"/>
                <w:sz w:val="24"/>
                <w:szCs w:val="24"/>
                <w:lang w:eastAsia="zh-CN"/>
              </w:rPr>
              <w:t>2018</w:t>
            </w:r>
          </w:p>
        </w:tc>
        <w:tc>
          <w:tcPr>
            <w:tcW w:w="1187" w:type="dxa"/>
            <w:tcBorders>
              <w:top w:val="single" w:sz="4" w:space="0" w:color="auto"/>
              <w:left w:val="single" w:sz="4" w:space="0" w:color="auto"/>
              <w:bottom w:val="single" w:sz="4" w:space="0" w:color="auto"/>
              <w:right w:val="single" w:sz="4" w:space="0" w:color="auto"/>
            </w:tcBorders>
            <w:hideMark/>
          </w:tcPr>
          <w:p w14:paraId="0B7D7C70" w14:textId="77777777" w:rsidR="00F74665" w:rsidRPr="004A6C13" w:rsidRDefault="00F74665" w:rsidP="00EB4BE8">
            <w:pPr>
              <w:rPr>
                <w:color w:val="C00000"/>
                <w:sz w:val="24"/>
                <w:szCs w:val="24"/>
                <w:lang w:eastAsia="zh-CN"/>
              </w:rPr>
            </w:pPr>
            <w:r w:rsidRPr="004A6C13">
              <w:rPr>
                <w:color w:val="C00000"/>
                <w:sz w:val="24"/>
                <w:szCs w:val="24"/>
                <w:lang w:eastAsia="zh-CN"/>
              </w:rPr>
              <w:t>2019</w:t>
            </w:r>
          </w:p>
        </w:tc>
        <w:tc>
          <w:tcPr>
            <w:tcW w:w="1411" w:type="dxa"/>
            <w:tcBorders>
              <w:top w:val="single" w:sz="4" w:space="0" w:color="auto"/>
              <w:left w:val="single" w:sz="4" w:space="0" w:color="auto"/>
              <w:bottom w:val="single" w:sz="4" w:space="0" w:color="auto"/>
              <w:right w:val="single" w:sz="4" w:space="0" w:color="auto"/>
            </w:tcBorders>
            <w:hideMark/>
          </w:tcPr>
          <w:p w14:paraId="681B81DE" w14:textId="77777777" w:rsidR="00F74665" w:rsidRPr="004A6C13" w:rsidRDefault="00F74665" w:rsidP="00EB4BE8">
            <w:pPr>
              <w:rPr>
                <w:color w:val="C00000"/>
                <w:sz w:val="24"/>
                <w:szCs w:val="24"/>
                <w:lang w:eastAsia="zh-CN"/>
              </w:rPr>
            </w:pPr>
            <w:r w:rsidRPr="004A6C13">
              <w:rPr>
                <w:color w:val="C00000"/>
                <w:sz w:val="24"/>
                <w:szCs w:val="24"/>
                <w:lang w:eastAsia="zh-CN"/>
              </w:rPr>
              <w:t>2020</w:t>
            </w:r>
          </w:p>
        </w:tc>
        <w:tc>
          <w:tcPr>
            <w:tcW w:w="1411" w:type="dxa"/>
            <w:tcBorders>
              <w:top w:val="single" w:sz="4" w:space="0" w:color="auto"/>
              <w:left w:val="single" w:sz="4" w:space="0" w:color="auto"/>
              <w:bottom w:val="single" w:sz="4" w:space="0" w:color="auto"/>
              <w:right w:val="single" w:sz="4" w:space="0" w:color="auto"/>
            </w:tcBorders>
            <w:hideMark/>
          </w:tcPr>
          <w:p w14:paraId="02520FCC" w14:textId="77777777" w:rsidR="00F74665" w:rsidRPr="004A6C13" w:rsidRDefault="00F74665" w:rsidP="00EB4BE8">
            <w:pPr>
              <w:rPr>
                <w:color w:val="C00000"/>
                <w:sz w:val="24"/>
                <w:szCs w:val="24"/>
                <w:lang w:eastAsia="zh-CN"/>
              </w:rPr>
            </w:pPr>
            <w:r w:rsidRPr="004A6C13">
              <w:rPr>
                <w:color w:val="C00000"/>
                <w:sz w:val="24"/>
                <w:szCs w:val="24"/>
                <w:lang w:eastAsia="zh-CN"/>
              </w:rPr>
              <w:t>2021</w:t>
            </w:r>
          </w:p>
        </w:tc>
        <w:tc>
          <w:tcPr>
            <w:tcW w:w="1411" w:type="dxa"/>
            <w:tcBorders>
              <w:top w:val="single" w:sz="4" w:space="0" w:color="auto"/>
              <w:left w:val="single" w:sz="4" w:space="0" w:color="auto"/>
              <w:bottom w:val="single" w:sz="4" w:space="0" w:color="auto"/>
              <w:right w:val="single" w:sz="4" w:space="0" w:color="auto"/>
            </w:tcBorders>
            <w:hideMark/>
          </w:tcPr>
          <w:p w14:paraId="2134B909" w14:textId="77777777" w:rsidR="00F74665" w:rsidRPr="004A6C13" w:rsidRDefault="00F74665" w:rsidP="00EB4BE8">
            <w:pPr>
              <w:rPr>
                <w:color w:val="C00000"/>
                <w:sz w:val="24"/>
                <w:szCs w:val="24"/>
                <w:lang w:eastAsia="zh-CN"/>
              </w:rPr>
            </w:pPr>
            <w:r w:rsidRPr="004A6C13">
              <w:rPr>
                <w:color w:val="C00000"/>
                <w:sz w:val="24"/>
                <w:szCs w:val="24"/>
                <w:lang w:eastAsia="zh-CN"/>
              </w:rPr>
              <w:t>2022</w:t>
            </w:r>
          </w:p>
        </w:tc>
      </w:tr>
      <w:tr w:rsidR="004A6C13" w:rsidRPr="004A6C13" w14:paraId="658C632F" w14:textId="77777777" w:rsidTr="004A6C13">
        <w:tc>
          <w:tcPr>
            <w:tcW w:w="2082" w:type="dxa"/>
            <w:tcBorders>
              <w:top w:val="single" w:sz="4" w:space="0" w:color="auto"/>
              <w:left w:val="single" w:sz="4" w:space="0" w:color="auto"/>
              <w:bottom w:val="single" w:sz="4" w:space="0" w:color="auto"/>
              <w:right w:val="single" w:sz="4" w:space="0" w:color="auto"/>
            </w:tcBorders>
            <w:hideMark/>
          </w:tcPr>
          <w:p w14:paraId="1010CAFF" w14:textId="77777777" w:rsidR="00F74665" w:rsidRPr="004A6C13" w:rsidRDefault="00F74665" w:rsidP="00EB4BE8">
            <w:pPr>
              <w:rPr>
                <w:color w:val="C00000"/>
                <w:sz w:val="24"/>
                <w:szCs w:val="24"/>
                <w:lang w:eastAsia="zh-CN"/>
              </w:rPr>
            </w:pPr>
            <w:r w:rsidRPr="004A6C13">
              <w:rPr>
                <w:color w:val="C00000"/>
                <w:sz w:val="24"/>
                <w:szCs w:val="24"/>
                <w:lang w:eastAsia="zh-CN"/>
              </w:rPr>
              <w:t>New</w:t>
            </w:r>
          </w:p>
        </w:tc>
        <w:tc>
          <w:tcPr>
            <w:tcW w:w="992" w:type="dxa"/>
            <w:tcBorders>
              <w:top w:val="single" w:sz="4" w:space="0" w:color="auto"/>
              <w:left w:val="single" w:sz="4" w:space="0" w:color="auto"/>
              <w:bottom w:val="single" w:sz="4" w:space="0" w:color="auto"/>
              <w:right w:val="single" w:sz="4" w:space="0" w:color="auto"/>
            </w:tcBorders>
            <w:hideMark/>
          </w:tcPr>
          <w:p w14:paraId="6F486031" w14:textId="77777777" w:rsidR="00F74665" w:rsidRPr="004A6C13" w:rsidRDefault="00F74665" w:rsidP="00EB4BE8">
            <w:pPr>
              <w:jc w:val="right"/>
              <w:rPr>
                <w:color w:val="C00000"/>
                <w:sz w:val="24"/>
                <w:szCs w:val="24"/>
                <w:lang w:eastAsia="zh-CN"/>
              </w:rPr>
            </w:pPr>
            <w:r w:rsidRPr="004A6C13">
              <w:rPr>
                <w:color w:val="C00000"/>
                <w:sz w:val="24"/>
                <w:szCs w:val="24"/>
                <w:lang w:eastAsia="zh-CN"/>
              </w:rPr>
              <w:t>1364</w:t>
            </w:r>
          </w:p>
        </w:tc>
        <w:tc>
          <w:tcPr>
            <w:tcW w:w="1187" w:type="dxa"/>
            <w:tcBorders>
              <w:top w:val="single" w:sz="4" w:space="0" w:color="auto"/>
              <w:left w:val="single" w:sz="4" w:space="0" w:color="auto"/>
              <w:bottom w:val="single" w:sz="4" w:space="0" w:color="auto"/>
              <w:right w:val="single" w:sz="4" w:space="0" w:color="auto"/>
            </w:tcBorders>
            <w:hideMark/>
          </w:tcPr>
          <w:p w14:paraId="469F238C" w14:textId="77777777" w:rsidR="00F74665" w:rsidRPr="004A6C13" w:rsidRDefault="00F74665" w:rsidP="00EB4BE8">
            <w:pPr>
              <w:jc w:val="right"/>
              <w:rPr>
                <w:color w:val="C00000"/>
                <w:sz w:val="24"/>
                <w:szCs w:val="24"/>
                <w:lang w:eastAsia="zh-CN"/>
              </w:rPr>
            </w:pPr>
            <w:r w:rsidRPr="004A6C13">
              <w:rPr>
                <w:color w:val="C00000"/>
                <w:sz w:val="24"/>
                <w:szCs w:val="24"/>
                <w:lang w:eastAsia="zh-CN"/>
              </w:rPr>
              <w:t>1460</w:t>
            </w:r>
          </w:p>
        </w:tc>
        <w:tc>
          <w:tcPr>
            <w:tcW w:w="1411" w:type="dxa"/>
            <w:tcBorders>
              <w:top w:val="single" w:sz="4" w:space="0" w:color="auto"/>
              <w:left w:val="single" w:sz="4" w:space="0" w:color="auto"/>
              <w:bottom w:val="single" w:sz="4" w:space="0" w:color="auto"/>
              <w:right w:val="single" w:sz="4" w:space="0" w:color="auto"/>
            </w:tcBorders>
            <w:hideMark/>
          </w:tcPr>
          <w:p w14:paraId="6223937D" w14:textId="77777777" w:rsidR="00F74665" w:rsidRPr="004A6C13" w:rsidRDefault="00F74665" w:rsidP="00EB4BE8">
            <w:pPr>
              <w:jc w:val="right"/>
              <w:rPr>
                <w:color w:val="C00000"/>
                <w:sz w:val="24"/>
                <w:szCs w:val="24"/>
                <w:lang w:eastAsia="zh-CN"/>
              </w:rPr>
            </w:pPr>
            <w:r w:rsidRPr="004A6C13">
              <w:rPr>
                <w:color w:val="C00000"/>
                <w:sz w:val="24"/>
                <w:szCs w:val="24"/>
                <w:lang w:eastAsia="zh-CN"/>
              </w:rPr>
              <w:t>1151</w:t>
            </w:r>
          </w:p>
        </w:tc>
        <w:tc>
          <w:tcPr>
            <w:tcW w:w="1411" w:type="dxa"/>
            <w:tcBorders>
              <w:top w:val="single" w:sz="4" w:space="0" w:color="auto"/>
              <w:left w:val="single" w:sz="4" w:space="0" w:color="auto"/>
              <w:bottom w:val="single" w:sz="4" w:space="0" w:color="auto"/>
              <w:right w:val="single" w:sz="4" w:space="0" w:color="auto"/>
            </w:tcBorders>
            <w:hideMark/>
          </w:tcPr>
          <w:p w14:paraId="09DE1641" w14:textId="77777777" w:rsidR="00F74665" w:rsidRPr="004A6C13" w:rsidRDefault="00F74665" w:rsidP="00EB4BE8">
            <w:pPr>
              <w:jc w:val="right"/>
              <w:rPr>
                <w:color w:val="C00000"/>
                <w:sz w:val="24"/>
                <w:szCs w:val="24"/>
                <w:lang w:eastAsia="zh-CN"/>
              </w:rPr>
            </w:pPr>
            <w:r w:rsidRPr="004A6C13">
              <w:rPr>
                <w:color w:val="C00000"/>
                <w:sz w:val="24"/>
                <w:szCs w:val="24"/>
                <w:lang w:eastAsia="zh-CN"/>
              </w:rPr>
              <w:t>936</w:t>
            </w:r>
          </w:p>
        </w:tc>
        <w:tc>
          <w:tcPr>
            <w:tcW w:w="1411" w:type="dxa"/>
            <w:tcBorders>
              <w:top w:val="single" w:sz="4" w:space="0" w:color="auto"/>
              <w:left w:val="single" w:sz="4" w:space="0" w:color="auto"/>
              <w:bottom w:val="single" w:sz="4" w:space="0" w:color="auto"/>
              <w:right w:val="single" w:sz="4" w:space="0" w:color="auto"/>
            </w:tcBorders>
            <w:hideMark/>
          </w:tcPr>
          <w:p w14:paraId="2808680C" w14:textId="77777777" w:rsidR="00F74665" w:rsidRPr="004A6C13" w:rsidRDefault="00F74665" w:rsidP="00EB4BE8">
            <w:pPr>
              <w:jc w:val="right"/>
              <w:rPr>
                <w:color w:val="C00000"/>
                <w:sz w:val="24"/>
                <w:szCs w:val="24"/>
                <w:lang w:eastAsia="zh-CN"/>
              </w:rPr>
            </w:pPr>
            <w:r w:rsidRPr="004A6C13">
              <w:rPr>
                <w:color w:val="C00000"/>
                <w:sz w:val="24"/>
                <w:szCs w:val="24"/>
                <w:lang w:eastAsia="zh-CN"/>
              </w:rPr>
              <w:t>802</w:t>
            </w:r>
          </w:p>
        </w:tc>
      </w:tr>
      <w:tr w:rsidR="004A6C13" w:rsidRPr="004A6C13" w14:paraId="2EF6A8E5" w14:textId="77777777" w:rsidTr="004A6C13">
        <w:tc>
          <w:tcPr>
            <w:tcW w:w="2082" w:type="dxa"/>
            <w:tcBorders>
              <w:top w:val="single" w:sz="4" w:space="0" w:color="auto"/>
              <w:left w:val="single" w:sz="4" w:space="0" w:color="auto"/>
              <w:bottom w:val="single" w:sz="4" w:space="0" w:color="auto"/>
              <w:right w:val="single" w:sz="4" w:space="0" w:color="auto"/>
            </w:tcBorders>
            <w:hideMark/>
          </w:tcPr>
          <w:p w14:paraId="55C5DF36" w14:textId="77777777" w:rsidR="00F74665" w:rsidRPr="004A6C13" w:rsidRDefault="00F74665" w:rsidP="00EB4BE8">
            <w:pPr>
              <w:rPr>
                <w:color w:val="C00000"/>
                <w:sz w:val="24"/>
                <w:szCs w:val="24"/>
                <w:lang w:eastAsia="zh-CN"/>
              </w:rPr>
            </w:pPr>
            <w:r w:rsidRPr="004A6C13">
              <w:rPr>
                <w:color w:val="C00000"/>
                <w:sz w:val="24"/>
                <w:szCs w:val="24"/>
                <w:lang w:eastAsia="zh-CN"/>
              </w:rPr>
              <w:t>Repeat</w:t>
            </w:r>
          </w:p>
        </w:tc>
        <w:tc>
          <w:tcPr>
            <w:tcW w:w="992" w:type="dxa"/>
            <w:tcBorders>
              <w:top w:val="single" w:sz="4" w:space="0" w:color="auto"/>
              <w:left w:val="single" w:sz="4" w:space="0" w:color="auto"/>
              <w:bottom w:val="single" w:sz="4" w:space="0" w:color="auto"/>
              <w:right w:val="single" w:sz="4" w:space="0" w:color="auto"/>
            </w:tcBorders>
            <w:hideMark/>
          </w:tcPr>
          <w:p w14:paraId="2310EBFE" w14:textId="77777777" w:rsidR="00F74665" w:rsidRPr="004A6C13" w:rsidRDefault="00F74665" w:rsidP="00EB4BE8">
            <w:pPr>
              <w:jc w:val="right"/>
              <w:rPr>
                <w:color w:val="C00000"/>
                <w:sz w:val="24"/>
                <w:szCs w:val="24"/>
                <w:lang w:eastAsia="zh-CN"/>
              </w:rPr>
            </w:pPr>
            <w:r w:rsidRPr="004A6C13">
              <w:rPr>
                <w:color w:val="C00000"/>
                <w:sz w:val="24"/>
                <w:szCs w:val="24"/>
                <w:lang w:eastAsia="zh-CN"/>
              </w:rPr>
              <w:t>2075</w:t>
            </w:r>
          </w:p>
        </w:tc>
        <w:tc>
          <w:tcPr>
            <w:tcW w:w="1187" w:type="dxa"/>
            <w:tcBorders>
              <w:top w:val="single" w:sz="4" w:space="0" w:color="auto"/>
              <w:left w:val="single" w:sz="4" w:space="0" w:color="auto"/>
              <w:bottom w:val="single" w:sz="4" w:space="0" w:color="auto"/>
              <w:right w:val="single" w:sz="4" w:space="0" w:color="auto"/>
            </w:tcBorders>
            <w:hideMark/>
          </w:tcPr>
          <w:p w14:paraId="5B3A2CCA" w14:textId="77777777" w:rsidR="00F74665" w:rsidRPr="004A6C13" w:rsidRDefault="00F74665" w:rsidP="00EB4BE8">
            <w:pPr>
              <w:jc w:val="right"/>
              <w:rPr>
                <w:color w:val="C00000"/>
                <w:sz w:val="24"/>
                <w:szCs w:val="24"/>
                <w:lang w:eastAsia="zh-CN"/>
              </w:rPr>
            </w:pPr>
            <w:r w:rsidRPr="004A6C13">
              <w:rPr>
                <w:color w:val="C00000"/>
                <w:sz w:val="24"/>
                <w:szCs w:val="24"/>
                <w:lang w:eastAsia="zh-CN"/>
              </w:rPr>
              <w:fldChar w:fldCharType="begin"/>
            </w:r>
            <w:r w:rsidRPr="004A6C13">
              <w:rPr>
                <w:color w:val="C00000"/>
                <w:sz w:val="24"/>
                <w:szCs w:val="24"/>
                <w:lang w:eastAsia="zh-CN"/>
              </w:rPr>
              <w:instrText xml:space="preserve"> =3526-1460 </w:instrText>
            </w:r>
            <w:r w:rsidRPr="004A6C13">
              <w:rPr>
                <w:color w:val="C00000"/>
                <w:sz w:val="24"/>
                <w:szCs w:val="24"/>
                <w:lang w:eastAsia="zh-CN"/>
              </w:rPr>
              <w:fldChar w:fldCharType="separate"/>
            </w:r>
            <w:r w:rsidRPr="004A6C13">
              <w:rPr>
                <w:noProof/>
                <w:color w:val="C00000"/>
                <w:sz w:val="24"/>
                <w:szCs w:val="24"/>
                <w:lang w:eastAsia="zh-CN"/>
              </w:rPr>
              <w:t>2066</w:t>
            </w:r>
            <w:r w:rsidRPr="004A6C13">
              <w:rPr>
                <w:color w:val="C00000"/>
                <w:sz w:val="24"/>
                <w:szCs w:val="24"/>
                <w:lang w:eastAsia="zh-CN"/>
              </w:rPr>
              <w:fldChar w:fldCharType="end"/>
            </w:r>
          </w:p>
        </w:tc>
        <w:tc>
          <w:tcPr>
            <w:tcW w:w="1411" w:type="dxa"/>
            <w:tcBorders>
              <w:top w:val="single" w:sz="4" w:space="0" w:color="auto"/>
              <w:left w:val="single" w:sz="4" w:space="0" w:color="auto"/>
              <w:bottom w:val="single" w:sz="4" w:space="0" w:color="auto"/>
              <w:right w:val="single" w:sz="4" w:space="0" w:color="auto"/>
            </w:tcBorders>
            <w:hideMark/>
          </w:tcPr>
          <w:p w14:paraId="61D52017" w14:textId="77777777" w:rsidR="00F74665" w:rsidRPr="004A6C13" w:rsidRDefault="00F74665" w:rsidP="00EB4BE8">
            <w:pPr>
              <w:jc w:val="right"/>
              <w:rPr>
                <w:color w:val="C00000"/>
                <w:sz w:val="24"/>
                <w:szCs w:val="24"/>
                <w:lang w:eastAsia="zh-CN"/>
              </w:rPr>
            </w:pPr>
            <w:r w:rsidRPr="004A6C13">
              <w:rPr>
                <w:color w:val="C00000"/>
                <w:sz w:val="24"/>
                <w:szCs w:val="24"/>
                <w:lang w:eastAsia="zh-CN"/>
              </w:rPr>
              <w:fldChar w:fldCharType="begin"/>
            </w:r>
            <w:r w:rsidRPr="004A6C13">
              <w:rPr>
                <w:color w:val="C00000"/>
                <w:sz w:val="24"/>
                <w:szCs w:val="24"/>
                <w:lang w:eastAsia="zh-CN"/>
              </w:rPr>
              <w:instrText xml:space="preserve"> =3056-1151 </w:instrText>
            </w:r>
            <w:r w:rsidRPr="004A6C13">
              <w:rPr>
                <w:color w:val="C00000"/>
                <w:sz w:val="24"/>
                <w:szCs w:val="24"/>
                <w:lang w:eastAsia="zh-CN"/>
              </w:rPr>
              <w:fldChar w:fldCharType="separate"/>
            </w:r>
            <w:r w:rsidRPr="004A6C13">
              <w:rPr>
                <w:noProof/>
                <w:color w:val="C00000"/>
                <w:sz w:val="24"/>
                <w:szCs w:val="24"/>
                <w:lang w:eastAsia="zh-CN"/>
              </w:rPr>
              <w:t>1905</w:t>
            </w:r>
            <w:r w:rsidRPr="004A6C13">
              <w:rPr>
                <w:color w:val="C00000"/>
                <w:sz w:val="24"/>
                <w:szCs w:val="24"/>
                <w:lang w:eastAsia="zh-CN"/>
              </w:rPr>
              <w:fldChar w:fldCharType="end"/>
            </w:r>
          </w:p>
        </w:tc>
        <w:tc>
          <w:tcPr>
            <w:tcW w:w="1411" w:type="dxa"/>
            <w:tcBorders>
              <w:top w:val="single" w:sz="4" w:space="0" w:color="auto"/>
              <w:left w:val="single" w:sz="4" w:space="0" w:color="auto"/>
              <w:bottom w:val="single" w:sz="4" w:space="0" w:color="auto"/>
              <w:right w:val="single" w:sz="4" w:space="0" w:color="auto"/>
            </w:tcBorders>
            <w:hideMark/>
          </w:tcPr>
          <w:p w14:paraId="483D02F9" w14:textId="77777777" w:rsidR="00F74665" w:rsidRPr="004A6C13" w:rsidRDefault="00F74665" w:rsidP="00EB4BE8">
            <w:pPr>
              <w:jc w:val="right"/>
              <w:rPr>
                <w:color w:val="C00000"/>
                <w:sz w:val="24"/>
                <w:szCs w:val="24"/>
                <w:lang w:eastAsia="zh-CN"/>
              </w:rPr>
            </w:pPr>
            <w:r w:rsidRPr="004A6C13">
              <w:rPr>
                <w:color w:val="C00000"/>
                <w:sz w:val="24"/>
                <w:szCs w:val="24"/>
                <w:lang w:eastAsia="zh-CN"/>
              </w:rPr>
              <w:t>1793</w:t>
            </w:r>
          </w:p>
        </w:tc>
        <w:tc>
          <w:tcPr>
            <w:tcW w:w="1411" w:type="dxa"/>
            <w:tcBorders>
              <w:top w:val="single" w:sz="4" w:space="0" w:color="auto"/>
              <w:left w:val="single" w:sz="4" w:space="0" w:color="auto"/>
              <w:bottom w:val="single" w:sz="4" w:space="0" w:color="auto"/>
              <w:right w:val="single" w:sz="4" w:space="0" w:color="auto"/>
            </w:tcBorders>
            <w:hideMark/>
          </w:tcPr>
          <w:p w14:paraId="67A7E485" w14:textId="77777777" w:rsidR="00F74665" w:rsidRPr="004A6C13" w:rsidRDefault="00F74665" w:rsidP="00EB4BE8">
            <w:pPr>
              <w:jc w:val="right"/>
              <w:rPr>
                <w:color w:val="C00000"/>
                <w:sz w:val="24"/>
                <w:szCs w:val="24"/>
                <w:lang w:eastAsia="zh-CN"/>
              </w:rPr>
            </w:pPr>
            <w:r w:rsidRPr="004A6C13">
              <w:rPr>
                <w:color w:val="C00000"/>
                <w:sz w:val="24"/>
                <w:szCs w:val="24"/>
                <w:lang w:eastAsia="zh-CN"/>
              </w:rPr>
              <w:t>2024</w:t>
            </w:r>
          </w:p>
        </w:tc>
      </w:tr>
      <w:tr w:rsidR="004A6C13" w:rsidRPr="004A6C13" w14:paraId="22C4299E" w14:textId="77777777" w:rsidTr="004A6C13">
        <w:tc>
          <w:tcPr>
            <w:tcW w:w="2082" w:type="dxa"/>
            <w:tcBorders>
              <w:top w:val="single" w:sz="4" w:space="0" w:color="auto"/>
              <w:left w:val="single" w:sz="4" w:space="0" w:color="auto"/>
              <w:bottom w:val="single" w:sz="4" w:space="0" w:color="auto"/>
              <w:right w:val="single" w:sz="4" w:space="0" w:color="auto"/>
            </w:tcBorders>
            <w:hideMark/>
          </w:tcPr>
          <w:p w14:paraId="47BA2638" w14:textId="77777777" w:rsidR="00F74665" w:rsidRPr="004A6C13" w:rsidRDefault="00F74665" w:rsidP="00EB4BE8">
            <w:pPr>
              <w:rPr>
                <w:color w:val="C00000"/>
                <w:sz w:val="24"/>
                <w:szCs w:val="24"/>
                <w:lang w:eastAsia="zh-CN"/>
              </w:rPr>
            </w:pPr>
            <w:r w:rsidRPr="004A6C13">
              <w:rPr>
                <w:color w:val="C00000"/>
                <w:sz w:val="24"/>
                <w:szCs w:val="24"/>
                <w:lang w:eastAsia="zh-CN"/>
              </w:rPr>
              <w:t>Total</w:t>
            </w:r>
          </w:p>
        </w:tc>
        <w:tc>
          <w:tcPr>
            <w:tcW w:w="992" w:type="dxa"/>
            <w:tcBorders>
              <w:top w:val="single" w:sz="4" w:space="0" w:color="auto"/>
              <w:left w:val="single" w:sz="4" w:space="0" w:color="auto"/>
              <w:bottom w:val="single" w:sz="4" w:space="0" w:color="auto"/>
              <w:right w:val="single" w:sz="4" w:space="0" w:color="auto"/>
            </w:tcBorders>
            <w:hideMark/>
          </w:tcPr>
          <w:p w14:paraId="4B5901B1" w14:textId="77777777" w:rsidR="00F74665" w:rsidRPr="004A6C13" w:rsidRDefault="00F74665" w:rsidP="00EB4BE8">
            <w:pPr>
              <w:jc w:val="right"/>
              <w:rPr>
                <w:color w:val="C00000"/>
                <w:sz w:val="24"/>
                <w:szCs w:val="24"/>
                <w:lang w:eastAsia="zh-CN"/>
              </w:rPr>
            </w:pPr>
            <w:r w:rsidRPr="004A6C13">
              <w:rPr>
                <w:color w:val="C00000"/>
                <w:sz w:val="24"/>
                <w:szCs w:val="24"/>
                <w:lang w:eastAsia="zh-CN"/>
              </w:rPr>
              <w:t>3439</w:t>
            </w:r>
          </w:p>
        </w:tc>
        <w:tc>
          <w:tcPr>
            <w:tcW w:w="1187" w:type="dxa"/>
            <w:tcBorders>
              <w:top w:val="single" w:sz="4" w:space="0" w:color="auto"/>
              <w:left w:val="single" w:sz="4" w:space="0" w:color="auto"/>
              <w:bottom w:val="single" w:sz="4" w:space="0" w:color="auto"/>
              <w:right w:val="single" w:sz="4" w:space="0" w:color="auto"/>
            </w:tcBorders>
            <w:hideMark/>
          </w:tcPr>
          <w:p w14:paraId="30A2CADA" w14:textId="77777777" w:rsidR="00F74665" w:rsidRPr="004A6C13" w:rsidRDefault="00F74665" w:rsidP="00EB4BE8">
            <w:pPr>
              <w:jc w:val="right"/>
              <w:rPr>
                <w:color w:val="C00000"/>
                <w:sz w:val="24"/>
                <w:szCs w:val="24"/>
                <w:lang w:eastAsia="zh-CN"/>
              </w:rPr>
            </w:pPr>
            <w:r w:rsidRPr="004A6C13">
              <w:rPr>
                <w:color w:val="C00000"/>
                <w:sz w:val="24"/>
                <w:szCs w:val="24"/>
                <w:lang w:eastAsia="zh-CN"/>
              </w:rPr>
              <w:t>3526</w:t>
            </w:r>
          </w:p>
        </w:tc>
        <w:tc>
          <w:tcPr>
            <w:tcW w:w="1411" w:type="dxa"/>
            <w:tcBorders>
              <w:top w:val="single" w:sz="4" w:space="0" w:color="auto"/>
              <w:left w:val="single" w:sz="4" w:space="0" w:color="auto"/>
              <w:bottom w:val="single" w:sz="4" w:space="0" w:color="auto"/>
              <w:right w:val="single" w:sz="4" w:space="0" w:color="auto"/>
            </w:tcBorders>
            <w:hideMark/>
          </w:tcPr>
          <w:p w14:paraId="704CE815" w14:textId="77777777" w:rsidR="00F74665" w:rsidRPr="004A6C13" w:rsidRDefault="00F74665" w:rsidP="00EB4BE8">
            <w:pPr>
              <w:jc w:val="right"/>
              <w:rPr>
                <w:color w:val="C00000"/>
                <w:sz w:val="24"/>
                <w:szCs w:val="24"/>
                <w:lang w:eastAsia="zh-CN"/>
              </w:rPr>
            </w:pPr>
            <w:r w:rsidRPr="004A6C13">
              <w:rPr>
                <w:color w:val="C00000"/>
                <w:sz w:val="24"/>
                <w:szCs w:val="24"/>
                <w:lang w:eastAsia="zh-CN"/>
              </w:rPr>
              <w:t>3056</w:t>
            </w:r>
          </w:p>
        </w:tc>
        <w:tc>
          <w:tcPr>
            <w:tcW w:w="1411" w:type="dxa"/>
            <w:tcBorders>
              <w:top w:val="single" w:sz="4" w:space="0" w:color="auto"/>
              <w:left w:val="single" w:sz="4" w:space="0" w:color="auto"/>
              <w:bottom w:val="single" w:sz="4" w:space="0" w:color="auto"/>
              <w:right w:val="single" w:sz="4" w:space="0" w:color="auto"/>
            </w:tcBorders>
            <w:hideMark/>
          </w:tcPr>
          <w:p w14:paraId="51705421" w14:textId="77777777" w:rsidR="00F74665" w:rsidRPr="004A6C13" w:rsidRDefault="00F74665" w:rsidP="00EB4BE8">
            <w:pPr>
              <w:jc w:val="right"/>
              <w:rPr>
                <w:color w:val="C00000"/>
                <w:sz w:val="24"/>
                <w:szCs w:val="24"/>
                <w:lang w:eastAsia="zh-CN"/>
              </w:rPr>
            </w:pPr>
            <w:r w:rsidRPr="004A6C13">
              <w:rPr>
                <w:color w:val="C00000"/>
                <w:sz w:val="24"/>
                <w:szCs w:val="24"/>
                <w:lang w:eastAsia="zh-CN"/>
              </w:rPr>
              <w:t>2729</w:t>
            </w:r>
          </w:p>
        </w:tc>
        <w:tc>
          <w:tcPr>
            <w:tcW w:w="1411" w:type="dxa"/>
            <w:tcBorders>
              <w:top w:val="single" w:sz="4" w:space="0" w:color="auto"/>
              <w:left w:val="single" w:sz="4" w:space="0" w:color="auto"/>
              <w:bottom w:val="single" w:sz="4" w:space="0" w:color="auto"/>
              <w:right w:val="single" w:sz="4" w:space="0" w:color="auto"/>
            </w:tcBorders>
            <w:hideMark/>
          </w:tcPr>
          <w:p w14:paraId="5D586268" w14:textId="77777777" w:rsidR="00F74665" w:rsidRPr="004A6C13" w:rsidRDefault="00F74665" w:rsidP="00EB4BE8">
            <w:pPr>
              <w:jc w:val="right"/>
              <w:rPr>
                <w:color w:val="C00000"/>
                <w:sz w:val="24"/>
                <w:szCs w:val="24"/>
                <w:lang w:eastAsia="zh-CN"/>
              </w:rPr>
            </w:pPr>
            <w:r w:rsidRPr="004A6C13">
              <w:rPr>
                <w:color w:val="C00000"/>
                <w:sz w:val="24"/>
                <w:szCs w:val="24"/>
                <w:lang w:eastAsia="zh-CN"/>
              </w:rPr>
              <w:t>2826</w:t>
            </w:r>
          </w:p>
        </w:tc>
      </w:tr>
    </w:tbl>
    <w:p w14:paraId="5A7D5336" w14:textId="77777777" w:rsidR="00F74665" w:rsidRPr="004A6C13" w:rsidRDefault="00F74665" w:rsidP="00F74665">
      <w:pPr>
        <w:ind w:left="607"/>
        <w:rPr>
          <w:color w:val="C00000"/>
          <w:sz w:val="24"/>
          <w:szCs w:val="24"/>
          <w:lang w:eastAsia="zh-CN"/>
        </w:rPr>
      </w:pPr>
    </w:p>
    <w:tbl>
      <w:tblPr>
        <w:tblStyle w:val="TableGrid"/>
        <w:tblW w:w="8494" w:type="dxa"/>
        <w:tblInd w:w="607" w:type="dxa"/>
        <w:tblLook w:val="04A0" w:firstRow="1" w:lastRow="0" w:firstColumn="1" w:lastColumn="0" w:noHBand="0" w:noVBand="1"/>
      </w:tblPr>
      <w:tblGrid>
        <w:gridCol w:w="2082"/>
        <w:gridCol w:w="992"/>
        <w:gridCol w:w="1190"/>
        <w:gridCol w:w="1410"/>
        <w:gridCol w:w="1410"/>
        <w:gridCol w:w="1410"/>
      </w:tblGrid>
      <w:tr w:rsidR="004A6C13" w:rsidRPr="004A6C13" w14:paraId="6FAD4517" w14:textId="77777777" w:rsidTr="004A6C13">
        <w:tc>
          <w:tcPr>
            <w:tcW w:w="2082" w:type="dxa"/>
            <w:tcBorders>
              <w:top w:val="single" w:sz="4" w:space="0" w:color="auto"/>
              <w:left w:val="single" w:sz="4" w:space="0" w:color="auto"/>
              <w:bottom w:val="single" w:sz="4" w:space="0" w:color="auto"/>
              <w:right w:val="single" w:sz="4" w:space="0" w:color="auto"/>
            </w:tcBorders>
          </w:tcPr>
          <w:p w14:paraId="14EE1D08" w14:textId="77777777" w:rsidR="00F74665" w:rsidRPr="004A6C13" w:rsidRDefault="00F74665" w:rsidP="00EB4BE8">
            <w:pPr>
              <w:rPr>
                <w:b/>
                <w:bCs/>
                <w:color w:val="C00000"/>
                <w:sz w:val="24"/>
                <w:szCs w:val="24"/>
                <w:lang w:eastAsia="zh-CN"/>
              </w:rPr>
            </w:pPr>
            <w:r w:rsidRPr="004A6C13">
              <w:rPr>
                <w:b/>
                <w:bCs/>
                <w:color w:val="C00000"/>
                <w:sz w:val="24"/>
                <w:szCs w:val="24"/>
                <w:lang w:eastAsia="zh-CN"/>
              </w:rPr>
              <w:lastRenderedPageBreak/>
              <w:t>Breakdown by their sex</w:t>
            </w:r>
          </w:p>
        </w:tc>
        <w:tc>
          <w:tcPr>
            <w:tcW w:w="992" w:type="dxa"/>
            <w:tcBorders>
              <w:top w:val="single" w:sz="4" w:space="0" w:color="auto"/>
              <w:left w:val="single" w:sz="4" w:space="0" w:color="auto"/>
              <w:bottom w:val="single" w:sz="4" w:space="0" w:color="auto"/>
              <w:right w:val="single" w:sz="4" w:space="0" w:color="auto"/>
            </w:tcBorders>
            <w:hideMark/>
          </w:tcPr>
          <w:p w14:paraId="0DDC6A4A" w14:textId="77777777" w:rsidR="00F74665" w:rsidRPr="004A6C13" w:rsidRDefault="00F74665" w:rsidP="00EB4BE8">
            <w:pPr>
              <w:rPr>
                <w:color w:val="C00000"/>
                <w:sz w:val="24"/>
                <w:szCs w:val="24"/>
                <w:lang w:eastAsia="zh-CN"/>
              </w:rPr>
            </w:pPr>
            <w:r w:rsidRPr="004A6C13">
              <w:rPr>
                <w:color w:val="C00000"/>
                <w:sz w:val="24"/>
                <w:szCs w:val="24"/>
                <w:lang w:eastAsia="zh-CN"/>
              </w:rPr>
              <w:t>2018</w:t>
            </w:r>
          </w:p>
        </w:tc>
        <w:tc>
          <w:tcPr>
            <w:tcW w:w="1190" w:type="dxa"/>
            <w:tcBorders>
              <w:top w:val="single" w:sz="4" w:space="0" w:color="auto"/>
              <w:left w:val="single" w:sz="4" w:space="0" w:color="auto"/>
              <w:bottom w:val="single" w:sz="4" w:space="0" w:color="auto"/>
              <w:right w:val="single" w:sz="4" w:space="0" w:color="auto"/>
            </w:tcBorders>
            <w:hideMark/>
          </w:tcPr>
          <w:p w14:paraId="5BE65D11" w14:textId="77777777" w:rsidR="00F74665" w:rsidRPr="004A6C13" w:rsidRDefault="00F74665" w:rsidP="00EB4BE8">
            <w:pPr>
              <w:rPr>
                <w:color w:val="C00000"/>
                <w:sz w:val="24"/>
                <w:szCs w:val="24"/>
                <w:lang w:eastAsia="zh-CN"/>
              </w:rPr>
            </w:pPr>
            <w:r w:rsidRPr="004A6C13">
              <w:rPr>
                <w:color w:val="C00000"/>
                <w:sz w:val="24"/>
                <w:szCs w:val="24"/>
                <w:lang w:eastAsia="zh-CN"/>
              </w:rPr>
              <w:t>2019</w:t>
            </w:r>
          </w:p>
        </w:tc>
        <w:tc>
          <w:tcPr>
            <w:tcW w:w="1410" w:type="dxa"/>
            <w:tcBorders>
              <w:top w:val="single" w:sz="4" w:space="0" w:color="auto"/>
              <w:left w:val="single" w:sz="4" w:space="0" w:color="auto"/>
              <w:bottom w:val="single" w:sz="4" w:space="0" w:color="auto"/>
              <w:right w:val="single" w:sz="4" w:space="0" w:color="auto"/>
            </w:tcBorders>
            <w:hideMark/>
          </w:tcPr>
          <w:p w14:paraId="2F8D3A41" w14:textId="77777777" w:rsidR="00F74665" w:rsidRPr="004A6C13" w:rsidRDefault="00F74665" w:rsidP="00EB4BE8">
            <w:pPr>
              <w:rPr>
                <w:color w:val="C00000"/>
                <w:sz w:val="24"/>
                <w:szCs w:val="24"/>
                <w:lang w:eastAsia="zh-CN"/>
              </w:rPr>
            </w:pPr>
            <w:r w:rsidRPr="004A6C13">
              <w:rPr>
                <w:color w:val="C00000"/>
                <w:sz w:val="24"/>
                <w:szCs w:val="24"/>
                <w:lang w:eastAsia="zh-CN"/>
              </w:rPr>
              <w:t>2020</w:t>
            </w:r>
          </w:p>
        </w:tc>
        <w:tc>
          <w:tcPr>
            <w:tcW w:w="1410" w:type="dxa"/>
            <w:tcBorders>
              <w:top w:val="single" w:sz="4" w:space="0" w:color="auto"/>
              <w:left w:val="single" w:sz="4" w:space="0" w:color="auto"/>
              <w:bottom w:val="single" w:sz="4" w:space="0" w:color="auto"/>
              <w:right w:val="single" w:sz="4" w:space="0" w:color="auto"/>
            </w:tcBorders>
            <w:hideMark/>
          </w:tcPr>
          <w:p w14:paraId="5800AABA" w14:textId="77777777" w:rsidR="00F74665" w:rsidRPr="004A6C13" w:rsidRDefault="00F74665" w:rsidP="00EB4BE8">
            <w:pPr>
              <w:rPr>
                <w:color w:val="C00000"/>
                <w:sz w:val="24"/>
                <w:szCs w:val="24"/>
                <w:lang w:eastAsia="zh-CN"/>
              </w:rPr>
            </w:pPr>
            <w:r w:rsidRPr="004A6C13">
              <w:rPr>
                <w:color w:val="C00000"/>
                <w:sz w:val="24"/>
                <w:szCs w:val="24"/>
                <w:lang w:eastAsia="zh-CN"/>
              </w:rPr>
              <w:t>2021</w:t>
            </w:r>
          </w:p>
        </w:tc>
        <w:tc>
          <w:tcPr>
            <w:tcW w:w="1410" w:type="dxa"/>
            <w:tcBorders>
              <w:top w:val="single" w:sz="4" w:space="0" w:color="auto"/>
              <w:left w:val="single" w:sz="4" w:space="0" w:color="auto"/>
              <w:bottom w:val="single" w:sz="4" w:space="0" w:color="auto"/>
              <w:right w:val="single" w:sz="4" w:space="0" w:color="auto"/>
            </w:tcBorders>
            <w:hideMark/>
          </w:tcPr>
          <w:p w14:paraId="2CA2769E" w14:textId="77777777" w:rsidR="00F74665" w:rsidRPr="004A6C13" w:rsidRDefault="00F74665" w:rsidP="00EB4BE8">
            <w:pPr>
              <w:rPr>
                <w:color w:val="C00000"/>
                <w:sz w:val="24"/>
                <w:szCs w:val="24"/>
                <w:lang w:eastAsia="zh-CN"/>
              </w:rPr>
            </w:pPr>
            <w:r w:rsidRPr="004A6C13">
              <w:rPr>
                <w:color w:val="C00000"/>
                <w:sz w:val="24"/>
                <w:szCs w:val="24"/>
                <w:lang w:eastAsia="zh-CN"/>
              </w:rPr>
              <w:t>2022</w:t>
            </w:r>
          </w:p>
        </w:tc>
      </w:tr>
      <w:tr w:rsidR="004A6C13" w:rsidRPr="004A6C13" w14:paraId="6808C94D" w14:textId="77777777" w:rsidTr="004A6C13">
        <w:tc>
          <w:tcPr>
            <w:tcW w:w="2082" w:type="dxa"/>
            <w:tcBorders>
              <w:top w:val="single" w:sz="4" w:space="0" w:color="auto"/>
              <w:left w:val="single" w:sz="4" w:space="0" w:color="auto"/>
              <w:bottom w:val="single" w:sz="4" w:space="0" w:color="auto"/>
              <w:right w:val="single" w:sz="4" w:space="0" w:color="auto"/>
            </w:tcBorders>
            <w:hideMark/>
          </w:tcPr>
          <w:p w14:paraId="65407E50" w14:textId="77777777" w:rsidR="00F74665" w:rsidRPr="004A6C13" w:rsidRDefault="00F74665" w:rsidP="00EB4BE8">
            <w:pPr>
              <w:rPr>
                <w:color w:val="C00000"/>
                <w:sz w:val="24"/>
                <w:szCs w:val="24"/>
                <w:lang w:eastAsia="zh-CN"/>
              </w:rPr>
            </w:pPr>
            <w:r w:rsidRPr="004A6C13">
              <w:rPr>
                <w:color w:val="C00000"/>
                <w:sz w:val="24"/>
                <w:szCs w:val="24"/>
                <w:lang w:eastAsia="zh-CN"/>
              </w:rPr>
              <w:t>Male</w:t>
            </w:r>
          </w:p>
        </w:tc>
        <w:tc>
          <w:tcPr>
            <w:tcW w:w="992" w:type="dxa"/>
            <w:tcBorders>
              <w:top w:val="single" w:sz="4" w:space="0" w:color="auto"/>
              <w:left w:val="single" w:sz="4" w:space="0" w:color="auto"/>
              <w:bottom w:val="single" w:sz="4" w:space="0" w:color="auto"/>
              <w:right w:val="single" w:sz="4" w:space="0" w:color="auto"/>
            </w:tcBorders>
            <w:hideMark/>
          </w:tcPr>
          <w:p w14:paraId="763A9FBF" w14:textId="77777777" w:rsidR="00F74665" w:rsidRPr="004A6C13" w:rsidRDefault="00F74665" w:rsidP="00EB4BE8">
            <w:pPr>
              <w:jc w:val="right"/>
              <w:rPr>
                <w:color w:val="C00000"/>
                <w:sz w:val="24"/>
                <w:szCs w:val="24"/>
                <w:lang w:eastAsia="zh-CN"/>
              </w:rPr>
            </w:pPr>
            <w:r w:rsidRPr="004A6C13">
              <w:rPr>
                <w:color w:val="C00000"/>
                <w:sz w:val="24"/>
                <w:szCs w:val="24"/>
                <w:lang w:eastAsia="zh-CN"/>
              </w:rPr>
              <w:t>2853</w:t>
            </w:r>
          </w:p>
        </w:tc>
        <w:tc>
          <w:tcPr>
            <w:tcW w:w="1190" w:type="dxa"/>
            <w:tcBorders>
              <w:top w:val="single" w:sz="4" w:space="0" w:color="auto"/>
              <w:left w:val="single" w:sz="4" w:space="0" w:color="auto"/>
              <w:bottom w:val="single" w:sz="4" w:space="0" w:color="auto"/>
              <w:right w:val="single" w:sz="4" w:space="0" w:color="auto"/>
            </w:tcBorders>
            <w:hideMark/>
          </w:tcPr>
          <w:p w14:paraId="420F56AD" w14:textId="77777777" w:rsidR="00F74665" w:rsidRPr="004A6C13" w:rsidRDefault="00F74665" w:rsidP="00EB4BE8">
            <w:pPr>
              <w:jc w:val="right"/>
              <w:rPr>
                <w:color w:val="C00000"/>
                <w:sz w:val="24"/>
                <w:szCs w:val="24"/>
                <w:lang w:eastAsia="zh-CN"/>
              </w:rPr>
            </w:pPr>
            <w:r w:rsidRPr="004A6C13">
              <w:rPr>
                <w:color w:val="C00000"/>
                <w:sz w:val="24"/>
                <w:szCs w:val="24"/>
                <w:lang w:eastAsia="zh-CN"/>
              </w:rPr>
              <w:t>2966</w:t>
            </w:r>
          </w:p>
        </w:tc>
        <w:tc>
          <w:tcPr>
            <w:tcW w:w="1410" w:type="dxa"/>
            <w:tcBorders>
              <w:top w:val="single" w:sz="4" w:space="0" w:color="auto"/>
              <w:left w:val="single" w:sz="4" w:space="0" w:color="auto"/>
              <w:bottom w:val="single" w:sz="4" w:space="0" w:color="auto"/>
              <w:right w:val="single" w:sz="4" w:space="0" w:color="auto"/>
            </w:tcBorders>
            <w:hideMark/>
          </w:tcPr>
          <w:p w14:paraId="617D0117" w14:textId="77777777" w:rsidR="00F74665" w:rsidRPr="004A6C13" w:rsidRDefault="00F74665" w:rsidP="00EB4BE8">
            <w:pPr>
              <w:jc w:val="right"/>
              <w:rPr>
                <w:color w:val="C00000"/>
                <w:sz w:val="24"/>
                <w:szCs w:val="24"/>
                <w:lang w:eastAsia="zh-CN"/>
              </w:rPr>
            </w:pPr>
            <w:r w:rsidRPr="004A6C13">
              <w:rPr>
                <w:color w:val="C00000"/>
                <w:sz w:val="24"/>
                <w:szCs w:val="24"/>
                <w:lang w:eastAsia="zh-CN"/>
              </w:rPr>
              <w:t>2527</w:t>
            </w:r>
          </w:p>
        </w:tc>
        <w:tc>
          <w:tcPr>
            <w:tcW w:w="1410" w:type="dxa"/>
            <w:tcBorders>
              <w:top w:val="single" w:sz="4" w:space="0" w:color="auto"/>
              <w:left w:val="single" w:sz="4" w:space="0" w:color="auto"/>
              <w:bottom w:val="single" w:sz="4" w:space="0" w:color="auto"/>
              <w:right w:val="single" w:sz="4" w:space="0" w:color="auto"/>
            </w:tcBorders>
            <w:hideMark/>
          </w:tcPr>
          <w:p w14:paraId="139FABD2" w14:textId="77777777" w:rsidR="00F74665" w:rsidRPr="004A6C13" w:rsidRDefault="00F74665" w:rsidP="00EB4BE8">
            <w:pPr>
              <w:jc w:val="right"/>
              <w:rPr>
                <w:color w:val="C00000"/>
                <w:sz w:val="24"/>
                <w:szCs w:val="24"/>
                <w:lang w:eastAsia="zh-CN"/>
              </w:rPr>
            </w:pPr>
            <w:r w:rsidRPr="004A6C13">
              <w:rPr>
                <w:color w:val="C00000"/>
                <w:sz w:val="24"/>
                <w:szCs w:val="24"/>
                <w:lang w:eastAsia="zh-CN"/>
              </w:rPr>
              <w:t>2289</w:t>
            </w:r>
          </w:p>
        </w:tc>
        <w:tc>
          <w:tcPr>
            <w:tcW w:w="1410" w:type="dxa"/>
            <w:tcBorders>
              <w:top w:val="single" w:sz="4" w:space="0" w:color="auto"/>
              <w:left w:val="single" w:sz="4" w:space="0" w:color="auto"/>
              <w:bottom w:val="single" w:sz="4" w:space="0" w:color="auto"/>
              <w:right w:val="single" w:sz="4" w:space="0" w:color="auto"/>
            </w:tcBorders>
            <w:hideMark/>
          </w:tcPr>
          <w:p w14:paraId="6F8F504F" w14:textId="77777777" w:rsidR="00F74665" w:rsidRPr="004A6C13" w:rsidRDefault="00F74665" w:rsidP="00EB4BE8">
            <w:pPr>
              <w:jc w:val="right"/>
              <w:rPr>
                <w:color w:val="C00000"/>
                <w:sz w:val="24"/>
                <w:szCs w:val="24"/>
                <w:lang w:eastAsia="zh-CN"/>
              </w:rPr>
            </w:pPr>
            <w:r w:rsidRPr="004A6C13">
              <w:rPr>
                <w:color w:val="C00000"/>
                <w:sz w:val="24"/>
                <w:szCs w:val="24"/>
                <w:lang w:eastAsia="zh-CN"/>
              </w:rPr>
              <w:t>2418</w:t>
            </w:r>
          </w:p>
        </w:tc>
      </w:tr>
      <w:tr w:rsidR="004A6C13" w:rsidRPr="004A6C13" w14:paraId="433C96BB" w14:textId="77777777" w:rsidTr="004A6C13">
        <w:tc>
          <w:tcPr>
            <w:tcW w:w="2082" w:type="dxa"/>
            <w:tcBorders>
              <w:top w:val="single" w:sz="4" w:space="0" w:color="auto"/>
              <w:left w:val="single" w:sz="4" w:space="0" w:color="auto"/>
              <w:bottom w:val="single" w:sz="4" w:space="0" w:color="auto"/>
              <w:right w:val="single" w:sz="4" w:space="0" w:color="auto"/>
            </w:tcBorders>
            <w:hideMark/>
          </w:tcPr>
          <w:p w14:paraId="341F90AD" w14:textId="77777777" w:rsidR="00F74665" w:rsidRPr="004A6C13" w:rsidRDefault="00F74665" w:rsidP="00EB4BE8">
            <w:pPr>
              <w:rPr>
                <w:color w:val="C00000"/>
                <w:sz w:val="24"/>
                <w:szCs w:val="24"/>
                <w:lang w:eastAsia="zh-CN"/>
              </w:rPr>
            </w:pPr>
            <w:r w:rsidRPr="004A6C13">
              <w:rPr>
                <w:color w:val="C00000"/>
                <w:sz w:val="24"/>
                <w:szCs w:val="24"/>
                <w:lang w:eastAsia="zh-CN"/>
              </w:rPr>
              <w:t>Female</w:t>
            </w:r>
          </w:p>
        </w:tc>
        <w:tc>
          <w:tcPr>
            <w:tcW w:w="992" w:type="dxa"/>
            <w:tcBorders>
              <w:top w:val="single" w:sz="4" w:space="0" w:color="auto"/>
              <w:left w:val="single" w:sz="4" w:space="0" w:color="auto"/>
              <w:bottom w:val="single" w:sz="4" w:space="0" w:color="auto"/>
              <w:right w:val="single" w:sz="4" w:space="0" w:color="auto"/>
            </w:tcBorders>
            <w:hideMark/>
          </w:tcPr>
          <w:p w14:paraId="39FE006F" w14:textId="77777777" w:rsidR="00F74665" w:rsidRPr="004A6C13" w:rsidRDefault="00F74665" w:rsidP="00EB4BE8">
            <w:pPr>
              <w:jc w:val="right"/>
              <w:rPr>
                <w:color w:val="C00000"/>
                <w:sz w:val="24"/>
                <w:szCs w:val="24"/>
                <w:lang w:eastAsia="zh-CN"/>
              </w:rPr>
            </w:pPr>
            <w:r w:rsidRPr="004A6C13">
              <w:rPr>
                <w:color w:val="C00000"/>
                <w:sz w:val="24"/>
                <w:szCs w:val="24"/>
                <w:lang w:eastAsia="zh-CN"/>
              </w:rPr>
              <w:t>586</w:t>
            </w:r>
          </w:p>
        </w:tc>
        <w:tc>
          <w:tcPr>
            <w:tcW w:w="1190" w:type="dxa"/>
            <w:tcBorders>
              <w:top w:val="single" w:sz="4" w:space="0" w:color="auto"/>
              <w:left w:val="single" w:sz="4" w:space="0" w:color="auto"/>
              <w:bottom w:val="single" w:sz="4" w:space="0" w:color="auto"/>
              <w:right w:val="single" w:sz="4" w:space="0" w:color="auto"/>
            </w:tcBorders>
            <w:hideMark/>
          </w:tcPr>
          <w:p w14:paraId="60637604" w14:textId="77777777" w:rsidR="00F74665" w:rsidRPr="004A6C13" w:rsidRDefault="00F74665" w:rsidP="00EB4BE8">
            <w:pPr>
              <w:jc w:val="right"/>
              <w:rPr>
                <w:color w:val="C00000"/>
                <w:sz w:val="24"/>
                <w:szCs w:val="24"/>
                <w:lang w:eastAsia="zh-CN"/>
              </w:rPr>
            </w:pPr>
            <w:r w:rsidRPr="004A6C13">
              <w:rPr>
                <w:color w:val="C00000"/>
                <w:sz w:val="24"/>
                <w:szCs w:val="24"/>
                <w:lang w:eastAsia="zh-CN"/>
              </w:rPr>
              <w:t>560</w:t>
            </w:r>
          </w:p>
        </w:tc>
        <w:tc>
          <w:tcPr>
            <w:tcW w:w="1410" w:type="dxa"/>
            <w:tcBorders>
              <w:top w:val="single" w:sz="4" w:space="0" w:color="auto"/>
              <w:left w:val="single" w:sz="4" w:space="0" w:color="auto"/>
              <w:bottom w:val="single" w:sz="4" w:space="0" w:color="auto"/>
              <w:right w:val="single" w:sz="4" w:space="0" w:color="auto"/>
            </w:tcBorders>
            <w:hideMark/>
          </w:tcPr>
          <w:p w14:paraId="62B37388" w14:textId="77777777" w:rsidR="00F74665" w:rsidRPr="004A6C13" w:rsidRDefault="00F74665" w:rsidP="00EB4BE8">
            <w:pPr>
              <w:jc w:val="right"/>
              <w:rPr>
                <w:color w:val="C00000"/>
                <w:sz w:val="24"/>
                <w:szCs w:val="24"/>
                <w:lang w:eastAsia="zh-CN"/>
              </w:rPr>
            </w:pPr>
            <w:r w:rsidRPr="004A6C13">
              <w:rPr>
                <w:color w:val="C00000"/>
                <w:sz w:val="24"/>
                <w:szCs w:val="24"/>
                <w:lang w:eastAsia="zh-CN"/>
              </w:rPr>
              <w:t>529</w:t>
            </w:r>
          </w:p>
        </w:tc>
        <w:tc>
          <w:tcPr>
            <w:tcW w:w="1410" w:type="dxa"/>
            <w:tcBorders>
              <w:top w:val="single" w:sz="4" w:space="0" w:color="auto"/>
              <w:left w:val="single" w:sz="4" w:space="0" w:color="auto"/>
              <w:bottom w:val="single" w:sz="4" w:space="0" w:color="auto"/>
              <w:right w:val="single" w:sz="4" w:space="0" w:color="auto"/>
            </w:tcBorders>
            <w:hideMark/>
          </w:tcPr>
          <w:p w14:paraId="196420D2" w14:textId="77777777" w:rsidR="00F74665" w:rsidRPr="004A6C13" w:rsidRDefault="00F74665" w:rsidP="00EB4BE8">
            <w:pPr>
              <w:jc w:val="right"/>
              <w:rPr>
                <w:color w:val="C00000"/>
                <w:sz w:val="24"/>
                <w:szCs w:val="24"/>
                <w:lang w:eastAsia="zh-CN"/>
              </w:rPr>
            </w:pPr>
            <w:r w:rsidRPr="004A6C13">
              <w:rPr>
                <w:color w:val="C00000"/>
                <w:sz w:val="24"/>
                <w:szCs w:val="24"/>
                <w:lang w:eastAsia="zh-CN"/>
              </w:rPr>
              <w:t>440</w:t>
            </w:r>
          </w:p>
        </w:tc>
        <w:tc>
          <w:tcPr>
            <w:tcW w:w="1410" w:type="dxa"/>
            <w:tcBorders>
              <w:top w:val="single" w:sz="4" w:space="0" w:color="auto"/>
              <w:left w:val="single" w:sz="4" w:space="0" w:color="auto"/>
              <w:bottom w:val="single" w:sz="4" w:space="0" w:color="auto"/>
              <w:right w:val="single" w:sz="4" w:space="0" w:color="auto"/>
            </w:tcBorders>
            <w:hideMark/>
          </w:tcPr>
          <w:p w14:paraId="314BC7CB" w14:textId="77777777" w:rsidR="00F74665" w:rsidRPr="004A6C13" w:rsidRDefault="00F74665" w:rsidP="00EB4BE8">
            <w:pPr>
              <w:jc w:val="right"/>
              <w:rPr>
                <w:color w:val="C00000"/>
                <w:sz w:val="24"/>
                <w:szCs w:val="24"/>
                <w:lang w:eastAsia="zh-CN"/>
              </w:rPr>
            </w:pPr>
            <w:r w:rsidRPr="004A6C13">
              <w:rPr>
                <w:color w:val="C00000"/>
                <w:sz w:val="24"/>
                <w:szCs w:val="24"/>
                <w:lang w:eastAsia="zh-CN"/>
              </w:rPr>
              <w:t>408</w:t>
            </w:r>
          </w:p>
        </w:tc>
      </w:tr>
    </w:tbl>
    <w:p w14:paraId="066F5190" w14:textId="77777777" w:rsidR="00F74665" w:rsidRPr="004A6C13" w:rsidRDefault="00F74665" w:rsidP="00F74665">
      <w:pPr>
        <w:ind w:left="607"/>
        <w:rPr>
          <w:color w:val="C00000"/>
          <w:sz w:val="24"/>
          <w:szCs w:val="24"/>
          <w:lang w:eastAsia="zh-CN"/>
        </w:rPr>
      </w:pPr>
    </w:p>
    <w:p w14:paraId="41138874" w14:textId="77777777" w:rsidR="00313B54" w:rsidRPr="00227395" w:rsidRDefault="00313B54" w:rsidP="004A6C13">
      <w:pPr>
        <w:spacing w:line="259" w:lineRule="auto"/>
        <w:jc w:val="both"/>
        <w:rPr>
          <w:color w:val="C00000"/>
          <w:sz w:val="24"/>
          <w:szCs w:val="24"/>
          <w:lang w:val="en-US"/>
        </w:rPr>
      </w:pPr>
    </w:p>
    <w:p w14:paraId="692E06C6" w14:textId="577A03D4" w:rsidR="00405DC0" w:rsidRDefault="00F44568" w:rsidP="00405DC0">
      <w:pPr>
        <w:numPr>
          <w:ilvl w:val="0"/>
          <w:numId w:val="2"/>
        </w:numPr>
        <w:spacing w:before="240" w:after="240" w:line="259" w:lineRule="auto"/>
        <w:rPr>
          <w:sz w:val="24"/>
          <w:szCs w:val="24"/>
        </w:rPr>
      </w:pPr>
      <w:r w:rsidRPr="005A1BF0">
        <w:rPr>
          <w:sz w:val="24"/>
          <w:szCs w:val="24"/>
        </w:rPr>
        <w:t>Beyond reducing the adverse health, social, and legal consequences of drug use, what other areas can benefit from harm reduction policies, programmes, and practices in furtherance of the right to health and related human rights? Examples may include, but are not limited to, the decriminalisation of sex work, the decriminalization of abortion, and safe sex programmes.</w:t>
      </w:r>
    </w:p>
    <w:p w14:paraId="739FFD8A" w14:textId="77777777" w:rsidR="00316278" w:rsidRPr="00316278" w:rsidRDefault="00316278" w:rsidP="00316278">
      <w:pPr>
        <w:pStyle w:val="ListParagraph"/>
        <w:spacing w:line="259" w:lineRule="auto"/>
        <w:jc w:val="both"/>
        <w:rPr>
          <w:color w:val="C00000"/>
          <w:sz w:val="24"/>
          <w:szCs w:val="24"/>
        </w:rPr>
      </w:pPr>
      <w:r w:rsidRPr="00316278">
        <w:rPr>
          <w:color w:val="C00000"/>
          <w:sz w:val="24"/>
          <w:szCs w:val="24"/>
        </w:rPr>
        <w:t>N.A.</w:t>
      </w:r>
    </w:p>
    <w:p w14:paraId="152259EB" w14:textId="77777777" w:rsidR="006579DF" w:rsidRDefault="006579DF" w:rsidP="006579DF">
      <w:pPr>
        <w:spacing w:line="259" w:lineRule="auto"/>
        <w:ind w:left="720"/>
        <w:rPr>
          <w:sz w:val="24"/>
          <w:szCs w:val="24"/>
        </w:rPr>
      </w:pPr>
    </w:p>
    <w:p w14:paraId="2916623E" w14:textId="6CBAB47C" w:rsidR="00F44568" w:rsidRDefault="00F44568" w:rsidP="00F44568">
      <w:pPr>
        <w:numPr>
          <w:ilvl w:val="0"/>
          <w:numId w:val="2"/>
        </w:numPr>
        <w:spacing w:line="259" w:lineRule="auto"/>
        <w:rPr>
          <w:sz w:val="24"/>
          <w:szCs w:val="24"/>
        </w:rPr>
      </w:pPr>
      <w:r w:rsidRPr="005A1BF0">
        <w:rPr>
          <w:sz w:val="24"/>
          <w:szCs w:val="24"/>
        </w:rPr>
        <w:t xml:space="preserve">What type of harm reduction policies, programmes, and practices, as well as mental health and other support (e.g., housing, legal, social, educational, and economic), are available for people who use drugs in the community, institutions, or detention facilities? Please share examples of the impact of criminalisation, discrimination, </w:t>
      </w:r>
      <w:proofErr w:type="gramStart"/>
      <w:r w:rsidRPr="005A1BF0">
        <w:rPr>
          <w:sz w:val="24"/>
          <w:szCs w:val="24"/>
        </w:rPr>
        <w:t>stereotypes</w:t>
      </w:r>
      <w:proofErr w:type="gramEnd"/>
      <w:r w:rsidRPr="005A1BF0">
        <w:rPr>
          <w:sz w:val="24"/>
          <w:szCs w:val="24"/>
        </w:rPr>
        <w:t xml:space="preserve"> and stigma on the different groups of the population</w:t>
      </w:r>
      <w:r w:rsidRPr="005A1BF0">
        <w:rPr>
          <w:color w:val="000000"/>
          <w:sz w:val="24"/>
          <w:szCs w:val="24"/>
        </w:rPr>
        <w:t xml:space="preserve"> e.g., persons in situation of homelessness, </w:t>
      </w:r>
      <w:r w:rsidRPr="005A1BF0">
        <w:rPr>
          <w:sz w:val="24"/>
          <w:szCs w:val="24"/>
        </w:rPr>
        <w:t xml:space="preserve">migration, </w:t>
      </w:r>
      <w:r w:rsidRPr="005A1BF0">
        <w:rPr>
          <w:color w:val="000000"/>
          <w:sz w:val="24"/>
          <w:szCs w:val="24"/>
        </w:rPr>
        <w:t>or poverty, sex workers, women, children, LGBTIQ+ persons, persons who are detained or incarcerated</w:t>
      </w:r>
      <w:r w:rsidRPr="005A1BF0">
        <w:rPr>
          <w:sz w:val="24"/>
          <w:szCs w:val="24"/>
        </w:rPr>
        <w:t xml:space="preserve">, </w:t>
      </w:r>
      <w:r w:rsidRPr="005A1BF0">
        <w:rPr>
          <w:color w:val="000000"/>
          <w:sz w:val="24"/>
          <w:szCs w:val="24"/>
        </w:rPr>
        <w:t>persons with disabilities, Indigenous Peoples, Black persons, persons affected by HIV or hepatitis, and persons living in rural areas, etc.)</w:t>
      </w:r>
      <w:r w:rsidRPr="005A1BF0">
        <w:rPr>
          <w:sz w:val="24"/>
          <w:szCs w:val="24"/>
        </w:rPr>
        <w:t>.</w:t>
      </w:r>
    </w:p>
    <w:p w14:paraId="64BFC8BD" w14:textId="77777777" w:rsidR="00405DC0" w:rsidRDefault="00405DC0" w:rsidP="00405DC0">
      <w:pPr>
        <w:jc w:val="both"/>
        <w:rPr>
          <w:sz w:val="24"/>
          <w:szCs w:val="24"/>
        </w:rPr>
      </w:pPr>
    </w:p>
    <w:p w14:paraId="5BFB6560" w14:textId="3086ACED" w:rsidR="005D4B92" w:rsidRDefault="00882A75" w:rsidP="00227395">
      <w:pPr>
        <w:ind w:left="720"/>
        <w:jc w:val="both"/>
        <w:rPr>
          <w:bCs/>
          <w:color w:val="C00000"/>
          <w:sz w:val="24"/>
          <w:szCs w:val="24"/>
        </w:rPr>
      </w:pPr>
      <w:r>
        <w:rPr>
          <w:bCs/>
          <w:color w:val="C00000"/>
          <w:sz w:val="24"/>
          <w:szCs w:val="24"/>
        </w:rPr>
        <w:t xml:space="preserve">As part of the harm prevention model, </w:t>
      </w:r>
      <w:r w:rsidRPr="005D4B92">
        <w:rPr>
          <w:bCs/>
          <w:color w:val="C00000"/>
          <w:sz w:val="24"/>
          <w:szCs w:val="24"/>
        </w:rPr>
        <w:t xml:space="preserve">Singapore’s rehabilitation and re-integration approach is guided by evidence-informed practices in corrections literature such as the Risk-Need-Responsivity model, Good Lives </w:t>
      </w:r>
      <w:r w:rsidR="00082110">
        <w:rPr>
          <w:bCs/>
          <w:color w:val="C00000"/>
          <w:sz w:val="24"/>
          <w:szCs w:val="24"/>
        </w:rPr>
        <w:t>m</w:t>
      </w:r>
      <w:r w:rsidRPr="005D4B92">
        <w:rPr>
          <w:bCs/>
          <w:color w:val="C00000"/>
          <w:sz w:val="24"/>
          <w:szCs w:val="24"/>
        </w:rPr>
        <w:t>odel, and Desistance approach</w:t>
      </w:r>
      <w:r>
        <w:rPr>
          <w:bCs/>
          <w:color w:val="C00000"/>
          <w:sz w:val="24"/>
          <w:szCs w:val="24"/>
        </w:rPr>
        <w:t xml:space="preserve">. </w:t>
      </w:r>
      <w:r w:rsidR="006028B9">
        <w:rPr>
          <w:bCs/>
          <w:color w:val="C00000"/>
          <w:sz w:val="24"/>
          <w:szCs w:val="24"/>
        </w:rPr>
        <w:t xml:space="preserve">The </w:t>
      </w:r>
      <w:r w:rsidR="00A33C37">
        <w:rPr>
          <w:bCs/>
          <w:color w:val="C00000"/>
          <w:sz w:val="24"/>
          <w:szCs w:val="24"/>
        </w:rPr>
        <w:t>SPS</w:t>
      </w:r>
      <w:r w:rsidR="005D4B92" w:rsidRPr="005D4B92">
        <w:rPr>
          <w:bCs/>
          <w:color w:val="C00000"/>
          <w:sz w:val="24"/>
          <w:szCs w:val="24"/>
        </w:rPr>
        <w:t xml:space="preserve"> is the correctional agency with the mandate to provide safe custody and rehabilitation for drug abusers. </w:t>
      </w:r>
    </w:p>
    <w:p w14:paraId="2DD3E10A" w14:textId="77777777" w:rsidR="005D4B92" w:rsidRDefault="005D4B92" w:rsidP="00227395">
      <w:pPr>
        <w:ind w:left="720"/>
        <w:jc w:val="both"/>
        <w:rPr>
          <w:bCs/>
          <w:color w:val="C00000"/>
          <w:sz w:val="24"/>
          <w:szCs w:val="24"/>
        </w:rPr>
      </w:pPr>
    </w:p>
    <w:p w14:paraId="60C3B556" w14:textId="1BA90D44" w:rsidR="00405DC0" w:rsidRPr="00405DC0" w:rsidRDefault="00882A75" w:rsidP="00882A75">
      <w:pPr>
        <w:ind w:left="720"/>
        <w:jc w:val="both"/>
        <w:rPr>
          <w:b/>
          <w:bCs/>
          <w:color w:val="C00000"/>
          <w:sz w:val="24"/>
          <w:szCs w:val="24"/>
        </w:rPr>
      </w:pPr>
      <w:r>
        <w:rPr>
          <w:bCs/>
          <w:color w:val="C00000"/>
          <w:sz w:val="24"/>
          <w:szCs w:val="24"/>
        </w:rPr>
        <w:t xml:space="preserve">Singapore </w:t>
      </w:r>
      <w:r w:rsidR="00405DC0" w:rsidRPr="00405DC0">
        <w:rPr>
          <w:bCs/>
          <w:color w:val="C00000"/>
          <w:sz w:val="24"/>
          <w:szCs w:val="24"/>
        </w:rPr>
        <w:t>adopts a whole-of-society approach</w:t>
      </w:r>
      <w:r w:rsidR="00082110">
        <w:rPr>
          <w:bCs/>
          <w:color w:val="C00000"/>
          <w:sz w:val="24"/>
          <w:szCs w:val="24"/>
        </w:rPr>
        <w:t xml:space="preserve"> to rehabilitation. We</w:t>
      </w:r>
      <w:r w:rsidR="00405DC0" w:rsidRPr="00405DC0">
        <w:rPr>
          <w:bCs/>
          <w:color w:val="C00000"/>
          <w:sz w:val="24"/>
          <w:szCs w:val="24"/>
        </w:rPr>
        <w:t xml:space="preserve"> work with community partners to provide employability skills </w:t>
      </w:r>
      <w:r w:rsidR="00082110">
        <w:rPr>
          <w:bCs/>
          <w:color w:val="C00000"/>
          <w:sz w:val="24"/>
          <w:szCs w:val="24"/>
        </w:rPr>
        <w:t xml:space="preserve">and vocational </w:t>
      </w:r>
      <w:r w:rsidR="00405DC0" w:rsidRPr="00405DC0">
        <w:rPr>
          <w:bCs/>
          <w:color w:val="C00000"/>
          <w:sz w:val="24"/>
          <w:szCs w:val="24"/>
        </w:rPr>
        <w:t>training, job support</w:t>
      </w:r>
      <w:r w:rsidR="00082110">
        <w:rPr>
          <w:bCs/>
          <w:color w:val="C00000"/>
          <w:sz w:val="24"/>
          <w:szCs w:val="24"/>
        </w:rPr>
        <w:t>,</w:t>
      </w:r>
      <w:r w:rsidR="00405DC0" w:rsidRPr="00405DC0">
        <w:rPr>
          <w:bCs/>
          <w:color w:val="C00000"/>
          <w:sz w:val="24"/>
          <w:szCs w:val="24"/>
        </w:rPr>
        <w:t xml:space="preserve"> and counselling, to aid ex-drug abusers in their reintegration to society. </w:t>
      </w:r>
      <w:r w:rsidR="00082110" w:rsidRPr="00405DC0" w:rsidDel="00082110">
        <w:rPr>
          <w:color w:val="C00000"/>
          <w:sz w:val="24"/>
          <w:szCs w:val="24"/>
        </w:rPr>
        <w:t xml:space="preserve">The programmes aim to build their human capital and develop workplace-positive attitudes and mindsets. Eligible </w:t>
      </w:r>
      <w:r w:rsidR="00082110">
        <w:rPr>
          <w:color w:val="C00000"/>
          <w:sz w:val="24"/>
          <w:szCs w:val="24"/>
        </w:rPr>
        <w:t>individuals</w:t>
      </w:r>
      <w:r w:rsidR="00082110" w:rsidRPr="00405DC0" w:rsidDel="00082110">
        <w:rPr>
          <w:color w:val="C00000"/>
          <w:sz w:val="24"/>
          <w:szCs w:val="24"/>
        </w:rPr>
        <w:t xml:space="preserve"> can also </w:t>
      </w:r>
      <w:r w:rsidR="00082110" w:rsidDel="00082110">
        <w:rPr>
          <w:color w:val="C00000"/>
          <w:sz w:val="24"/>
          <w:szCs w:val="24"/>
        </w:rPr>
        <w:t xml:space="preserve">pursue academic upgrading </w:t>
      </w:r>
      <w:r w:rsidR="00082110" w:rsidRPr="00405DC0" w:rsidDel="00082110">
        <w:rPr>
          <w:color w:val="C00000"/>
          <w:sz w:val="24"/>
          <w:szCs w:val="24"/>
        </w:rPr>
        <w:t xml:space="preserve">while </w:t>
      </w:r>
      <w:r w:rsidR="00082110" w:rsidDel="00082110">
        <w:rPr>
          <w:color w:val="C00000"/>
          <w:sz w:val="24"/>
          <w:szCs w:val="24"/>
        </w:rPr>
        <w:t>undergoing their mandatory treatment and rehabilitation</w:t>
      </w:r>
      <w:r w:rsidR="00082110" w:rsidRPr="00405DC0" w:rsidDel="00082110">
        <w:rPr>
          <w:color w:val="C00000"/>
          <w:sz w:val="24"/>
          <w:szCs w:val="24"/>
        </w:rPr>
        <w:t>.</w:t>
      </w:r>
    </w:p>
    <w:p w14:paraId="4F109263" w14:textId="77777777" w:rsidR="00405DC0" w:rsidRPr="00405DC0" w:rsidRDefault="00405DC0" w:rsidP="00227395">
      <w:pPr>
        <w:pStyle w:val="ListParagraph"/>
        <w:ind w:left="1440"/>
        <w:jc w:val="both"/>
        <w:rPr>
          <w:b/>
          <w:color w:val="C00000"/>
          <w:sz w:val="24"/>
          <w:szCs w:val="24"/>
        </w:rPr>
      </w:pPr>
    </w:p>
    <w:p w14:paraId="49CCBA41" w14:textId="141A6228" w:rsidR="00405DC0" w:rsidRPr="00405DC0" w:rsidRDefault="00405DC0" w:rsidP="00227395">
      <w:pPr>
        <w:ind w:left="720"/>
        <w:jc w:val="both"/>
        <w:rPr>
          <w:b/>
          <w:color w:val="C00000"/>
          <w:sz w:val="24"/>
          <w:szCs w:val="24"/>
        </w:rPr>
      </w:pPr>
    </w:p>
    <w:p w14:paraId="4E1224BB" w14:textId="77777777" w:rsidR="00405DC0" w:rsidRPr="00405DC0" w:rsidRDefault="00405DC0" w:rsidP="00227395">
      <w:pPr>
        <w:pStyle w:val="ListParagraph"/>
        <w:ind w:left="1440"/>
        <w:jc w:val="both"/>
        <w:rPr>
          <w:b/>
          <w:color w:val="C00000"/>
          <w:sz w:val="24"/>
          <w:szCs w:val="24"/>
        </w:rPr>
      </w:pPr>
    </w:p>
    <w:p w14:paraId="291800F6" w14:textId="26052740" w:rsidR="00405DC0" w:rsidRPr="00405DC0" w:rsidRDefault="00A33C37" w:rsidP="00227395">
      <w:pPr>
        <w:ind w:left="720"/>
        <w:jc w:val="both"/>
        <w:rPr>
          <w:b/>
          <w:color w:val="C00000"/>
          <w:sz w:val="24"/>
          <w:szCs w:val="24"/>
        </w:rPr>
      </w:pPr>
      <w:r>
        <w:rPr>
          <w:color w:val="C00000"/>
          <w:sz w:val="24"/>
          <w:szCs w:val="24"/>
        </w:rPr>
        <w:t>YRSG</w:t>
      </w:r>
      <w:r w:rsidR="00405DC0" w:rsidRPr="00405DC0">
        <w:rPr>
          <w:rStyle w:val="FootnoteReference"/>
          <w:bCs/>
          <w:color w:val="C00000"/>
          <w:sz w:val="24"/>
          <w:szCs w:val="24"/>
          <w:lang w:eastAsia="en-GB"/>
        </w:rPr>
        <w:t xml:space="preserve"> </w:t>
      </w:r>
      <w:r w:rsidR="00405DC0" w:rsidRPr="00405DC0">
        <w:rPr>
          <w:color w:val="C00000"/>
          <w:sz w:val="24"/>
          <w:szCs w:val="24"/>
        </w:rPr>
        <w:t xml:space="preserve"> assists </w:t>
      </w:r>
      <w:r w:rsidR="001221B4">
        <w:rPr>
          <w:color w:val="C00000"/>
          <w:sz w:val="24"/>
          <w:szCs w:val="24"/>
        </w:rPr>
        <w:t>drug abusers</w:t>
      </w:r>
      <w:r w:rsidR="001221B4" w:rsidRPr="00405DC0">
        <w:rPr>
          <w:color w:val="C00000"/>
          <w:sz w:val="24"/>
          <w:szCs w:val="24"/>
        </w:rPr>
        <w:t xml:space="preserve"> </w:t>
      </w:r>
      <w:r w:rsidR="00405DC0" w:rsidRPr="00405DC0">
        <w:rPr>
          <w:color w:val="C00000"/>
          <w:sz w:val="24"/>
          <w:szCs w:val="24"/>
        </w:rPr>
        <w:t>to secure jobs prior to their release. As of 2023, there are currently over 6,000 employers registered with YRSG.</w:t>
      </w:r>
    </w:p>
    <w:p w14:paraId="18E9ADD8" w14:textId="77777777" w:rsidR="00405DC0" w:rsidRPr="00405DC0" w:rsidRDefault="00405DC0" w:rsidP="00227395">
      <w:pPr>
        <w:pStyle w:val="ListParagraph"/>
        <w:ind w:left="1440"/>
        <w:jc w:val="both"/>
        <w:rPr>
          <w:b/>
          <w:color w:val="C00000"/>
          <w:sz w:val="24"/>
          <w:szCs w:val="24"/>
        </w:rPr>
      </w:pPr>
    </w:p>
    <w:p w14:paraId="57BEEE17" w14:textId="728D97EE" w:rsidR="00405DC0" w:rsidRPr="00405DC0" w:rsidRDefault="00405DC0" w:rsidP="00227395">
      <w:pPr>
        <w:ind w:left="720"/>
        <w:jc w:val="both"/>
        <w:rPr>
          <w:b/>
          <w:color w:val="C00000"/>
          <w:sz w:val="24"/>
          <w:szCs w:val="24"/>
        </w:rPr>
      </w:pPr>
      <w:r w:rsidRPr="00405DC0">
        <w:rPr>
          <w:color w:val="C00000"/>
          <w:sz w:val="24"/>
          <w:szCs w:val="24"/>
        </w:rPr>
        <w:t xml:space="preserve">Ex-abusers are subjected to </w:t>
      </w:r>
      <w:r w:rsidR="00082110">
        <w:rPr>
          <w:color w:val="C00000"/>
          <w:sz w:val="24"/>
          <w:szCs w:val="24"/>
        </w:rPr>
        <w:t xml:space="preserve">community </w:t>
      </w:r>
      <w:r w:rsidRPr="00405DC0">
        <w:rPr>
          <w:color w:val="C00000"/>
          <w:sz w:val="24"/>
          <w:szCs w:val="24"/>
        </w:rPr>
        <w:t xml:space="preserve">supervision </w:t>
      </w:r>
      <w:r w:rsidR="00082110">
        <w:rPr>
          <w:color w:val="C00000"/>
          <w:sz w:val="24"/>
          <w:szCs w:val="24"/>
        </w:rPr>
        <w:t>undertaken by the CNB upon the completion of</w:t>
      </w:r>
      <w:r w:rsidRPr="00405DC0">
        <w:rPr>
          <w:color w:val="C00000"/>
          <w:sz w:val="24"/>
          <w:szCs w:val="24"/>
        </w:rPr>
        <w:t xml:space="preserve"> their rehabilitation. </w:t>
      </w:r>
      <w:r w:rsidR="00082110">
        <w:rPr>
          <w:color w:val="C00000"/>
          <w:sz w:val="24"/>
          <w:szCs w:val="24"/>
        </w:rPr>
        <w:t xml:space="preserve">This </w:t>
      </w:r>
      <w:r w:rsidRPr="00405DC0">
        <w:rPr>
          <w:color w:val="C00000"/>
          <w:sz w:val="24"/>
          <w:szCs w:val="24"/>
        </w:rPr>
        <w:t>builds on information shared by the SPS and provides ex-abusers with continuous and holistic support to overcome the challenge</w:t>
      </w:r>
      <w:r w:rsidR="00A33C37">
        <w:rPr>
          <w:color w:val="C00000"/>
          <w:sz w:val="24"/>
          <w:szCs w:val="24"/>
        </w:rPr>
        <w:t>s</w:t>
      </w:r>
      <w:r w:rsidRPr="00405DC0">
        <w:rPr>
          <w:color w:val="C00000"/>
          <w:sz w:val="24"/>
          <w:szCs w:val="24"/>
        </w:rPr>
        <w:t xml:space="preserve"> of drug relapse.</w:t>
      </w:r>
    </w:p>
    <w:p w14:paraId="52C0D227" w14:textId="77777777" w:rsidR="00405DC0" w:rsidRPr="00405DC0" w:rsidRDefault="00405DC0" w:rsidP="00227395">
      <w:pPr>
        <w:pStyle w:val="ListParagraph"/>
        <w:ind w:left="1440"/>
        <w:jc w:val="both"/>
        <w:rPr>
          <w:b/>
          <w:color w:val="C00000"/>
          <w:sz w:val="24"/>
          <w:szCs w:val="24"/>
        </w:rPr>
      </w:pPr>
    </w:p>
    <w:p w14:paraId="4A4B0E4A" w14:textId="1AA1DAC0" w:rsidR="00405DC0" w:rsidRPr="00405DC0" w:rsidRDefault="00082110" w:rsidP="00227395">
      <w:pPr>
        <w:ind w:left="720"/>
        <w:jc w:val="both"/>
        <w:rPr>
          <w:b/>
          <w:color w:val="C00000"/>
          <w:sz w:val="24"/>
          <w:szCs w:val="24"/>
        </w:rPr>
      </w:pPr>
      <w:r w:rsidRPr="00405DC0">
        <w:rPr>
          <w:bCs/>
          <w:color w:val="C00000"/>
          <w:sz w:val="24"/>
          <w:szCs w:val="24"/>
        </w:rPr>
        <w:t xml:space="preserve">This approach is further supported with </w:t>
      </w:r>
      <w:r>
        <w:rPr>
          <w:bCs/>
          <w:color w:val="C00000"/>
          <w:sz w:val="24"/>
          <w:szCs w:val="24"/>
        </w:rPr>
        <w:t>the SPS</w:t>
      </w:r>
      <w:r w:rsidRPr="00405DC0">
        <w:rPr>
          <w:bCs/>
          <w:color w:val="C00000"/>
          <w:sz w:val="24"/>
          <w:szCs w:val="24"/>
        </w:rPr>
        <w:t>’s concept of throughcare, where continuous, coordinated, and integrated efforts to address the risk and needs of drug offenders are followed through into the community upon their release.</w:t>
      </w:r>
      <w:r>
        <w:rPr>
          <w:bCs/>
          <w:color w:val="C00000"/>
          <w:sz w:val="24"/>
          <w:szCs w:val="24"/>
        </w:rPr>
        <w:t xml:space="preserve"> </w:t>
      </w:r>
      <w:r w:rsidR="00405DC0" w:rsidRPr="00405DC0">
        <w:rPr>
          <w:color w:val="C00000"/>
          <w:sz w:val="24"/>
          <w:szCs w:val="24"/>
        </w:rPr>
        <w:lastRenderedPageBreak/>
        <w:t>Singapore’s throughcare model has allowed us to rehabilitate abusers more effectively and achieve better outcomes, as substantiated by the decrease in the recidivism rate for drug abusers released from the Drug Rehabilitation Centres (DRCs), which has dropped from 67.4% for the 1996 release cohort to 26.1% for the 2020 release cohort.</w:t>
      </w:r>
    </w:p>
    <w:p w14:paraId="115B4D0C" w14:textId="77777777" w:rsidR="00405DC0" w:rsidRPr="005A1BF0" w:rsidRDefault="00405DC0" w:rsidP="00405DC0">
      <w:pPr>
        <w:spacing w:line="259" w:lineRule="auto"/>
        <w:rPr>
          <w:sz w:val="24"/>
          <w:szCs w:val="24"/>
        </w:rPr>
      </w:pPr>
    </w:p>
    <w:p w14:paraId="5AC3B7EB" w14:textId="77777777" w:rsidR="00F44568" w:rsidRPr="005A1BF0" w:rsidRDefault="00F44568" w:rsidP="00F44568">
      <w:pPr>
        <w:ind w:left="720"/>
        <w:rPr>
          <w:sz w:val="24"/>
          <w:szCs w:val="24"/>
        </w:rPr>
      </w:pPr>
    </w:p>
    <w:p w14:paraId="21739295" w14:textId="77777777" w:rsidR="00F44568" w:rsidRDefault="00F44568" w:rsidP="00F44568">
      <w:pPr>
        <w:numPr>
          <w:ilvl w:val="0"/>
          <w:numId w:val="2"/>
        </w:numPr>
        <w:spacing w:line="259" w:lineRule="auto"/>
        <w:rPr>
          <w:sz w:val="24"/>
          <w:szCs w:val="24"/>
        </w:rPr>
      </w:pPr>
      <w:r w:rsidRPr="005A1BF0">
        <w:rPr>
          <w:sz w:val="24"/>
          <w:szCs w:val="24"/>
        </w:rPr>
        <w:t>Are there alternative measures to institutionalisation or detention? For example, are there outpatient or inpatient facilities available in your country for people using drugs? Please provide additional details (are they compulsory, voluntary; number available in urban and rural areas; entity in charge; type of support provided and type of staff working in these facilities/centres)?</w:t>
      </w:r>
    </w:p>
    <w:p w14:paraId="181EF2AF" w14:textId="77777777" w:rsidR="0086377C" w:rsidRDefault="0086377C" w:rsidP="0086377C">
      <w:pPr>
        <w:spacing w:line="259" w:lineRule="auto"/>
        <w:rPr>
          <w:sz w:val="24"/>
          <w:szCs w:val="24"/>
        </w:rPr>
      </w:pPr>
    </w:p>
    <w:p w14:paraId="3C9FBA1F" w14:textId="5E50B03F" w:rsidR="006E1440" w:rsidRDefault="006E1440" w:rsidP="00882A75">
      <w:pPr>
        <w:spacing w:line="259" w:lineRule="auto"/>
        <w:ind w:left="720"/>
        <w:jc w:val="both"/>
        <w:rPr>
          <w:color w:val="C00000"/>
          <w:sz w:val="24"/>
          <w:szCs w:val="24"/>
        </w:rPr>
      </w:pPr>
      <w:r>
        <w:rPr>
          <w:color w:val="C00000"/>
          <w:sz w:val="24"/>
          <w:szCs w:val="24"/>
        </w:rPr>
        <w:t xml:space="preserve">Singapore adopts a </w:t>
      </w:r>
      <w:r w:rsidRPr="006E1440">
        <w:rPr>
          <w:color w:val="C00000"/>
          <w:sz w:val="24"/>
          <w:szCs w:val="24"/>
        </w:rPr>
        <w:t xml:space="preserve">calibrated approach to distinguish between abusers who only consume drugs and those who currently commit other criminal offences </w:t>
      </w:r>
      <w:r w:rsidR="001221B4">
        <w:rPr>
          <w:color w:val="C00000"/>
          <w:sz w:val="24"/>
          <w:szCs w:val="24"/>
        </w:rPr>
        <w:t>(</w:t>
      </w:r>
      <w:r w:rsidR="00082110">
        <w:rPr>
          <w:color w:val="C00000"/>
          <w:sz w:val="24"/>
          <w:szCs w:val="24"/>
        </w:rPr>
        <w:t>s</w:t>
      </w:r>
      <w:r w:rsidR="001221B4">
        <w:rPr>
          <w:color w:val="C00000"/>
          <w:sz w:val="24"/>
          <w:szCs w:val="24"/>
        </w:rPr>
        <w:t>ee answers to Qn 1)</w:t>
      </w:r>
      <w:r w:rsidR="00082110">
        <w:rPr>
          <w:color w:val="C00000"/>
          <w:sz w:val="24"/>
          <w:szCs w:val="24"/>
        </w:rPr>
        <w:t>.</w:t>
      </w:r>
      <w:r w:rsidR="001221B4">
        <w:rPr>
          <w:color w:val="C00000"/>
          <w:sz w:val="24"/>
          <w:szCs w:val="24"/>
        </w:rPr>
        <w:t xml:space="preserve"> </w:t>
      </w:r>
      <w:r w:rsidRPr="006E1440">
        <w:rPr>
          <w:color w:val="C00000"/>
          <w:sz w:val="24"/>
          <w:szCs w:val="24"/>
        </w:rPr>
        <w:t>Adult drug abusers who do not face other concurrent criminal charges will be channelled to the relevant rehabilitation pathway</w:t>
      </w:r>
      <w:r w:rsidR="00AA7B57">
        <w:rPr>
          <w:color w:val="C00000"/>
          <w:sz w:val="24"/>
          <w:szCs w:val="24"/>
        </w:rPr>
        <w:t>s</w:t>
      </w:r>
      <w:r w:rsidRPr="006E1440">
        <w:rPr>
          <w:color w:val="C00000"/>
          <w:sz w:val="24"/>
          <w:szCs w:val="24"/>
        </w:rPr>
        <w:t>.</w:t>
      </w:r>
      <w:r>
        <w:rPr>
          <w:color w:val="C00000"/>
          <w:sz w:val="24"/>
          <w:szCs w:val="24"/>
        </w:rPr>
        <w:t xml:space="preserve"> </w:t>
      </w:r>
      <w:r w:rsidRPr="006E1440">
        <w:rPr>
          <w:color w:val="C00000"/>
          <w:sz w:val="24"/>
          <w:szCs w:val="24"/>
        </w:rPr>
        <w:t xml:space="preserve">First time low-risk adult abusers </w:t>
      </w:r>
      <w:r>
        <w:rPr>
          <w:color w:val="C00000"/>
          <w:sz w:val="24"/>
          <w:szCs w:val="24"/>
        </w:rPr>
        <w:t xml:space="preserve">are </w:t>
      </w:r>
      <w:r w:rsidRPr="006E1440">
        <w:rPr>
          <w:color w:val="C00000"/>
          <w:sz w:val="24"/>
          <w:szCs w:val="24"/>
        </w:rPr>
        <w:t>placed on the Enhanced Direct Supervision Order</w:t>
      </w:r>
      <w:r>
        <w:rPr>
          <w:color w:val="C00000"/>
          <w:sz w:val="24"/>
          <w:szCs w:val="24"/>
        </w:rPr>
        <w:t xml:space="preserve"> (</w:t>
      </w:r>
      <w:r w:rsidRPr="006E1440">
        <w:rPr>
          <w:color w:val="C00000"/>
          <w:sz w:val="24"/>
          <w:szCs w:val="24"/>
        </w:rPr>
        <w:t>EDSO</w:t>
      </w:r>
      <w:r>
        <w:rPr>
          <w:color w:val="C00000"/>
          <w:sz w:val="24"/>
          <w:szCs w:val="24"/>
        </w:rPr>
        <w:t>)</w:t>
      </w:r>
      <w:r w:rsidRPr="006E1440">
        <w:rPr>
          <w:color w:val="C00000"/>
          <w:sz w:val="24"/>
          <w:szCs w:val="24"/>
        </w:rPr>
        <w:t xml:space="preserve">, a non-custodial supervision order without the need for them to be placed in the </w:t>
      </w:r>
      <w:r>
        <w:rPr>
          <w:color w:val="C00000"/>
          <w:sz w:val="24"/>
          <w:szCs w:val="24"/>
        </w:rPr>
        <w:t>DRC</w:t>
      </w:r>
      <w:r w:rsidRPr="006E1440">
        <w:rPr>
          <w:color w:val="C00000"/>
          <w:sz w:val="24"/>
          <w:szCs w:val="24"/>
        </w:rPr>
        <w:t>. The EDSO includes compulsory casework and counselling components which are delivered by social workers.</w:t>
      </w:r>
    </w:p>
    <w:p w14:paraId="549E8F11" w14:textId="77777777" w:rsidR="006E1440" w:rsidRDefault="006E1440" w:rsidP="00882A75">
      <w:pPr>
        <w:spacing w:line="259" w:lineRule="auto"/>
        <w:ind w:left="720"/>
        <w:jc w:val="both"/>
        <w:rPr>
          <w:color w:val="C00000"/>
          <w:sz w:val="24"/>
          <w:szCs w:val="24"/>
        </w:rPr>
      </w:pPr>
    </w:p>
    <w:p w14:paraId="7B99BCC5" w14:textId="76B2E461" w:rsidR="002464F8" w:rsidRPr="002464F8" w:rsidRDefault="002464F8" w:rsidP="00882A75">
      <w:pPr>
        <w:spacing w:line="259" w:lineRule="auto"/>
        <w:ind w:left="720"/>
        <w:jc w:val="both"/>
        <w:rPr>
          <w:color w:val="C00000"/>
          <w:sz w:val="24"/>
          <w:szCs w:val="24"/>
        </w:rPr>
      </w:pPr>
      <w:r w:rsidRPr="002464F8">
        <w:rPr>
          <w:color w:val="C00000"/>
          <w:sz w:val="24"/>
          <w:szCs w:val="24"/>
        </w:rPr>
        <w:t xml:space="preserve">At the </w:t>
      </w:r>
      <w:r w:rsidR="006E1440">
        <w:rPr>
          <w:color w:val="C00000"/>
          <w:sz w:val="24"/>
          <w:szCs w:val="24"/>
        </w:rPr>
        <w:t>DRC</w:t>
      </w:r>
      <w:r w:rsidRPr="002464F8">
        <w:rPr>
          <w:color w:val="C00000"/>
          <w:sz w:val="24"/>
          <w:szCs w:val="24"/>
        </w:rPr>
        <w:t xml:space="preserve">, all drug abusers have daily access to professional medical </w:t>
      </w:r>
      <w:r w:rsidR="00082110">
        <w:rPr>
          <w:color w:val="C00000"/>
          <w:sz w:val="24"/>
          <w:szCs w:val="24"/>
        </w:rPr>
        <w:t xml:space="preserve">and psychiatric </w:t>
      </w:r>
      <w:r w:rsidRPr="002464F8">
        <w:rPr>
          <w:color w:val="C00000"/>
          <w:sz w:val="24"/>
          <w:szCs w:val="24"/>
        </w:rPr>
        <w:t>treatment</w:t>
      </w:r>
      <w:r w:rsidR="006028B9">
        <w:rPr>
          <w:color w:val="C00000"/>
          <w:sz w:val="24"/>
          <w:szCs w:val="24"/>
        </w:rPr>
        <w:t xml:space="preserve">, including the necessary </w:t>
      </w:r>
      <w:r w:rsidRPr="002464F8">
        <w:rPr>
          <w:color w:val="C00000"/>
          <w:sz w:val="24"/>
          <w:szCs w:val="24"/>
        </w:rPr>
        <w:t>specialist/emergency follow-up.</w:t>
      </w:r>
      <w:r w:rsidR="00CD69A9">
        <w:rPr>
          <w:color w:val="C00000"/>
          <w:sz w:val="24"/>
          <w:szCs w:val="24"/>
        </w:rPr>
        <w:t xml:space="preserve"> </w:t>
      </w:r>
      <w:r w:rsidRPr="002464F8">
        <w:rPr>
          <w:color w:val="C00000"/>
          <w:sz w:val="24"/>
          <w:szCs w:val="24"/>
        </w:rPr>
        <w:t xml:space="preserve">Post-release, </w:t>
      </w:r>
      <w:r w:rsidR="00082110">
        <w:rPr>
          <w:color w:val="C00000"/>
          <w:sz w:val="24"/>
          <w:szCs w:val="24"/>
        </w:rPr>
        <w:t xml:space="preserve">the </w:t>
      </w:r>
      <w:r w:rsidRPr="002464F8">
        <w:rPr>
          <w:color w:val="C00000"/>
          <w:sz w:val="24"/>
          <w:szCs w:val="24"/>
        </w:rPr>
        <w:t>SPS also refers released drug abusers with outstanding medical issues to hospitals to provide the necessary medical follow</w:t>
      </w:r>
      <w:r w:rsidR="00082110">
        <w:rPr>
          <w:color w:val="C00000"/>
          <w:sz w:val="24"/>
          <w:szCs w:val="24"/>
        </w:rPr>
        <w:t>-</w:t>
      </w:r>
      <w:r w:rsidRPr="002464F8">
        <w:rPr>
          <w:color w:val="C00000"/>
          <w:sz w:val="24"/>
          <w:szCs w:val="24"/>
        </w:rPr>
        <w:t>up based on the clinical assessment of the physician and information available in the national healthcare system.</w:t>
      </w:r>
    </w:p>
    <w:p w14:paraId="53EBBB84" w14:textId="77777777" w:rsidR="002464F8" w:rsidRPr="002464F8" w:rsidRDefault="002464F8" w:rsidP="00882A75">
      <w:pPr>
        <w:spacing w:line="259" w:lineRule="auto"/>
        <w:ind w:left="720"/>
        <w:jc w:val="both"/>
        <w:rPr>
          <w:color w:val="C00000"/>
          <w:sz w:val="24"/>
          <w:szCs w:val="24"/>
        </w:rPr>
      </w:pPr>
    </w:p>
    <w:p w14:paraId="15858ACD" w14:textId="79A47591" w:rsidR="002464F8" w:rsidRPr="002464F8" w:rsidRDefault="002464F8" w:rsidP="00882A75">
      <w:pPr>
        <w:spacing w:line="259" w:lineRule="auto"/>
        <w:ind w:left="720"/>
        <w:jc w:val="both"/>
        <w:rPr>
          <w:color w:val="C00000"/>
          <w:sz w:val="24"/>
          <w:szCs w:val="24"/>
        </w:rPr>
      </w:pPr>
      <w:r w:rsidRPr="002464F8">
        <w:rPr>
          <w:color w:val="C00000"/>
          <w:sz w:val="24"/>
          <w:szCs w:val="24"/>
        </w:rPr>
        <w:t xml:space="preserve">Drug abusers may be allowed to serve part of their rehabilitation in the community under community-based programmes, as part of a step-down approach in facilitating their reintegration journey. Case management support is provided, where case managers or reintegration officers continue to support drug abusers in addressing their reintegration needs. If required, drug abusers also receive employment assistance and referrals to social support agencies for financial or housing assistance. </w:t>
      </w:r>
      <w:r w:rsidR="006028B9">
        <w:rPr>
          <w:color w:val="C00000"/>
          <w:sz w:val="24"/>
          <w:szCs w:val="24"/>
        </w:rPr>
        <w:t xml:space="preserve">The </w:t>
      </w:r>
      <w:r w:rsidRPr="002464F8">
        <w:rPr>
          <w:color w:val="C00000"/>
          <w:sz w:val="24"/>
          <w:szCs w:val="24"/>
        </w:rPr>
        <w:t xml:space="preserve">SPS </w:t>
      </w:r>
      <w:r w:rsidR="006028B9">
        <w:rPr>
          <w:color w:val="C00000"/>
          <w:sz w:val="24"/>
          <w:szCs w:val="24"/>
        </w:rPr>
        <w:t xml:space="preserve">also </w:t>
      </w:r>
      <w:r w:rsidRPr="002464F8">
        <w:rPr>
          <w:color w:val="C00000"/>
          <w:sz w:val="24"/>
          <w:szCs w:val="24"/>
        </w:rPr>
        <w:t xml:space="preserve">works with various </w:t>
      </w:r>
      <w:r w:rsidR="00AA7B57">
        <w:rPr>
          <w:color w:val="C00000"/>
          <w:sz w:val="24"/>
          <w:szCs w:val="24"/>
        </w:rPr>
        <w:t>NGOs</w:t>
      </w:r>
      <w:r w:rsidRPr="002464F8">
        <w:rPr>
          <w:color w:val="C00000"/>
          <w:sz w:val="24"/>
          <w:szCs w:val="24"/>
        </w:rPr>
        <w:t xml:space="preserve"> like Singapore Anti-Narcotics Association, Singapore After-Care Association, and religious Social Service Agencies to provide continual prosocial support and engagement for drug abusers after their release.</w:t>
      </w:r>
    </w:p>
    <w:p w14:paraId="605E7E51" w14:textId="77777777" w:rsidR="002464F8" w:rsidRDefault="002464F8" w:rsidP="0086377C">
      <w:pPr>
        <w:spacing w:line="259" w:lineRule="auto"/>
        <w:rPr>
          <w:sz w:val="24"/>
          <w:szCs w:val="24"/>
        </w:rPr>
      </w:pPr>
    </w:p>
    <w:p w14:paraId="55DADCBE" w14:textId="77777777" w:rsidR="0086377C" w:rsidRPr="0086377C" w:rsidRDefault="0086377C" w:rsidP="0086377C">
      <w:pPr>
        <w:pStyle w:val="ListParagraph"/>
        <w:rPr>
          <w:sz w:val="24"/>
          <w:szCs w:val="24"/>
        </w:rPr>
      </w:pPr>
    </w:p>
    <w:p w14:paraId="69CB1A4B" w14:textId="15D2EE1A" w:rsidR="00F44568" w:rsidRDefault="00F44568" w:rsidP="00F44568">
      <w:pPr>
        <w:pStyle w:val="ListParagraph"/>
        <w:numPr>
          <w:ilvl w:val="0"/>
          <w:numId w:val="2"/>
        </w:numPr>
        <w:spacing w:before="240" w:after="240" w:line="259" w:lineRule="auto"/>
        <w:rPr>
          <w:sz w:val="24"/>
          <w:szCs w:val="24"/>
        </w:rPr>
      </w:pPr>
      <w:r w:rsidRPr="005A1BF0">
        <w:rPr>
          <w:sz w:val="24"/>
          <w:szCs w:val="24"/>
        </w:rPr>
        <w:t xml:space="preserve">Please provide examples of harm reduction policies, programmes, and practices adopted or implemented with international cooperation or through foreign assistance in your country, as well as their impact on different groups within the population. What types of challenges can arise from reliance on foreign assistance? </w:t>
      </w:r>
      <w:r w:rsidRPr="005A1BF0">
        <w:rPr>
          <w:color w:val="000000"/>
          <w:sz w:val="24"/>
          <w:szCs w:val="24"/>
        </w:rPr>
        <w:t xml:space="preserve">Please also provide examples focusing on the need for, and impact of, harm reduction </w:t>
      </w:r>
      <w:r w:rsidRPr="005A1BF0">
        <w:rPr>
          <w:sz w:val="24"/>
          <w:szCs w:val="24"/>
        </w:rPr>
        <w:t>policies, programmes, and practices</w:t>
      </w:r>
      <w:r w:rsidRPr="005A1BF0">
        <w:rPr>
          <w:color w:val="000000"/>
          <w:sz w:val="24"/>
          <w:szCs w:val="24"/>
        </w:rPr>
        <w:t xml:space="preserve"> on different groups of the population (e.g., persons in situation of homelessness, </w:t>
      </w:r>
      <w:r w:rsidRPr="005A1BF0">
        <w:rPr>
          <w:sz w:val="24"/>
          <w:szCs w:val="24"/>
        </w:rPr>
        <w:t xml:space="preserve">migration, </w:t>
      </w:r>
      <w:r w:rsidRPr="005A1BF0">
        <w:rPr>
          <w:color w:val="000000"/>
          <w:sz w:val="24"/>
          <w:szCs w:val="24"/>
        </w:rPr>
        <w:t xml:space="preserve">or poverty, sex workers, women, children, LGBTIQ+ persons, persons who are detained or </w:t>
      </w:r>
      <w:r w:rsidRPr="005A1BF0">
        <w:rPr>
          <w:color w:val="000000"/>
          <w:sz w:val="24"/>
          <w:szCs w:val="24"/>
        </w:rPr>
        <w:lastRenderedPageBreak/>
        <w:t>incarcerated</w:t>
      </w:r>
      <w:r w:rsidRPr="005A1BF0">
        <w:rPr>
          <w:sz w:val="24"/>
          <w:szCs w:val="24"/>
        </w:rPr>
        <w:t xml:space="preserve">, </w:t>
      </w:r>
      <w:r w:rsidRPr="005A1BF0">
        <w:rPr>
          <w:color w:val="000000"/>
          <w:sz w:val="24"/>
          <w:szCs w:val="24"/>
        </w:rPr>
        <w:t>persons with disabilities, Indigenous Peoples, Black persons, persons affected by HIV or hepatitis, and persons living in rural areas, etc.)</w:t>
      </w:r>
      <w:r w:rsidRPr="005A1BF0">
        <w:rPr>
          <w:sz w:val="24"/>
          <w:szCs w:val="24"/>
        </w:rPr>
        <w:t>.</w:t>
      </w:r>
    </w:p>
    <w:p w14:paraId="54CA0711" w14:textId="77777777" w:rsidR="000D1225" w:rsidRDefault="000D1225" w:rsidP="00882A75">
      <w:pPr>
        <w:pStyle w:val="ListParagraph"/>
        <w:spacing w:line="259" w:lineRule="auto"/>
        <w:jc w:val="both"/>
        <w:rPr>
          <w:color w:val="C00000"/>
          <w:sz w:val="24"/>
          <w:szCs w:val="24"/>
        </w:rPr>
      </w:pPr>
    </w:p>
    <w:p w14:paraId="133A51E8" w14:textId="67558CC2" w:rsidR="00316278" w:rsidRPr="006579DF" w:rsidRDefault="00316278" w:rsidP="00316278">
      <w:pPr>
        <w:spacing w:line="259" w:lineRule="auto"/>
        <w:ind w:left="720"/>
        <w:jc w:val="both"/>
        <w:rPr>
          <w:color w:val="C00000"/>
          <w:sz w:val="24"/>
          <w:szCs w:val="24"/>
        </w:rPr>
      </w:pPr>
      <w:r>
        <w:rPr>
          <w:color w:val="C00000"/>
          <w:sz w:val="24"/>
          <w:szCs w:val="24"/>
        </w:rPr>
        <w:t>N.A.</w:t>
      </w:r>
    </w:p>
    <w:p w14:paraId="2FBCA9FB" w14:textId="77777777" w:rsidR="00F44568" w:rsidRPr="005A1BF0" w:rsidRDefault="00F44568" w:rsidP="00F44568">
      <w:pPr>
        <w:pStyle w:val="ListParagraph"/>
        <w:spacing w:before="240" w:after="240"/>
        <w:rPr>
          <w:sz w:val="24"/>
          <w:szCs w:val="24"/>
        </w:rPr>
      </w:pPr>
    </w:p>
    <w:p w14:paraId="11096EE6" w14:textId="76743FAC" w:rsidR="002464F8" w:rsidRDefault="00F44568" w:rsidP="00882A75">
      <w:pPr>
        <w:pStyle w:val="ListParagraph"/>
        <w:numPr>
          <w:ilvl w:val="0"/>
          <w:numId w:val="2"/>
        </w:numPr>
        <w:spacing w:after="160" w:line="259" w:lineRule="auto"/>
        <w:rPr>
          <w:sz w:val="24"/>
          <w:szCs w:val="24"/>
        </w:rPr>
      </w:pPr>
      <w:r w:rsidRPr="005A1BF0">
        <w:rPr>
          <w:sz w:val="24"/>
          <w:szCs w:val="24"/>
        </w:rPr>
        <w:t xml:space="preserve">Are there programmes of research and innovation related to harm reduction from a right to health perspective (e.g., needle and syringe programmes, supervised injection and drug use facilities, opioid substitution therapy, and others beyond the area of drug use), including outreach and education programmes, in your community, country, or region? Please provide good practices and examples. </w:t>
      </w:r>
    </w:p>
    <w:p w14:paraId="0D7261CF" w14:textId="77777777" w:rsidR="00882A75" w:rsidRPr="00882A75" w:rsidRDefault="00882A75" w:rsidP="00882A75">
      <w:pPr>
        <w:pStyle w:val="ListParagraph"/>
        <w:spacing w:after="160" w:line="259" w:lineRule="auto"/>
        <w:rPr>
          <w:sz w:val="24"/>
          <w:szCs w:val="24"/>
        </w:rPr>
      </w:pPr>
    </w:p>
    <w:p w14:paraId="31FA4E16" w14:textId="48D5B0F7" w:rsidR="002464F8" w:rsidRPr="008C3029" w:rsidRDefault="002464F8" w:rsidP="00882A75">
      <w:pPr>
        <w:pStyle w:val="ListParagraph"/>
        <w:jc w:val="both"/>
        <w:rPr>
          <w:color w:val="C00000"/>
          <w:sz w:val="24"/>
          <w:szCs w:val="24"/>
        </w:rPr>
      </w:pPr>
      <w:r w:rsidRPr="008C3029">
        <w:rPr>
          <w:color w:val="C00000"/>
          <w:sz w:val="24"/>
          <w:szCs w:val="24"/>
        </w:rPr>
        <w:t xml:space="preserve">In Singapore, </w:t>
      </w:r>
      <w:r w:rsidR="00176181">
        <w:rPr>
          <w:color w:val="C00000"/>
          <w:sz w:val="24"/>
          <w:szCs w:val="24"/>
        </w:rPr>
        <w:t xml:space="preserve">these </w:t>
      </w:r>
      <w:r w:rsidRPr="008C3029">
        <w:rPr>
          <w:color w:val="C00000"/>
          <w:sz w:val="24"/>
          <w:szCs w:val="24"/>
        </w:rPr>
        <w:t xml:space="preserve">programmes are provided to drug abusers </w:t>
      </w:r>
      <w:r w:rsidR="00ED7A13">
        <w:rPr>
          <w:color w:val="C00000"/>
          <w:sz w:val="24"/>
          <w:szCs w:val="24"/>
        </w:rPr>
        <w:t>at</w:t>
      </w:r>
      <w:r w:rsidR="00ED7A13" w:rsidRPr="008C3029">
        <w:rPr>
          <w:color w:val="C00000"/>
          <w:sz w:val="24"/>
          <w:szCs w:val="24"/>
        </w:rPr>
        <w:t xml:space="preserve"> </w:t>
      </w:r>
      <w:r w:rsidRPr="008C3029">
        <w:rPr>
          <w:color w:val="C00000"/>
          <w:sz w:val="24"/>
          <w:szCs w:val="24"/>
        </w:rPr>
        <w:t>the onset of their rehabilitation. They include motivational primers</w:t>
      </w:r>
      <w:r w:rsidR="006028B9">
        <w:rPr>
          <w:color w:val="C00000"/>
          <w:sz w:val="24"/>
          <w:szCs w:val="24"/>
        </w:rPr>
        <w:t xml:space="preserve"> </w:t>
      </w:r>
      <w:r w:rsidRPr="008C3029">
        <w:rPr>
          <w:color w:val="C00000"/>
          <w:sz w:val="24"/>
          <w:szCs w:val="24"/>
        </w:rPr>
        <w:t xml:space="preserve">and psychology-based correctional programmes to equip them with knowledge and skills to desist from drugs and/ or criminal offending, family programmes to rebuild relationships with their families, as well as befriending and religious programmes. </w:t>
      </w:r>
    </w:p>
    <w:p w14:paraId="6DFC83C9" w14:textId="1BA2BC50" w:rsidR="002464F8" w:rsidRPr="008C3029" w:rsidRDefault="002464F8" w:rsidP="00882A75">
      <w:pPr>
        <w:jc w:val="both"/>
        <w:rPr>
          <w:color w:val="C00000"/>
          <w:sz w:val="24"/>
          <w:szCs w:val="24"/>
        </w:rPr>
      </w:pPr>
    </w:p>
    <w:p w14:paraId="63F0AF94" w14:textId="34B82CF3" w:rsidR="00EC658A" w:rsidRDefault="00EC658A" w:rsidP="00882A75">
      <w:pPr>
        <w:pStyle w:val="ListParagraph"/>
        <w:jc w:val="both"/>
        <w:rPr>
          <w:color w:val="C00000"/>
          <w:sz w:val="24"/>
          <w:szCs w:val="24"/>
        </w:rPr>
      </w:pPr>
      <w:r>
        <w:rPr>
          <w:color w:val="C00000"/>
          <w:sz w:val="24"/>
          <w:szCs w:val="24"/>
        </w:rPr>
        <w:t xml:space="preserve">The Community Supervision is an </w:t>
      </w:r>
      <w:r w:rsidRPr="008C3029">
        <w:rPr>
          <w:color w:val="C00000"/>
          <w:sz w:val="24"/>
          <w:szCs w:val="24"/>
        </w:rPr>
        <w:t xml:space="preserve">initiative by CNB to strengthen the supervision regime. It builds on information and work done by </w:t>
      </w:r>
      <w:r>
        <w:rPr>
          <w:color w:val="C00000"/>
          <w:sz w:val="24"/>
          <w:szCs w:val="24"/>
        </w:rPr>
        <w:t>SPS</w:t>
      </w:r>
      <w:r w:rsidRPr="008C3029">
        <w:rPr>
          <w:color w:val="C00000"/>
          <w:sz w:val="24"/>
          <w:szCs w:val="24"/>
        </w:rPr>
        <w:t xml:space="preserve"> to provide them with continuous and holistic support to overcome the challenge of drug relapse</w:t>
      </w:r>
      <w:r>
        <w:rPr>
          <w:color w:val="C00000"/>
          <w:sz w:val="24"/>
          <w:szCs w:val="24"/>
        </w:rPr>
        <w:t>.</w:t>
      </w:r>
    </w:p>
    <w:p w14:paraId="642AFCF2" w14:textId="77777777" w:rsidR="00EC658A" w:rsidRDefault="00EC658A" w:rsidP="00882A75">
      <w:pPr>
        <w:pStyle w:val="ListParagraph"/>
        <w:jc w:val="both"/>
        <w:rPr>
          <w:color w:val="C00000"/>
          <w:sz w:val="24"/>
          <w:szCs w:val="24"/>
        </w:rPr>
      </w:pPr>
    </w:p>
    <w:p w14:paraId="3728109E" w14:textId="238C9B35" w:rsidR="002464F8" w:rsidRDefault="00A24781" w:rsidP="00882A75">
      <w:pPr>
        <w:pStyle w:val="ListParagraph"/>
        <w:jc w:val="both"/>
        <w:rPr>
          <w:color w:val="C00000"/>
          <w:sz w:val="24"/>
          <w:szCs w:val="24"/>
        </w:rPr>
      </w:pPr>
      <w:r>
        <w:rPr>
          <w:color w:val="C00000"/>
          <w:sz w:val="24"/>
          <w:szCs w:val="24"/>
        </w:rPr>
        <w:t xml:space="preserve">Building on increasing support from the community, </w:t>
      </w:r>
      <w:r w:rsidR="006028B9">
        <w:rPr>
          <w:color w:val="C00000"/>
          <w:sz w:val="24"/>
          <w:szCs w:val="24"/>
        </w:rPr>
        <w:t xml:space="preserve">the </w:t>
      </w:r>
      <w:r>
        <w:rPr>
          <w:color w:val="C00000"/>
          <w:sz w:val="24"/>
          <w:szCs w:val="24"/>
        </w:rPr>
        <w:t>SPS collaborates with community partners, social service agencies, halfway houses, religious organisations, employers, and volunteers to provide a holistic range of services for drug abuser rehabilitation (</w:t>
      </w:r>
      <w:r w:rsidR="006028B9">
        <w:rPr>
          <w:color w:val="C00000"/>
          <w:sz w:val="24"/>
          <w:szCs w:val="24"/>
        </w:rPr>
        <w:t>s</w:t>
      </w:r>
      <w:r>
        <w:rPr>
          <w:color w:val="C00000"/>
          <w:sz w:val="24"/>
          <w:szCs w:val="24"/>
        </w:rPr>
        <w:t xml:space="preserve">ee answers </w:t>
      </w:r>
      <w:r w:rsidR="0005483E">
        <w:rPr>
          <w:color w:val="C00000"/>
          <w:sz w:val="24"/>
          <w:szCs w:val="24"/>
        </w:rPr>
        <w:t xml:space="preserve">to </w:t>
      </w:r>
      <w:r>
        <w:rPr>
          <w:color w:val="C00000"/>
          <w:sz w:val="24"/>
          <w:szCs w:val="24"/>
        </w:rPr>
        <w:t xml:space="preserve">Q5 and 6). </w:t>
      </w:r>
    </w:p>
    <w:p w14:paraId="4BD7BA0D" w14:textId="77777777" w:rsidR="00A24781" w:rsidRPr="008C3029" w:rsidRDefault="00A24781" w:rsidP="00882A75">
      <w:pPr>
        <w:pStyle w:val="ListParagraph"/>
        <w:jc w:val="both"/>
        <w:rPr>
          <w:color w:val="C00000"/>
          <w:sz w:val="24"/>
          <w:szCs w:val="24"/>
        </w:rPr>
      </w:pPr>
    </w:p>
    <w:p w14:paraId="17123CF1" w14:textId="56C2AD3F" w:rsidR="002464F8" w:rsidRPr="008C3029" w:rsidRDefault="002464F8" w:rsidP="00882A75">
      <w:pPr>
        <w:pStyle w:val="ListParagraph"/>
        <w:jc w:val="both"/>
        <w:rPr>
          <w:color w:val="C00000"/>
          <w:sz w:val="24"/>
          <w:szCs w:val="24"/>
        </w:rPr>
      </w:pPr>
      <w:r w:rsidRPr="008C3029">
        <w:rPr>
          <w:color w:val="C00000"/>
          <w:sz w:val="24"/>
          <w:szCs w:val="24"/>
        </w:rPr>
        <w:t xml:space="preserve">To further strengthen the eco-system of pro-social support to help rehabilitated abusers stay away from drugs, </w:t>
      </w:r>
      <w:r w:rsidR="006028B9">
        <w:rPr>
          <w:color w:val="C00000"/>
          <w:sz w:val="24"/>
          <w:szCs w:val="24"/>
        </w:rPr>
        <w:t xml:space="preserve">the </w:t>
      </w:r>
      <w:r w:rsidRPr="008C3029">
        <w:rPr>
          <w:color w:val="C00000"/>
          <w:sz w:val="24"/>
          <w:szCs w:val="24"/>
        </w:rPr>
        <w:t xml:space="preserve">SPS worked with </w:t>
      </w:r>
      <w:r w:rsidR="006028B9">
        <w:rPr>
          <w:color w:val="C00000"/>
          <w:sz w:val="24"/>
          <w:szCs w:val="24"/>
        </w:rPr>
        <w:t xml:space="preserve">more than 50 </w:t>
      </w:r>
      <w:r w:rsidRPr="008C3029">
        <w:rPr>
          <w:color w:val="C00000"/>
          <w:sz w:val="24"/>
          <w:szCs w:val="24"/>
        </w:rPr>
        <w:t xml:space="preserve">community partners </w:t>
      </w:r>
      <w:r w:rsidR="006028B9">
        <w:rPr>
          <w:color w:val="C00000"/>
          <w:sz w:val="24"/>
          <w:szCs w:val="24"/>
        </w:rPr>
        <w:t xml:space="preserve">and agencies </w:t>
      </w:r>
      <w:r w:rsidRPr="008C3029">
        <w:rPr>
          <w:color w:val="C00000"/>
          <w:sz w:val="24"/>
          <w:szCs w:val="24"/>
        </w:rPr>
        <w:t xml:space="preserve">to set up the Desistor Network (DN) in </w:t>
      </w:r>
      <w:r w:rsidR="006028B9">
        <w:rPr>
          <w:color w:val="C00000"/>
          <w:sz w:val="24"/>
          <w:szCs w:val="24"/>
        </w:rPr>
        <w:t xml:space="preserve">April </w:t>
      </w:r>
      <w:r w:rsidRPr="008C3029">
        <w:rPr>
          <w:color w:val="C00000"/>
          <w:sz w:val="24"/>
          <w:szCs w:val="24"/>
        </w:rPr>
        <w:t>2023</w:t>
      </w:r>
      <w:r w:rsidR="006028B9">
        <w:rPr>
          <w:color w:val="C00000"/>
          <w:sz w:val="24"/>
          <w:szCs w:val="24"/>
        </w:rPr>
        <w:t>, a new initiative that aims to support ex-offenders’ desistance and aid in their successful reintegration into the community, including through providing opportunities for mentorship, training programmes, and peer support</w:t>
      </w:r>
      <w:r w:rsidRPr="008C3029">
        <w:rPr>
          <w:color w:val="C00000"/>
          <w:sz w:val="24"/>
          <w:szCs w:val="24"/>
        </w:rPr>
        <w:t xml:space="preserve">. </w:t>
      </w:r>
    </w:p>
    <w:p w14:paraId="0E383939" w14:textId="77777777" w:rsidR="00706561" w:rsidRPr="002464F8" w:rsidRDefault="00706561" w:rsidP="002464F8">
      <w:pPr>
        <w:ind w:left="720"/>
        <w:rPr>
          <w:sz w:val="24"/>
          <w:szCs w:val="24"/>
        </w:rPr>
      </w:pPr>
    </w:p>
    <w:sectPr w:rsidR="00706561" w:rsidRPr="002464F8" w:rsidSect="00ED053D">
      <w:footerReference w:type="default" r:id="rId12"/>
      <w:headerReference w:type="first" r:id="rId13"/>
      <w:footerReference w:type="first" r:id="rId14"/>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32735" w14:textId="77777777" w:rsidR="00B86E1F" w:rsidRDefault="00B86E1F" w:rsidP="00F44568">
      <w:r>
        <w:separator/>
      </w:r>
    </w:p>
  </w:endnote>
  <w:endnote w:type="continuationSeparator" w:id="0">
    <w:p w14:paraId="7238B5D2" w14:textId="77777777" w:rsidR="00B86E1F" w:rsidRDefault="00B86E1F" w:rsidP="00F44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068898"/>
      <w:docPartObj>
        <w:docPartGallery w:val="Page Numbers (Bottom of Page)"/>
        <w:docPartUnique/>
      </w:docPartObj>
    </w:sdtPr>
    <w:sdtEndPr>
      <w:rPr>
        <w:noProof/>
      </w:rPr>
    </w:sdtEndPr>
    <w:sdtContent>
      <w:p w14:paraId="3B96BF74" w14:textId="77777777" w:rsidR="00F90514" w:rsidRDefault="00F44568">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213B9C82" w14:textId="77777777" w:rsidR="00F90514" w:rsidRDefault="00F90514"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7967" w14:textId="77777777" w:rsidR="00F90514" w:rsidRPr="003F10CA" w:rsidRDefault="00F44568" w:rsidP="0044209B">
    <w:pPr>
      <w:pStyle w:val="Footer"/>
      <w:tabs>
        <w:tab w:val="left" w:pos="567"/>
      </w:tabs>
    </w:pPr>
    <w:r w:rsidRPr="00904039">
      <w:rPr>
        <w:sz w:val="24"/>
      </w:rPr>
      <w:t>A</w:t>
    </w:r>
    <w:r>
      <w:rPr>
        <w:sz w:val="24"/>
      </w:rPr>
      <w:t>ll Permanent Missions</w:t>
    </w:r>
    <w:r w:rsidRPr="00904039">
      <w:rPr>
        <w:sz w:val="24"/>
      </w:rPr>
      <w:t xml:space="preserve"> </w:t>
    </w:r>
    <w:r>
      <w:rPr>
        <w:sz w:val="24"/>
      </w:rPr>
      <w:t>to the United Nations Office and Observers Missions at</w:t>
    </w:r>
    <w:r w:rsidRPr="00904039">
      <w:rPr>
        <w:sz w:val="24"/>
      </w:rPr>
      <w:t xml:space="preserve"> Geneva </w:t>
    </w:r>
  </w:p>
  <w:p w14:paraId="59EB3650" w14:textId="77777777" w:rsidR="00F90514" w:rsidRPr="00282983" w:rsidRDefault="00F44568" w:rsidP="000448F9">
    <w:pPr>
      <w:pStyle w:val="Footer"/>
      <w:tabs>
        <w:tab w:val="left" w:pos="567"/>
      </w:tabs>
    </w:pPr>
    <w:r w:rsidRPr="00904039" w:rsidDel="0044209B">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C1B84" w14:textId="77777777" w:rsidR="00B86E1F" w:rsidRDefault="00B86E1F" w:rsidP="00F44568">
      <w:r>
        <w:separator/>
      </w:r>
    </w:p>
  </w:footnote>
  <w:footnote w:type="continuationSeparator" w:id="0">
    <w:p w14:paraId="71BF227B" w14:textId="77777777" w:rsidR="00B86E1F" w:rsidRDefault="00B86E1F" w:rsidP="00F44568">
      <w:r>
        <w:continuationSeparator/>
      </w:r>
    </w:p>
  </w:footnote>
  <w:footnote w:id="1">
    <w:p w14:paraId="3CF4A20B" w14:textId="77777777" w:rsidR="00F44568" w:rsidRDefault="00F44568" w:rsidP="00F44568">
      <w:pPr>
        <w:pStyle w:val="FootnoteText"/>
      </w:pPr>
      <w:r>
        <w:rPr>
          <w:rStyle w:val="FootnoteReference"/>
        </w:rPr>
        <w:footnoteRef/>
      </w:r>
      <w:r>
        <w:t xml:space="preserve"> See: </w:t>
      </w:r>
      <w:hyperlink r:id="rId1" w:history="1">
        <w:r w:rsidRPr="00CF7286">
          <w:rPr>
            <w:rStyle w:val="Hyperlink"/>
          </w:rPr>
          <w:t>www.who.int/news-room/fact-sheets/detail/commercial-determinants-of-health</w:t>
        </w:r>
      </w:hyperlink>
    </w:p>
  </w:footnote>
  <w:footnote w:id="2">
    <w:p w14:paraId="0FF966A7" w14:textId="77777777" w:rsidR="00F44568" w:rsidRPr="005A1BF0" w:rsidRDefault="00F44568" w:rsidP="00F44568">
      <w:pPr>
        <w:pStyle w:val="FootnoteText"/>
      </w:pPr>
      <w:r>
        <w:rPr>
          <w:rStyle w:val="FootnoteReference"/>
        </w:rPr>
        <w:footnoteRef/>
      </w:r>
      <w:r w:rsidRPr="00B612B4">
        <w:t xml:space="preserve"> See also: </w:t>
      </w:r>
      <w:hyperlink r:id="rId2" w:history="1">
        <w:r w:rsidRPr="00B612B4">
          <w:rPr>
            <w:rStyle w:val="Hyperlink"/>
          </w:rPr>
          <w:t>https://undocs.org/Home/Mobile?FinalSymbol=A%2F65%2F255&amp;Language=E&amp;DeviceType=Desktop&amp;LangRequested=False</w:t>
        </w:r>
      </w:hyperlink>
      <w:r w:rsidRPr="00B612B4">
        <w:t xml:space="preserve">, para. </w:t>
      </w:r>
      <w:r w:rsidRPr="005A1BF0">
        <w:t>50.</w:t>
      </w:r>
    </w:p>
  </w:footnote>
  <w:footnote w:id="3">
    <w:p w14:paraId="78B6D812" w14:textId="16C0BA83" w:rsidR="00B32E7F" w:rsidRPr="00393F0F" w:rsidRDefault="00B32E7F" w:rsidP="00B32E7F">
      <w:pPr>
        <w:jc w:val="both"/>
      </w:pPr>
      <w:r w:rsidRPr="00DF07DD">
        <w:rPr>
          <w:rStyle w:val="FootnoteReference"/>
        </w:rPr>
        <w:footnoteRef/>
      </w:r>
      <w:r w:rsidRPr="00DF07DD">
        <w:t xml:space="preserve"> </w:t>
      </w:r>
      <w:r w:rsidRPr="00183D72">
        <w:rPr>
          <w:bCs/>
          <w:sz w:val="22"/>
          <w:szCs w:val="18"/>
        </w:rPr>
        <w:t>Yellow Ribbon Singapore (YRSG) is a statutory board under Singapore’s Ministry of Home Affairs</w:t>
      </w:r>
      <w:r>
        <w:rPr>
          <w:bCs/>
          <w:sz w:val="22"/>
          <w:szCs w:val="18"/>
        </w:rPr>
        <w:t xml:space="preserve"> that </w:t>
      </w:r>
      <w:r w:rsidRPr="00183D72">
        <w:rPr>
          <w:bCs/>
          <w:sz w:val="22"/>
          <w:szCs w:val="18"/>
        </w:rPr>
        <w:t>aims to galvanise society to uplift offenders through skills and career development</w:t>
      </w:r>
      <w:r>
        <w:rPr>
          <w:bCs/>
          <w:sz w:val="22"/>
          <w:szCs w:val="18"/>
        </w:rPr>
        <w:t>,</w:t>
      </w:r>
      <w:r w:rsidRPr="00183D72">
        <w:rPr>
          <w:bCs/>
          <w:sz w:val="22"/>
          <w:szCs w:val="18"/>
        </w:rPr>
        <w:t xml:space="preserve"> and </w:t>
      </w:r>
      <w:r>
        <w:rPr>
          <w:bCs/>
          <w:sz w:val="22"/>
          <w:szCs w:val="18"/>
        </w:rPr>
        <w:t xml:space="preserve">to </w:t>
      </w:r>
      <w:r w:rsidRPr="00183D72">
        <w:rPr>
          <w:bCs/>
          <w:sz w:val="22"/>
          <w:szCs w:val="18"/>
        </w:rPr>
        <w:t>co-create opportunities for their successful reintegration and contribution back to society.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5088E" w14:textId="77777777" w:rsidR="00F90514" w:rsidRPr="00925A9D" w:rsidRDefault="00F44568" w:rsidP="001D2D0D">
    <w:pPr>
      <w:pStyle w:val="Header"/>
      <w:tabs>
        <w:tab w:val="clear" w:pos="4153"/>
        <w:tab w:val="clear" w:pos="8306"/>
      </w:tabs>
      <w:jc w:val="center"/>
      <w:rPr>
        <w:sz w:val="14"/>
        <w:szCs w:val="14"/>
        <w:lang w:val="en-GB"/>
      </w:rPr>
    </w:pPr>
    <w:r w:rsidRPr="003F7C17">
      <w:rPr>
        <w:noProof/>
        <w:snapToGrid/>
        <w:sz w:val="14"/>
        <w:szCs w:val="14"/>
        <w:lang w:val="en-GB" w:eastAsia="en-GB"/>
      </w:rPr>
      <w:drawing>
        <wp:inline distT="0" distB="0" distL="0" distR="0" wp14:anchorId="30955049" wp14:editId="6B35CD65">
          <wp:extent cx="2838450" cy="1219200"/>
          <wp:effectExtent l="0" t="0" r="0" b="0"/>
          <wp:docPr id="1" name="Picture 3"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p w14:paraId="709617CF" w14:textId="77777777" w:rsidR="00F90514" w:rsidRPr="002745FF" w:rsidRDefault="00F44568" w:rsidP="001D2D0D">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491C5370" w14:textId="77777777" w:rsidR="00F90514" w:rsidRDefault="00F44568" w:rsidP="000448F9">
    <w:pPr>
      <w:pStyle w:val="Header"/>
      <w:tabs>
        <w:tab w:val="clear" w:pos="4153"/>
        <w:tab w:val="clear" w:pos="8306"/>
        <w:tab w:val="right" w:pos="3686"/>
        <w:tab w:val="left" w:pos="5812"/>
      </w:tabs>
      <w:spacing w:before="80" w:after="120"/>
      <w:jc w:val="center"/>
      <w:rPr>
        <w:sz w:val="14"/>
        <w:szCs w:val="14"/>
        <w:lang w:val="fr-CH"/>
      </w:rPr>
    </w:pPr>
    <w:r>
      <w:rPr>
        <w:sz w:val="14"/>
        <w:szCs w:val="14"/>
        <w:lang w:val="fr-CH"/>
      </w:rPr>
      <w:t xml:space="preserve">www.ohchr.org • TEL: </w:t>
    </w:r>
    <w:r w:rsidRPr="002745FF">
      <w:rPr>
        <w:sz w:val="14"/>
        <w:szCs w:val="14"/>
        <w:lang w:val="fr-CH"/>
      </w:rPr>
      <w:t xml:space="preserve">+41 22 917 9000 • FAX: </w:t>
    </w:r>
    <w:r>
      <w:rPr>
        <w:sz w:val="14"/>
        <w:szCs w:val="14"/>
        <w:lang w:val="fr-CH"/>
      </w:rPr>
      <w:t xml:space="preserve">+41 22 917 9008 • E-MAIL: </w:t>
    </w:r>
    <w:hyperlink r:id="rId2" w:history="1">
      <w:r w:rsidRPr="00563C2A">
        <w:rPr>
          <w:rStyle w:val="Hyperlink"/>
          <w:sz w:val="14"/>
          <w:szCs w:val="14"/>
          <w:lang w:val="fr-CH"/>
        </w:rPr>
        <w:t>registry@ohchr.org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621CB"/>
    <w:multiLevelType w:val="hybridMultilevel"/>
    <w:tmpl w:val="209EA3D2"/>
    <w:lvl w:ilvl="0" w:tplc="5A340C8E">
      <w:start w:val="1"/>
      <w:numFmt w:val="bullet"/>
      <w:lvlText w:val="•"/>
      <w:lvlJc w:val="left"/>
      <w:pPr>
        <w:tabs>
          <w:tab w:val="num" w:pos="720"/>
        </w:tabs>
        <w:ind w:left="720" w:hanging="360"/>
      </w:pPr>
      <w:rPr>
        <w:rFonts w:ascii="Arial" w:hAnsi="Arial" w:hint="default"/>
      </w:rPr>
    </w:lvl>
    <w:lvl w:ilvl="1" w:tplc="EE18C8A6">
      <w:numFmt w:val="bullet"/>
      <w:lvlText w:val="•"/>
      <w:lvlJc w:val="left"/>
      <w:pPr>
        <w:tabs>
          <w:tab w:val="num" w:pos="1440"/>
        </w:tabs>
        <w:ind w:left="1440" w:hanging="360"/>
      </w:pPr>
      <w:rPr>
        <w:rFonts w:ascii="Arial" w:hAnsi="Arial" w:hint="default"/>
      </w:rPr>
    </w:lvl>
    <w:lvl w:ilvl="2" w:tplc="FF6A4814" w:tentative="1">
      <w:start w:val="1"/>
      <w:numFmt w:val="bullet"/>
      <w:lvlText w:val="•"/>
      <w:lvlJc w:val="left"/>
      <w:pPr>
        <w:tabs>
          <w:tab w:val="num" w:pos="2160"/>
        </w:tabs>
        <w:ind w:left="2160" w:hanging="360"/>
      </w:pPr>
      <w:rPr>
        <w:rFonts w:ascii="Arial" w:hAnsi="Arial" w:hint="default"/>
      </w:rPr>
    </w:lvl>
    <w:lvl w:ilvl="3" w:tplc="7F928C78" w:tentative="1">
      <w:start w:val="1"/>
      <w:numFmt w:val="bullet"/>
      <w:lvlText w:val="•"/>
      <w:lvlJc w:val="left"/>
      <w:pPr>
        <w:tabs>
          <w:tab w:val="num" w:pos="2880"/>
        </w:tabs>
        <w:ind w:left="2880" w:hanging="360"/>
      </w:pPr>
      <w:rPr>
        <w:rFonts w:ascii="Arial" w:hAnsi="Arial" w:hint="default"/>
      </w:rPr>
    </w:lvl>
    <w:lvl w:ilvl="4" w:tplc="4F281F60" w:tentative="1">
      <w:start w:val="1"/>
      <w:numFmt w:val="bullet"/>
      <w:lvlText w:val="•"/>
      <w:lvlJc w:val="left"/>
      <w:pPr>
        <w:tabs>
          <w:tab w:val="num" w:pos="3600"/>
        </w:tabs>
        <w:ind w:left="3600" w:hanging="360"/>
      </w:pPr>
      <w:rPr>
        <w:rFonts w:ascii="Arial" w:hAnsi="Arial" w:hint="default"/>
      </w:rPr>
    </w:lvl>
    <w:lvl w:ilvl="5" w:tplc="01E2A3B8" w:tentative="1">
      <w:start w:val="1"/>
      <w:numFmt w:val="bullet"/>
      <w:lvlText w:val="•"/>
      <w:lvlJc w:val="left"/>
      <w:pPr>
        <w:tabs>
          <w:tab w:val="num" w:pos="4320"/>
        </w:tabs>
        <w:ind w:left="4320" w:hanging="360"/>
      </w:pPr>
      <w:rPr>
        <w:rFonts w:ascii="Arial" w:hAnsi="Arial" w:hint="default"/>
      </w:rPr>
    </w:lvl>
    <w:lvl w:ilvl="6" w:tplc="489CD720" w:tentative="1">
      <w:start w:val="1"/>
      <w:numFmt w:val="bullet"/>
      <w:lvlText w:val="•"/>
      <w:lvlJc w:val="left"/>
      <w:pPr>
        <w:tabs>
          <w:tab w:val="num" w:pos="5040"/>
        </w:tabs>
        <w:ind w:left="5040" w:hanging="360"/>
      </w:pPr>
      <w:rPr>
        <w:rFonts w:ascii="Arial" w:hAnsi="Arial" w:hint="default"/>
      </w:rPr>
    </w:lvl>
    <w:lvl w:ilvl="7" w:tplc="86640B46" w:tentative="1">
      <w:start w:val="1"/>
      <w:numFmt w:val="bullet"/>
      <w:lvlText w:val="•"/>
      <w:lvlJc w:val="left"/>
      <w:pPr>
        <w:tabs>
          <w:tab w:val="num" w:pos="5760"/>
        </w:tabs>
        <w:ind w:left="5760" w:hanging="360"/>
      </w:pPr>
      <w:rPr>
        <w:rFonts w:ascii="Arial" w:hAnsi="Arial" w:hint="default"/>
      </w:rPr>
    </w:lvl>
    <w:lvl w:ilvl="8" w:tplc="D414AC6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AA83679"/>
    <w:multiLevelType w:val="hybridMultilevel"/>
    <w:tmpl w:val="D87CA32A"/>
    <w:lvl w:ilvl="0" w:tplc="0DA262FE">
      <w:start w:val="1"/>
      <w:numFmt w:val="bullet"/>
      <w:lvlText w:val="•"/>
      <w:lvlJc w:val="left"/>
      <w:pPr>
        <w:tabs>
          <w:tab w:val="num" w:pos="720"/>
        </w:tabs>
        <w:ind w:left="720" w:hanging="360"/>
      </w:pPr>
      <w:rPr>
        <w:rFonts w:ascii="Arial" w:hAnsi="Arial" w:hint="default"/>
      </w:rPr>
    </w:lvl>
    <w:lvl w:ilvl="1" w:tplc="22686A1C" w:tentative="1">
      <w:start w:val="1"/>
      <w:numFmt w:val="bullet"/>
      <w:lvlText w:val="•"/>
      <w:lvlJc w:val="left"/>
      <w:pPr>
        <w:tabs>
          <w:tab w:val="num" w:pos="1440"/>
        </w:tabs>
        <w:ind w:left="1440" w:hanging="360"/>
      </w:pPr>
      <w:rPr>
        <w:rFonts w:ascii="Arial" w:hAnsi="Arial" w:hint="default"/>
      </w:rPr>
    </w:lvl>
    <w:lvl w:ilvl="2" w:tplc="47867770" w:tentative="1">
      <w:start w:val="1"/>
      <w:numFmt w:val="bullet"/>
      <w:lvlText w:val="•"/>
      <w:lvlJc w:val="left"/>
      <w:pPr>
        <w:tabs>
          <w:tab w:val="num" w:pos="2160"/>
        </w:tabs>
        <w:ind w:left="2160" w:hanging="360"/>
      </w:pPr>
      <w:rPr>
        <w:rFonts w:ascii="Arial" w:hAnsi="Arial" w:hint="default"/>
      </w:rPr>
    </w:lvl>
    <w:lvl w:ilvl="3" w:tplc="8196C1DA" w:tentative="1">
      <w:start w:val="1"/>
      <w:numFmt w:val="bullet"/>
      <w:lvlText w:val="•"/>
      <w:lvlJc w:val="left"/>
      <w:pPr>
        <w:tabs>
          <w:tab w:val="num" w:pos="2880"/>
        </w:tabs>
        <w:ind w:left="2880" w:hanging="360"/>
      </w:pPr>
      <w:rPr>
        <w:rFonts w:ascii="Arial" w:hAnsi="Arial" w:hint="default"/>
      </w:rPr>
    </w:lvl>
    <w:lvl w:ilvl="4" w:tplc="614869A2" w:tentative="1">
      <w:start w:val="1"/>
      <w:numFmt w:val="bullet"/>
      <w:lvlText w:val="•"/>
      <w:lvlJc w:val="left"/>
      <w:pPr>
        <w:tabs>
          <w:tab w:val="num" w:pos="3600"/>
        </w:tabs>
        <w:ind w:left="3600" w:hanging="360"/>
      </w:pPr>
      <w:rPr>
        <w:rFonts w:ascii="Arial" w:hAnsi="Arial" w:hint="default"/>
      </w:rPr>
    </w:lvl>
    <w:lvl w:ilvl="5" w:tplc="DBC84694" w:tentative="1">
      <w:start w:val="1"/>
      <w:numFmt w:val="bullet"/>
      <w:lvlText w:val="•"/>
      <w:lvlJc w:val="left"/>
      <w:pPr>
        <w:tabs>
          <w:tab w:val="num" w:pos="4320"/>
        </w:tabs>
        <w:ind w:left="4320" w:hanging="360"/>
      </w:pPr>
      <w:rPr>
        <w:rFonts w:ascii="Arial" w:hAnsi="Arial" w:hint="default"/>
      </w:rPr>
    </w:lvl>
    <w:lvl w:ilvl="6" w:tplc="1C1A6AFA" w:tentative="1">
      <w:start w:val="1"/>
      <w:numFmt w:val="bullet"/>
      <w:lvlText w:val="•"/>
      <w:lvlJc w:val="left"/>
      <w:pPr>
        <w:tabs>
          <w:tab w:val="num" w:pos="5040"/>
        </w:tabs>
        <w:ind w:left="5040" w:hanging="360"/>
      </w:pPr>
      <w:rPr>
        <w:rFonts w:ascii="Arial" w:hAnsi="Arial" w:hint="default"/>
      </w:rPr>
    </w:lvl>
    <w:lvl w:ilvl="7" w:tplc="9AF42596" w:tentative="1">
      <w:start w:val="1"/>
      <w:numFmt w:val="bullet"/>
      <w:lvlText w:val="•"/>
      <w:lvlJc w:val="left"/>
      <w:pPr>
        <w:tabs>
          <w:tab w:val="num" w:pos="5760"/>
        </w:tabs>
        <w:ind w:left="5760" w:hanging="360"/>
      </w:pPr>
      <w:rPr>
        <w:rFonts w:ascii="Arial" w:hAnsi="Arial" w:hint="default"/>
      </w:rPr>
    </w:lvl>
    <w:lvl w:ilvl="8" w:tplc="62E2F74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2D5116"/>
    <w:multiLevelType w:val="multilevel"/>
    <w:tmpl w:val="AAEA4F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43D3357"/>
    <w:multiLevelType w:val="hybridMultilevel"/>
    <w:tmpl w:val="B59E0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8B5927"/>
    <w:multiLevelType w:val="hybridMultilevel"/>
    <w:tmpl w:val="13608BBE"/>
    <w:lvl w:ilvl="0" w:tplc="A1888ADC">
      <w:start w:val="2"/>
      <w:numFmt w:val="decimal"/>
      <w:lvlText w:val="%1."/>
      <w:lvlJc w:val="left"/>
      <w:pPr>
        <w:ind w:left="4896" w:hanging="360"/>
      </w:pPr>
      <w:rPr>
        <w:rFonts w:hint="default"/>
        <w:b w:val="0"/>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69178720">
    <w:abstractNumId w:val="3"/>
  </w:num>
  <w:num w:numId="2" w16cid:durableId="269901626">
    <w:abstractNumId w:val="2"/>
  </w:num>
  <w:num w:numId="3" w16cid:durableId="804814681">
    <w:abstractNumId w:val="1"/>
  </w:num>
  <w:num w:numId="4" w16cid:durableId="472139552">
    <w:abstractNumId w:val="0"/>
  </w:num>
  <w:num w:numId="5" w16cid:durableId="757101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68"/>
    <w:rsid w:val="000457B7"/>
    <w:rsid w:val="00052A42"/>
    <w:rsid w:val="0005483E"/>
    <w:rsid w:val="00082110"/>
    <w:rsid w:val="000D1225"/>
    <w:rsid w:val="000D46AC"/>
    <w:rsid w:val="000F5CAD"/>
    <w:rsid w:val="001042E5"/>
    <w:rsid w:val="001221B4"/>
    <w:rsid w:val="00160BD9"/>
    <w:rsid w:val="00176181"/>
    <w:rsid w:val="001829CC"/>
    <w:rsid w:val="00191460"/>
    <w:rsid w:val="00192FF6"/>
    <w:rsid w:val="0019706F"/>
    <w:rsid w:val="001C2968"/>
    <w:rsid w:val="001C621C"/>
    <w:rsid w:val="00200F83"/>
    <w:rsid w:val="00217525"/>
    <w:rsid w:val="00227395"/>
    <w:rsid w:val="00240C9D"/>
    <w:rsid w:val="002464F8"/>
    <w:rsid w:val="002573B2"/>
    <w:rsid w:val="00272388"/>
    <w:rsid w:val="00294485"/>
    <w:rsid w:val="002B0DBF"/>
    <w:rsid w:val="002E75C3"/>
    <w:rsid w:val="003017BD"/>
    <w:rsid w:val="00313B54"/>
    <w:rsid w:val="00316278"/>
    <w:rsid w:val="00380E9B"/>
    <w:rsid w:val="00387997"/>
    <w:rsid w:val="003E15FF"/>
    <w:rsid w:val="00405DC0"/>
    <w:rsid w:val="00406F79"/>
    <w:rsid w:val="00436B62"/>
    <w:rsid w:val="00452063"/>
    <w:rsid w:val="004803E8"/>
    <w:rsid w:val="00486C76"/>
    <w:rsid w:val="004A2E59"/>
    <w:rsid w:val="004A6C13"/>
    <w:rsid w:val="004C1605"/>
    <w:rsid w:val="004C5963"/>
    <w:rsid w:val="004D4D7B"/>
    <w:rsid w:val="004E0765"/>
    <w:rsid w:val="00511A66"/>
    <w:rsid w:val="00522427"/>
    <w:rsid w:val="00532F30"/>
    <w:rsid w:val="00562CD6"/>
    <w:rsid w:val="005930F0"/>
    <w:rsid w:val="005D4B92"/>
    <w:rsid w:val="00600B9A"/>
    <w:rsid w:val="006028B9"/>
    <w:rsid w:val="00631BA0"/>
    <w:rsid w:val="006579DF"/>
    <w:rsid w:val="006826E1"/>
    <w:rsid w:val="00687824"/>
    <w:rsid w:val="006B094D"/>
    <w:rsid w:val="006B1E40"/>
    <w:rsid w:val="006D228E"/>
    <w:rsid w:val="006E1440"/>
    <w:rsid w:val="00706561"/>
    <w:rsid w:val="007379E9"/>
    <w:rsid w:val="0074327F"/>
    <w:rsid w:val="00797CA1"/>
    <w:rsid w:val="007A2877"/>
    <w:rsid w:val="007B7291"/>
    <w:rsid w:val="007D4D5F"/>
    <w:rsid w:val="007E7B81"/>
    <w:rsid w:val="008404CA"/>
    <w:rsid w:val="00841B4E"/>
    <w:rsid w:val="00846C53"/>
    <w:rsid w:val="00863628"/>
    <w:rsid w:val="0086377C"/>
    <w:rsid w:val="00882A75"/>
    <w:rsid w:val="008C3029"/>
    <w:rsid w:val="008D3451"/>
    <w:rsid w:val="008D3855"/>
    <w:rsid w:val="008D703C"/>
    <w:rsid w:val="008F04A3"/>
    <w:rsid w:val="00923FFA"/>
    <w:rsid w:val="00955A2C"/>
    <w:rsid w:val="00961F1A"/>
    <w:rsid w:val="009A658D"/>
    <w:rsid w:val="009B6B1A"/>
    <w:rsid w:val="009E6F21"/>
    <w:rsid w:val="009F78B9"/>
    <w:rsid w:val="00A00800"/>
    <w:rsid w:val="00A0403A"/>
    <w:rsid w:val="00A24781"/>
    <w:rsid w:val="00A33C37"/>
    <w:rsid w:val="00A57BAE"/>
    <w:rsid w:val="00A608EF"/>
    <w:rsid w:val="00A87D01"/>
    <w:rsid w:val="00A94314"/>
    <w:rsid w:val="00A96AB1"/>
    <w:rsid w:val="00AA2051"/>
    <w:rsid w:val="00AA2340"/>
    <w:rsid w:val="00AA7B57"/>
    <w:rsid w:val="00AB203B"/>
    <w:rsid w:val="00AF6C5D"/>
    <w:rsid w:val="00B32E7F"/>
    <w:rsid w:val="00B42523"/>
    <w:rsid w:val="00B629AF"/>
    <w:rsid w:val="00B649E8"/>
    <w:rsid w:val="00B86E1F"/>
    <w:rsid w:val="00B87590"/>
    <w:rsid w:val="00BA4F68"/>
    <w:rsid w:val="00BB57A1"/>
    <w:rsid w:val="00BD4565"/>
    <w:rsid w:val="00BF5CF8"/>
    <w:rsid w:val="00C2404B"/>
    <w:rsid w:val="00C52391"/>
    <w:rsid w:val="00C761CE"/>
    <w:rsid w:val="00C81146"/>
    <w:rsid w:val="00CA7DC8"/>
    <w:rsid w:val="00CD48EA"/>
    <w:rsid w:val="00CD69A9"/>
    <w:rsid w:val="00D44C8B"/>
    <w:rsid w:val="00D50ECD"/>
    <w:rsid w:val="00D7170F"/>
    <w:rsid w:val="00D87160"/>
    <w:rsid w:val="00DB1BCB"/>
    <w:rsid w:val="00DC6F1F"/>
    <w:rsid w:val="00DF6BC4"/>
    <w:rsid w:val="00E33C98"/>
    <w:rsid w:val="00E378FF"/>
    <w:rsid w:val="00EA0D27"/>
    <w:rsid w:val="00EB23F2"/>
    <w:rsid w:val="00EC658A"/>
    <w:rsid w:val="00ED4956"/>
    <w:rsid w:val="00ED7A13"/>
    <w:rsid w:val="00EE76C0"/>
    <w:rsid w:val="00EF3109"/>
    <w:rsid w:val="00F118AB"/>
    <w:rsid w:val="00F44568"/>
    <w:rsid w:val="00F63F58"/>
    <w:rsid w:val="00F6621C"/>
    <w:rsid w:val="00F74665"/>
    <w:rsid w:val="00F90514"/>
    <w:rsid w:val="00FA00D7"/>
    <w:rsid w:val="00FA7081"/>
    <w:rsid w:val="00FD03F1"/>
    <w:rsid w:val="00FF0C03"/>
    <w:rsid w:val="00FF2C6C"/>
    <w:rsid w:val="00FF323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51534"/>
  <w15:chartTrackingRefBased/>
  <w15:docId w15:val="{685C907D-4E54-487B-A158-8CC306409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5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44568"/>
    <w:pPr>
      <w:keepNext/>
      <w:ind w:left="-563"/>
      <w:jc w:val="center"/>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4568"/>
    <w:rPr>
      <w:rFonts w:ascii="Times New Roman" w:eastAsia="Times New Roman" w:hAnsi="Times New Roman" w:cs="Times New Roman"/>
      <w:b/>
      <w:sz w:val="18"/>
      <w:szCs w:val="20"/>
    </w:rPr>
  </w:style>
  <w:style w:type="paragraph" w:styleId="Header">
    <w:name w:val="header"/>
    <w:basedOn w:val="Normal"/>
    <w:link w:val="HeaderChar"/>
    <w:uiPriority w:val="99"/>
    <w:rsid w:val="00F44568"/>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F44568"/>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F44568"/>
    <w:pPr>
      <w:tabs>
        <w:tab w:val="center" w:pos="4153"/>
        <w:tab w:val="right" w:pos="8306"/>
      </w:tabs>
    </w:pPr>
  </w:style>
  <w:style w:type="character" w:customStyle="1" w:styleId="FooterChar">
    <w:name w:val="Footer Char"/>
    <w:basedOn w:val="DefaultParagraphFont"/>
    <w:link w:val="Footer"/>
    <w:uiPriority w:val="99"/>
    <w:rsid w:val="00F44568"/>
    <w:rPr>
      <w:rFonts w:ascii="Times New Roman" w:eastAsia="Times New Roman" w:hAnsi="Times New Roman" w:cs="Times New Roman"/>
      <w:sz w:val="20"/>
      <w:szCs w:val="20"/>
    </w:rPr>
  </w:style>
  <w:style w:type="table" w:styleId="TableGrid">
    <w:name w:val="Table Grid"/>
    <w:basedOn w:val="TableNormal"/>
    <w:uiPriority w:val="59"/>
    <w:rsid w:val="00F4456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4_G"/>
    <w:uiPriority w:val="99"/>
    <w:qFormat/>
    <w:rsid w:val="00F44568"/>
    <w:rPr>
      <w:rFonts w:cs="Times New Roman"/>
      <w:vertAlign w:val="superscript"/>
    </w:rPr>
  </w:style>
  <w:style w:type="character" w:styleId="Hyperlink">
    <w:name w:val="Hyperlink"/>
    <w:rsid w:val="00F44568"/>
    <w:rPr>
      <w:color w:val="0000FF"/>
      <w:u w:val="single"/>
    </w:rPr>
  </w:style>
  <w:style w:type="paragraph" w:styleId="ListParagraph">
    <w:name w:val="List Paragraph"/>
    <w:aliases w:val="TOC style,RUS List,Text,Cell bullets,Credits,En tête 1,List Paragraph1,Noise heading,Number abc,Rec para,alphabet listing,a List Paragraph,Normal 1,Dot pt,Colorful List - Accent 11,No Spacing1,List Paragraph Char Char Char,Indicator Text"/>
    <w:basedOn w:val="Normal"/>
    <w:link w:val="ListParagraphChar"/>
    <w:uiPriority w:val="34"/>
    <w:qFormat/>
    <w:rsid w:val="00F44568"/>
    <w:pPr>
      <w:ind w:left="720"/>
      <w:contextualSpacing/>
    </w:pPr>
  </w:style>
  <w:style w:type="paragraph" w:customStyle="1" w:styleId="BodyA">
    <w:name w:val="Body A"/>
    <w:uiPriority w:val="99"/>
    <w:rsid w:val="00F44568"/>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en-US" w:eastAsia="en-GB"/>
      <w14:textOutline w14:w="12700" w14:cap="flat" w14:cmpd="sng" w14:algn="ctr">
        <w14:noFill/>
        <w14:prstDash w14:val="solid"/>
        <w14:miter w14:lim="400000"/>
      </w14:textOutline>
    </w:rPr>
  </w:style>
  <w:style w:type="character" w:customStyle="1" w:styleId="None">
    <w:name w:val="None"/>
    <w:rsid w:val="00F44568"/>
  </w:style>
  <w:style w:type="paragraph" w:styleId="NormalWeb">
    <w:name w:val="Normal (Web)"/>
    <w:basedOn w:val="Normal"/>
    <w:uiPriority w:val="99"/>
    <w:unhideWhenUsed/>
    <w:rsid w:val="00F44568"/>
    <w:pPr>
      <w:spacing w:before="120"/>
    </w:pPr>
    <w:rPr>
      <w:rFonts w:ascii="Verdana" w:eastAsia="Helvetica Neue" w:hAnsi="Verdana"/>
      <w:szCs w:val="24"/>
      <w:lang w:val="en"/>
    </w:rPr>
  </w:style>
  <w:style w:type="paragraph" w:customStyle="1" w:styleId="Normal1">
    <w:name w:val="Normal1"/>
    <w:rsid w:val="00F44568"/>
    <w:pPr>
      <w:spacing w:after="0" w:line="240" w:lineRule="auto"/>
    </w:pPr>
    <w:rPr>
      <w:rFonts w:ascii="Helvetica Neue" w:eastAsia="Helvetica Neue" w:hAnsi="Helvetica Neue" w:cs="Helvetica Neue"/>
      <w:sz w:val="24"/>
      <w:szCs w:val="24"/>
      <w:lang w:val="en-US"/>
    </w:rPr>
  </w:style>
  <w:style w:type="paragraph" w:styleId="FootnoteText">
    <w:name w:val="footnote text"/>
    <w:aliases w:val="5_G"/>
    <w:basedOn w:val="Normal"/>
    <w:link w:val="FootnoteTextChar"/>
    <w:uiPriority w:val="99"/>
    <w:qFormat/>
    <w:rsid w:val="00F44568"/>
    <w:pPr>
      <w:tabs>
        <w:tab w:val="right" w:pos="1021"/>
      </w:tabs>
      <w:suppressAutoHyphens/>
      <w:spacing w:line="220" w:lineRule="exact"/>
      <w:ind w:left="1134" w:right="1134" w:hanging="1134"/>
    </w:pPr>
    <w:rPr>
      <w:sz w:val="18"/>
    </w:rPr>
  </w:style>
  <w:style w:type="character" w:customStyle="1" w:styleId="FootnoteTextChar">
    <w:name w:val="Footnote Text Char"/>
    <w:aliases w:val="5_G Char"/>
    <w:basedOn w:val="DefaultParagraphFont"/>
    <w:link w:val="FootnoteText"/>
    <w:uiPriority w:val="99"/>
    <w:rsid w:val="00F44568"/>
    <w:rPr>
      <w:rFonts w:ascii="Times New Roman" w:eastAsia="Times New Roman" w:hAnsi="Times New Roman" w:cs="Times New Roman"/>
      <w:sz w:val="18"/>
      <w:szCs w:val="20"/>
    </w:rPr>
  </w:style>
  <w:style w:type="character" w:customStyle="1" w:styleId="ListParagraphChar">
    <w:name w:val="List Paragraph Char"/>
    <w:aliases w:val="TOC style Char,RUS List Char,Text Char,Cell bullets Char,Credits Char,En tête 1 Char,List Paragraph1 Char,Noise heading Char,Number abc Char,Rec para Char,alphabet listing Char,a List Paragraph Char,Normal 1 Char,Dot pt Char"/>
    <w:basedOn w:val="DefaultParagraphFont"/>
    <w:link w:val="ListParagraph"/>
    <w:uiPriority w:val="34"/>
    <w:qFormat/>
    <w:locked/>
    <w:rsid w:val="00405DC0"/>
    <w:rPr>
      <w:rFonts w:ascii="Times New Roman" w:eastAsia="Times New Roman" w:hAnsi="Times New Roman" w:cs="Times New Roman"/>
      <w:sz w:val="20"/>
      <w:szCs w:val="20"/>
    </w:rPr>
  </w:style>
  <w:style w:type="paragraph" w:styleId="Revision">
    <w:name w:val="Revision"/>
    <w:hidden/>
    <w:uiPriority w:val="99"/>
    <w:semiHidden/>
    <w:rsid w:val="003E15FF"/>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A00D7"/>
    <w:rPr>
      <w:sz w:val="16"/>
      <w:szCs w:val="16"/>
    </w:rPr>
  </w:style>
  <w:style w:type="paragraph" w:styleId="CommentText">
    <w:name w:val="annotation text"/>
    <w:basedOn w:val="Normal"/>
    <w:link w:val="CommentTextChar"/>
    <w:uiPriority w:val="99"/>
    <w:unhideWhenUsed/>
    <w:rsid w:val="00FA00D7"/>
  </w:style>
  <w:style w:type="character" w:customStyle="1" w:styleId="CommentTextChar">
    <w:name w:val="Comment Text Char"/>
    <w:basedOn w:val="DefaultParagraphFont"/>
    <w:link w:val="CommentText"/>
    <w:uiPriority w:val="99"/>
    <w:rsid w:val="00FA00D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00D7"/>
    <w:rPr>
      <w:b/>
      <w:bCs/>
    </w:rPr>
  </w:style>
  <w:style w:type="character" w:customStyle="1" w:styleId="CommentSubjectChar">
    <w:name w:val="Comment Subject Char"/>
    <w:basedOn w:val="CommentTextChar"/>
    <w:link w:val="CommentSubject"/>
    <w:uiPriority w:val="99"/>
    <w:semiHidden/>
    <w:rsid w:val="00FA00D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40275">
      <w:bodyDiv w:val="1"/>
      <w:marLeft w:val="0"/>
      <w:marRight w:val="0"/>
      <w:marTop w:val="0"/>
      <w:marBottom w:val="0"/>
      <w:divBdr>
        <w:top w:val="none" w:sz="0" w:space="0" w:color="auto"/>
        <w:left w:val="none" w:sz="0" w:space="0" w:color="auto"/>
        <w:bottom w:val="none" w:sz="0" w:space="0" w:color="auto"/>
        <w:right w:val="none" w:sz="0" w:space="0" w:color="auto"/>
      </w:divBdr>
    </w:div>
    <w:div w:id="170338565">
      <w:bodyDiv w:val="1"/>
      <w:marLeft w:val="0"/>
      <w:marRight w:val="0"/>
      <w:marTop w:val="0"/>
      <w:marBottom w:val="0"/>
      <w:divBdr>
        <w:top w:val="none" w:sz="0" w:space="0" w:color="auto"/>
        <w:left w:val="none" w:sz="0" w:space="0" w:color="auto"/>
        <w:bottom w:val="none" w:sz="0" w:space="0" w:color="auto"/>
        <w:right w:val="none" w:sz="0" w:space="0" w:color="auto"/>
      </w:divBdr>
    </w:div>
    <w:div w:id="519469098">
      <w:bodyDiv w:val="1"/>
      <w:marLeft w:val="0"/>
      <w:marRight w:val="0"/>
      <w:marTop w:val="0"/>
      <w:marBottom w:val="0"/>
      <w:divBdr>
        <w:top w:val="none" w:sz="0" w:space="0" w:color="auto"/>
        <w:left w:val="none" w:sz="0" w:space="0" w:color="auto"/>
        <w:bottom w:val="none" w:sz="0" w:space="0" w:color="auto"/>
        <w:right w:val="none" w:sz="0" w:space="0" w:color="auto"/>
      </w:divBdr>
    </w:div>
    <w:div w:id="802816040">
      <w:bodyDiv w:val="1"/>
      <w:marLeft w:val="0"/>
      <w:marRight w:val="0"/>
      <w:marTop w:val="0"/>
      <w:marBottom w:val="0"/>
      <w:divBdr>
        <w:top w:val="none" w:sz="0" w:space="0" w:color="auto"/>
        <w:left w:val="none" w:sz="0" w:space="0" w:color="auto"/>
        <w:bottom w:val="none" w:sz="0" w:space="0" w:color="auto"/>
        <w:right w:val="none" w:sz="0" w:space="0" w:color="auto"/>
      </w:divBdr>
    </w:div>
    <w:div w:id="926424481">
      <w:bodyDiv w:val="1"/>
      <w:marLeft w:val="0"/>
      <w:marRight w:val="0"/>
      <w:marTop w:val="0"/>
      <w:marBottom w:val="0"/>
      <w:divBdr>
        <w:top w:val="none" w:sz="0" w:space="0" w:color="auto"/>
        <w:left w:val="none" w:sz="0" w:space="0" w:color="auto"/>
        <w:bottom w:val="none" w:sz="0" w:space="0" w:color="auto"/>
        <w:right w:val="none" w:sz="0" w:space="0" w:color="auto"/>
      </w:divBdr>
    </w:div>
    <w:div w:id="930315021">
      <w:bodyDiv w:val="1"/>
      <w:marLeft w:val="0"/>
      <w:marRight w:val="0"/>
      <w:marTop w:val="0"/>
      <w:marBottom w:val="0"/>
      <w:divBdr>
        <w:top w:val="none" w:sz="0" w:space="0" w:color="auto"/>
        <w:left w:val="none" w:sz="0" w:space="0" w:color="auto"/>
        <w:bottom w:val="none" w:sz="0" w:space="0" w:color="auto"/>
        <w:right w:val="none" w:sz="0" w:space="0" w:color="auto"/>
      </w:divBdr>
    </w:div>
    <w:div w:id="1013605196">
      <w:bodyDiv w:val="1"/>
      <w:marLeft w:val="0"/>
      <w:marRight w:val="0"/>
      <w:marTop w:val="0"/>
      <w:marBottom w:val="0"/>
      <w:divBdr>
        <w:top w:val="none" w:sz="0" w:space="0" w:color="auto"/>
        <w:left w:val="none" w:sz="0" w:space="0" w:color="auto"/>
        <w:bottom w:val="none" w:sz="0" w:space="0" w:color="auto"/>
        <w:right w:val="none" w:sz="0" w:space="0" w:color="auto"/>
      </w:divBdr>
    </w:div>
    <w:div w:id="1259607344">
      <w:bodyDiv w:val="1"/>
      <w:marLeft w:val="0"/>
      <w:marRight w:val="0"/>
      <w:marTop w:val="0"/>
      <w:marBottom w:val="0"/>
      <w:divBdr>
        <w:top w:val="none" w:sz="0" w:space="0" w:color="auto"/>
        <w:left w:val="none" w:sz="0" w:space="0" w:color="auto"/>
        <w:bottom w:val="none" w:sz="0" w:space="0" w:color="auto"/>
        <w:right w:val="none" w:sz="0" w:space="0" w:color="auto"/>
      </w:divBdr>
    </w:div>
    <w:div w:id="1591112472">
      <w:bodyDiv w:val="1"/>
      <w:marLeft w:val="0"/>
      <w:marRight w:val="0"/>
      <w:marTop w:val="0"/>
      <w:marBottom w:val="0"/>
      <w:divBdr>
        <w:top w:val="none" w:sz="0" w:space="0" w:color="auto"/>
        <w:left w:val="none" w:sz="0" w:space="0" w:color="auto"/>
        <w:bottom w:val="none" w:sz="0" w:space="0" w:color="auto"/>
        <w:right w:val="none" w:sz="0" w:space="0" w:color="auto"/>
      </w:divBdr>
      <w:divsChild>
        <w:div w:id="766535964">
          <w:marLeft w:val="360"/>
          <w:marRight w:val="0"/>
          <w:marTop w:val="200"/>
          <w:marBottom w:val="0"/>
          <w:divBdr>
            <w:top w:val="none" w:sz="0" w:space="0" w:color="auto"/>
            <w:left w:val="none" w:sz="0" w:space="0" w:color="auto"/>
            <w:bottom w:val="none" w:sz="0" w:space="0" w:color="auto"/>
            <w:right w:val="none" w:sz="0" w:space="0" w:color="auto"/>
          </w:divBdr>
        </w:div>
        <w:div w:id="1151945012">
          <w:marLeft w:val="360"/>
          <w:marRight w:val="0"/>
          <w:marTop w:val="200"/>
          <w:marBottom w:val="0"/>
          <w:divBdr>
            <w:top w:val="none" w:sz="0" w:space="0" w:color="auto"/>
            <w:left w:val="none" w:sz="0" w:space="0" w:color="auto"/>
            <w:bottom w:val="none" w:sz="0" w:space="0" w:color="auto"/>
            <w:right w:val="none" w:sz="0" w:space="0" w:color="auto"/>
          </w:divBdr>
        </w:div>
        <w:div w:id="1832063454">
          <w:marLeft w:val="360"/>
          <w:marRight w:val="0"/>
          <w:marTop w:val="200"/>
          <w:marBottom w:val="0"/>
          <w:divBdr>
            <w:top w:val="none" w:sz="0" w:space="0" w:color="auto"/>
            <w:left w:val="none" w:sz="0" w:space="0" w:color="auto"/>
            <w:bottom w:val="none" w:sz="0" w:space="0" w:color="auto"/>
            <w:right w:val="none" w:sz="0" w:space="0" w:color="auto"/>
          </w:divBdr>
        </w:div>
        <w:div w:id="829104227">
          <w:marLeft w:val="1080"/>
          <w:marRight w:val="0"/>
          <w:marTop w:val="100"/>
          <w:marBottom w:val="0"/>
          <w:divBdr>
            <w:top w:val="none" w:sz="0" w:space="0" w:color="auto"/>
            <w:left w:val="none" w:sz="0" w:space="0" w:color="auto"/>
            <w:bottom w:val="none" w:sz="0" w:space="0" w:color="auto"/>
            <w:right w:val="none" w:sz="0" w:space="0" w:color="auto"/>
          </w:divBdr>
        </w:div>
        <w:div w:id="2110612586">
          <w:marLeft w:val="1080"/>
          <w:marRight w:val="0"/>
          <w:marTop w:val="100"/>
          <w:marBottom w:val="0"/>
          <w:divBdr>
            <w:top w:val="none" w:sz="0" w:space="0" w:color="auto"/>
            <w:left w:val="none" w:sz="0" w:space="0" w:color="auto"/>
            <w:bottom w:val="none" w:sz="0" w:space="0" w:color="auto"/>
            <w:right w:val="none" w:sz="0" w:space="0" w:color="auto"/>
          </w:divBdr>
        </w:div>
        <w:div w:id="537085837">
          <w:marLeft w:val="1080"/>
          <w:marRight w:val="0"/>
          <w:marTop w:val="100"/>
          <w:marBottom w:val="0"/>
          <w:divBdr>
            <w:top w:val="none" w:sz="0" w:space="0" w:color="auto"/>
            <w:left w:val="none" w:sz="0" w:space="0" w:color="auto"/>
            <w:bottom w:val="none" w:sz="0" w:space="0" w:color="auto"/>
            <w:right w:val="none" w:sz="0" w:space="0" w:color="auto"/>
          </w:divBdr>
        </w:div>
        <w:div w:id="1583103400">
          <w:marLeft w:val="1080"/>
          <w:marRight w:val="0"/>
          <w:marTop w:val="100"/>
          <w:marBottom w:val="0"/>
          <w:divBdr>
            <w:top w:val="none" w:sz="0" w:space="0" w:color="auto"/>
            <w:left w:val="none" w:sz="0" w:space="0" w:color="auto"/>
            <w:bottom w:val="none" w:sz="0" w:space="0" w:color="auto"/>
            <w:right w:val="none" w:sz="0" w:space="0" w:color="auto"/>
          </w:divBdr>
        </w:div>
      </w:divsChild>
    </w:div>
    <w:div w:id="1636639080">
      <w:bodyDiv w:val="1"/>
      <w:marLeft w:val="0"/>
      <w:marRight w:val="0"/>
      <w:marTop w:val="0"/>
      <w:marBottom w:val="0"/>
      <w:divBdr>
        <w:top w:val="none" w:sz="0" w:space="0" w:color="auto"/>
        <w:left w:val="none" w:sz="0" w:space="0" w:color="auto"/>
        <w:bottom w:val="none" w:sz="0" w:space="0" w:color="auto"/>
        <w:right w:val="none" w:sz="0" w:space="0" w:color="auto"/>
      </w:divBdr>
      <w:divsChild>
        <w:div w:id="208880644">
          <w:marLeft w:val="446"/>
          <w:marRight w:val="0"/>
          <w:marTop w:val="0"/>
          <w:marBottom w:val="0"/>
          <w:divBdr>
            <w:top w:val="none" w:sz="0" w:space="0" w:color="auto"/>
            <w:left w:val="none" w:sz="0" w:space="0" w:color="auto"/>
            <w:bottom w:val="none" w:sz="0" w:space="0" w:color="auto"/>
            <w:right w:val="none" w:sz="0" w:space="0" w:color="auto"/>
          </w:divBdr>
        </w:div>
      </w:divsChild>
    </w:div>
    <w:div w:id="1646857805">
      <w:bodyDiv w:val="1"/>
      <w:marLeft w:val="0"/>
      <w:marRight w:val="0"/>
      <w:marTop w:val="0"/>
      <w:marBottom w:val="0"/>
      <w:divBdr>
        <w:top w:val="none" w:sz="0" w:space="0" w:color="auto"/>
        <w:left w:val="none" w:sz="0" w:space="0" w:color="auto"/>
        <w:bottom w:val="none" w:sz="0" w:space="0" w:color="auto"/>
        <w:right w:val="none" w:sz="0" w:space="0" w:color="auto"/>
      </w:divBdr>
    </w:div>
    <w:div w:id="1799445837">
      <w:bodyDiv w:val="1"/>
      <w:marLeft w:val="0"/>
      <w:marRight w:val="0"/>
      <w:marTop w:val="0"/>
      <w:marBottom w:val="0"/>
      <w:divBdr>
        <w:top w:val="none" w:sz="0" w:space="0" w:color="auto"/>
        <w:left w:val="none" w:sz="0" w:space="0" w:color="auto"/>
        <w:bottom w:val="none" w:sz="0" w:space="0" w:color="auto"/>
        <w:right w:val="none" w:sz="0" w:space="0" w:color="auto"/>
      </w:divBdr>
    </w:div>
    <w:div w:id="1861624725">
      <w:bodyDiv w:val="1"/>
      <w:marLeft w:val="0"/>
      <w:marRight w:val="0"/>
      <w:marTop w:val="0"/>
      <w:marBottom w:val="0"/>
      <w:divBdr>
        <w:top w:val="none" w:sz="0" w:space="0" w:color="auto"/>
        <w:left w:val="none" w:sz="0" w:space="0" w:color="auto"/>
        <w:bottom w:val="none" w:sz="0" w:space="0" w:color="auto"/>
        <w:right w:val="none" w:sz="0" w:space="0" w:color="auto"/>
      </w:divBdr>
      <w:divsChild>
        <w:div w:id="147595125">
          <w:marLeft w:val="36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rhealth@un.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undocs.org/Home/Mobile?FinalSymbol=A%2F65%2F255&amp;Language=E&amp;DeviceType=Desktop&amp;LangRequested=False" TargetMode="External"/><Relationship Id="rId1" Type="http://schemas.openxmlformats.org/officeDocument/2006/relationships/hyperlink" Target="http://www.who.int/news-room/fact-sheets/detail/commercial-determinants-of-health"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registry@ohchr.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Doctype>
    <Contributor xmlns="d42e65b2-cf21-49c1-b27d-d23f90380c0e">Singapore</Contributo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C2F56-7773-4357-BEDD-D3CD869E5937}">
  <ds:schemaRefs>
    <ds:schemaRef ds:uri="http://schemas.microsoft.com/sharepoint/v3/contenttype/forms"/>
  </ds:schemaRefs>
</ds:datastoreItem>
</file>

<file path=customXml/itemProps2.xml><?xml version="1.0" encoding="utf-8"?>
<ds:datastoreItem xmlns:ds="http://schemas.openxmlformats.org/officeDocument/2006/customXml" ds:itemID="{E10500C1-2771-4E1D-A364-F47D876914F7}">
  <ds:schemaRefs>
    <ds:schemaRef ds:uri="http://schemas.microsoft.com/office/2006/metadata/properties"/>
    <ds:schemaRef ds:uri="http://schemas.microsoft.com/office/infopath/2007/PartnerControls"/>
    <ds:schemaRef ds:uri="985ec44e-1bab-4c0b-9df0-6ba128686fc9"/>
    <ds:schemaRef ds:uri="fa1020ff-48ad-4b90-98f4-7161a6f3b630"/>
  </ds:schemaRefs>
</ds:datastoreItem>
</file>

<file path=customXml/itemProps3.xml><?xml version="1.0" encoding="utf-8"?>
<ds:datastoreItem xmlns:ds="http://schemas.openxmlformats.org/officeDocument/2006/customXml" ds:itemID="{9F9FA767-8870-4E29-897E-137AD9AD4046}"/>
</file>

<file path=customXml/itemProps4.xml><?xml version="1.0" encoding="utf-8"?>
<ds:datastoreItem xmlns:ds="http://schemas.openxmlformats.org/officeDocument/2006/customXml" ds:itemID="{28A91FA4-28C5-4FBE-80FF-EA34A9547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2623</Words>
  <Characters>14954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Karin Hechenleitner Schacht</vt:lpstr>
    </vt:vector>
  </TitlesOfParts>
  <Company>OHCHR</Company>
  <LinksUpToDate>false</LinksUpToDate>
  <CharactersWithSpaces>17542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Karin Hechenleitner Schacht</dc:title>
  <dc:subject/>
  <dc:creator>HECHENLEITNER SCHACHT Karin</dc:creator>
  <cp:keywords/>
  <dc:description/>
  <cp:lastModifiedBy>Cheryl TOH (MFA)</cp:lastModifiedBy>
  <cp:revision>2</cp:revision>
  <dcterms:created xsi:type="dcterms:W3CDTF">2023-11-20T13:37:00Z</dcterms:created>
  <dcterms:modified xsi:type="dcterms:W3CDTF">2023-11-20T13:37:00Z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_ExtendedDescription">
    <vt:lpwstr>Call for inputs SR health</vt:lpwstr>
  </property>
  <property fmtid="{D5CDD505-2E9C-101B-9397-08002B2CF9AE}" pid="4" name="MSIP_Label_5434c4c7-833e-41e4-b0ab-cdb227a2f6f7_Enabled">
    <vt:lpwstr>true</vt:lpwstr>
  </property>
  <property fmtid="{D5CDD505-2E9C-101B-9397-08002B2CF9AE}" pid="5" name="MSIP_Label_5434c4c7-833e-41e4-b0ab-cdb227a2f6f7_SetDate">
    <vt:lpwstr>2023-11-10T15:02:19Z</vt:lpwstr>
  </property>
  <property fmtid="{D5CDD505-2E9C-101B-9397-08002B2CF9AE}" pid="6" name="MSIP_Label_5434c4c7-833e-41e4-b0ab-cdb227a2f6f7_Method">
    <vt:lpwstr>Privileged</vt:lpwstr>
  </property>
  <property fmtid="{D5CDD505-2E9C-101B-9397-08002B2CF9AE}" pid="7" name="MSIP_Label_5434c4c7-833e-41e4-b0ab-cdb227a2f6f7_Name">
    <vt:lpwstr>Official (Open)</vt:lpwstr>
  </property>
  <property fmtid="{D5CDD505-2E9C-101B-9397-08002B2CF9AE}" pid="8" name="MSIP_Label_5434c4c7-833e-41e4-b0ab-cdb227a2f6f7_SiteId">
    <vt:lpwstr>0b11c524-9a1c-4e1b-84cb-6336aefc2243</vt:lpwstr>
  </property>
  <property fmtid="{D5CDD505-2E9C-101B-9397-08002B2CF9AE}" pid="9" name="MSIP_Label_5434c4c7-833e-41e4-b0ab-cdb227a2f6f7_ActionId">
    <vt:lpwstr>c4291729-1156-4fe6-bffe-dd929f0935e9</vt:lpwstr>
  </property>
  <property fmtid="{D5CDD505-2E9C-101B-9397-08002B2CF9AE}" pid="10" name="MSIP_Label_5434c4c7-833e-41e4-b0ab-cdb227a2f6f7_ContentBits">
    <vt:lpwstr>0</vt:lpwstr>
  </property>
</Properties>
</file>