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1477C" w14:textId="77777777" w:rsidR="00A83B64" w:rsidRPr="00352165" w:rsidRDefault="00A83B64" w:rsidP="00A83B64">
      <w:pPr>
        <w:spacing w:after="160" w:line="259" w:lineRule="auto"/>
        <w:jc w:val="center"/>
        <w:rPr>
          <w:rFonts w:eastAsia="Calibri"/>
          <w:b/>
          <w:color w:val="0070C0"/>
          <w:sz w:val="28"/>
          <w:szCs w:val="22"/>
          <w:lang w:val="en-US"/>
        </w:rPr>
      </w:pPr>
      <w:r w:rsidRPr="00352165">
        <w:rPr>
          <w:rFonts w:eastAsia="Calibri"/>
          <w:b/>
          <w:color w:val="0070C0"/>
          <w:sz w:val="28"/>
          <w:szCs w:val="22"/>
          <w:lang w:val="en-US"/>
        </w:rPr>
        <w:t xml:space="preserve">A place to live in dignity for all: Making housing affordable </w:t>
      </w:r>
    </w:p>
    <w:p w14:paraId="30B01D0A" w14:textId="77777777" w:rsidR="00A83B64" w:rsidRPr="00352165" w:rsidRDefault="00A83B64" w:rsidP="00A83B64">
      <w:pPr>
        <w:spacing w:after="160" w:line="259" w:lineRule="auto"/>
        <w:jc w:val="center"/>
        <w:rPr>
          <w:rFonts w:eastAsia="Calibri"/>
          <w:b/>
          <w:color w:val="0070C0"/>
          <w:sz w:val="22"/>
          <w:szCs w:val="22"/>
          <w:lang w:val="en-US"/>
        </w:rPr>
      </w:pPr>
      <w:r w:rsidRPr="00352165">
        <w:rPr>
          <w:rFonts w:eastAsia="Calibri"/>
          <w:b/>
          <w:color w:val="0070C0"/>
          <w:sz w:val="22"/>
          <w:szCs w:val="22"/>
          <w:lang w:val="en-US"/>
        </w:rPr>
        <w:t xml:space="preserve">Report of the Special Rapporteur on the right to adequate housing to the </w:t>
      </w:r>
      <w:r w:rsidRPr="00352165">
        <w:rPr>
          <w:rFonts w:eastAsia="Calibri"/>
          <w:b/>
          <w:color w:val="0070C0"/>
          <w:sz w:val="22"/>
          <w:szCs w:val="22"/>
          <w:lang w:val="en-US"/>
        </w:rPr>
        <w:br/>
        <w:t xml:space="preserve">78th session of the UN General Assembly </w:t>
      </w:r>
    </w:p>
    <w:p w14:paraId="72665732" w14:textId="06585819" w:rsidR="00A83B64" w:rsidRPr="00352165" w:rsidRDefault="00A83B64" w:rsidP="00A66EF2">
      <w:pPr>
        <w:spacing w:after="160" w:line="259" w:lineRule="auto"/>
        <w:jc w:val="center"/>
        <w:rPr>
          <w:rFonts w:eastAsia="Calibri"/>
          <w:b/>
          <w:bCs/>
          <w:color w:val="0070C0"/>
          <w:sz w:val="32"/>
          <w:szCs w:val="22"/>
        </w:rPr>
      </w:pPr>
      <w:r w:rsidRPr="00352165">
        <w:rPr>
          <w:rFonts w:eastAsia="Calibri"/>
          <w:b/>
          <w:bCs/>
          <w:color w:val="0070C0"/>
          <w:sz w:val="32"/>
          <w:szCs w:val="22"/>
        </w:rPr>
        <w:t>Questionnaire</w:t>
      </w:r>
    </w:p>
    <w:p w14:paraId="5B2C16F8" w14:textId="77777777" w:rsidR="00A83B64" w:rsidRPr="00352165" w:rsidRDefault="00A83B64" w:rsidP="00A83B64">
      <w:pPr>
        <w:spacing w:after="160" w:line="259" w:lineRule="auto"/>
        <w:jc w:val="both"/>
        <w:rPr>
          <w:rFonts w:eastAsia="Calibri"/>
          <w:color w:val="0070C0"/>
          <w:sz w:val="22"/>
          <w:szCs w:val="22"/>
        </w:rPr>
      </w:pPr>
      <w:r w:rsidRPr="00352165">
        <w:rPr>
          <w:rFonts w:eastAsia="Calibri"/>
          <w:color w:val="0070C0"/>
          <w:sz w:val="22"/>
          <w:szCs w:val="22"/>
        </w:rPr>
        <w:t>For States: please share this questionnaire as well with your National Statistical Office and relevant Ministries to assist completing statistical sections relating to housing affordability.</w:t>
      </w:r>
    </w:p>
    <w:p w14:paraId="3F22ED30" w14:textId="77777777" w:rsidR="00A66EF2" w:rsidRPr="00352165" w:rsidRDefault="00A83B64" w:rsidP="00A83B64">
      <w:pPr>
        <w:spacing w:after="160" w:line="259" w:lineRule="auto"/>
        <w:jc w:val="both"/>
        <w:rPr>
          <w:rFonts w:eastAsia="Calibri"/>
          <w:color w:val="0070C0"/>
          <w:sz w:val="22"/>
          <w:szCs w:val="22"/>
        </w:rPr>
      </w:pPr>
      <w:r w:rsidRPr="00352165">
        <w:rPr>
          <w:rFonts w:eastAsia="Calibri"/>
          <w:color w:val="0070C0"/>
          <w:sz w:val="22"/>
          <w:szCs w:val="22"/>
        </w:rPr>
        <w:t xml:space="preserve">Name of submitting entity, organization or individual: </w:t>
      </w:r>
    </w:p>
    <w:p w14:paraId="457A0109" w14:textId="06387666" w:rsidR="00A83B64" w:rsidRPr="00352165" w:rsidRDefault="0040363A" w:rsidP="00A83B64">
      <w:pPr>
        <w:spacing w:after="160" w:line="259" w:lineRule="auto"/>
        <w:jc w:val="both"/>
        <w:rPr>
          <w:rFonts w:asciiTheme="minorHAnsi" w:eastAsia="Calibri" w:hAnsiTheme="minorHAnsi" w:cstheme="minorHAnsi"/>
          <w:sz w:val="22"/>
          <w:szCs w:val="22"/>
        </w:rPr>
      </w:pPr>
      <w:r w:rsidRPr="00352165">
        <w:rPr>
          <w:rFonts w:asciiTheme="minorHAnsi" w:eastAsia="Calibri" w:hAnsiTheme="minorHAnsi" w:cstheme="minorHAnsi"/>
          <w:sz w:val="22"/>
          <w:szCs w:val="22"/>
        </w:rPr>
        <w:t>Centre for Affordable Housing Finance in Africa (CAHF), based in Johannesburg, SOUTH AFRICA</w:t>
      </w:r>
    </w:p>
    <w:p w14:paraId="67118DD6" w14:textId="5D67186D" w:rsidR="00A83B64" w:rsidRPr="00352165" w:rsidRDefault="00A83B64" w:rsidP="00A66EF2">
      <w:pPr>
        <w:spacing w:after="160" w:line="259" w:lineRule="auto"/>
        <w:rPr>
          <w:rFonts w:eastAsia="Calibri"/>
          <w:sz w:val="22"/>
          <w:szCs w:val="22"/>
        </w:rPr>
      </w:pPr>
      <w:bookmarkStart w:id="0" w:name="_GoBack"/>
      <w:bookmarkEnd w:id="0"/>
      <w:r w:rsidRPr="00352165">
        <w:rPr>
          <w:rFonts w:eastAsia="Calibri"/>
          <w:sz w:val="22"/>
          <w:szCs w:val="22"/>
        </w:rPr>
        <w:t xml:space="preserve"> </w:t>
      </w:r>
    </w:p>
    <w:p w14:paraId="479FC610" w14:textId="5719BA59" w:rsidR="00A66EF2" w:rsidRPr="00352165" w:rsidRDefault="007C172E" w:rsidP="00A66EF2">
      <w:pPr>
        <w:spacing w:after="160" w:line="259" w:lineRule="auto"/>
        <w:rPr>
          <w:rFonts w:asciiTheme="minorHAnsi" w:eastAsia="Calibri" w:hAnsiTheme="minorHAnsi" w:cstheme="minorHAnsi"/>
          <w:sz w:val="22"/>
          <w:szCs w:val="22"/>
        </w:rPr>
      </w:pPr>
      <w:r w:rsidRPr="00352165">
        <w:rPr>
          <w:rFonts w:asciiTheme="minorHAnsi" w:eastAsia="Calibri" w:hAnsiTheme="minorHAnsi" w:cstheme="minorHAnsi"/>
          <w:sz w:val="22"/>
          <w:szCs w:val="22"/>
        </w:rPr>
        <w:t>29 April 202</w:t>
      </w:r>
    </w:p>
    <w:p w14:paraId="0063CAD4" w14:textId="77777777" w:rsidR="007C172E" w:rsidRPr="007C172E" w:rsidRDefault="007C172E" w:rsidP="00A66EF2">
      <w:pPr>
        <w:spacing w:after="160" w:line="259" w:lineRule="auto"/>
        <w:rPr>
          <w:rFonts w:asciiTheme="minorHAnsi" w:eastAsia="Calibri" w:hAnsiTheme="minorHAnsi" w:cstheme="minorHAnsi"/>
          <w:color w:val="0070C0"/>
          <w:sz w:val="22"/>
          <w:szCs w:val="22"/>
        </w:rPr>
      </w:pPr>
    </w:p>
    <w:p w14:paraId="277B3AE9" w14:textId="77777777" w:rsidR="00A83B64" w:rsidRPr="00352165" w:rsidRDefault="00A83B64" w:rsidP="00A83B64">
      <w:pPr>
        <w:spacing w:after="160" w:line="259" w:lineRule="auto"/>
        <w:jc w:val="both"/>
        <w:rPr>
          <w:rFonts w:eastAsia="Calibri"/>
          <w:b/>
          <w:color w:val="0070C0"/>
          <w:sz w:val="22"/>
          <w:szCs w:val="22"/>
        </w:rPr>
      </w:pPr>
      <w:r w:rsidRPr="00352165">
        <w:rPr>
          <w:rFonts w:eastAsia="Calibri"/>
          <w:b/>
          <w:color w:val="0070C0"/>
          <w:sz w:val="22"/>
          <w:szCs w:val="22"/>
        </w:rPr>
        <w:t xml:space="preserve">National law, policies and jurisprudence relating to affordable housing </w:t>
      </w:r>
    </w:p>
    <w:p w14:paraId="40EF18D1" w14:textId="77777777" w:rsidR="00385EA4" w:rsidRPr="00352165" w:rsidRDefault="00A83B64" w:rsidP="00385EA4">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Does your country’s national law, including constitutional, housing or social protection law, refer to affordability of housing or provide any other guarantees to ensure a minimum standard of living? Or in its absence, are there national policies that refer to affordable housing or minimum standard of living?  Please provide references and links to the respective key laws or constitutional provisions as well as policies.</w:t>
      </w:r>
    </w:p>
    <w:p w14:paraId="72B5F49A" w14:textId="77777777" w:rsidR="00385EA4" w:rsidRDefault="00385EA4" w:rsidP="00385EA4">
      <w:pPr>
        <w:spacing w:after="160" w:line="259" w:lineRule="auto"/>
        <w:ind w:left="284"/>
        <w:contextualSpacing/>
        <w:jc w:val="both"/>
        <w:rPr>
          <w:rFonts w:eastAsia="Calibri"/>
          <w:sz w:val="22"/>
          <w:szCs w:val="22"/>
        </w:rPr>
      </w:pPr>
    </w:p>
    <w:p w14:paraId="6C7373C9" w14:textId="2F97EEEE" w:rsidR="0040363A" w:rsidRPr="00352165" w:rsidRDefault="0040363A" w:rsidP="00385EA4">
      <w:pPr>
        <w:spacing w:after="160" w:line="259" w:lineRule="auto"/>
        <w:ind w:left="284"/>
        <w:contextualSpacing/>
        <w:jc w:val="both"/>
        <w:rPr>
          <w:rFonts w:eastAsia="Calibri"/>
          <w:sz w:val="22"/>
          <w:szCs w:val="22"/>
        </w:rPr>
      </w:pPr>
      <w:r w:rsidRPr="00352165">
        <w:rPr>
          <w:rFonts w:asciiTheme="minorHAnsi" w:eastAsia="Calibri" w:hAnsiTheme="minorHAnsi" w:cstheme="minorHAnsi"/>
          <w:sz w:val="22"/>
          <w:szCs w:val="22"/>
        </w:rPr>
        <w:t xml:space="preserve">This is not our organisation’s area of expertise. </w:t>
      </w:r>
    </w:p>
    <w:p w14:paraId="440C7CCA" w14:textId="77777777" w:rsidR="00385EA4" w:rsidRDefault="00385EA4" w:rsidP="00385EA4">
      <w:pPr>
        <w:spacing w:after="160" w:line="259" w:lineRule="auto"/>
        <w:ind w:left="284"/>
        <w:contextualSpacing/>
        <w:jc w:val="both"/>
        <w:rPr>
          <w:rFonts w:eastAsia="Calibri"/>
          <w:sz w:val="22"/>
          <w:szCs w:val="22"/>
        </w:rPr>
      </w:pPr>
    </w:p>
    <w:p w14:paraId="73EFD34D" w14:textId="4975B779" w:rsidR="00A83B64" w:rsidRPr="00352165" w:rsidRDefault="00A83B64" w:rsidP="00A66EF2">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 xml:space="preserve">Please explain if there is any official definition or criteria to assess whether a household faces housing costs above the level of affordability in your country. </w:t>
      </w:r>
    </w:p>
    <w:p w14:paraId="1A463D36" w14:textId="77777777" w:rsidR="00A66EF2" w:rsidRPr="00352165" w:rsidRDefault="00A66EF2" w:rsidP="00A66EF2">
      <w:pPr>
        <w:contextualSpacing/>
        <w:jc w:val="both"/>
        <w:rPr>
          <w:rFonts w:asciiTheme="minorHAnsi" w:eastAsia="Calibri" w:hAnsiTheme="minorHAnsi" w:cstheme="minorHAnsi"/>
          <w:color w:val="0070C0"/>
          <w:sz w:val="22"/>
          <w:szCs w:val="22"/>
        </w:rPr>
      </w:pPr>
    </w:p>
    <w:p w14:paraId="64781C4E" w14:textId="7301772F" w:rsidR="004C69C4" w:rsidRPr="00352165" w:rsidRDefault="004C69C4" w:rsidP="00A66EF2">
      <w:pPr>
        <w:ind w:firstLine="284"/>
        <w:contextualSpacing/>
        <w:jc w:val="both"/>
        <w:rPr>
          <w:rFonts w:asciiTheme="minorHAnsi" w:eastAsia="Calibri" w:hAnsiTheme="minorHAnsi" w:cstheme="minorHAnsi"/>
          <w:sz w:val="22"/>
          <w:szCs w:val="22"/>
        </w:rPr>
      </w:pPr>
      <w:r w:rsidRPr="00352165">
        <w:rPr>
          <w:rFonts w:asciiTheme="minorHAnsi" w:eastAsia="Calibri" w:hAnsiTheme="minorHAnsi" w:cstheme="minorHAnsi"/>
          <w:sz w:val="22"/>
          <w:szCs w:val="22"/>
        </w:rPr>
        <w:t>This is not our organisation’s area of expertise.</w:t>
      </w:r>
    </w:p>
    <w:p w14:paraId="7FCF093F" w14:textId="77777777" w:rsidR="004C69C4" w:rsidRPr="00352165" w:rsidRDefault="004C69C4" w:rsidP="004C69C4">
      <w:pPr>
        <w:ind w:left="720"/>
        <w:contextualSpacing/>
        <w:jc w:val="both"/>
        <w:rPr>
          <w:rFonts w:eastAsia="Calibri"/>
          <w:color w:val="0070C0"/>
          <w:sz w:val="22"/>
          <w:szCs w:val="22"/>
        </w:rPr>
      </w:pPr>
    </w:p>
    <w:p w14:paraId="1A5EAA93" w14:textId="77777777" w:rsidR="00A66EF2" w:rsidRPr="00352165" w:rsidRDefault="00A83B64" w:rsidP="00A66EF2">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lastRenderedPageBreak/>
        <w:t>Please share any important court decisions in your country that relate to the issue of affordable housing or enjoyment of a minimum standard of living, including important judgements on State policies or measures aimed at ensuring housing affordability. Please provide if possible a short summary of the decision and a link to its text.</w:t>
      </w:r>
      <w:r w:rsidR="00A66EF2" w:rsidRPr="00352165">
        <w:rPr>
          <w:rFonts w:eastAsia="Calibri"/>
          <w:color w:val="0070C0"/>
          <w:sz w:val="22"/>
          <w:szCs w:val="22"/>
        </w:rPr>
        <w:t xml:space="preserve"> </w:t>
      </w:r>
      <w:r w:rsidRPr="00352165">
        <w:rPr>
          <w:rFonts w:eastAsia="Calibri"/>
          <w:color w:val="0070C0"/>
          <w:sz w:val="22"/>
          <w:szCs w:val="22"/>
        </w:rPr>
        <w:t xml:space="preserve">(e.g. judgements by international, constitutional, supreme or high courts, to rent control measures or rent freezes, to access to housing subsidies, public or social housing, non-discrimination and equal access to affordable housing etc.)   </w:t>
      </w:r>
    </w:p>
    <w:p w14:paraId="0D010C9F" w14:textId="77777777" w:rsidR="00A66EF2" w:rsidRPr="00352165" w:rsidRDefault="00A66EF2" w:rsidP="00A66EF2">
      <w:pPr>
        <w:spacing w:after="160" w:line="259" w:lineRule="auto"/>
        <w:ind w:left="284"/>
        <w:contextualSpacing/>
        <w:jc w:val="both"/>
        <w:rPr>
          <w:rFonts w:eastAsia="Calibri"/>
          <w:color w:val="0070C0"/>
          <w:sz w:val="22"/>
          <w:szCs w:val="22"/>
        </w:rPr>
      </w:pPr>
    </w:p>
    <w:p w14:paraId="3C5535F1" w14:textId="028A10E2" w:rsidR="004C69C4" w:rsidRPr="00352165" w:rsidRDefault="0040363A" w:rsidP="00A66EF2">
      <w:pPr>
        <w:spacing w:after="160" w:line="259" w:lineRule="auto"/>
        <w:ind w:left="284"/>
        <w:contextualSpacing/>
        <w:jc w:val="both"/>
        <w:rPr>
          <w:rFonts w:eastAsia="Calibri"/>
          <w:sz w:val="22"/>
          <w:szCs w:val="22"/>
        </w:rPr>
      </w:pPr>
      <w:r w:rsidRPr="00352165">
        <w:rPr>
          <w:rFonts w:asciiTheme="minorHAnsi" w:eastAsia="Calibri" w:hAnsiTheme="minorHAnsi" w:cstheme="minorHAnsi"/>
          <w:sz w:val="22"/>
          <w:szCs w:val="22"/>
        </w:rPr>
        <w:t xml:space="preserve">This is not our organisation’s area of expertise. </w:t>
      </w:r>
    </w:p>
    <w:p w14:paraId="42204D0D" w14:textId="77777777" w:rsidR="00A66EF2" w:rsidRPr="00352165" w:rsidRDefault="00A66EF2" w:rsidP="00A66EF2">
      <w:pPr>
        <w:spacing w:after="160" w:line="259" w:lineRule="auto"/>
        <w:ind w:left="284"/>
        <w:contextualSpacing/>
        <w:jc w:val="both"/>
        <w:rPr>
          <w:rFonts w:eastAsia="Calibri"/>
          <w:color w:val="0070C0"/>
          <w:sz w:val="22"/>
          <w:szCs w:val="22"/>
        </w:rPr>
      </w:pPr>
    </w:p>
    <w:p w14:paraId="484AFDE2" w14:textId="77777777" w:rsidR="00A83B64" w:rsidRPr="00352165" w:rsidRDefault="00A83B64" w:rsidP="00A83B64">
      <w:pPr>
        <w:spacing w:after="160" w:line="259" w:lineRule="auto"/>
        <w:jc w:val="both"/>
        <w:rPr>
          <w:rFonts w:eastAsia="Calibri"/>
          <w:b/>
          <w:color w:val="0070C0"/>
          <w:sz w:val="22"/>
          <w:szCs w:val="22"/>
        </w:rPr>
      </w:pPr>
      <w:r w:rsidRPr="00352165">
        <w:rPr>
          <w:rFonts w:eastAsia="Calibri"/>
          <w:b/>
          <w:color w:val="0070C0"/>
          <w:sz w:val="22"/>
          <w:szCs w:val="22"/>
        </w:rPr>
        <w:t>Data and trends on housing affordability</w:t>
      </w:r>
    </w:p>
    <w:p w14:paraId="7FFAAF19" w14:textId="77777777" w:rsidR="00A83B64" w:rsidRPr="00352165" w:rsidRDefault="00A83B64" w:rsidP="00A66EF2">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 xml:space="preserve">Is housing affordability regularly measured in your country, region or city, by the national statistical office or other entities? Please explain how housing affordability is measured and tracked. Where is the data published?   </w:t>
      </w:r>
    </w:p>
    <w:p w14:paraId="4F1C56C8" w14:textId="68244E60" w:rsidR="00A83B64" w:rsidRPr="00352165" w:rsidRDefault="00A66EF2" w:rsidP="00C951F9">
      <w:pPr>
        <w:spacing w:after="160" w:line="259" w:lineRule="auto"/>
        <w:contextualSpacing/>
        <w:jc w:val="both"/>
        <w:rPr>
          <w:rFonts w:asciiTheme="minorHAnsi" w:eastAsia="Calibri" w:hAnsiTheme="minorHAnsi" w:cstheme="minorHAnsi"/>
        </w:rPr>
      </w:pPr>
      <w:r w:rsidRPr="00352165">
        <w:rPr>
          <w:rFonts w:asciiTheme="minorHAnsi" w:eastAsia="Calibri" w:hAnsiTheme="minorHAnsi" w:cstheme="minorHAnsi"/>
        </w:rPr>
        <w:t>Housing affordability is tracked as part of CPI</w:t>
      </w:r>
      <w:r w:rsidR="00C951F9" w:rsidRPr="00352165">
        <w:rPr>
          <w:rFonts w:asciiTheme="minorHAnsi" w:eastAsia="Calibri" w:hAnsiTheme="minorHAnsi" w:cstheme="minorHAnsi"/>
        </w:rPr>
        <w:t xml:space="preserve">. </w:t>
      </w:r>
      <w:proofErr w:type="spellStart"/>
      <w:r w:rsidR="00C951F9" w:rsidRPr="00352165">
        <w:rPr>
          <w:rFonts w:asciiTheme="minorHAnsi" w:eastAsia="Calibri" w:hAnsiTheme="minorHAnsi" w:cstheme="minorHAnsi"/>
        </w:rPr>
        <w:t>StatsSA</w:t>
      </w:r>
      <w:proofErr w:type="spellEnd"/>
      <w:r w:rsidR="00C951F9" w:rsidRPr="00352165">
        <w:rPr>
          <w:rFonts w:asciiTheme="minorHAnsi" w:eastAsia="Calibri" w:hAnsiTheme="minorHAnsi" w:cstheme="minorHAnsi"/>
        </w:rPr>
        <w:t xml:space="preserve"> publishes CPI Housing and Utilities data every month, with 2008=100. In the last year, CPI Housing and Utilities has risen from 100.4 in April 2022 to 104.5 in March 2023.</w:t>
      </w:r>
    </w:p>
    <w:p w14:paraId="0FFA0942" w14:textId="77777777" w:rsidR="00C951F9" w:rsidRPr="00352165" w:rsidRDefault="00C951F9" w:rsidP="00C951F9">
      <w:pPr>
        <w:spacing w:after="160" w:line="259" w:lineRule="auto"/>
        <w:contextualSpacing/>
        <w:jc w:val="both"/>
        <w:rPr>
          <w:rFonts w:asciiTheme="minorHAnsi" w:eastAsia="Calibri" w:hAnsiTheme="minorHAnsi" w:cstheme="minorHAnsi"/>
        </w:rPr>
      </w:pPr>
    </w:p>
    <w:p w14:paraId="25FB539A" w14:textId="0C3EADCE" w:rsidR="00C951F9" w:rsidRPr="00352165" w:rsidRDefault="00C951F9" w:rsidP="00C951F9">
      <w:pPr>
        <w:spacing w:after="160" w:line="259" w:lineRule="auto"/>
        <w:contextualSpacing/>
        <w:jc w:val="both"/>
        <w:rPr>
          <w:rFonts w:asciiTheme="minorHAnsi" w:eastAsia="Calibri" w:hAnsiTheme="minorHAnsi" w:cstheme="minorHAnsi"/>
        </w:rPr>
      </w:pPr>
      <w:r w:rsidRPr="00352165">
        <w:rPr>
          <w:rFonts w:asciiTheme="minorHAnsi" w:eastAsia="Calibri" w:hAnsiTheme="minorHAnsi" w:cstheme="minorHAnsi"/>
        </w:rPr>
        <w:t xml:space="preserve">The National Department of Human Settlements defines the affordable housing market </w:t>
      </w:r>
      <w:r w:rsidR="004B5978" w:rsidRPr="00352165">
        <w:rPr>
          <w:rFonts w:asciiTheme="minorHAnsi" w:eastAsia="Calibri" w:hAnsiTheme="minorHAnsi" w:cstheme="minorHAnsi"/>
        </w:rPr>
        <w:t>to be the approximate cost of bonded entry level housing in South Africa, capable of being mortgaged, adjusted annually by the midpoint of the average Consumer Price Index (CPI) and the average Building Cost Index (BCI). This is in accordance with Financial Sector Code Affordable Housing Standard</w:t>
      </w:r>
      <w:r w:rsidRPr="00352165">
        <w:rPr>
          <w:rFonts w:asciiTheme="minorHAnsi" w:eastAsia="Calibri" w:hAnsiTheme="minorHAnsi" w:cstheme="minorHAnsi"/>
        </w:rPr>
        <w:t>s.</w:t>
      </w:r>
    </w:p>
    <w:p w14:paraId="44DDF334" w14:textId="77777777" w:rsidR="00C951F9" w:rsidRPr="00C951F9" w:rsidRDefault="00C951F9" w:rsidP="00C951F9">
      <w:pPr>
        <w:spacing w:after="160" w:line="259" w:lineRule="auto"/>
        <w:contextualSpacing/>
        <w:jc w:val="both"/>
        <w:rPr>
          <w:rFonts w:asciiTheme="minorHAnsi" w:eastAsia="Calibri" w:hAnsiTheme="minorHAnsi" w:cstheme="minorHAnsi"/>
          <w:color w:val="0070C0"/>
          <w:sz w:val="22"/>
          <w:szCs w:val="22"/>
        </w:rPr>
      </w:pPr>
    </w:p>
    <w:p w14:paraId="0D3A0483" w14:textId="77777777" w:rsidR="00A83B64" w:rsidRPr="00352165" w:rsidRDefault="00A83B64" w:rsidP="00C951F9">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 xml:space="preserve">Has housing affordability increased or decreased in your country over the past 10 years? In which regions or cities has housing affordability changed and for whom? </w:t>
      </w:r>
    </w:p>
    <w:p w14:paraId="255562C3" w14:textId="77777777" w:rsidR="00385EA4" w:rsidRPr="00352165" w:rsidRDefault="00385EA4" w:rsidP="006F283B">
      <w:pPr>
        <w:spacing w:after="160" w:line="259" w:lineRule="auto"/>
        <w:contextualSpacing/>
        <w:jc w:val="both"/>
        <w:rPr>
          <w:rFonts w:eastAsia="Calibri"/>
          <w:color w:val="0070C0"/>
          <w:sz w:val="22"/>
          <w:szCs w:val="22"/>
          <w:lang w:val="en-ZA"/>
        </w:rPr>
      </w:pPr>
    </w:p>
    <w:p w14:paraId="6E77CDE4" w14:textId="725D9A34" w:rsidR="006F283B" w:rsidRPr="00352165" w:rsidRDefault="006F283B" w:rsidP="006F283B">
      <w:pPr>
        <w:spacing w:after="160" w:line="259" w:lineRule="auto"/>
        <w:contextualSpacing/>
        <w:jc w:val="both"/>
        <w:rPr>
          <w:rFonts w:asciiTheme="minorHAnsi" w:eastAsia="Calibri" w:hAnsiTheme="minorHAnsi" w:cstheme="minorHAnsi"/>
        </w:rPr>
      </w:pPr>
      <w:r w:rsidRPr="00352165">
        <w:rPr>
          <w:rFonts w:asciiTheme="minorHAnsi" w:eastAsia="Calibri" w:hAnsiTheme="minorHAnsi" w:cstheme="minorHAnsi"/>
        </w:rPr>
        <w:t xml:space="preserve">The number of high end properties has been growing over the last two years, while the number of properties under R600 000 </w:t>
      </w:r>
      <w:r w:rsidR="00E907F3">
        <w:rPr>
          <w:rFonts w:asciiTheme="minorHAnsi" w:eastAsia="Calibri" w:hAnsiTheme="minorHAnsi" w:cstheme="minorHAnsi"/>
        </w:rPr>
        <w:t>(32 698 USD)</w:t>
      </w:r>
      <w:r w:rsidR="00E907F3">
        <w:rPr>
          <w:rStyle w:val="FootnoteReference"/>
          <w:rFonts w:asciiTheme="minorHAnsi" w:eastAsia="Calibri" w:hAnsiTheme="minorHAnsi" w:cstheme="minorHAnsi"/>
        </w:rPr>
        <w:footnoteReference w:id="1"/>
      </w:r>
      <w:r w:rsidR="00E907F3">
        <w:rPr>
          <w:rFonts w:asciiTheme="minorHAnsi" w:eastAsia="Calibri" w:hAnsiTheme="minorHAnsi" w:cstheme="minorHAnsi"/>
        </w:rPr>
        <w:t xml:space="preserve"> </w:t>
      </w:r>
      <w:r w:rsidRPr="00352165">
        <w:rPr>
          <w:rFonts w:asciiTheme="minorHAnsi" w:eastAsia="Calibri" w:hAnsiTheme="minorHAnsi" w:cstheme="minorHAnsi"/>
        </w:rPr>
        <w:t>is dropping. From 2020 to 2021, the number of properties over R3m</w:t>
      </w:r>
      <w:r w:rsidR="00E907F3">
        <w:rPr>
          <w:rFonts w:asciiTheme="minorHAnsi" w:eastAsia="Calibri" w:hAnsiTheme="minorHAnsi" w:cstheme="minorHAnsi"/>
        </w:rPr>
        <w:t xml:space="preserve"> (163 488 USD)</w:t>
      </w:r>
      <w:r w:rsidRPr="00352165">
        <w:rPr>
          <w:rFonts w:asciiTheme="minorHAnsi" w:eastAsia="Calibri" w:hAnsiTheme="minorHAnsi" w:cstheme="minorHAnsi"/>
        </w:rPr>
        <w:t xml:space="preserve"> increased by 13%, while the number of entry level properties below R300 000 </w:t>
      </w:r>
      <w:r w:rsidR="00E907F3">
        <w:rPr>
          <w:rFonts w:asciiTheme="minorHAnsi" w:eastAsia="Calibri" w:hAnsiTheme="minorHAnsi" w:cstheme="minorHAnsi"/>
        </w:rPr>
        <w:t xml:space="preserve">(16 349 USD) </w:t>
      </w:r>
      <w:r w:rsidRPr="00352165">
        <w:rPr>
          <w:rFonts w:asciiTheme="minorHAnsi" w:eastAsia="Calibri" w:hAnsiTheme="minorHAnsi" w:cstheme="minorHAnsi"/>
        </w:rPr>
        <w:t>fell by 28%. This was a continuation of the same trend from 2020, when the number of luxury properties increased by nearly 10%, while the stock of low value properties declined.</w:t>
      </w:r>
    </w:p>
    <w:p w14:paraId="098F9E65" w14:textId="77777777" w:rsidR="00385EA4" w:rsidRPr="00352165" w:rsidRDefault="00385EA4" w:rsidP="006F283B">
      <w:pPr>
        <w:spacing w:after="160" w:line="259" w:lineRule="auto"/>
        <w:contextualSpacing/>
        <w:jc w:val="both"/>
        <w:rPr>
          <w:rFonts w:asciiTheme="minorHAnsi" w:eastAsia="Calibri" w:hAnsiTheme="minorHAnsi" w:cstheme="minorHAnsi"/>
        </w:rPr>
      </w:pPr>
    </w:p>
    <w:p w14:paraId="05CBBE81" w14:textId="2D06FD56" w:rsidR="00A83B64" w:rsidRPr="00352165" w:rsidRDefault="006F283B" w:rsidP="00C951F9">
      <w:pPr>
        <w:spacing w:after="160" w:line="259" w:lineRule="auto"/>
        <w:contextualSpacing/>
        <w:jc w:val="both"/>
        <w:rPr>
          <w:rFonts w:asciiTheme="minorHAnsi" w:eastAsia="Calibri" w:hAnsiTheme="minorHAnsi" w:cstheme="minorHAnsi"/>
        </w:rPr>
      </w:pPr>
      <w:r w:rsidRPr="00352165">
        <w:rPr>
          <w:rFonts w:asciiTheme="minorHAnsi" w:eastAsia="Calibri" w:hAnsiTheme="minorHAnsi" w:cstheme="minorHAnsi"/>
        </w:rPr>
        <w:lastRenderedPageBreak/>
        <w:t>This is likely due to appreciation of low-end properties—these figures are in</w:t>
      </w:r>
      <w:r w:rsidR="00385EA4" w:rsidRPr="00352165">
        <w:rPr>
          <w:rFonts w:asciiTheme="minorHAnsi" w:eastAsia="Calibri" w:hAnsiTheme="minorHAnsi" w:cstheme="minorHAnsi"/>
        </w:rPr>
        <w:t xml:space="preserve"> </w:t>
      </w:r>
      <w:r w:rsidRPr="00352165">
        <w:rPr>
          <w:rFonts w:asciiTheme="minorHAnsi" w:eastAsia="Calibri" w:hAnsiTheme="minorHAnsi" w:cstheme="minorHAnsi"/>
        </w:rPr>
        <w:t xml:space="preserve">nominal terms and do not account for inflation. As noted above, the total value of the residential property market increased by 6.23% in 2020 and then by 4.86% in 2021. With this nominal increase in value, properties will shift into higher value bands. </w:t>
      </w:r>
    </w:p>
    <w:p w14:paraId="0060290E" w14:textId="77777777" w:rsidR="00385EA4" w:rsidRPr="00352165" w:rsidRDefault="00385EA4" w:rsidP="00C951F9">
      <w:pPr>
        <w:spacing w:after="160" w:line="259" w:lineRule="auto"/>
        <w:contextualSpacing/>
        <w:jc w:val="both"/>
        <w:rPr>
          <w:rFonts w:asciiTheme="minorHAnsi" w:eastAsia="Calibri" w:hAnsiTheme="minorHAnsi" w:cstheme="minorHAnsi"/>
          <w:sz w:val="22"/>
          <w:szCs w:val="22"/>
        </w:rPr>
      </w:pPr>
    </w:p>
    <w:p w14:paraId="722DA5A3" w14:textId="440250C5" w:rsidR="00A83B64" w:rsidRPr="00352165" w:rsidRDefault="00A83B64" w:rsidP="00C951F9">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Please describe which households, persons or groups are at particular risk of being exposed to housing affordability in your country, region or city.</w:t>
      </w:r>
    </w:p>
    <w:p w14:paraId="40457A93" w14:textId="77777777" w:rsidR="00AF5151" w:rsidRPr="00352165" w:rsidRDefault="00AF5151" w:rsidP="00AF5151">
      <w:pPr>
        <w:spacing w:after="160" w:line="259" w:lineRule="auto"/>
        <w:ind w:left="284"/>
        <w:contextualSpacing/>
        <w:jc w:val="both"/>
        <w:rPr>
          <w:rFonts w:eastAsia="Calibri"/>
          <w:color w:val="0070C0"/>
          <w:sz w:val="22"/>
          <w:szCs w:val="22"/>
        </w:rPr>
      </w:pPr>
    </w:p>
    <w:p w14:paraId="1F01EE80" w14:textId="7D2CF1CF" w:rsidR="00AF5151" w:rsidRPr="00352165" w:rsidRDefault="00AF5151" w:rsidP="00AF5151">
      <w:pPr>
        <w:spacing w:after="160" w:line="259" w:lineRule="auto"/>
        <w:ind w:left="284"/>
        <w:contextualSpacing/>
        <w:jc w:val="both"/>
        <w:rPr>
          <w:rFonts w:eastAsia="Calibri"/>
          <w:color w:val="0070C0"/>
          <w:sz w:val="22"/>
          <w:szCs w:val="22"/>
        </w:rPr>
      </w:pPr>
      <w:r w:rsidRPr="00352165">
        <w:rPr>
          <w:rFonts w:eastAsia="Calibri"/>
          <w:color w:val="0070C0"/>
          <w:sz w:val="22"/>
          <w:szCs w:val="22"/>
        </w:rPr>
        <w:t>(Please provide data on housing affordability disaggregated on the basis of household size, form of tenure (living in self-owned housing, rental, other), type and quality of housing (e.g. living in formal or informal housing); location (region, urban, rural), type of household (with or without children, single parent households), income, employment status, gender, disability, age, nationality, ethnicity, religious affiliation or immigration status.)</w:t>
      </w:r>
    </w:p>
    <w:p w14:paraId="2CD914DB" w14:textId="77777777" w:rsidR="00AF5151" w:rsidRDefault="00AF5151" w:rsidP="00385EA4">
      <w:pPr>
        <w:spacing w:after="160" w:line="259" w:lineRule="auto"/>
        <w:contextualSpacing/>
        <w:jc w:val="both"/>
        <w:rPr>
          <w:rFonts w:asciiTheme="minorHAnsi" w:eastAsia="Calibri" w:hAnsiTheme="minorHAnsi" w:cstheme="minorHAnsi"/>
          <w:color w:val="0070C0"/>
          <w:sz w:val="22"/>
          <w:szCs w:val="22"/>
        </w:rPr>
      </w:pPr>
    </w:p>
    <w:p w14:paraId="75A2AD9F" w14:textId="2DF65B11" w:rsidR="00A83B64" w:rsidRPr="00352165" w:rsidRDefault="00385EA4" w:rsidP="00AF5151">
      <w:pPr>
        <w:spacing w:after="160" w:line="259" w:lineRule="auto"/>
        <w:contextualSpacing/>
        <w:jc w:val="both"/>
        <w:rPr>
          <w:rFonts w:eastAsia="Calibri"/>
        </w:rPr>
      </w:pPr>
      <w:r w:rsidRPr="00352165">
        <w:rPr>
          <w:rFonts w:asciiTheme="minorHAnsi" w:eastAsia="Calibri" w:hAnsiTheme="minorHAnsi" w:cstheme="minorHAnsi"/>
        </w:rPr>
        <w:t xml:space="preserve">Housing affordability is a pervasive issue in South Africa. The persons or groups who are most affected are: residents of informal settlements, households living in overcrowded dwellings or in backyard rental units which are not safe and properly serviced, the homeless population in the </w:t>
      </w:r>
      <w:r w:rsidRPr="00352165">
        <w:rPr>
          <w:rFonts w:asciiTheme="minorHAnsi" w:eastAsia="Calibri" w:hAnsiTheme="minorHAnsi" w:cstheme="minorHAnsi"/>
        </w:rPr>
        <w:lastRenderedPageBreak/>
        <w:t>inner city of major urban areas. With an extraordinarily high unemployment rate of 32.7%, millions of households do not have an income earner in formal employment and thus are unable to access a mortgage. South Africa’s government housing programme has delivered over 4 million housing opportunities since 1994, but there is still a large portion of the population who are living in informal dwellings. Many poor household</w:t>
      </w:r>
      <w:r w:rsidR="00E907F3">
        <w:rPr>
          <w:rFonts w:asciiTheme="minorHAnsi" w:eastAsia="Calibri" w:hAnsiTheme="minorHAnsi" w:cstheme="minorHAnsi"/>
        </w:rPr>
        <w:t xml:space="preserve">s </w:t>
      </w:r>
      <w:r w:rsidRPr="00352165">
        <w:rPr>
          <w:rFonts w:asciiTheme="minorHAnsi" w:eastAsia="Calibri" w:hAnsiTheme="minorHAnsi" w:cstheme="minorHAnsi"/>
        </w:rPr>
        <w:t>have been on the ‘waiting list’ for fully subsidised housing (available for eligible residents with an income of R3500/month of less</w:t>
      </w:r>
      <w:r w:rsidR="00E907F3">
        <w:rPr>
          <w:rFonts w:asciiTheme="minorHAnsi" w:eastAsia="Calibri" w:hAnsiTheme="minorHAnsi" w:cstheme="minorHAnsi"/>
        </w:rPr>
        <w:t xml:space="preserve"> (191 USD)</w:t>
      </w:r>
      <w:r w:rsidRPr="00352165">
        <w:rPr>
          <w:rFonts w:asciiTheme="minorHAnsi" w:eastAsia="Calibri" w:hAnsiTheme="minorHAnsi" w:cstheme="minorHAnsi"/>
        </w:rPr>
        <w:t xml:space="preserve">) for a number of years, up to 20. </w:t>
      </w:r>
    </w:p>
    <w:p w14:paraId="46495906" w14:textId="77777777" w:rsidR="00AF5151" w:rsidRPr="00352165" w:rsidRDefault="00AF5151" w:rsidP="00AF5151">
      <w:pPr>
        <w:spacing w:after="160" w:line="259" w:lineRule="auto"/>
        <w:contextualSpacing/>
        <w:jc w:val="both"/>
        <w:rPr>
          <w:rFonts w:eastAsia="Calibri"/>
          <w:sz w:val="22"/>
          <w:szCs w:val="22"/>
        </w:rPr>
      </w:pPr>
    </w:p>
    <w:p w14:paraId="7CEB9BCD" w14:textId="77777777" w:rsidR="00A83B64" w:rsidRPr="00352165" w:rsidRDefault="00A83B64" w:rsidP="00C951F9">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 xml:space="preserve">May certain specific groups or persons, such as persons experiencing homelessness, living in informal settlements, students, asylum seekers or refugees, potentially be left out in data collection in relation to housing affordability?   </w:t>
      </w:r>
    </w:p>
    <w:p w14:paraId="5CBC3B1A" w14:textId="77777777" w:rsidR="006F283B" w:rsidRPr="00352165" w:rsidRDefault="006F283B" w:rsidP="006F283B">
      <w:pPr>
        <w:spacing w:after="160" w:line="259" w:lineRule="auto"/>
        <w:ind w:left="720"/>
        <w:contextualSpacing/>
        <w:jc w:val="both"/>
        <w:rPr>
          <w:rFonts w:eastAsia="Calibri"/>
          <w:sz w:val="22"/>
          <w:szCs w:val="22"/>
        </w:rPr>
      </w:pPr>
    </w:p>
    <w:p w14:paraId="7997B672" w14:textId="4E84F52C" w:rsidR="00335922" w:rsidRPr="00352165" w:rsidRDefault="00335922" w:rsidP="006F283B">
      <w:pPr>
        <w:spacing w:after="120"/>
        <w:contextualSpacing/>
        <w:rPr>
          <w:rFonts w:asciiTheme="minorHAnsi" w:hAnsiTheme="minorHAnsi" w:cstheme="minorHAnsi"/>
          <w:lang w:val="en-US"/>
        </w:rPr>
      </w:pPr>
      <w:r w:rsidRPr="00352165">
        <w:rPr>
          <w:rFonts w:asciiTheme="minorHAnsi" w:hAnsiTheme="minorHAnsi" w:cstheme="minorHAnsi"/>
          <w:lang w:val="en-US"/>
        </w:rPr>
        <w:t xml:space="preserve">In the most recent national Census 2021, South Africa increased efforts to reach the population living in informal settlements, student housing, and the homeless population or those living in abandoned buildings in the inner city. </w:t>
      </w:r>
      <w:proofErr w:type="gramStart"/>
      <w:r w:rsidRPr="00352165">
        <w:rPr>
          <w:rFonts w:asciiTheme="minorHAnsi" w:hAnsiTheme="minorHAnsi" w:cstheme="minorHAnsi"/>
          <w:lang w:val="en-US"/>
        </w:rPr>
        <w:t>However</w:t>
      </w:r>
      <w:proofErr w:type="gramEnd"/>
      <w:r w:rsidRPr="00352165">
        <w:rPr>
          <w:rFonts w:asciiTheme="minorHAnsi" w:hAnsiTheme="minorHAnsi" w:cstheme="minorHAnsi"/>
          <w:lang w:val="en-US"/>
        </w:rPr>
        <w:t xml:space="preserve"> there is still concern the these groups are not well-represented and reflected in survey data. One particular population which is not well-understood is households living in backyard rental—in</w:t>
      </w:r>
      <w:r w:rsidRPr="00352165">
        <w:rPr>
          <w:rFonts w:asciiTheme="minorHAnsi" w:hAnsiTheme="minorHAnsi" w:cstheme="minorHAnsi"/>
          <w:lang w:val="en-US"/>
        </w:rPr>
        <w:lastRenderedPageBreak/>
        <w:t xml:space="preserve">formal shacks, small buildings or rooms, in the backyard of formal dwellings, that are rented out formally or informally, or provide accommodation for extended family members. The government’s Free Basic Services </w:t>
      </w:r>
      <w:proofErr w:type="spellStart"/>
      <w:r w:rsidRPr="00352165">
        <w:rPr>
          <w:rFonts w:asciiTheme="minorHAnsi" w:hAnsiTheme="minorHAnsi" w:cstheme="minorHAnsi"/>
          <w:lang w:val="en-US"/>
        </w:rPr>
        <w:t>programme</w:t>
      </w:r>
      <w:proofErr w:type="spellEnd"/>
      <w:r w:rsidRPr="00352165">
        <w:rPr>
          <w:rFonts w:asciiTheme="minorHAnsi" w:hAnsiTheme="minorHAnsi" w:cstheme="minorHAnsi"/>
          <w:lang w:val="en-US"/>
        </w:rPr>
        <w:t xml:space="preserve">, implemented through the municipalities, provides an allotted amount of electricity and water to low income households at no cost, but when there are a number of backyard dwellers, the single FBS connection for the formal house doesn’t reach the backyard tenants, who are accessing utilities through the main house. </w:t>
      </w:r>
    </w:p>
    <w:p w14:paraId="3177F174" w14:textId="77777777" w:rsidR="00335922" w:rsidRPr="00352165" w:rsidRDefault="00335922" w:rsidP="006F283B">
      <w:pPr>
        <w:spacing w:after="120"/>
        <w:contextualSpacing/>
        <w:rPr>
          <w:rFonts w:asciiTheme="minorHAnsi" w:hAnsiTheme="minorHAnsi" w:cstheme="minorHAnsi"/>
          <w:lang w:val="en-US"/>
        </w:rPr>
      </w:pPr>
    </w:p>
    <w:p w14:paraId="5028303B" w14:textId="62D911CF" w:rsidR="006F283B" w:rsidRPr="00352165" w:rsidRDefault="004C69C4" w:rsidP="006F283B">
      <w:pPr>
        <w:spacing w:after="120"/>
        <w:contextualSpacing/>
        <w:rPr>
          <w:rFonts w:asciiTheme="minorHAnsi" w:hAnsiTheme="minorHAnsi" w:cstheme="minorHAnsi"/>
          <w:lang w:val="en-US"/>
        </w:rPr>
      </w:pPr>
      <w:r w:rsidRPr="00352165">
        <w:rPr>
          <w:rFonts w:asciiTheme="minorHAnsi" w:hAnsiTheme="minorHAnsi" w:cstheme="minorHAnsi"/>
          <w:lang w:val="en-US"/>
        </w:rPr>
        <w:t xml:space="preserve">The research and analysis that CAHF undertakes on South African cities </w:t>
      </w:r>
      <w:proofErr w:type="spellStart"/>
      <w:r w:rsidR="006F283B" w:rsidRPr="00352165">
        <w:rPr>
          <w:rFonts w:asciiTheme="minorHAnsi" w:hAnsiTheme="minorHAnsi" w:cstheme="minorHAnsi"/>
          <w:lang w:val="en-US"/>
        </w:rPr>
        <w:t>utilises</w:t>
      </w:r>
      <w:proofErr w:type="spellEnd"/>
      <w:r w:rsidR="006F283B" w:rsidRPr="00352165">
        <w:rPr>
          <w:rFonts w:asciiTheme="minorHAnsi" w:hAnsiTheme="minorHAnsi" w:cstheme="minorHAnsi"/>
          <w:lang w:val="en-US"/>
        </w:rPr>
        <w:t xml:space="preserve"> deeds registry data as of 31 December 2021 which was obtained from Lightstone Pty Ltd. in June 2022. Because of this, the </w:t>
      </w:r>
      <w:r w:rsidRPr="00352165">
        <w:rPr>
          <w:rFonts w:asciiTheme="minorHAnsi" w:hAnsiTheme="minorHAnsi" w:cstheme="minorHAnsi"/>
          <w:lang w:val="en-US"/>
        </w:rPr>
        <w:t>analysis</w:t>
      </w:r>
      <w:r w:rsidR="006F283B" w:rsidRPr="00352165">
        <w:rPr>
          <w:rFonts w:asciiTheme="minorHAnsi" w:hAnsiTheme="minorHAnsi" w:cstheme="minorHAnsi"/>
          <w:lang w:val="en-US"/>
        </w:rPr>
        <w:t xml:space="preserve"> only covers properties which appear on the deeds registry (the formal market) – it does not include backyard units and informal settlement dwellings. According to the 2021 General Household Survey, there are 17.9 million households living in South Africa, of which 11.7%, or approximately 2 million, live in informal dwellings. </w:t>
      </w:r>
    </w:p>
    <w:p w14:paraId="7326DC77" w14:textId="77777777" w:rsidR="006F283B" w:rsidRPr="00352165" w:rsidRDefault="006F283B" w:rsidP="006F283B">
      <w:pPr>
        <w:spacing w:after="120"/>
        <w:contextualSpacing/>
        <w:rPr>
          <w:rFonts w:asciiTheme="minorHAnsi" w:hAnsiTheme="minorHAnsi" w:cstheme="minorHAnsi"/>
          <w:lang w:val="en-US"/>
        </w:rPr>
      </w:pPr>
    </w:p>
    <w:p w14:paraId="75C50F2A" w14:textId="53D66A02" w:rsidR="00A83B64" w:rsidRPr="00352165" w:rsidRDefault="004C69C4" w:rsidP="004C69C4">
      <w:pPr>
        <w:spacing w:after="120"/>
        <w:contextualSpacing/>
        <w:rPr>
          <w:rFonts w:asciiTheme="minorHAnsi" w:hAnsiTheme="minorHAnsi" w:cstheme="minorHAnsi"/>
          <w:lang w:val="en-US"/>
        </w:rPr>
      </w:pPr>
      <w:r w:rsidRPr="00352165">
        <w:rPr>
          <w:rFonts w:asciiTheme="minorHAnsi" w:hAnsiTheme="minorHAnsi" w:cstheme="minorHAnsi"/>
          <w:lang w:val="en-US"/>
        </w:rPr>
        <w:t xml:space="preserve">Deeds data analysis also does not do a good job of tracking the rental market. </w:t>
      </w:r>
      <w:r w:rsidR="006F283B" w:rsidRPr="00352165">
        <w:rPr>
          <w:rFonts w:asciiTheme="minorHAnsi" w:hAnsiTheme="minorHAnsi" w:cstheme="minorHAnsi"/>
          <w:lang w:val="en-US"/>
        </w:rPr>
        <w:t xml:space="preserve">Given that more than one family might live in a rental property with a single title deed—for example, a high-rise building—the data </w:t>
      </w:r>
      <w:r w:rsidRPr="00352165">
        <w:rPr>
          <w:rFonts w:asciiTheme="minorHAnsi" w:hAnsiTheme="minorHAnsi" w:cstheme="minorHAnsi"/>
          <w:lang w:val="en-US"/>
        </w:rPr>
        <w:t>used in our CAHF analysis</w:t>
      </w:r>
      <w:r w:rsidR="006F283B" w:rsidRPr="00352165">
        <w:rPr>
          <w:rFonts w:asciiTheme="minorHAnsi" w:hAnsiTheme="minorHAnsi" w:cstheme="minorHAnsi"/>
          <w:lang w:val="en-US"/>
        </w:rPr>
        <w:t xml:space="preserve"> also does not provide a clear picture of the </w:t>
      </w:r>
      <w:r w:rsidR="006F283B" w:rsidRPr="00352165">
        <w:rPr>
          <w:rFonts w:asciiTheme="minorHAnsi" w:hAnsiTheme="minorHAnsi" w:cstheme="minorHAnsi"/>
          <w:lang w:val="en-US"/>
        </w:rPr>
        <w:lastRenderedPageBreak/>
        <w:t xml:space="preserve">18.7% of households who stay in rented dwellings (approximately 3.6 million households). </w:t>
      </w:r>
    </w:p>
    <w:p w14:paraId="1845530F" w14:textId="77777777" w:rsidR="004C69C4" w:rsidRPr="004C69C4" w:rsidRDefault="004C69C4" w:rsidP="004C69C4">
      <w:pPr>
        <w:spacing w:after="120"/>
        <w:contextualSpacing/>
        <w:rPr>
          <w:rFonts w:ascii="Corbel" w:hAnsi="Corbel"/>
          <w:lang w:val="en-US"/>
        </w:rPr>
      </w:pPr>
    </w:p>
    <w:p w14:paraId="23E3BCAA" w14:textId="77777777" w:rsidR="00A83B64" w:rsidRPr="00352165" w:rsidRDefault="00A83B64" w:rsidP="00A83B64">
      <w:pPr>
        <w:spacing w:after="160" w:line="259" w:lineRule="auto"/>
        <w:jc w:val="both"/>
        <w:rPr>
          <w:rFonts w:eastAsia="Calibri"/>
          <w:b/>
          <w:color w:val="0070C0"/>
          <w:sz w:val="22"/>
          <w:szCs w:val="22"/>
          <w:lang w:val="en-US"/>
        </w:rPr>
      </w:pPr>
      <w:r w:rsidRPr="00352165">
        <w:rPr>
          <w:rFonts w:eastAsia="Calibri"/>
          <w:b/>
          <w:color w:val="0070C0"/>
          <w:sz w:val="22"/>
          <w:szCs w:val="22"/>
          <w:lang w:val="en-US"/>
        </w:rPr>
        <w:t xml:space="preserve">Causes and Consequences of housing unaffordability </w:t>
      </w:r>
    </w:p>
    <w:p w14:paraId="72C989B7" w14:textId="77777777" w:rsidR="00A83B64" w:rsidRPr="00352165" w:rsidRDefault="00A83B64" w:rsidP="00C951F9">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 xml:space="preserve">What are main reasons why housing is unaffordable to certain persons or groups in your country? Please provide if possible as well links to (scientific) studies that have analysed such reasons. </w:t>
      </w:r>
    </w:p>
    <w:p w14:paraId="3A7C029F" w14:textId="77777777" w:rsidR="00767FA7" w:rsidRPr="00385EA4" w:rsidRDefault="00767FA7" w:rsidP="00767FA7">
      <w:pPr>
        <w:spacing w:after="120"/>
        <w:contextualSpacing/>
        <w:rPr>
          <w:rFonts w:ascii="Corbel" w:hAnsi="Corbel"/>
          <w:color w:val="0070C0"/>
        </w:rPr>
      </w:pPr>
    </w:p>
    <w:p w14:paraId="427D4E5A" w14:textId="77777777" w:rsidR="00767FA7" w:rsidRPr="00352165" w:rsidRDefault="00767FA7" w:rsidP="00767FA7">
      <w:pPr>
        <w:spacing w:after="120"/>
        <w:contextualSpacing/>
        <w:rPr>
          <w:rFonts w:asciiTheme="minorHAnsi" w:hAnsiTheme="minorHAnsi" w:cstheme="minorHAnsi"/>
        </w:rPr>
      </w:pPr>
      <w:r w:rsidRPr="00352165">
        <w:rPr>
          <w:rFonts w:asciiTheme="minorHAnsi" w:hAnsiTheme="minorHAnsi" w:cstheme="minorHAnsi"/>
        </w:rPr>
        <w:t>Housing affordability is effectively a function of three factors:</w:t>
      </w:r>
    </w:p>
    <w:p w14:paraId="5C339C33" w14:textId="2B879980" w:rsidR="00767FA7" w:rsidRDefault="00767FA7" w:rsidP="00767FA7">
      <w:pPr>
        <w:spacing w:after="120"/>
        <w:contextualSpacing/>
        <w:rPr>
          <w:rFonts w:ascii="Corbel" w:hAnsi="Corbel"/>
        </w:rPr>
      </w:pPr>
      <w:r>
        <w:rPr>
          <w:noProof/>
          <w:lang w:eastAsia="en-GB"/>
        </w:rPr>
        <mc:AlternateContent>
          <mc:Choice Requires="wps">
            <w:drawing>
              <wp:anchor distT="0" distB="0" distL="114300" distR="114300" simplePos="0" relativeHeight="251657216" behindDoc="0" locked="0" layoutInCell="1" allowOverlap="1" wp14:anchorId="2B1B0571" wp14:editId="41AF5E2B">
                <wp:simplePos x="0" y="0"/>
                <wp:positionH relativeFrom="column">
                  <wp:posOffset>1466849</wp:posOffset>
                </wp:positionH>
                <wp:positionV relativeFrom="paragraph">
                  <wp:posOffset>1362710</wp:posOffset>
                </wp:positionV>
                <wp:extent cx="1571625" cy="1815882"/>
                <wp:effectExtent l="0" t="0" r="0" b="0"/>
                <wp:wrapNone/>
                <wp:docPr id="25" name="Rectangle 24">
                  <a:extLst xmlns:a="http://schemas.openxmlformats.org/drawingml/2006/main">
                    <a:ext uri="{FF2B5EF4-FFF2-40B4-BE49-F238E27FC236}">
                      <a16:creationId xmlns:a16="http://schemas.microsoft.com/office/drawing/2014/main" id="{E58C1894-9753-4B8A-A3FC-61EDB4AFBD0E}"/>
                    </a:ext>
                  </a:extLst>
                </wp:docPr>
                <wp:cNvGraphicFramePr/>
                <a:graphic xmlns:a="http://schemas.openxmlformats.org/drawingml/2006/main">
                  <a:graphicData uri="http://schemas.microsoft.com/office/word/2010/wordprocessingShape">
                    <wps:wsp>
                      <wps:cNvSpPr/>
                      <wps:spPr>
                        <a:xfrm>
                          <a:off x="0" y="0"/>
                          <a:ext cx="1571625" cy="1815882"/>
                        </a:xfrm>
                        <a:prstGeom prst="rect">
                          <a:avLst/>
                        </a:prstGeom>
                      </wps:spPr>
                      <wps:txbx>
                        <w:txbxContent>
                          <w:p w14:paraId="5A84A015" w14:textId="77777777" w:rsidR="00767FA7" w:rsidRPr="00E75531" w:rsidRDefault="00767FA7" w:rsidP="00767FA7">
                            <w:pPr>
                              <w:textAlignment w:val="baseline"/>
                              <w:rPr>
                                <w:sz w:val="14"/>
                                <w:szCs w:val="14"/>
                              </w:rPr>
                            </w:pPr>
                            <w:r w:rsidRPr="00E75531">
                              <w:rPr>
                                <w:rFonts w:ascii="Corbel" w:eastAsia="MS PGothic" w:hAnsi="Corbel" w:cs="Arial"/>
                                <w:color w:val="000000"/>
                                <w:kern w:val="24"/>
                                <w:sz w:val="16"/>
                                <w:szCs w:val="16"/>
                                <w:lang w:val="en-US"/>
                              </w:rPr>
                              <w:t xml:space="preserve">Availability and terms set by the lender within the framework of the National Credit Act, and Basel III, and monetary policy (especially the Repo Rate) </w:t>
                            </w:r>
                          </w:p>
                        </w:txbxContent>
                      </wps:txbx>
                      <wps:bodyPr wrap="square">
                        <a:sp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1B0571" id="Rectangle 24" o:spid="_x0000_s1026" style="position:absolute;margin-left:115.5pt;margin-top:107.3pt;width:123.75pt;height:14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" filled="f" stroked="f">
                <v:textbox style="mso-fit-shape-to-text:t">
                  <w:txbxContent>
                    <w:p w14:paraId="5A84A015" w14:textId="77777777" w:rsidR="00767FA7" w:rsidRPr="00E75531" w:rsidRDefault="00767FA7" w:rsidP="00767FA7">
                      <w:pPr>
                        <w:textAlignment w:val="baseline"/>
                        <w:rPr>
                          <w:sz w:val="14"/>
                          <w:szCs w:val="14"/>
                        </w:rPr>
                      </w:pPr>
                      <w:r w:rsidRPr="00E75531">
                        <w:rPr>
                          <w:rFonts w:ascii="Corbel" w:eastAsia="MS PGothic" w:hAnsi="Corbel" w:cs="Arial"/>
                          <w:color w:val="000000"/>
                          <w:kern w:val="24"/>
                          <w:sz w:val="16"/>
                          <w:szCs w:val="16"/>
                          <w:lang w:val="en-US"/>
                        </w:rPr>
                        <w:t xml:space="preserve">Availability and terms set by the lender within the framework of the National Credit Act, and Basel III, and monetary policy (especially the Repo Rate) </w:t>
                      </w:r>
                    </w:p>
                  </w:txbxContent>
                </v:textbox>
              </v:rect>
            </w:pict>
          </mc:Fallback>
        </mc:AlternateContent>
      </w:r>
      <w:r>
        <w:rPr>
          <w:noProof/>
          <w:lang w:eastAsia="en-GB"/>
        </w:rPr>
        <mc:AlternateContent>
          <mc:Choice Requires="wps">
            <w:drawing>
              <wp:anchor distT="0" distB="0" distL="114300" distR="114300" simplePos="0" relativeHeight="251656192" behindDoc="0" locked="0" layoutInCell="1" allowOverlap="1" wp14:anchorId="61A7CA67" wp14:editId="0631DB1B">
                <wp:simplePos x="0" y="0"/>
                <wp:positionH relativeFrom="column">
                  <wp:posOffset>-76200</wp:posOffset>
                </wp:positionH>
                <wp:positionV relativeFrom="paragraph">
                  <wp:posOffset>1362710</wp:posOffset>
                </wp:positionV>
                <wp:extent cx="1371600" cy="954107"/>
                <wp:effectExtent l="0" t="0" r="0" b="0"/>
                <wp:wrapNone/>
                <wp:docPr id="27727213" name="Rectangle 1"/>
                <wp:cNvGraphicFramePr/>
                <a:graphic xmlns:a="http://schemas.openxmlformats.org/drawingml/2006/main">
                  <a:graphicData uri="http://schemas.microsoft.com/office/word/2010/wordprocessingShape">
                    <wps:wsp>
                      <wps:cNvSpPr/>
                      <wps:spPr>
                        <a:xfrm>
                          <a:off x="0" y="0"/>
                          <a:ext cx="1371600" cy="954107"/>
                        </a:xfrm>
                        <a:prstGeom prst="rect">
                          <a:avLst/>
                        </a:prstGeom>
                      </wps:spPr>
                      <wps:txbx>
                        <w:txbxContent>
                          <w:p w14:paraId="2C210F3C" w14:textId="77777777" w:rsidR="00767FA7" w:rsidRPr="00E75531" w:rsidRDefault="00767FA7" w:rsidP="00767FA7">
                            <w:pPr>
                              <w:textAlignment w:val="baseline"/>
                              <w:rPr>
                                <w:rFonts w:ascii="Corbel" w:eastAsia="MS PGothic" w:hAnsi="Corbel" w:cs="Arial"/>
                                <w:color w:val="000000"/>
                                <w:kern w:val="24"/>
                                <w:sz w:val="16"/>
                                <w:szCs w:val="16"/>
                                <w:lang w:val="en-US"/>
                              </w:rPr>
                            </w:pPr>
                            <w:r w:rsidRPr="00E75531">
                              <w:rPr>
                                <w:rFonts w:ascii="Corbel" w:eastAsia="MS PGothic" w:hAnsi="Corbel" w:cs="Arial"/>
                                <w:color w:val="000000"/>
                                <w:kern w:val="24"/>
                                <w:sz w:val="16"/>
                                <w:szCs w:val="16"/>
                                <w:lang w:val="en-US"/>
                              </w:rPr>
                              <w:t>Disposable income, after payment of monthly expenses, including existing credit obligations.</w:t>
                            </w:r>
                          </w:p>
                          <w:p w14:paraId="0B522939" w14:textId="77777777" w:rsidR="00767FA7" w:rsidRPr="00E75531" w:rsidRDefault="00767FA7" w:rsidP="00767FA7">
                            <w:pPr>
                              <w:textAlignment w:val="baseline"/>
                              <w:rPr>
                                <w:sz w:val="14"/>
                                <w:szCs w:val="14"/>
                              </w:rPr>
                            </w:pPr>
                            <w:r w:rsidRPr="00E75531">
                              <w:rPr>
                                <w:rFonts w:ascii="Corbel" w:eastAsia="MS PGothic" w:hAnsi="Corbel" w:cs="Arial"/>
                                <w:color w:val="000000"/>
                                <w:kern w:val="24"/>
                                <w:sz w:val="16"/>
                                <w:szCs w:val="16"/>
                                <w:lang w:val="en-US"/>
                              </w:rPr>
                              <w:t>Also impacted by spatial segregation, which increases cost of travel from work to home.</w:t>
                            </w:r>
                          </w:p>
                        </w:txbxContent>
                      </wps:txbx>
                      <wps:bodyPr wrap="square">
                        <a:sp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A7CA67" id="Rectangle 1" o:spid="_x0000_s1027" style="position:absolute;margin-left:-6pt;margin-top:107.3pt;width:108pt;height:75.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" filled="f" stroked="f">
                <v:textbox style="mso-fit-shape-to-text:t">
                  <w:txbxContent>
                    <w:p w14:paraId="2C210F3C" w14:textId="77777777" w:rsidR="00767FA7" w:rsidRPr="00E75531" w:rsidRDefault="00767FA7" w:rsidP="00767FA7">
                      <w:pPr>
                        <w:textAlignment w:val="baseline"/>
                        <w:rPr>
                          <w:rFonts w:ascii="Corbel" w:eastAsia="MS PGothic" w:hAnsi="Corbel" w:cs="Arial"/>
                          <w:color w:val="000000"/>
                          <w:kern w:val="24"/>
                          <w:sz w:val="16"/>
                          <w:szCs w:val="16"/>
                          <w:lang w:val="en-US"/>
                        </w:rPr>
                      </w:pPr>
                      <w:r w:rsidRPr="00E75531">
                        <w:rPr>
                          <w:rFonts w:ascii="Corbel" w:eastAsia="MS PGothic" w:hAnsi="Corbel" w:cs="Arial"/>
                          <w:color w:val="000000"/>
                          <w:kern w:val="24"/>
                          <w:sz w:val="16"/>
                          <w:szCs w:val="16"/>
                          <w:lang w:val="en-US"/>
                        </w:rPr>
                        <w:t>Disposable income, after payment of monthly expenses, including existing credit obligations.</w:t>
                      </w:r>
                    </w:p>
                    <w:p w14:paraId="0B522939" w14:textId="77777777" w:rsidR="00767FA7" w:rsidRPr="00E75531" w:rsidRDefault="00767FA7" w:rsidP="00767FA7">
                      <w:pPr>
                        <w:textAlignment w:val="baseline"/>
                        <w:rPr>
                          <w:sz w:val="14"/>
                          <w:szCs w:val="14"/>
                        </w:rPr>
                      </w:pPr>
                      <w:r w:rsidRPr="00E75531">
                        <w:rPr>
                          <w:rFonts w:ascii="Corbel" w:eastAsia="MS PGothic" w:hAnsi="Corbel" w:cs="Arial"/>
                          <w:color w:val="000000"/>
                          <w:kern w:val="24"/>
                          <w:sz w:val="16"/>
                          <w:szCs w:val="16"/>
                          <w:lang w:val="en-US"/>
                        </w:rPr>
                        <w:t>Also impacted by spatial segregation, which increases cost of travel from work to home.</w:t>
                      </w:r>
                    </w:p>
                  </w:txbxContent>
                </v:textbox>
              </v:rect>
            </w:pict>
          </mc:Fallback>
        </mc:AlternateContent>
      </w:r>
      <w:r>
        <w:rPr>
          <w:rFonts w:ascii="Corbel" w:hAnsi="Corbel"/>
          <w:noProof/>
          <w:lang w:eastAsia="en-GB"/>
        </w:rPr>
        <w:drawing>
          <wp:inline distT="0" distB="0" distL="0" distR="0" wp14:anchorId="6B8883D5" wp14:editId="6F36837A">
            <wp:extent cx="4717975" cy="128434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215" cy="1299105"/>
                    </a:xfrm>
                    <a:prstGeom prst="rect">
                      <a:avLst/>
                    </a:prstGeom>
                    <a:noFill/>
                  </pic:spPr>
                </pic:pic>
              </a:graphicData>
            </a:graphic>
          </wp:inline>
        </w:drawing>
      </w:r>
    </w:p>
    <w:p w14:paraId="42FC31A2" w14:textId="5F79EC5B" w:rsidR="00767FA7" w:rsidRDefault="00E75531" w:rsidP="00767FA7">
      <w:pPr>
        <w:spacing w:after="120"/>
        <w:contextualSpacing/>
        <w:rPr>
          <w:rFonts w:ascii="Corbel" w:hAnsi="Corbel"/>
        </w:rPr>
      </w:pPr>
      <w:r>
        <w:rPr>
          <w:noProof/>
          <w:lang w:eastAsia="en-GB"/>
        </w:rPr>
        <mc:AlternateContent>
          <mc:Choice Requires="wps">
            <w:drawing>
              <wp:anchor distT="0" distB="0" distL="114300" distR="114300" simplePos="0" relativeHeight="251655168" behindDoc="0" locked="0" layoutInCell="1" allowOverlap="1" wp14:anchorId="00DAA03E" wp14:editId="68FB27C7">
                <wp:simplePos x="0" y="0"/>
                <wp:positionH relativeFrom="column">
                  <wp:posOffset>3302000</wp:posOffset>
                </wp:positionH>
                <wp:positionV relativeFrom="paragraph">
                  <wp:posOffset>77470</wp:posOffset>
                </wp:positionV>
                <wp:extent cx="2314575" cy="991870"/>
                <wp:effectExtent l="0" t="0" r="0" b="0"/>
                <wp:wrapNone/>
                <wp:docPr id="17" name="Text Box 4">
                  <a:extLst xmlns:a="http://schemas.openxmlformats.org/drawingml/2006/main">
                    <a:ext uri="{FF2B5EF4-FFF2-40B4-BE49-F238E27FC236}">
                      <a16:creationId xmlns:a16="http://schemas.microsoft.com/office/drawing/2014/main" id="{51B24E46-F7AF-4B72-8D98-A03AA853CA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2314575" cy="991870"/>
                        </a:xfrm>
                        <a:prstGeom prst="rect">
                          <a:avLst/>
                        </a:prstGeom>
                        <a:noFill/>
                        <a:ln>
                          <a:noFill/>
                        </a:ln>
                      </wps:spPr>
                      <wps:txbx>
                        <w:txbxContent>
                          <w:p w14:paraId="0475CFD6" w14:textId="77777777" w:rsidR="00767FA7" w:rsidRPr="00E75531" w:rsidRDefault="00767FA7" w:rsidP="00767FA7">
                            <w:pPr>
                              <w:textAlignment w:val="baseline"/>
                              <w:rPr>
                                <w:sz w:val="16"/>
                                <w:szCs w:val="16"/>
                              </w:rPr>
                            </w:pPr>
                            <w:r w:rsidRPr="00E75531">
                              <w:rPr>
                                <w:rFonts w:ascii="Corbel" w:eastAsia="MS PGothic" w:hAnsi="Corbel" w:cs="Arial"/>
                                <w:b/>
                                <w:bCs/>
                                <w:color w:val="000000"/>
                                <w:kern w:val="24"/>
                                <w:sz w:val="16"/>
                                <w:szCs w:val="16"/>
                                <w:lang w:val="en-US"/>
                              </w:rPr>
                              <w:t>Newly-built unit</w:t>
                            </w:r>
                            <w:r w:rsidRPr="00E75531">
                              <w:rPr>
                                <w:rFonts w:ascii="Corbel" w:eastAsia="MS PGothic" w:hAnsi="Corbel" w:cs="Arial"/>
                                <w:color w:val="000000"/>
                                <w:kern w:val="24"/>
                                <w:sz w:val="16"/>
                                <w:szCs w:val="16"/>
                                <w:lang w:val="en-US"/>
                              </w:rPr>
                              <w:t>: a function of land, infrastructure, construction costs; professional fees; taxes, levies, and time – the time it takes to make certain approvals has a significant impact on the price.</w:t>
                            </w:r>
                          </w:p>
                          <w:p w14:paraId="36B30256" w14:textId="77777777" w:rsidR="00767FA7" w:rsidRPr="00E75531" w:rsidRDefault="00767FA7" w:rsidP="00767FA7">
                            <w:pPr>
                              <w:textAlignment w:val="baseline"/>
                              <w:rPr>
                                <w:sz w:val="16"/>
                                <w:szCs w:val="16"/>
                              </w:rPr>
                            </w:pPr>
                            <w:r w:rsidRPr="00E75531">
                              <w:rPr>
                                <w:rFonts w:ascii="Corbel" w:eastAsia="MS PGothic" w:hAnsi="Corbel" w:cs="Arial"/>
                                <w:b/>
                                <w:bCs/>
                                <w:color w:val="000000"/>
                                <w:kern w:val="24"/>
                                <w:sz w:val="16"/>
                                <w:szCs w:val="16"/>
                                <w:lang w:val="en-US"/>
                              </w:rPr>
                              <w:t>Resale unit</w:t>
                            </w:r>
                            <w:r w:rsidRPr="00E75531">
                              <w:rPr>
                                <w:rFonts w:ascii="Corbel" w:eastAsia="MS PGothic" w:hAnsi="Corbel" w:cs="Arial"/>
                                <w:color w:val="000000"/>
                                <w:kern w:val="24"/>
                                <w:sz w:val="16"/>
                                <w:szCs w:val="16"/>
                                <w:lang w:val="en-US"/>
                              </w:rPr>
                              <w:t>: a function of the local property market dynamics, including the interplay of demand and supply, and transaction costs.</w:t>
                            </w:r>
                          </w:p>
                        </w:txbxContent>
                      </wps:txbx>
                      <wps:bodyPr wrap="square" lIns="72000" tIns="72000" rIns="72000" bIns="7200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AA03E" id="_x0000_t202" coordsize="21600,21600" o:spt="202" path="m,l,21600r21600,l21600,xe">
                <v:stroke joinstyle="miter"/>
                <v:path gradientshapeok="t" o:connecttype="rect"/>
              </v:shapetype>
              <v:shape id="Text Box 4" o:spid="_x0000_s1028" type="#_x0000_t202" style="position:absolute;margin-left:260pt;margin-top:6.1pt;width:182.25pt;height:7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" filled="f" stroked="f">
                <v:textbox inset="2mm,2mm,2mm,2mm">
                  <w:txbxContent>
                    <w:p w14:paraId="0475CFD6" w14:textId="77777777" w:rsidR="00767FA7" w:rsidRPr="00E75531" w:rsidRDefault="00767FA7" w:rsidP="00767FA7">
                      <w:pPr>
                        <w:textAlignment w:val="baseline"/>
                        <w:rPr>
                          <w:sz w:val="16"/>
                          <w:szCs w:val="16"/>
                        </w:rPr>
                      </w:pPr>
                      <w:r w:rsidRPr="00E75531">
                        <w:rPr>
                          <w:rFonts w:ascii="Corbel" w:eastAsia="MS PGothic" w:hAnsi="Corbel" w:cs="Arial"/>
                          <w:b/>
                          <w:bCs/>
                          <w:color w:val="000000"/>
                          <w:kern w:val="24"/>
                          <w:sz w:val="16"/>
                          <w:szCs w:val="16"/>
                          <w:lang w:val="en-US"/>
                        </w:rPr>
                        <w:t>Newly-built unit</w:t>
                      </w:r>
                      <w:r w:rsidRPr="00E75531">
                        <w:rPr>
                          <w:rFonts w:ascii="Corbel" w:eastAsia="MS PGothic" w:hAnsi="Corbel" w:cs="Arial"/>
                          <w:color w:val="000000"/>
                          <w:kern w:val="24"/>
                          <w:sz w:val="16"/>
                          <w:szCs w:val="16"/>
                          <w:lang w:val="en-US"/>
                        </w:rPr>
                        <w:t>: a function of land, infrastructure, construction costs; professional fees; taxes, levies, and time – the time it takes to make certain approvals has a significant impact on the price.</w:t>
                      </w:r>
                    </w:p>
                    <w:p w14:paraId="36B30256" w14:textId="77777777" w:rsidR="00767FA7" w:rsidRPr="00E75531" w:rsidRDefault="00767FA7" w:rsidP="00767FA7">
                      <w:pPr>
                        <w:textAlignment w:val="baseline"/>
                        <w:rPr>
                          <w:sz w:val="16"/>
                          <w:szCs w:val="16"/>
                        </w:rPr>
                      </w:pPr>
                      <w:r w:rsidRPr="00E75531">
                        <w:rPr>
                          <w:rFonts w:ascii="Corbel" w:eastAsia="MS PGothic" w:hAnsi="Corbel" w:cs="Arial"/>
                          <w:b/>
                          <w:bCs/>
                          <w:color w:val="000000"/>
                          <w:kern w:val="24"/>
                          <w:sz w:val="16"/>
                          <w:szCs w:val="16"/>
                          <w:lang w:val="en-US"/>
                        </w:rPr>
                        <w:t>Resale unit</w:t>
                      </w:r>
                      <w:r w:rsidRPr="00E75531">
                        <w:rPr>
                          <w:rFonts w:ascii="Corbel" w:eastAsia="MS PGothic" w:hAnsi="Corbel" w:cs="Arial"/>
                          <w:color w:val="000000"/>
                          <w:kern w:val="24"/>
                          <w:sz w:val="16"/>
                          <w:szCs w:val="16"/>
                          <w:lang w:val="en-US"/>
                        </w:rPr>
                        <w:t>: a function of the local property market dynamics, including the interplay of demand and supply, and transaction costs.</w:t>
                      </w:r>
                    </w:p>
                  </w:txbxContent>
                </v:textbox>
              </v:shape>
            </w:pict>
          </mc:Fallback>
        </mc:AlternateContent>
      </w:r>
    </w:p>
    <w:p w14:paraId="6008FD46" w14:textId="77777777" w:rsidR="00767FA7" w:rsidRDefault="00767FA7" w:rsidP="00767FA7">
      <w:pPr>
        <w:spacing w:after="120"/>
        <w:contextualSpacing/>
        <w:rPr>
          <w:rFonts w:ascii="Corbel" w:hAnsi="Corbel"/>
        </w:rPr>
      </w:pPr>
    </w:p>
    <w:p w14:paraId="53E95612" w14:textId="77777777" w:rsidR="00767FA7" w:rsidRDefault="00767FA7" w:rsidP="00767FA7">
      <w:pPr>
        <w:spacing w:after="120"/>
        <w:contextualSpacing/>
        <w:rPr>
          <w:rFonts w:ascii="Corbel" w:hAnsi="Corbel"/>
        </w:rPr>
      </w:pPr>
    </w:p>
    <w:p w14:paraId="3997E31B" w14:textId="77777777" w:rsidR="00767FA7" w:rsidRDefault="00767FA7" w:rsidP="00767FA7">
      <w:pPr>
        <w:spacing w:after="120"/>
        <w:contextualSpacing/>
        <w:rPr>
          <w:rFonts w:ascii="Corbel" w:hAnsi="Corbel"/>
        </w:rPr>
      </w:pPr>
    </w:p>
    <w:p w14:paraId="12F0523C" w14:textId="77777777" w:rsidR="00767FA7" w:rsidRDefault="00767FA7" w:rsidP="00767FA7">
      <w:pPr>
        <w:spacing w:after="120"/>
        <w:contextualSpacing/>
        <w:rPr>
          <w:rFonts w:ascii="Corbel" w:hAnsi="Corbel"/>
        </w:rPr>
      </w:pPr>
    </w:p>
    <w:p w14:paraId="288F8FF4" w14:textId="77777777" w:rsidR="00767FA7" w:rsidRDefault="00767FA7" w:rsidP="00767FA7">
      <w:pPr>
        <w:spacing w:after="120"/>
        <w:contextualSpacing/>
        <w:rPr>
          <w:rFonts w:ascii="Corbel" w:hAnsi="Corbel"/>
        </w:rPr>
      </w:pPr>
    </w:p>
    <w:p w14:paraId="26925A69" w14:textId="77777777" w:rsidR="00767FA7" w:rsidRDefault="00767FA7" w:rsidP="00767FA7">
      <w:pPr>
        <w:spacing w:after="120"/>
        <w:contextualSpacing/>
        <w:rPr>
          <w:rFonts w:ascii="Corbel" w:hAnsi="Corbel"/>
        </w:rPr>
      </w:pPr>
    </w:p>
    <w:p w14:paraId="57A32EA8" w14:textId="77777777" w:rsidR="00767FA7" w:rsidRDefault="00767FA7" w:rsidP="00767FA7">
      <w:pPr>
        <w:spacing w:after="120"/>
        <w:contextualSpacing/>
        <w:rPr>
          <w:rFonts w:ascii="Corbel" w:hAnsi="Corbel"/>
          <w:b/>
          <w:bCs/>
          <w:lang w:val="en-US"/>
        </w:rPr>
      </w:pPr>
    </w:p>
    <w:p w14:paraId="2A41CBEF" w14:textId="77777777" w:rsidR="00767FA7" w:rsidRPr="00385EA4" w:rsidRDefault="00767FA7" w:rsidP="00767FA7">
      <w:pPr>
        <w:spacing w:after="120"/>
        <w:contextualSpacing/>
        <w:rPr>
          <w:rFonts w:ascii="Corbel" w:hAnsi="Corbel"/>
          <w:b/>
          <w:bCs/>
          <w:color w:val="0070C0"/>
          <w:lang w:val="en-US"/>
        </w:rPr>
      </w:pPr>
    </w:p>
    <w:p w14:paraId="19C81BA7" w14:textId="77777777" w:rsidR="00767FA7" w:rsidRPr="00352165" w:rsidRDefault="00767FA7" w:rsidP="00767FA7">
      <w:pPr>
        <w:spacing w:after="120"/>
        <w:contextualSpacing/>
        <w:rPr>
          <w:rFonts w:asciiTheme="minorHAnsi" w:hAnsiTheme="minorHAnsi" w:cstheme="minorHAnsi"/>
          <w:b/>
          <w:bCs/>
          <w:i/>
          <w:iCs/>
          <w:lang w:val="en-US"/>
        </w:rPr>
      </w:pPr>
      <w:r w:rsidRPr="00352165">
        <w:rPr>
          <w:rFonts w:asciiTheme="minorHAnsi" w:hAnsiTheme="minorHAnsi" w:cstheme="minorHAnsi"/>
          <w:b/>
          <w:bCs/>
          <w:i/>
          <w:iCs/>
          <w:lang w:val="en-US"/>
        </w:rPr>
        <w:t>Household income</w:t>
      </w:r>
    </w:p>
    <w:p w14:paraId="2CD98912" w14:textId="77777777" w:rsidR="00767FA7" w:rsidRPr="00352165" w:rsidRDefault="00767FA7" w:rsidP="00767FA7">
      <w:pPr>
        <w:spacing w:after="120"/>
        <w:contextualSpacing/>
        <w:rPr>
          <w:rFonts w:asciiTheme="minorHAnsi" w:hAnsiTheme="minorHAnsi" w:cstheme="minorHAnsi"/>
          <w:lang w:val="en-US"/>
        </w:rPr>
      </w:pPr>
    </w:p>
    <w:p w14:paraId="306C423E" w14:textId="616257F3" w:rsidR="00767FA7" w:rsidRPr="00352165" w:rsidRDefault="00767FA7" w:rsidP="00767FA7">
      <w:pPr>
        <w:spacing w:after="120"/>
        <w:contextualSpacing/>
        <w:rPr>
          <w:rFonts w:asciiTheme="minorHAnsi" w:hAnsiTheme="minorHAnsi" w:cstheme="minorHAnsi"/>
          <w:lang w:val="en-US"/>
        </w:rPr>
      </w:pPr>
      <w:r w:rsidRPr="00352165">
        <w:rPr>
          <w:rFonts w:asciiTheme="minorHAnsi" w:hAnsiTheme="minorHAnsi" w:cstheme="minorHAnsi"/>
          <w:lang w:val="en-US"/>
        </w:rPr>
        <w:t xml:space="preserve">For low income households, monthly disposable income is often </w:t>
      </w:r>
      <w:r w:rsidRPr="00352165">
        <w:rPr>
          <w:rFonts w:asciiTheme="minorHAnsi" w:hAnsiTheme="minorHAnsi" w:cstheme="minorHAnsi"/>
        </w:rPr>
        <w:t xml:space="preserve">undermined by existing debt obligations, which lead to home loan applications being declined. In South Africa, the </w:t>
      </w:r>
      <w:r w:rsidRPr="00352165">
        <w:rPr>
          <w:rFonts w:asciiTheme="minorHAnsi" w:hAnsiTheme="minorHAnsi" w:cstheme="minorHAnsi"/>
          <w:lang w:val="en-US"/>
        </w:rPr>
        <w:t xml:space="preserve">main reasons for loan application rejections are affordability, over-exposure to credit, and poor credit scores. </w:t>
      </w:r>
    </w:p>
    <w:p w14:paraId="44362209" w14:textId="77777777" w:rsidR="00767FA7" w:rsidRPr="00352165" w:rsidRDefault="00767FA7" w:rsidP="00767FA7">
      <w:pPr>
        <w:spacing w:after="120"/>
        <w:contextualSpacing/>
        <w:rPr>
          <w:rFonts w:asciiTheme="minorHAnsi" w:hAnsiTheme="minorHAnsi" w:cstheme="minorHAnsi"/>
          <w:lang w:val="en-US"/>
        </w:rPr>
      </w:pPr>
    </w:p>
    <w:p w14:paraId="5C24A034" w14:textId="77777777" w:rsidR="00E75531" w:rsidRDefault="00767FA7" w:rsidP="00E75531">
      <w:pPr>
        <w:spacing w:after="120"/>
        <w:contextualSpacing/>
        <w:rPr>
          <w:rFonts w:asciiTheme="minorHAnsi" w:hAnsiTheme="minorHAnsi" w:cstheme="minorHAnsi"/>
          <w:lang w:val="en-US"/>
        </w:rPr>
      </w:pPr>
      <w:r w:rsidRPr="00352165">
        <w:rPr>
          <w:rFonts w:asciiTheme="minorHAnsi" w:hAnsiTheme="minorHAnsi" w:cstheme="minorHAnsi"/>
          <w:lang w:val="en-US"/>
        </w:rPr>
        <w:t xml:space="preserve">Spatial segregation also has a direct financial impact on household income. A unit outside the city </w:t>
      </w:r>
      <w:proofErr w:type="spellStart"/>
      <w:r w:rsidRPr="00352165">
        <w:rPr>
          <w:rFonts w:asciiTheme="minorHAnsi" w:hAnsiTheme="minorHAnsi" w:cstheme="minorHAnsi"/>
          <w:lang w:val="en-US"/>
        </w:rPr>
        <w:t>centre</w:t>
      </w:r>
      <w:proofErr w:type="spellEnd"/>
      <w:r w:rsidRPr="00352165">
        <w:rPr>
          <w:rFonts w:asciiTheme="minorHAnsi" w:hAnsiTheme="minorHAnsi" w:cstheme="minorHAnsi"/>
          <w:lang w:val="en-US"/>
        </w:rPr>
        <w:t xml:space="preserve"> may be less expensive to purchase or rent. But the savings from purchasing a lower-price unit 50 kms outside the city </w:t>
      </w:r>
      <w:proofErr w:type="spellStart"/>
      <w:r w:rsidRPr="00352165">
        <w:rPr>
          <w:rFonts w:asciiTheme="minorHAnsi" w:hAnsiTheme="minorHAnsi" w:cstheme="minorHAnsi"/>
          <w:lang w:val="en-US"/>
        </w:rPr>
        <w:t>centre</w:t>
      </w:r>
      <w:proofErr w:type="spellEnd"/>
      <w:r w:rsidRPr="00352165">
        <w:rPr>
          <w:rFonts w:asciiTheme="minorHAnsi" w:hAnsiTheme="minorHAnsi" w:cstheme="minorHAnsi"/>
          <w:lang w:val="en-US"/>
        </w:rPr>
        <w:t xml:space="preserve"> may be negated by the additional travel costs of commuting daily into the city </w:t>
      </w:r>
      <w:proofErr w:type="spellStart"/>
      <w:r w:rsidRPr="00352165">
        <w:rPr>
          <w:rFonts w:asciiTheme="minorHAnsi" w:hAnsiTheme="minorHAnsi" w:cstheme="minorHAnsi"/>
          <w:lang w:val="en-US"/>
        </w:rPr>
        <w:t>centre</w:t>
      </w:r>
      <w:proofErr w:type="spellEnd"/>
      <w:r w:rsidRPr="00352165">
        <w:rPr>
          <w:rFonts w:asciiTheme="minorHAnsi" w:hAnsiTheme="minorHAnsi" w:cstheme="minorHAnsi"/>
          <w:lang w:val="en-US"/>
        </w:rPr>
        <w:t xml:space="preserve"> for work. In the absence of an affordable, safe, wide network of public transport, travel costs are a major factor in undermining household disposable income, and thus impact on housing affordability.</w:t>
      </w:r>
    </w:p>
    <w:p w14:paraId="151E0F5C" w14:textId="77777777" w:rsidR="00E907F3" w:rsidRDefault="00E907F3" w:rsidP="00E75531">
      <w:pPr>
        <w:spacing w:after="120"/>
        <w:contextualSpacing/>
        <w:rPr>
          <w:rFonts w:asciiTheme="minorHAnsi" w:hAnsiTheme="minorHAnsi" w:cstheme="minorHAnsi"/>
          <w:lang w:val="en-US"/>
        </w:rPr>
      </w:pPr>
    </w:p>
    <w:p w14:paraId="5CC2CF9C" w14:textId="77777777" w:rsidR="00E907F3" w:rsidRDefault="00E907F3" w:rsidP="00E75531">
      <w:pPr>
        <w:spacing w:after="120"/>
        <w:contextualSpacing/>
        <w:rPr>
          <w:rFonts w:asciiTheme="minorHAnsi" w:hAnsiTheme="minorHAnsi" w:cstheme="minorHAnsi"/>
          <w:lang w:val="en-US"/>
        </w:rPr>
      </w:pPr>
    </w:p>
    <w:p w14:paraId="7042B10B" w14:textId="77777777" w:rsidR="00E907F3" w:rsidRPr="00352165" w:rsidRDefault="00E907F3" w:rsidP="00E75531">
      <w:pPr>
        <w:spacing w:after="120"/>
        <w:contextualSpacing/>
        <w:rPr>
          <w:rFonts w:asciiTheme="minorHAnsi" w:hAnsiTheme="minorHAnsi" w:cstheme="minorHAnsi"/>
          <w:lang w:val="en-US"/>
        </w:rPr>
      </w:pPr>
    </w:p>
    <w:p w14:paraId="3C644297" w14:textId="77777777" w:rsidR="00E47C3E" w:rsidRPr="00352165" w:rsidRDefault="00E47C3E" w:rsidP="00E75531">
      <w:pPr>
        <w:spacing w:after="120"/>
        <w:contextualSpacing/>
        <w:rPr>
          <w:rFonts w:asciiTheme="minorHAnsi" w:hAnsiTheme="minorHAnsi" w:cstheme="minorHAnsi"/>
          <w:lang w:val="en-US"/>
        </w:rPr>
      </w:pPr>
    </w:p>
    <w:p w14:paraId="7736D580" w14:textId="7ED568DB" w:rsidR="00767FA7" w:rsidRPr="00352165" w:rsidRDefault="00767FA7" w:rsidP="00E75531">
      <w:pPr>
        <w:spacing w:after="120"/>
        <w:contextualSpacing/>
        <w:rPr>
          <w:rFonts w:asciiTheme="minorHAnsi" w:hAnsiTheme="minorHAnsi" w:cstheme="minorHAnsi"/>
          <w:lang w:val="en-US"/>
        </w:rPr>
      </w:pPr>
      <w:r w:rsidRPr="00352165">
        <w:rPr>
          <w:rFonts w:asciiTheme="minorHAnsi" w:hAnsiTheme="minorHAnsi" w:cstheme="minorHAnsi"/>
          <w:b/>
          <w:bCs/>
          <w:i/>
          <w:iCs/>
        </w:rPr>
        <w:t>Cost of the unit</w:t>
      </w:r>
    </w:p>
    <w:p w14:paraId="0DA97C86" w14:textId="77777777" w:rsidR="00767FA7" w:rsidRPr="00352165" w:rsidRDefault="00767FA7" w:rsidP="00767FA7">
      <w:pPr>
        <w:spacing w:after="120"/>
        <w:contextualSpacing/>
        <w:textAlignment w:val="baseline"/>
        <w:rPr>
          <w:rFonts w:asciiTheme="minorHAnsi" w:hAnsiTheme="minorHAnsi" w:cstheme="minorHAnsi"/>
        </w:rPr>
      </w:pPr>
    </w:p>
    <w:p w14:paraId="3A1ADF3F" w14:textId="77777777" w:rsidR="00767FA7" w:rsidRPr="00352165" w:rsidRDefault="00767FA7" w:rsidP="00767FA7">
      <w:pPr>
        <w:spacing w:after="120"/>
        <w:contextualSpacing/>
        <w:textAlignment w:val="baseline"/>
        <w:rPr>
          <w:rFonts w:asciiTheme="minorHAnsi" w:hAnsiTheme="minorHAnsi" w:cstheme="minorHAnsi"/>
          <w:lang w:val="en-US"/>
        </w:rPr>
      </w:pPr>
      <w:r w:rsidRPr="00352165">
        <w:rPr>
          <w:rFonts w:asciiTheme="minorHAnsi" w:hAnsiTheme="minorHAnsi" w:cstheme="minorHAnsi"/>
        </w:rPr>
        <w:lastRenderedPageBreak/>
        <w:t xml:space="preserve">After household income, the </w:t>
      </w:r>
      <w:r w:rsidRPr="00352165">
        <w:rPr>
          <w:rFonts w:asciiTheme="minorHAnsi" w:hAnsiTheme="minorHAnsi" w:cstheme="minorHAnsi"/>
          <w:lang w:val="en-US"/>
        </w:rPr>
        <w:t xml:space="preserve">second element of understanding housing affordability is the </w:t>
      </w:r>
      <w:r w:rsidRPr="00352165">
        <w:rPr>
          <w:rFonts w:asciiTheme="minorHAnsi" w:hAnsiTheme="minorHAnsi" w:cstheme="minorHAnsi"/>
          <w:b/>
          <w:bCs/>
          <w:lang w:val="en-US"/>
        </w:rPr>
        <w:t>cost of the unit</w:t>
      </w:r>
      <w:r w:rsidRPr="00352165">
        <w:rPr>
          <w:rFonts w:asciiTheme="minorHAnsi" w:hAnsiTheme="minorHAnsi" w:cstheme="minorHAnsi"/>
          <w:lang w:val="en-US"/>
        </w:rPr>
        <w:t>. The cost of newly-built housing unit is a function of land, infrastructure, construction costs, professional fees, taxes, levies and time, while the cost of a resale unit is a function of the local property market dynamics, including the interplay of demand and supply, and transaction costs.</w:t>
      </w:r>
    </w:p>
    <w:p w14:paraId="473DB072" w14:textId="77777777" w:rsidR="00E75531" w:rsidRPr="00352165" w:rsidRDefault="00E75531" w:rsidP="00767FA7">
      <w:pPr>
        <w:spacing w:after="120"/>
        <w:contextualSpacing/>
        <w:textAlignment w:val="baseline"/>
        <w:rPr>
          <w:rFonts w:asciiTheme="minorHAnsi" w:hAnsiTheme="minorHAnsi" w:cstheme="minorHAnsi"/>
          <w:lang w:val="en-US"/>
        </w:rPr>
      </w:pPr>
    </w:p>
    <w:p w14:paraId="3FA95153" w14:textId="77777777" w:rsidR="009935B1" w:rsidRPr="00352165" w:rsidRDefault="009935B1" w:rsidP="009935B1">
      <w:pPr>
        <w:shd w:val="clear" w:color="auto" w:fill="D0CECE" w:themeFill="background2" w:themeFillShade="E6"/>
        <w:spacing w:after="120"/>
        <w:contextualSpacing/>
        <w:textAlignment w:val="baseline"/>
        <w:rPr>
          <w:rFonts w:asciiTheme="minorHAnsi" w:hAnsiTheme="minorHAnsi" w:cstheme="minorHAnsi"/>
          <w:sz w:val="18"/>
          <w:szCs w:val="18"/>
          <w:lang w:val="en-US"/>
        </w:rPr>
      </w:pPr>
      <w:r w:rsidRPr="00352165">
        <w:rPr>
          <w:rFonts w:asciiTheme="minorHAnsi" w:hAnsiTheme="minorHAnsi" w:cstheme="minorHAnsi"/>
          <w:sz w:val="18"/>
          <w:szCs w:val="18"/>
          <w:lang w:val="en-US"/>
        </w:rPr>
        <w:t>Relevant research: Calculating the cost of an affordable house in different African countries</w:t>
      </w:r>
    </w:p>
    <w:p w14:paraId="21B66BC6" w14:textId="77777777" w:rsidR="009935B1" w:rsidRPr="00352165" w:rsidRDefault="009935B1" w:rsidP="009935B1">
      <w:pPr>
        <w:shd w:val="clear" w:color="auto" w:fill="D0CECE" w:themeFill="background2" w:themeFillShade="E6"/>
        <w:spacing w:after="120"/>
        <w:contextualSpacing/>
        <w:textAlignment w:val="baseline"/>
        <w:rPr>
          <w:rFonts w:asciiTheme="minorHAnsi" w:hAnsiTheme="minorHAnsi" w:cstheme="minorHAnsi"/>
          <w:sz w:val="18"/>
          <w:szCs w:val="18"/>
          <w:lang w:val="en-US"/>
        </w:rPr>
      </w:pPr>
    </w:p>
    <w:p w14:paraId="2C488F82" w14:textId="0E2C4F08" w:rsidR="009935B1" w:rsidRPr="00352165" w:rsidRDefault="00E75531" w:rsidP="009935B1">
      <w:pPr>
        <w:shd w:val="clear" w:color="auto" w:fill="D0CECE" w:themeFill="background2" w:themeFillShade="E6"/>
        <w:spacing w:after="120"/>
        <w:contextualSpacing/>
        <w:textAlignment w:val="baseline"/>
        <w:rPr>
          <w:rFonts w:asciiTheme="minorHAnsi" w:hAnsiTheme="minorHAnsi" w:cstheme="minorHAnsi"/>
          <w:sz w:val="18"/>
          <w:szCs w:val="18"/>
          <w:lang w:val="en-US"/>
        </w:rPr>
      </w:pPr>
      <w:r w:rsidRPr="00352165">
        <w:rPr>
          <w:rFonts w:asciiTheme="minorHAnsi" w:hAnsiTheme="minorHAnsi" w:cstheme="minorHAnsi"/>
          <w:sz w:val="18"/>
          <w:szCs w:val="18"/>
          <w:lang w:val="en-US"/>
        </w:rPr>
        <w:t xml:space="preserve">CAHF has done extensive work </w:t>
      </w:r>
      <w:r w:rsidR="009935B1" w:rsidRPr="00352165">
        <w:rPr>
          <w:rFonts w:asciiTheme="minorHAnsi" w:hAnsiTheme="minorHAnsi" w:cstheme="minorHAnsi"/>
          <w:sz w:val="18"/>
          <w:szCs w:val="18"/>
          <w:lang w:val="en-US"/>
        </w:rPr>
        <w:t>to</w:t>
      </w:r>
      <w:r w:rsidRPr="00352165">
        <w:rPr>
          <w:rFonts w:asciiTheme="minorHAnsi" w:hAnsiTheme="minorHAnsi" w:cstheme="minorHAnsi"/>
          <w:sz w:val="18"/>
          <w:szCs w:val="18"/>
          <w:lang w:val="en-US"/>
        </w:rPr>
        <w:t xml:space="preserve"> </w:t>
      </w:r>
      <w:r w:rsidR="009935B1" w:rsidRPr="00352165">
        <w:rPr>
          <w:rFonts w:asciiTheme="minorHAnsi" w:hAnsiTheme="minorHAnsi" w:cstheme="minorHAnsi"/>
          <w:sz w:val="18"/>
          <w:szCs w:val="18"/>
          <w:lang w:val="en-US"/>
        </w:rPr>
        <w:t>develop a standardized methodology to calculate the cost of a benchmarked (standard design and specification) ‘CAHF house’ in thirty cities in fifteen countries across Africa.</w:t>
      </w:r>
      <w:r w:rsidR="009935B1" w:rsidRPr="00352165">
        <w:rPr>
          <w:rFonts w:asciiTheme="minorHAnsi" w:hAnsiTheme="minorHAnsi" w:cstheme="minorHAnsi"/>
          <w:sz w:val="18"/>
          <w:szCs w:val="18"/>
          <w:vertAlign w:val="superscript"/>
          <w:lang w:val="en-US"/>
        </w:rPr>
        <w:footnoteReference w:id="2"/>
      </w:r>
      <w:r w:rsidR="009935B1" w:rsidRPr="00352165">
        <w:rPr>
          <w:rFonts w:asciiTheme="minorHAnsi" w:hAnsiTheme="minorHAnsi" w:cstheme="minorHAnsi"/>
          <w:sz w:val="18"/>
          <w:szCs w:val="18"/>
          <w:lang w:val="en-US"/>
        </w:rPr>
        <w:t xml:space="preserve"> The </w:t>
      </w:r>
      <w:hyperlink r:id="rId9" w:history="1">
        <w:r w:rsidR="009935B1" w:rsidRPr="00352165">
          <w:rPr>
            <w:rStyle w:val="Hyperlink"/>
            <w:rFonts w:asciiTheme="minorHAnsi" w:hAnsiTheme="minorHAnsi" w:cstheme="minorHAnsi"/>
            <w:color w:val="auto"/>
            <w:sz w:val="18"/>
            <w:szCs w:val="18"/>
            <w:lang w:val="en-US"/>
          </w:rPr>
          <w:t>2019 report</w:t>
        </w:r>
      </w:hyperlink>
      <w:r w:rsidR="009935B1" w:rsidRPr="00352165">
        <w:rPr>
          <w:rFonts w:asciiTheme="minorHAnsi" w:hAnsiTheme="minorHAnsi" w:cstheme="minorHAnsi"/>
          <w:sz w:val="18"/>
          <w:szCs w:val="18"/>
          <w:lang w:val="en-US"/>
        </w:rPr>
        <w:t xml:space="preserve"> provides a detailed cost breakdown comprising up to 300 discrete cost elements that meets construction conventions across the continent. This costing framework was completed by professional Quantity Surveyors in each selected country and consolidated into a centralized database for comparison—an </w:t>
      </w:r>
      <w:hyperlink r:id="rId10" w:history="1">
        <w:r w:rsidR="009935B1" w:rsidRPr="00352165">
          <w:rPr>
            <w:rStyle w:val="Hyperlink"/>
            <w:rFonts w:asciiTheme="minorHAnsi" w:hAnsiTheme="minorHAnsi" w:cstheme="minorHAnsi"/>
            <w:color w:val="auto"/>
            <w:sz w:val="18"/>
            <w:szCs w:val="18"/>
            <w:lang w:val="en-US"/>
          </w:rPr>
          <w:t>online dashboard</w:t>
        </w:r>
      </w:hyperlink>
      <w:r w:rsidR="009935B1" w:rsidRPr="00352165">
        <w:rPr>
          <w:rFonts w:asciiTheme="minorHAnsi" w:hAnsiTheme="minorHAnsi" w:cstheme="minorHAnsi"/>
          <w:sz w:val="18"/>
          <w:szCs w:val="18"/>
          <w:lang w:val="en-US"/>
        </w:rPr>
        <w:t xml:space="preserve"> allows exploration of the data. </w:t>
      </w:r>
    </w:p>
    <w:p w14:paraId="7C441643" w14:textId="77777777" w:rsidR="009935B1" w:rsidRPr="00352165" w:rsidRDefault="009935B1" w:rsidP="009935B1">
      <w:pPr>
        <w:shd w:val="clear" w:color="auto" w:fill="D0CECE" w:themeFill="background2" w:themeFillShade="E6"/>
        <w:spacing w:after="120"/>
        <w:contextualSpacing/>
        <w:textAlignment w:val="baseline"/>
        <w:rPr>
          <w:rFonts w:asciiTheme="minorHAnsi" w:hAnsiTheme="minorHAnsi" w:cstheme="minorHAnsi"/>
          <w:sz w:val="18"/>
          <w:szCs w:val="18"/>
          <w:lang w:val="en-US"/>
        </w:rPr>
      </w:pPr>
    </w:p>
    <w:p w14:paraId="49A70978" w14:textId="5E6A4AC3" w:rsidR="009935B1" w:rsidRPr="00352165" w:rsidRDefault="009935B1" w:rsidP="009935B1">
      <w:pPr>
        <w:shd w:val="clear" w:color="auto" w:fill="D0CECE" w:themeFill="background2" w:themeFillShade="E6"/>
        <w:spacing w:after="120"/>
        <w:contextualSpacing/>
        <w:textAlignment w:val="baseline"/>
        <w:rPr>
          <w:rFonts w:asciiTheme="minorHAnsi" w:hAnsiTheme="minorHAnsi" w:cstheme="minorHAnsi"/>
          <w:sz w:val="18"/>
          <w:szCs w:val="18"/>
          <w:lang w:val="en-US"/>
        </w:rPr>
      </w:pPr>
      <w:r w:rsidRPr="00352165">
        <w:rPr>
          <w:rFonts w:asciiTheme="minorHAnsi" w:hAnsiTheme="minorHAnsi" w:cstheme="minorHAnsi"/>
          <w:sz w:val="18"/>
          <w:szCs w:val="18"/>
          <w:lang w:val="en-US"/>
        </w:rPr>
        <w:lastRenderedPageBreak/>
        <w:t xml:space="preserve">The study shows wide variation in the total costs of the standard ‘CAHF house’ in the thirty cities and fifteen countries, with significant variation in the composition of costs between the main cost elements. This analysis thus illustrates the difficulty of comparing affordable housing costs across cities, countries and continents without greater methodological </w:t>
      </w:r>
      <w:proofErr w:type="spellStart"/>
      <w:r w:rsidRPr="00352165">
        <w:rPr>
          <w:rFonts w:asciiTheme="minorHAnsi" w:hAnsiTheme="minorHAnsi" w:cstheme="minorHAnsi"/>
          <w:sz w:val="18"/>
          <w:szCs w:val="18"/>
          <w:lang w:val="en-US"/>
        </w:rPr>
        <w:t>rigour</w:t>
      </w:r>
      <w:proofErr w:type="spellEnd"/>
      <w:r w:rsidRPr="00352165">
        <w:rPr>
          <w:rFonts w:asciiTheme="minorHAnsi" w:hAnsiTheme="minorHAnsi" w:cstheme="minorHAnsi"/>
          <w:sz w:val="18"/>
          <w:szCs w:val="18"/>
          <w:lang w:val="en-US"/>
        </w:rPr>
        <w:t xml:space="preserve"> regarding how housing is defined and how costs are compiled.</w:t>
      </w:r>
    </w:p>
    <w:p w14:paraId="3D1A3113" w14:textId="77777777" w:rsidR="009935B1" w:rsidRPr="00352165" w:rsidRDefault="009935B1" w:rsidP="009935B1">
      <w:pPr>
        <w:shd w:val="clear" w:color="auto" w:fill="D0CECE" w:themeFill="background2" w:themeFillShade="E6"/>
        <w:spacing w:after="120"/>
        <w:contextualSpacing/>
        <w:textAlignment w:val="baseline"/>
        <w:rPr>
          <w:rFonts w:asciiTheme="minorHAnsi" w:hAnsiTheme="minorHAnsi" w:cstheme="minorHAnsi"/>
          <w:sz w:val="18"/>
          <w:szCs w:val="18"/>
          <w:lang w:val="en-US"/>
        </w:rPr>
      </w:pPr>
    </w:p>
    <w:p w14:paraId="33F34110" w14:textId="2C2C3636" w:rsidR="00767FA7" w:rsidRPr="00352165" w:rsidRDefault="009935B1" w:rsidP="009935B1">
      <w:pPr>
        <w:shd w:val="clear" w:color="auto" w:fill="D0CECE" w:themeFill="background2" w:themeFillShade="E6"/>
        <w:spacing w:after="120"/>
        <w:contextualSpacing/>
        <w:textAlignment w:val="baseline"/>
        <w:rPr>
          <w:rFonts w:asciiTheme="minorHAnsi" w:hAnsiTheme="minorHAnsi" w:cstheme="minorHAnsi"/>
          <w:sz w:val="18"/>
          <w:szCs w:val="18"/>
          <w:lang w:val="en-US"/>
        </w:rPr>
      </w:pPr>
      <w:r w:rsidRPr="00352165">
        <w:rPr>
          <w:rFonts w:asciiTheme="minorHAnsi" w:hAnsiTheme="minorHAnsi" w:cstheme="minorHAnsi"/>
          <w:sz w:val="18"/>
          <w:szCs w:val="18"/>
          <w:lang w:val="en-US"/>
        </w:rPr>
        <w:t xml:space="preserve">The results of this study have implications for how affordable housing is defined and </w:t>
      </w:r>
      <w:proofErr w:type="spellStart"/>
      <w:r w:rsidRPr="00352165">
        <w:rPr>
          <w:rFonts w:asciiTheme="minorHAnsi" w:hAnsiTheme="minorHAnsi" w:cstheme="minorHAnsi"/>
          <w:sz w:val="18"/>
          <w:szCs w:val="18"/>
          <w:lang w:val="en-US"/>
        </w:rPr>
        <w:t>analysed</w:t>
      </w:r>
      <w:proofErr w:type="spellEnd"/>
      <w:r w:rsidRPr="00352165">
        <w:rPr>
          <w:rFonts w:asciiTheme="minorHAnsi" w:hAnsiTheme="minorHAnsi" w:cstheme="minorHAnsi"/>
          <w:sz w:val="18"/>
          <w:szCs w:val="18"/>
          <w:lang w:val="en-US"/>
        </w:rPr>
        <w:t xml:space="preserve">, and for better understanding the cost drivers of affordable housing in different geographies. </w:t>
      </w:r>
      <w:r w:rsidR="00E47C3E" w:rsidRPr="00352165">
        <w:rPr>
          <w:rFonts w:asciiTheme="minorHAnsi" w:hAnsiTheme="minorHAnsi" w:cstheme="minorHAnsi"/>
          <w:sz w:val="18"/>
          <w:szCs w:val="18"/>
          <w:lang w:val="en-US"/>
        </w:rPr>
        <w:t>A</w:t>
      </w:r>
      <w:r w:rsidRPr="00352165">
        <w:rPr>
          <w:rFonts w:asciiTheme="minorHAnsi" w:hAnsiTheme="minorHAnsi" w:cstheme="minorHAnsi"/>
          <w:sz w:val="18"/>
          <w:szCs w:val="18"/>
          <w:lang w:val="en-US"/>
        </w:rPr>
        <w:t xml:space="preserve">nalyzing housing costs beyond general figures such as cost per square </w:t>
      </w:r>
      <w:proofErr w:type="spellStart"/>
      <w:r w:rsidRPr="00352165">
        <w:rPr>
          <w:rFonts w:asciiTheme="minorHAnsi" w:hAnsiTheme="minorHAnsi" w:cstheme="minorHAnsi"/>
          <w:sz w:val="18"/>
          <w:szCs w:val="18"/>
          <w:lang w:val="en-US"/>
        </w:rPr>
        <w:t>metre</w:t>
      </w:r>
      <w:proofErr w:type="spellEnd"/>
      <w:r w:rsidRPr="00352165">
        <w:rPr>
          <w:rFonts w:asciiTheme="minorHAnsi" w:hAnsiTheme="minorHAnsi" w:cstheme="minorHAnsi"/>
          <w:sz w:val="18"/>
          <w:szCs w:val="18"/>
          <w:lang w:val="en-US"/>
        </w:rPr>
        <w:t xml:space="preserve"> provides a better platform for applied analysis that can ascertain where and how to tackle factors that drive up affordable housing costs in specific countries and cities.</w:t>
      </w:r>
    </w:p>
    <w:p w14:paraId="5DAFB7E2" w14:textId="77777777" w:rsidR="009935B1" w:rsidRPr="007C172E" w:rsidRDefault="009935B1" w:rsidP="009935B1">
      <w:pPr>
        <w:shd w:val="clear" w:color="auto" w:fill="D0CECE" w:themeFill="background2" w:themeFillShade="E6"/>
        <w:spacing w:after="120"/>
        <w:contextualSpacing/>
        <w:textAlignment w:val="baseline"/>
        <w:rPr>
          <w:rFonts w:asciiTheme="minorHAnsi" w:hAnsiTheme="minorHAnsi" w:cstheme="minorHAnsi"/>
          <w:sz w:val="18"/>
          <w:szCs w:val="18"/>
          <w:lang w:val="en-US"/>
        </w:rPr>
      </w:pPr>
    </w:p>
    <w:p w14:paraId="007B1A09" w14:textId="3DA2C5BC" w:rsidR="00E75531" w:rsidRPr="007C172E" w:rsidRDefault="009935B1" w:rsidP="009935B1">
      <w:pPr>
        <w:shd w:val="clear" w:color="auto" w:fill="D0CECE" w:themeFill="background2" w:themeFillShade="E6"/>
        <w:spacing w:after="120"/>
        <w:contextualSpacing/>
        <w:rPr>
          <w:rFonts w:asciiTheme="minorHAnsi" w:hAnsiTheme="minorHAnsi" w:cstheme="minorHAnsi"/>
          <w:color w:val="0070C0"/>
          <w:sz w:val="18"/>
          <w:szCs w:val="18"/>
        </w:rPr>
      </w:pPr>
      <w:r w:rsidRPr="007C172E">
        <w:rPr>
          <w:rFonts w:asciiTheme="minorHAnsi" w:hAnsiTheme="minorHAnsi" w:cstheme="minorHAnsi"/>
          <w:sz w:val="18"/>
          <w:szCs w:val="18"/>
        </w:rPr>
        <w:t xml:space="preserve">The full report is available here: </w:t>
      </w:r>
      <w:hyperlink r:id="rId11" w:history="1">
        <w:r w:rsidRPr="007C172E">
          <w:rPr>
            <w:rStyle w:val="Hyperlink"/>
            <w:rFonts w:asciiTheme="minorHAnsi" w:hAnsiTheme="minorHAnsi" w:cstheme="minorHAnsi"/>
            <w:color w:val="0070C0"/>
            <w:sz w:val="18"/>
            <w:szCs w:val="18"/>
          </w:rPr>
          <w:t>https://housingfinanceafrica.org/documents/using-cahfs-housing-cost-benchmarking-methodology-to-analyse-housing-costs-in-fifteen-african-countries/</w:t>
        </w:r>
      </w:hyperlink>
    </w:p>
    <w:p w14:paraId="50454EC0" w14:textId="77777777" w:rsidR="00E75531" w:rsidRPr="007C172E" w:rsidRDefault="00E75531" w:rsidP="00767FA7">
      <w:pPr>
        <w:spacing w:after="120"/>
        <w:contextualSpacing/>
        <w:rPr>
          <w:rFonts w:asciiTheme="minorHAnsi" w:hAnsiTheme="minorHAnsi" w:cstheme="minorHAnsi"/>
          <w:color w:val="0070C0"/>
        </w:rPr>
      </w:pPr>
    </w:p>
    <w:p w14:paraId="09941DF8" w14:textId="6424161E" w:rsidR="00767FA7" w:rsidRPr="00352165" w:rsidRDefault="00767FA7" w:rsidP="00767FA7">
      <w:pPr>
        <w:spacing w:after="120"/>
        <w:contextualSpacing/>
        <w:rPr>
          <w:rFonts w:asciiTheme="minorHAnsi" w:hAnsiTheme="minorHAnsi" w:cstheme="minorHAnsi"/>
        </w:rPr>
      </w:pPr>
      <w:r w:rsidRPr="00352165">
        <w:rPr>
          <w:rFonts w:asciiTheme="minorHAnsi" w:hAnsiTheme="minorHAnsi" w:cstheme="minorHAnsi"/>
        </w:rPr>
        <w:t xml:space="preserve">Are there low-priced units available in the </w:t>
      </w:r>
      <w:r w:rsidR="00E47C3E" w:rsidRPr="00352165">
        <w:rPr>
          <w:rFonts w:asciiTheme="minorHAnsi" w:hAnsiTheme="minorHAnsi" w:cstheme="minorHAnsi"/>
        </w:rPr>
        <w:t xml:space="preserve">South African </w:t>
      </w:r>
      <w:r w:rsidRPr="00352165">
        <w:rPr>
          <w:rFonts w:asciiTheme="minorHAnsi" w:hAnsiTheme="minorHAnsi" w:cstheme="minorHAnsi"/>
        </w:rPr>
        <w:t xml:space="preserve">market? As at end </w:t>
      </w:r>
      <w:r w:rsidR="009935B1" w:rsidRPr="00352165">
        <w:rPr>
          <w:rFonts w:asciiTheme="minorHAnsi" w:hAnsiTheme="minorHAnsi" w:cstheme="minorHAnsi"/>
        </w:rPr>
        <w:t>of 2021</w:t>
      </w:r>
      <w:r w:rsidRPr="00352165">
        <w:rPr>
          <w:rFonts w:asciiTheme="minorHAnsi" w:hAnsiTheme="minorHAnsi" w:cstheme="minorHAnsi"/>
        </w:rPr>
        <w:t>, there were approximately 6.</w:t>
      </w:r>
      <w:r w:rsidR="009935B1" w:rsidRPr="00352165">
        <w:rPr>
          <w:rFonts w:asciiTheme="minorHAnsi" w:hAnsiTheme="minorHAnsi" w:cstheme="minorHAnsi"/>
        </w:rPr>
        <w:t>74</w:t>
      </w:r>
      <w:r w:rsidRPr="00352165">
        <w:rPr>
          <w:rFonts w:asciiTheme="minorHAnsi" w:hAnsiTheme="minorHAnsi" w:cstheme="minorHAnsi"/>
        </w:rPr>
        <w:t xml:space="preserve"> million residential properties on the deeds registry in South Africa, of which 3</w:t>
      </w:r>
      <w:r w:rsidR="009935B1" w:rsidRPr="00352165">
        <w:rPr>
          <w:rFonts w:asciiTheme="minorHAnsi" w:hAnsiTheme="minorHAnsi" w:cstheme="minorHAnsi"/>
        </w:rPr>
        <w:t>1</w:t>
      </w:r>
      <w:r w:rsidRPr="00352165">
        <w:rPr>
          <w:rFonts w:asciiTheme="minorHAnsi" w:hAnsiTheme="minorHAnsi" w:cstheme="minorHAnsi"/>
        </w:rPr>
        <w:t xml:space="preserve">% were </w:t>
      </w:r>
      <w:r w:rsidR="009935B1" w:rsidRPr="00352165">
        <w:rPr>
          <w:rFonts w:asciiTheme="minorHAnsi" w:hAnsiTheme="minorHAnsi" w:cstheme="minorHAnsi"/>
        </w:rPr>
        <w:t>delivered through national housing subsidy programmes</w:t>
      </w:r>
      <w:r w:rsidRPr="00352165">
        <w:rPr>
          <w:rFonts w:asciiTheme="minorHAnsi" w:hAnsiTheme="minorHAnsi" w:cstheme="minorHAnsi"/>
        </w:rPr>
        <w:t xml:space="preserve"> (</w:t>
      </w:r>
      <w:r w:rsidR="009935B1" w:rsidRPr="00352165">
        <w:rPr>
          <w:rFonts w:asciiTheme="minorHAnsi" w:hAnsiTheme="minorHAnsi" w:cstheme="minorHAnsi"/>
        </w:rPr>
        <w:t>2.</w:t>
      </w:r>
      <w:r w:rsidR="003D1CCB" w:rsidRPr="00352165">
        <w:rPr>
          <w:rFonts w:asciiTheme="minorHAnsi" w:hAnsiTheme="minorHAnsi" w:cstheme="minorHAnsi"/>
        </w:rPr>
        <w:t>1</w:t>
      </w:r>
      <w:r w:rsidR="009935B1" w:rsidRPr="00352165">
        <w:rPr>
          <w:rFonts w:asciiTheme="minorHAnsi" w:hAnsiTheme="minorHAnsi" w:cstheme="minorHAnsi"/>
        </w:rPr>
        <w:t>3 million</w:t>
      </w:r>
      <w:r w:rsidRPr="00352165">
        <w:rPr>
          <w:rFonts w:asciiTheme="minorHAnsi" w:hAnsiTheme="minorHAnsi" w:cstheme="minorHAnsi"/>
        </w:rPr>
        <w:t xml:space="preserve"> properties).</w:t>
      </w:r>
      <w:r w:rsidRPr="00352165">
        <w:rPr>
          <w:rStyle w:val="FootnoteReference"/>
          <w:rFonts w:asciiTheme="minorHAnsi" w:hAnsiTheme="minorHAnsi" w:cstheme="minorHAnsi"/>
        </w:rPr>
        <w:footnoteReference w:id="3"/>
      </w:r>
      <w:r w:rsidRPr="00352165">
        <w:rPr>
          <w:rFonts w:asciiTheme="minorHAnsi" w:hAnsiTheme="minorHAnsi" w:cstheme="minorHAnsi"/>
        </w:rPr>
        <w:t xml:space="preserve"> </w:t>
      </w:r>
      <w:r w:rsidRPr="00352165">
        <w:rPr>
          <w:rFonts w:asciiTheme="minorHAnsi" w:hAnsiTheme="minorHAnsi" w:cstheme="minorHAnsi"/>
          <w:lang w:val="en-US"/>
        </w:rPr>
        <w:lastRenderedPageBreak/>
        <w:t xml:space="preserve">The contribution of government housing </w:t>
      </w:r>
      <w:proofErr w:type="spellStart"/>
      <w:r w:rsidRPr="00352165">
        <w:rPr>
          <w:rFonts w:asciiTheme="minorHAnsi" w:hAnsiTheme="minorHAnsi" w:cstheme="minorHAnsi"/>
          <w:lang w:val="en-US"/>
        </w:rPr>
        <w:t>programmes</w:t>
      </w:r>
      <w:proofErr w:type="spellEnd"/>
      <w:r w:rsidRPr="00352165">
        <w:rPr>
          <w:rFonts w:asciiTheme="minorHAnsi" w:hAnsiTheme="minorHAnsi" w:cstheme="minorHAnsi"/>
          <w:lang w:val="en-US"/>
        </w:rPr>
        <w:t xml:space="preserve"> at the lower end of the market is significant: approximately 6</w:t>
      </w:r>
      <w:r w:rsidR="00B82F42" w:rsidRPr="00352165">
        <w:rPr>
          <w:rFonts w:asciiTheme="minorHAnsi" w:hAnsiTheme="minorHAnsi" w:cstheme="minorHAnsi"/>
          <w:lang w:val="en-US"/>
        </w:rPr>
        <w:t>9</w:t>
      </w:r>
      <w:r w:rsidRPr="00352165">
        <w:rPr>
          <w:rFonts w:asciiTheme="minorHAnsi" w:hAnsiTheme="minorHAnsi" w:cstheme="minorHAnsi"/>
          <w:lang w:val="en-US"/>
        </w:rPr>
        <w:t xml:space="preserve">% of residential properties </w:t>
      </w:r>
      <w:r w:rsidR="006F283B" w:rsidRPr="00352165">
        <w:rPr>
          <w:rFonts w:asciiTheme="minorHAnsi" w:hAnsiTheme="minorHAnsi" w:cstheme="minorHAnsi"/>
          <w:lang w:val="en-US"/>
        </w:rPr>
        <w:t xml:space="preserve">in the bottom market segment </w:t>
      </w:r>
      <w:r w:rsidRPr="00352165">
        <w:rPr>
          <w:rFonts w:asciiTheme="minorHAnsi" w:hAnsiTheme="minorHAnsi" w:cstheme="minorHAnsi"/>
          <w:lang w:val="en-US"/>
        </w:rPr>
        <w:t>under R300</w:t>
      </w:r>
      <w:r w:rsidR="00B82F42" w:rsidRPr="00352165">
        <w:rPr>
          <w:rFonts w:asciiTheme="minorHAnsi" w:hAnsiTheme="minorHAnsi" w:cstheme="minorHAnsi"/>
          <w:lang w:val="en-US"/>
        </w:rPr>
        <w:t> </w:t>
      </w:r>
      <w:r w:rsidRPr="00352165">
        <w:rPr>
          <w:rFonts w:asciiTheme="minorHAnsi" w:hAnsiTheme="minorHAnsi" w:cstheme="minorHAnsi"/>
          <w:lang w:val="en-US"/>
        </w:rPr>
        <w:t>000 are government-</w:t>
      </w:r>
      <w:proofErr w:type="spellStart"/>
      <w:r w:rsidRPr="00352165">
        <w:rPr>
          <w:rFonts w:asciiTheme="minorHAnsi" w:hAnsiTheme="minorHAnsi" w:cstheme="minorHAnsi"/>
          <w:lang w:val="en-US"/>
        </w:rPr>
        <w:t>subsidised</w:t>
      </w:r>
      <w:proofErr w:type="spellEnd"/>
      <w:r w:rsidRPr="00352165">
        <w:rPr>
          <w:rFonts w:asciiTheme="minorHAnsi" w:hAnsiTheme="minorHAnsi" w:cstheme="minorHAnsi"/>
          <w:lang w:val="en-US"/>
        </w:rPr>
        <w:t>.</w:t>
      </w:r>
      <w:r w:rsidRPr="00352165">
        <w:rPr>
          <w:rStyle w:val="FootnoteReference"/>
          <w:rFonts w:asciiTheme="minorHAnsi" w:hAnsiTheme="minorHAnsi" w:cstheme="minorHAnsi"/>
          <w:lang w:val="en-US"/>
        </w:rPr>
        <w:footnoteReference w:id="4"/>
      </w:r>
      <w:r w:rsidRPr="00352165">
        <w:rPr>
          <w:rFonts w:asciiTheme="minorHAnsi" w:hAnsiTheme="minorHAnsi" w:cstheme="minorHAnsi"/>
          <w:lang w:val="en-US"/>
        </w:rPr>
        <w:t xml:space="preserve"> Therefore, largely as a result of government housing </w:t>
      </w:r>
      <w:proofErr w:type="spellStart"/>
      <w:r w:rsidRPr="00352165">
        <w:rPr>
          <w:rFonts w:asciiTheme="minorHAnsi" w:hAnsiTheme="minorHAnsi" w:cstheme="minorHAnsi"/>
          <w:lang w:val="en-US"/>
        </w:rPr>
        <w:t>programmes</w:t>
      </w:r>
      <w:proofErr w:type="spellEnd"/>
      <w:r w:rsidRPr="00352165">
        <w:rPr>
          <w:rFonts w:asciiTheme="minorHAnsi" w:hAnsiTheme="minorHAnsi" w:cstheme="minorHAnsi"/>
          <w:lang w:val="en-US"/>
        </w:rPr>
        <w:t xml:space="preserve">, the majority of the residential property market is actually </w:t>
      </w:r>
      <w:r w:rsidR="00B82F42" w:rsidRPr="00352165">
        <w:rPr>
          <w:rFonts w:asciiTheme="minorHAnsi" w:hAnsiTheme="minorHAnsi" w:cstheme="minorHAnsi"/>
          <w:lang w:val="en-US"/>
        </w:rPr>
        <w:t>valued below R600</w:t>
      </w:r>
      <w:r w:rsidR="00E907F3">
        <w:rPr>
          <w:rFonts w:asciiTheme="minorHAnsi" w:hAnsiTheme="minorHAnsi" w:cstheme="minorHAnsi"/>
          <w:lang w:val="en-US"/>
        </w:rPr>
        <w:t> </w:t>
      </w:r>
      <w:r w:rsidR="00B82F42" w:rsidRPr="00352165">
        <w:rPr>
          <w:rFonts w:asciiTheme="minorHAnsi" w:hAnsiTheme="minorHAnsi" w:cstheme="minorHAnsi"/>
          <w:lang w:val="en-US"/>
        </w:rPr>
        <w:t>000</w:t>
      </w:r>
      <w:r w:rsidR="00E907F3">
        <w:rPr>
          <w:rFonts w:asciiTheme="minorHAnsi" w:hAnsiTheme="minorHAnsi" w:cstheme="minorHAnsi"/>
          <w:lang w:val="en-US"/>
        </w:rPr>
        <w:t xml:space="preserve"> (32 698 USD)</w:t>
      </w:r>
      <w:r w:rsidR="00B82F42" w:rsidRPr="00352165">
        <w:rPr>
          <w:rFonts w:asciiTheme="minorHAnsi" w:hAnsiTheme="minorHAnsi" w:cstheme="minorHAnsi"/>
          <w:lang w:val="en-US"/>
        </w:rPr>
        <w:t xml:space="preserve">—at the end of 2021, </w:t>
      </w:r>
      <w:r w:rsidRPr="00352165">
        <w:rPr>
          <w:rFonts w:asciiTheme="minorHAnsi" w:hAnsiTheme="minorHAnsi" w:cstheme="minorHAnsi"/>
          <w:lang w:val="en-US"/>
        </w:rPr>
        <w:t>5</w:t>
      </w:r>
      <w:r w:rsidR="00B82F42" w:rsidRPr="00352165">
        <w:rPr>
          <w:rFonts w:asciiTheme="minorHAnsi" w:hAnsiTheme="minorHAnsi" w:cstheme="minorHAnsi"/>
          <w:lang w:val="en-US"/>
        </w:rPr>
        <w:t>2</w:t>
      </w:r>
      <w:r w:rsidRPr="00352165">
        <w:rPr>
          <w:rFonts w:asciiTheme="minorHAnsi" w:hAnsiTheme="minorHAnsi" w:cstheme="minorHAnsi"/>
          <w:lang w:val="en-US"/>
        </w:rPr>
        <w:t>% of residential properties (3.</w:t>
      </w:r>
      <w:r w:rsidR="00B82F42" w:rsidRPr="00352165">
        <w:rPr>
          <w:rFonts w:asciiTheme="minorHAnsi" w:hAnsiTheme="minorHAnsi" w:cstheme="minorHAnsi"/>
          <w:lang w:val="en-US"/>
        </w:rPr>
        <w:t>46</w:t>
      </w:r>
      <w:r w:rsidRPr="00352165">
        <w:rPr>
          <w:rFonts w:asciiTheme="minorHAnsi" w:hAnsiTheme="minorHAnsi" w:cstheme="minorHAnsi"/>
          <w:lang w:val="en-US"/>
        </w:rPr>
        <w:t xml:space="preserve"> million) f</w:t>
      </w:r>
      <w:r w:rsidR="00E47C3E" w:rsidRPr="00352165">
        <w:rPr>
          <w:rFonts w:asciiTheme="minorHAnsi" w:hAnsiTheme="minorHAnsi" w:cstheme="minorHAnsi"/>
          <w:lang w:val="en-US"/>
        </w:rPr>
        <w:t>e</w:t>
      </w:r>
      <w:r w:rsidRPr="00352165">
        <w:rPr>
          <w:rFonts w:asciiTheme="minorHAnsi" w:hAnsiTheme="minorHAnsi" w:cstheme="minorHAnsi"/>
          <w:lang w:val="en-US"/>
        </w:rPr>
        <w:t>ll in the affordable category below R600 000, as shown in the figure below.</w:t>
      </w:r>
    </w:p>
    <w:p w14:paraId="768800EA" w14:textId="67345A33" w:rsidR="006F283B" w:rsidRPr="00352165" w:rsidRDefault="006F283B" w:rsidP="00767FA7">
      <w:pPr>
        <w:spacing w:after="120"/>
        <w:contextualSpacing/>
        <w:rPr>
          <w:rFonts w:asciiTheme="minorHAnsi" w:hAnsiTheme="minorHAnsi" w:cstheme="minorHAnsi"/>
          <w:lang w:val="en-US"/>
        </w:rPr>
      </w:pPr>
    </w:p>
    <w:p w14:paraId="3D52B4FB" w14:textId="7C7D7049" w:rsidR="00B64132" w:rsidRPr="00352165" w:rsidRDefault="00B64132" w:rsidP="00DA2AD2">
      <w:pPr>
        <w:spacing w:after="120"/>
        <w:contextualSpacing/>
        <w:rPr>
          <w:rFonts w:asciiTheme="minorHAnsi" w:hAnsiTheme="minorHAnsi" w:cstheme="minorHAnsi"/>
          <w:lang w:val="en-US"/>
        </w:rPr>
      </w:pPr>
      <w:r w:rsidRPr="00352165">
        <w:rPr>
          <w:rFonts w:asciiTheme="minorHAnsi" w:hAnsiTheme="minorHAnsi" w:cstheme="minorHAnsi"/>
          <w:noProof/>
          <w:lang w:eastAsia="en-GB"/>
        </w:rPr>
        <w:lastRenderedPageBreak/>
        <w:drawing>
          <wp:inline distT="0" distB="0" distL="0" distR="0" wp14:anchorId="4ED3BEA4" wp14:editId="1C8CB24A">
            <wp:extent cx="2435738" cy="2511545"/>
            <wp:effectExtent l="0" t="0" r="3175" b="3175"/>
            <wp:docPr id="6484413" name="Picture 6484413">
              <a:extLst xmlns:a="http://schemas.openxmlformats.org/drawingml/2006/main">
                <a:ext uri="{FF2B5EF4-FFF2-40B4-BE49-F238E27FC236}">
                  <a16:creationId xmlns:a16="http://schemas.microsoft.com/office/drawing/2014/main" id="{40F006B5-BEB3-001C-7F5B-65FC7B23D7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0F006B5-BEB3-001C-7F5B-65FC7B23D73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6072" cy="2542823"/>
                    </a:xfrm>
                    <a:prstGeom prst="rect">
                      <a:avLst/>
                    </a:prstGeom>
                  </pic:spPr>
                </pic:pic>
              </a:graphicData>
            </a:graphic>
          </wp:inline>
        </w:drawing>
      </w:r>
    </w:p>
    <w:p w14:paraId="77E968FE" w14:textId="77777777" w:rsidR="00B64132" w:rsidRPr="00352165" w:rsidRDefault="00B64132" w:rsidP="00DA2AD2">
      <w:pPr>
        <w:spacing w:after="120"/>
        <w:contextualSpacing/>
        <w:rPr>
          <w:rFonts w:asciiTheme="minorHAnsi" w:hAnsiTheme="minorHAnsi" w:cstheme="minorHAnsi"/>
          <w:lang w:val="en-US"/>
        </w:rPr>
      </w:pPr>
    </w:p>
    <w:p w14:paraId="4DAAB31F" w14:textId="519777C9" w:rsidR="00B64132" w:rsidRPr="00352165" w:rsidRDefault="00B64132" w:rsidP="00DA2AD2">
      <w:pPr>
        <w:spacing w:after="120"/>
        <w:contextualSpacing/>
        <w:rPr>
          <w:rFonts w:asciiTheme="minorHAnsi" w:hAnsiTheme="minorHAnsi" w:cstheme="minorHAnsi"/>
          <w:lang w:val="en-US"/>
        </w:rPr>
      </w:pPr>
      <w:proofErr w:type="gramStart"/>
      <w:r w:rsidRPr="00352165">
        <w:rPr>
          <w:rFonts w:asciiTheme="minorHAnsi" w:hAnsiTheme="minorHAnsi" w:cstheme="minorHAnsi"/>
          <w:lang w:val="en-US"/>
        </w:rPr>
        <w:t>However</w:t>
      </w:r>
      <w:proofErr w:type="gramEnd"/>
      <w:r w:rsidRPr="00352165">
        <w:rPr>
          <w:rFonts w:asciiTheme="minorHAnsi" w:hAnsiTheme="minorHAnsi" w:cstheme="minorHAnsi"/>
          <w:lang w:val="en-US"/>
        </w:rPr>
        <w:t xml:space="preserve"> the stock of houses in the lower market segments has been declining, while the stock at the high end is rising</w:t>
      </w:r>
      <w:r w:rsidR="00E47C3E" w:rsidRPr="00352165">
        <w:rPr>
          <w:rFonts w:asciiTheme="minorHAnsi" w:hAnsiTheme="minorHAnsi" w:cstheme="minorHAnsi"/>
          <w:lang w:val="en-US"/>
        </w:rPr>
        <w:t>, as shown in the figure below.</w:t>
      </w:r>
    </w:p>
    <w:p w14:paraId="1AFCDC62" w14:textId="77777777" w:rsidR="00B64132" w:rsidRPr="00352165" w:rsidRDefault="00B64132" w:rsidP="00DA2AD2">
      <w:pPr>
        <w:spacing w:after="120"/>
        <w:contextualSpacing/>
        <w:rPr>
          <w:rFonts w:asciiTheme="minorHAnsi" w:hAnsiTheme="minorHAnsi" w:cstheme="minorHAnsi"/>
          <w:lang w:val="en-US"/>
        </w:rPr>
      </w:pPr>
    </w:p>
    <w:p w14:paraId="02E9F183" w14:textId="6167CB46" w:rsidR="00B64132" w:rsidRPr="00352165" w:rsidRDefault="00B64132" w:rsidP="00DA2AD2">
      <w:pPr>
        <w:spacing w:after="120"/>
        <w:contextualSpacing/>
        <w:rPr>
          <w:rFonts w:asciiTheme="minorHAnsi" w:hAnsiTheme="minorHAnsi" w:cstheme="minorHAnsi"/>
          <w:lang w:val="en-US"/>
        </w:rPr>
      </w:pPr>
      <w:r w:rsidRPr="00352165">
        <w:rPr>
          <w:rFonts w:asciiTheme="minorHAnsi" w:hAnsiTheme="minorHAnsi" w:cstheme="minorHAnsi"/>
          <w:noProof/>
          <w:lang w:eastAsia="en-GB"/>
        </w:rPr>
        <w:lastRenderedPageBreak/>
        <w:drawing>
          <wp:inline distT="0" distB="0" distL="0" distR="0" wp14:anchorId="6F861C07" wp14:editId="1DD9C3F2">
            <wp:extent cx="2798959" cy="2180186"/>
            <wp:effectExtent l="0" t="0" r="1905" b="0"/>
            <wp:docPr id="2135054841" name="Picture 2135054841">
              <a:extLst xmlns:a="http://schemas.openxmlformats.org/drawingml/2006/main">
                <a:ext uri="{FF2B5EF4-FFF2-40B4-BE49-F238E27FC236}">
                  <a16:creationId xmlns:a16="http://schemas.microsoft.com/office/drawing/2014/main" id="{70B75E1A-C02F-8FAF-586E-1CB5F676D0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0B75E1A-C02F-8FAF-586E-1CB5F676D0EF}"/>
                        </a:ext>
                      </a:extLst>
                    </pic:cNvPr>
                    <pic:cNvPicPr>
                      <a:picLocks noChangeAspect="1"/>
                    </pic:cNvPicPr>
                  </pic:nvPicPr>
                  <pic:blipFill>
                    <a:blip r:embed="rId13"/>
                    <a:stretch>
                      <a:fillRect/>
                    </a:stretch>
                  </pic:blipFill>
                  <pic:spPr>
                    <a:xfrm>
                      <a:off x="0" y="0"/>
                      <a:ext cx="2815305" cy="2192918"/>
                    </a:xfrm>
                    <a:prstGeom prst="rect">
                      <a:avLst/>
                    </a:prstGeom>
                  </pic:spPr>
                </pic:pic>
              </a:graphicData>
            </a:graphic>
          </wp:inline>
        </w:drawing>
      </w:r>
    </w:p>
    <w:p w14:paraId="0F8F144E" w14:textId="77777777" w:rsidR="00B64132" w:rsidRPr="00352165" w:rsidRDefault="00B64132" w:rsidP="00DA2AD2">
      <w:pPr>
        <w:spacing w:after="120"/>
        <w:contextualSpacing/>
        <w:rPr>
          <w:rFonts w:asciiTheme="minorHAnsi" w:hAnsiTheme="minorHAnsi" w:cstheme="minorHAnsi"/>
          <w:lang w:val="en-US"/>
        </w:rPr>
      </w:pPr>
    </w:p>
    <w:p w14:paraId="32C2222A" w14:textId="63E2D194" w:rsidR="00DA2AD2" w:rsidRPr="00352165" w:rsidRDefault="00767FA7" w:rsidP="00DA2AD2">
      <w:pPr>
        <w:spacing w:after="120"/>
        <w:contextualSpacing/>
        <w:rPr>
          <w:rFonts w:asciiTheme="minorHAnsi" w:hAnsiTheme="minorHAnsi" w:cstheme="minorHAnsi"/>
          <w:lang w:val="en-US"/>
        </w:rPr>
      </w:pPr>
      <w:r w:rsidRPr="00352165">
        <w:rPr>
          <w:rFonts w:asciiTheme="minorHAnsi" w:hAnsiTheme="minorHAnsi" w:cstheme="minorHAnsi"/>
          <w:lang w:val="en-US"/>
        </w:rPr>
        <w:t xml:space="preserve">Government housing </w:t>
      </w:r>
      <w:proofErr w:type="spellStart"/>
      <w:r w:rsidRPr="00352165">
        <w:rPr>
          <w:rFonts w:asciiTheme="minorHAnsi" w:hAnsiTheme="minorHAnsi" w:cstheme="minorHAnsi"/>
          <w:lang w:val="en-US"/>
        </w:rPr>
        <w:t>programmes</w:t>
      </w:r>
      <w:proofErr w:type="spellEnd"/>
      <w:r w:rsidRPr="00352165">
        <w:rPr>
          <w:rFonts w:asciiTheme="minorHAnsi" w:hAnsiTheme="minorHAnsi" w:cstheme="minorHAnsi"/>
          <w:lang w:val="en-US"/>
        </w:rPr>
        <w:t xml:space="preserve"> are responsible for a significant share of the </w:t>
      </w:r>
      <w:r w:rsidRPr="00352165">
        <w:rPr>
          <w:rFonts w:asciiTheme="minorHAnsi" w:hAnsiTheme="minorHAnsi" w:cstheme="minorHAnsi"/>
          <w:b/>
          <w:bCs/>
          <w:lang w:val="en-US"/>
        </w:rPr>
        <w:t>new build</w:t>
      </w:r>
      <w:r w:rsidRPr="00352165">
        <w:rPr>
          <w:rFonts w:asciiTheme="minorHAnsi" w:hAnsiTheme="minorHAnsi" w:cstheme="minorHAnsi"/>
          <w:lang w:val="en-US"/>
        </w:rPr>
        <w:t xml:space="preserve"> market: </w:t>
      </w:r>
      <w:r w:rsidR="003D1CCB" w:rsidRPr="00352165">
        <w:rPr>
          <w:rFonts w:asciiTheme="minorHAnsi" w:hAnsiTheme="minorHAnsi" w:cstheme="minorHAnsi"/>
          <w:lang w:val="en-US"/>
        </w:rPr>
        <w:t>32</w:t>
      </w:r>
      <w:r w:rsidRPr="00352165">
        <w:rPr>
          <w:rFonts w:asciiTheme="minorHAnsi" w:hAnsiTheme="minorHAnsi" w:cstheme="minorHAnsi"/>
          <w:lang w:val="en-US"/>
        </w:rPr>
        <w:t xml:space="preserve">% of new residential transactions in </w:t>
      </w:r>
      <w:r w:rsidR="003D1CCB" w:rsidRPr="00352165">
        <w:rPr>
          <w:rFonts w:asciiTheme="minorHAnsi" w:hAnsiTheme="minorHAnsi" w:cstheme="minorHAnsi"/>
          <w:lang w:val="en-US"/>
        </w:rPr>
        <w:t>2021</w:t>
      </w:r>
      <w:r w:rsidRPr="00352165">
        <w:rPr>
          <w:rFonts w:asciiTheme="minorHAnsi" w:hAnsiTheme="minorHAnsi" w:cstheme="minorHAnsi"/>
          <w:lang w:val="en-US"/>
        </w:rPr>
        <w:t xml:space="preserve"> (</w:t>
      </w:r>
      <w:r w:rsidR="003D1CCB" w:rsidRPr="00352165">
        <w:rPr>
          <w:rFonts w:asciiTheme="minorHAnsi" w:hAnsiTheme="minorHAnsi" w:cstheme="minorHAnsi"/>
          <w:lang w:val="en-US"/>
        </w:rPr>
        <w:t>approximately 20 000</w:t>
      </w:r>
      <w:r w:rsidRPr="00352165">
        <w:rPr>
          <w:rFonts w:asciiTheme="minorHAnsi" w:hAnsiTheme="minorHAnsi" w:cstheme="minorHAnsi"/>
          <w:lang w:val="en-US"/>
        </w:rPr>
        <w:t xml:space="preserve"> transactions) were government-</w:t>
      </w:r>
      <w:proofErr w:type="spellStart"/>
      <w:r w:rsidRPr="00352165">
        <w:rPr>
          <w:rFonts w:asciiTheme="minorHAnsi" w:hAnsiTheme="minorHAnsi" w:cstheme="minorHAnsi"/>
          <w:lang w:val="en-US"/>
        </w:rPr>
        <w:t>subsidised</w:t>
      </w:r>
      <w:proofErr w:type="spellEnd"/>
      <w:r w:rsidRPr="00352165">
        <w:rPr>
          <w:rFonts w:asciiTheme="minorHAnsi" w:hAnsiTheme="minorHAnsi" w:cstheme="minorHAnsi"/>
          <w:lang w:val="en-US"/>
        </w:rPr>
        <w:t xml:space="preserve"> houses. Indeed, </w:t>
      </w:r>
      <w:r w:rsidRPr="00352165">
        <w:rPr>
          <w:rFonts w:asciiTheme="minorHAnsi" w:hAnsiTheme="minorHAnsi" w:cstheme="minorHAnsi"/>
          <w:b/>
          <w:bCs/>
          <w:lang w:val="en-US"/>
        </w:rPr>
        <w:t>new housing stock at the lower end of the market is almost entirely the result of government intervention</w:t>
      </w:r>
      <w:r w:rsidRPr="00352165">
        <w:rPr>
          <w:rFonts w:asciiTheme="minorHAnsi" w:hAnsiTheme="minorHAnsi" w:cstheme="minorHAnsi"/>
          <w:lang w:val="en-US"/>
        </w:rPr>
        <w:t>: in 20</w:t>
      </w:r>
      <w:r w:rsidR="003D1CCB" w:rsidRPr="00352165">
        <w:rPr>
          <w:rFonts w:asciiTheme="minorHAnsi" w:hAnsiTheme="minorHAnsi" w:cstheme="minorHAnsi"/>
          <w:lang w:val="en-US"/>
        </w:rPr>
        <w:t>21</w:t>
      </w:r>
      <w:r w:rsidRPr="00352165">
        <w:rPr>
          <w:rFonts w:asciiTheme="minorHAnsi" w:hAnsiTheme="minorHAnsi" w:cstheme="minorHAnsi"/>
          <w:lang w:val="en-US"/>
        </w:rPr>
        <w:t xml:space="preserve"> </w:t>
      </w:r>
      <w:r w:rsidR="003D1CCB" w:rsidRPr="00352165">
        <w:rPr>
          <w:rFonts w:asciiTheme="minorHAnsi" w:hAnsiTheme="minorHAnsi" w:cstheme="minorHAnsi"/>
          <w:lang w:val="en-US"/>
        </w:rPr>
        <w:t>86</w:t>
      </w:r>
      <w:r w:rsidRPr="00352165">
        <w:rPr>
          <w:rFonts w:asciiTheme="minorHAnsi" w:hAnsiTheme="minorHAnsi" w:cstheme="minorHAnsi"/>
          <w:lang w:val="en-US"/>
        </w:rPr>
        <w:t xml:space="preserve">% of new residential transactions in the under R300 000 market segment were </w:t>
      </w:r>
      <w:r w:rsidR="003D1CCB" w:rsidRPr="00352165">
        <w:rPr>
          <w:rFonts w:asciiTheme="minorHAnsi" w:hAnsiTheme="minorHAnsi" w:cstheme="minorHAnsi"/>
          <w:lang w:val="en-US"/>
        </w:rPr>
        <w:t>built by government</w:t>
      </w:r>
      <w:r w:rsidRPr="00352165">
        <w:rPr>
          <w:rFonts w:asciiTheme="minorHAnsi" w:hAnsiTheme="minorHAnsi" w:cstheme="minorHAnsi"/>
          <w:lang w:val="en-US"/>
        </w:rPr>
        <w:t xml:space="preserve">. </w:t>
      </w:r>
    </w:p>
    <w:p w14:paraId="25B8848F" w14:textId="77777777" w:rsidR="00DA2AD2" w:rsidRPr="00352165" w:rsidRDefault="00DA2AD2" w:rsidP="00767FA7">
      <w:pPr>
        <w:spacing w:after="120"/>
        <w:contextualSpacing/>
        <w:rPr>
          <w:rFonts w:asciiTheme="minorHAnsi" w:hAnsiTheme="minorHAnsi" w:cstheme="minorHAnsi"/>
          <w:lang w:val="en-US"/>
        </w:rPr>
      </w:pPr>
    </w:p>
    <w:p w14:paraId="67608E1D" w14:textId="71FEBE3D" w:rsidR="00D15E89" w:rsidRPr="00352165" w:rsidRDefault="00DA2AD2" w:rsidP="00767FA7">
      <w:pPr>
        <w:spacing w:after="120"/>
        <w:contextualSpacing/>
        <w:rPr>
          <w:rFonts w:asciiTheme="minorHAnsi" w:hAnsiTheme="minorHAnsi" w:cstheme="minorHAnsi"/>
          <w:lang w:val="en-US"/>
        </w:rPr>
      </w:pPr>
      <w:r w:rsidRPr="00352165">
        <w:rPr>
          <w:rFonts w:asciiTheme="minorHAnsi" w:hAnsiTheme="minorHAnsi" w:cstheme="minorHAnsi"/>
          <w:lang w:val="en-US"/>
        </w:rPr>
        <w:t>I</w:t>
      </w:r>
      <w:r w:rsidR="00767FA7" w:rsidRPr="00352165">
        <w:rPr>
          <w:rFonts w:asciiTheme="minorHAnsi" w:hAnsiTheme="minorHAnsi" w:cstheme="minorHAnsi"/>
          <w:lang w:val="en-US"/>
        </w:rPr>
        <w:t>f a low income household is unable to obtain a government-</w:t>
      </w:r>
      <w:proofErr w:type="spellStart"/>
      <w:r w:rsidR="00767FA7" w:rsidRPr="00352165">
        <w:rPr>
          <w:rFonts w:asciiTheme="minorHAnsi" w:hAnsiTheme="minorHAnsi" w:cstheme="minorHAnsi"/>
          <w:lang w:val="en-US"/>
        </w:rPr>
        <w:t>subsidised</w:t>
      </w:r>
      <w:proofErr w:type="spellEnd"/>
      <w:r w:rsidR="00767FA7" w:rsidRPr="00352165">
        <w:rPr>
          <w:rFonts w:asciiTheme="minorHAnsi" w:hAnsiTheme="minorHAnsi" w:cstheme="minorHAnsi"/>
          <w:lang w:val="en-US"/>
        </w:rPr>
        <w:t xml:space="preserve"> house, then the only other option for obtaining a </w:t>
      </w:r>
      <w:r w:rsidR="00767FA7" w:rsidRPr="00352165">
        <w:rPr>
          <w:rFonts w:asciiTheme="minorHAnsi" w:hAnsiTheme="minorHAnsi" w:cstheme="minorHAnsi"/>
          <w:i/>
          <w:iCs/>
          <w:lang w:val="en-US"/>
        </w:rPr>
        <w:t>new</w:t>
      </w:r>
      <w:r w:rsidR="00767FA7" w:rsidRPr="00352165">
        <w:rPr>
          <w:rFonts w:asciiTheme="minorHAnsi" w:hAnsiTheme="minorHAnsi" w:cstheme="minorHAnsi"/>
          <w:lang w:val="en-US"/>
        </w:rPr>
        <w:t xml:space="preserve"> unit is to purchase one from a </w:t>
      </w:r>
      <w:r w:rsidR="006F283B" w:rsidRPr="00352165">
        <w:rPr>
          <w:rFonts w:asciiTheme="minorHAnsi" w:hAnsiTheme="minorHAnsi" w:cstheme="minorHAnsi"/>
          <w:lang w:val="en-US"/>
        </w:rPr>
        <w:t xml:space="preserve">private </w:t>
      </w:r>
      <w:r w:rsidR="00767FA7" w:rsidRPr="00352165">
        <w:rPr>
          <w:rFonts w:asciiTheme="minorHAnsi" w:hAnsiTheme="minorHAnsi" w:cstheme="minorHAnsi"/>
          <w:lang w:val="en-US"/>
        </w:rPr>
        <w:t>developer</w:t>
      </w:r>
      <w:r w:rsidR="006F283B" w:rsidRPr="00352165">
        <w:rPr>
          <w:rFonts w:asciiTheme="minorHAnsi" w:hAnsiTheme="minorHAnsi" w:cstheme="minorHAnsi"/>
          <w:lang w:val="en-US"/>
        </w:rPr>
        <w:t xml:space="preserve"> or to self-build</w:t>
      </w:r>
      <w:r w:rsidR="00767FA7" w:rsidRPr="00352165">
        <w:rPr>
          <w:rFonts w:asciiTheme="minorHAnsi" w:hAnsiTheme="minorHAnsi" w:cstheme="minorHAnsi"/>
          <w:lang w:val="en-US"/>
        </w:rPr>
        <w:t xml:space="preserve">.  </w:t>
      </w:r>
      <w:r w:rsidR="00E729EB" w:rsidRPr="00352165">
        <w:rPr>
          <w:rFonts w:asciiTheme="minorHAnsi" w:hAnsiTheme="minorHAnsi" w:cstheme="minorHAnsi"/>
          <w:lang w:val="en-US"/>
        </w:rPr>
        <w:t>However, in recent years, we are seeing few</w:t>
      </w:r>
      <w:r w:rsidR="00E47C3E" w:rsidRPr="00352165">
        <w:rPr>
          <w:rFonts w:asciiTheme="minorHAnsi" w:hAnsiTheme="minorHAnsi" w:cstheme="minorHAnsi"/>
          <w:lang w:val="en-US"/>
        </w:rPr>
        <w:t xml:space="preserve"> private developers building new units </w:t>
      </w:r>
      <w:r w:rsidR="00E729EB" w:rsidRPr="00352165">
        <w:rPr>
          <w:rFonts w:asciiTheme="minorHAnsi" w:hAnsiTheme="minorHAnsi" w:cstheme="minorHAnsi"/>
          <w:lang w:val="en-US"/>
        </w:rPr>
        <w:t>in the lowest market segment. It is ra</w:t>
      </w:r>
      <w:r w:rsidR="00EE0FA0" w:rsidRPr="00352165">
        <w:rPr>
          <w:rFonts w:asciiTheme="minorHAnsi" w:hAnsiTheme="minorHAnsi" w:cstheme="minorHAnsi"/>
          <w:lang w:val="en-US"/>
        </w:rPr>
        <w:t>r</w:t>
      </w:r>
      <w:r w:rsidR="00E729EB" w:rsidRPr="00352165">
        <w:rPr>
          <w:rFonts w:asciiTheme="minorHAnsi" w:hAnsiTheme="minorHAnsi" w:cstheme="minorHAnsi"/>
          <w:lang w:val="en-US"/>
        </w:rPr>
        <w:t xml:space="preserve">e to find private developers building houses </w:t>
      </w:r>
      <w:r w:rsidR="00E729EB" w:rsidRPr="00352165">
        <w:rPr>
          <w:rFonts w:asciiTheme="minorHAnsi" w:hAnsiTheme="minorHAnsi" w:cstheme="minorHAnsi"/>
          <w:lang w:val="en-US"/>
        </w:rPr>
        <w:lastRenderedPageBreak/>
        <w:t>priced below R750</w:t>
      </w:r>
      <w:r w:rsidR="00E907F3">
        <w:rPr>
          <w:rFonts w:asciiTheme="minorHAnsi" w:hAnsiTheme="minorHAnsi" w:cstheme="minorHAnsi"/>
          <w:lang w:val="en-US"/>
        </w:rPr>
        <w:t> </w:t>
      </w:r>
      <w:r w:rsidR="00E729EB" w:rsidRPr="00352165">
        <w:rPr>
          <w:rFonts w:asciiTheme="minorHAnsi" w:hAnsiTheme="minorHAnsi" w:cstheme="minorHAnsi"/>
          <w:lang w:val="en-US"/>
        </w:rPr>
        <w:t>000</w:t>
      </w:r>
      <w:r w:rsidR="00E907F3">
        <w:rPr>
          <w:rFonts w:asciiTheme="minorHAnsi" w:hAnsiTheme="minorHAnsi" w:cstheme="minorHAnsi"/>
          <w:lang w:val="en-US"/>
        </w:rPr>
        <w:t xml:space="preserve"> (40 872 USD)</w:t>
      </w:r>
      <w:r w:rsidR="00E729EB" w:rsidRPr="00352165">
        <w:rPr>
          <w:rFonts w:asciiTheme="minorHAnsi" w:hAnsiTheme="minorHAnsi" w:cstheme="minorHAnsi"/>
          <w:lang w:val="en-US"/>
        </w:rPr>
        <w:t xml:space="preserve">, </w:t>
      </w:r>
      <w:r w:rsidR="00D15E89" w:rsidRPr="00352165">
        <w:rPr>
          <w:rFonts w:asciiTheme="minorHAnsi" w:hAnsiTheme="minorHAnsi" w:cstheme="minorHAnsi"/>
          <w:lang w:val="en-US"/>
        </w:rPr>
        <w:t xml:space="preserve">as most developers feel </w:t>
      </w:r>
      <w:r w:rsidR="00E729EB" w:rsidRPr="00352165">
        <w:rPr>
          <w:rFonts w:asciiTheme="minorHAnsi" w:hAnsiTheme="minorHAnsi" w:cstheme="minorHAnsi"/>
          <w:lang w:val="en-US"/>
        </w:rPr>
        <w:t xml:space="preserve">the </w:t>
      </w:r>
      <w:r w:rsidR="00D15E89" w:rsidRPr="00352165">
        <w:rPr>
          <w:rFonts w:asciiTheme="minorHAnsi" w:hAnsiTheme="minorHAnsi" w:cstheme="minorHAnsi"/>
          <w:lang w:val="en-US"/>
        </w:rPr>
        <w:t xml:space="preserve">project </w:t>
      </w:r>
      <w:r w:rsidR="00E729EB" w:rsidRPr="00352165">
        <w:rPr>
          <w:rFonts w:asciiTheme="minorHAnsi" w:hAnsiTheme="minorHAnsi" w:cstheme="minorHAnsi"/>
          <w:lang w:val="en-US"/>
        </w:rPr>
        <w:t xml:space="preserve">costing is not viable. </w:t>
      </w:r>
      <w:r w:rsidR="00767FA7" w:rsidRPr="00352165">
        <w:rPr>
          <w:rFonts w:asciiTheme="minorHAnsi" w:hAnsiTheme="minorHAnsi" w:cstheme="minorHAnsi"/>
          <w:lang w:val="en-US"/>
        </w:rPr>
        <w:t xml:space="preserve">Research from CAHF </w:t>
      </w:r>
      <w:r w:rsidR="00EE0FA0" w:rsidRPr="00352165">
        <w:rPr>
          <w:rFonts w:asciiTheme="minorHAnsi" w:hAnsiTheme="minorHAnsi" w:cstheme="minorHAnsi"/>
          <w:lang w:val="en-US"/>
        </w:rPr>
        <w:t>report</w:t>
      </w:r>
      <w:r w:rsidR="00767FA7" w:rsidRPr="00352165">
        <w:rPr>
          <w:rFonts w:asciiTheme="minorHAnsi" w:hAnsiTheme="minorHAnsi" w:cstheme="minorHAnsi"/>
          <w:lang w:val="en-US"/>
        </w:rPr>
        <w:t>s that the cheapest newly-built house being produced and sold in South Africa</w:t>
      </w:r>
      <w:r w:rsidR="00EE0FA0" w:rsidRPr="00352165">
        <w:rPr>
          <w:rFonts w:asciiTheme="minorHAnsi" w:hAnsiTheme="minorHAnsi" w:cstheme="minorHAnsi"/>
          <w:lang w:val="en-US"/>
        </w:rPr>
        <w:t xml:space="preserve"> in urban areas in 2022</w:t>
      </w:r>
      <w:r w:rsidR="00767FA7" w:rsidRPr="00352165">
        <w:rPr>
          <w:rFonts w:asciiTheme="minorHAnsi" w:hAnsiTheme="minorHAnsi" w:cstheme="minorHAnsi"/>
          <w:lang w:val="en-US"/>
        </w:rPr>
        <w:t xml:space="preserve"> </w:t>
      </w:r>
      <w:r w:rsidR="00E47C3E" w:rsidRPr="00352165">
        <w:rPr>
          <w:rFonts w:asciiTheme="minorHAnsi" w:hAnsiTheme="minorHAnsi" w:cstheme="minorHAnsi"/>
          <w:lang w:val="en-US"/>
        </w:rPr>
        <w:t>wa</w:t>
      </w:r>
      <w:r w:rsidR="00767FA7" w:rsidRPr="00352165">
        <w:rPr>
          <w:rFonts w:asciiTheme="minorHAnsi" w:hAnsiTheme="minorHAnsi" w:cstheme="minorHAnsi"/>
          <w:lang w:val="en-US"/>
        </w:rPr>
        <w:t>s R</w:t>
      </w:r>
      <w:r w:rsidR="00EE0FA0" w:rsidRPr="00352165">
        <w:rPr>
          <w:rFonts w:asciiTheme="minorHAnsi" w:hAnsiTheme="minorHAnsi" w:cstheme="minorHAnsi"/>
          <w:lang w:val="en-US"/>
        </w:rPr>
        <w:t>679</w:t>
      </w:r>
      <w:r w:rsidR="00E907F3">
        <w:rPr>
          <w:rFonts w:asciiTheme="minorHAnsi" w:hAnsiTheme="minorHAnsi" w:cstheme="minorHAnsi"/>
          <w:lang w:val="en-US"/>
        </w:rPr>
        <w:t> </w:t>
      </w:r>
      <w:r w:rsidR="00767FA7" w:rsidRPr="00352165">
        <w:rPr>
          <w:rFonts w:asciiTheme="minorHAnsi" w:hAnsiTheme="minorHAnsi" w:cstheme="minorHAnsi"/>
          <w:lang w:val="en-US"/>
        </w:rPr>
        <w:t>000</w:t>
      </w:r>
      <w:r w:rsidR="00E907F3">
        <w:rPr>
          <w:rFonts w:asciiTheme="minorHAnsi" w:hAnsiTheme="minorHAnsi" w:cstheme="minorHAnsi"/>
          <w:lang w:val="en-US"/>
        </w:rPr>
        <w:t xml:space="preserve">, (37 000 USD) </w:t>
      </w:r>
      <w:r w:rsidR="00767FA7" w:rsidRPr="00352165">
        <w:rPr>
          <w:rFonts w:asciiTheme="minorHAnsi" w:hAnsiTheme="minorHAnsi" w:cstheme="minorHAnsi"/>
          <w:lang w:val="en-US"/>
        </w:rPr>
        <w:t>but supply is limited—as noted in the figures above.</w:t>
      </w:r>
      <w:r w:rsidR="00767FA7" w:rsidRPr="00352165">
        <w:rPr>
          <w:rStyle w:val="FootnoteReference"/>
          <w:rFonts w:asciiTheme="minorHAnsi" w:hAnsiTheme="minorHAnsi" w:cstheme="minorHAnsi"/>
          <w:lang w:val="en-US"/>
        </w:rPr>
        <w:footnoteReference w:id="5"/>
      </w:r>
      <w:r w:rsidR="00767FA7" w:rsidRPr="00352165">
        <w:rPr>
          <w:rFonts w:asciiTheme="minorHAnsi" w:hAnsiTheme="minorHAnsi" w:cstheme="minorHAnsi"/>
          <w:lang w:val="en-US"/>
        </w:rPr>
        <w:t xml:space="preserve">  </w:t>
      </w:r>
    </w:p>
    <w:p w14:paraId="6423D445" w14:textId="77777777" w:rsidR="00D15E89" w:rsidRPr="007C172E" w:rsidRDefault="00D15E89" w:rsidP="00767FA7">
      <w:pPr>
        <w:spacing w:after="120"/>
        <w:contextualSpacing/>
        <w:rPr>
          <w:rFonts w:asciiTheme="minorHAnsi" w:hAnsiTheme="minorHAnsi" w:cstheme="minorHAnsi"/>
          <w:color w:val="0070C0"/>
          <w:lang w:val="en-US"/>
        </w:rPr>
      </w:pPr>
    </w:p>
    <w:p w14:paraId="59BFF816" w14:textId="4D0B5EB4" w:rsidR="00767FA7" w:rsidRDefault="00D15E89" w:rsidP="00767FA7">
      <w:pPr>
        <w:spacing w:after="120"/>
        <w:contextualSpacing/>
        <w:rPr>
          <w:rFonts w:asciiTheme="minorHAnsi" w:hAnsiTheme="minorHAnsi" w:cstheme="minorHAnsi"/>
          <w:lang w:val="en-US"/>
        </w:rPr>
      </w:pPr>
      <w:r w:rsidRPr="00352165">
        <w:rPr>
          <w:rFonts w:asciiTheme="minorHAnsi" w:hAnsiTheme="minorHAnsi" w:cstheme="minorHAnsi"/>
          <w:lang w:val="en-US"/>
        </w:rPr>
        <w:t>On the whole, private de</w:t>
      </w:r>
      <w:r w:rsidR="00450F7D" w:rsidRPr="00352165">
        <w:rPr>
          <w:rFonts w:asciiTheme="minorHAnsi" w:hAnsiTheme="minorHAnsi" w:cstheme="minorHAnsi"/>
          <w:lang w:val="en-US"/>
        </w:rPr>
        <w:t>ve</w:t>
      </w:r>
      <w:r w:rsidRPr="00352165">
        <w:rPr>
          <w:rFonts w:asciiTheme="minorHAnsi" w:hAnsiTheme="minorHAnsi" w:cstheme="minorHAnsi"/>
          <w:lang w:val="en-US"/>
        </w:rPr>
        <w:t xml:space="preserve">lopers are not building new units in the low market segments below R600 000 </w:t>
      </w:r>
      <w:r w:rsidR="00E907F3">
        <w:rPr>
          <w:rFonts w:asciiTheme="minorHAnsi" w:hAnsiTheme="minorHAnsi" w:cstheme="minorHAnsi"/>
          <w:lang w:val="en-US"/>
        </w:rPr>
        <w:t xml:space="preserve">(32 698 USD) </w:t>
      </w:r>
      <w:r w:rsidRPr="00352165">
        <w:rPr>
          <w:rFonts w:asciiTheme="minorHAnsi" w:hAnsiTheme="minorHAnsi" w:cstheme="minorHAnsi"/>
          <w:lang w:val="en-US"/>
        </w:rPr>
        <w:t>or even R900</w:t>
      </w:r>
      <w:r w:rsidR="00E907F3">
        <w:rPr>
          <w:rFonts w:asciiTheme="minorHAnsi" w:hAnsiTheme="minorHAnsi" w:cstheme="minorHAnsi"/>
          <w:lang w:val="en-US"/>
        </w:rPr>
        <w:t> </w:t>
      </w:r>
      <w:r w:rsidRPr="00352165">
        <w:rPr>
          <w:rFonts w:asciiTheme="minorHAnsi" w:hAnsiTheme="minorHAnsi" w:cstheme="minorHAnsi"/>
          <w:lang w:val="en-US"/>
        </w:rPr>
        <w:t>000</w:t>
      </w:r>
      <w:r w:rsidR="00E907F3">
        <w:rPr>
          <w:rFonts w:asciiTheme="minorHAnsi" w:hAnsiTheme="minorHAnsi" w:cstheme="minorHAnsi"/>
          <w:lang w:val="en-US"/>
        </w:rPr>
        <w:t xml:space="preserve"> (49 046 USD)</w:t>
      </w:r>
      <w:r w:rsidRPr="00352165">
        <w:rPr>
          <w:rFonts w:asciiTheme="minorHAnsi" w:hAnsiTheme="minorHAnsi" w:cstheme="minorHAnsi"/>
          <w:lang w:val="en-US"/>
        </w:rPr>
        <w:t>.</w:t>
      </w:r>
      <w:r w:rsidR="00450F7D" w:rsidRPr="00352165">
        <w:rPr>
          <w:rFonts w:asciiTheme="minorHAnsi" w:hAnsiTheme="minorHAnsi" w:cstheme="minorHAnsi"/>
          <w:lang w:val="en-US"/>
        </w:rPr>
        <w:t xml:space="preserve"> </w:t>
      </w:r>
      <w:r w:rsidRPr="00352165">
        <w:rPr>
          <w:rFonts w:asciiTheme="minorHAnsi" w:hAnsiTheme="minorHAnsi" w:cstheme="minorHAnsi"/>
          <w:lang w:val="en-ZA"/>
        </w:rPr>
        <w:t>O</w:t>
      </w:r>
      <w:r w:rsidR="00073DD1" w:rsidRPr="00352165">
        <w:rPr>
          <w:rFonts w:asciiTheme="minorHAnsi" w:hAnsiTheme="minorHAnsi" w:cstheme="minorHAnsi"/>
          <w:lang w:val="en-ZA"/>
        </w:rPr>
        <w:t xml:space="preserve">verall, </w:t>
      </w:r>
      <w:r w:rsidR="00073DD1" w:rsidRPr="00352165">
        <w:rPr>
          <w:rFonts w:asciiTheme="minorHAnsi" w:hAnsiTheme="minorHAnsi" w:cstheme="minorHAnsi"/>
          <w:lang w:val="en-US"/>
        </w:rPr>
        <w:t xml:space="preserve">the number of properties </w:t>
      </w:r>
      <w:r w:rsidRPr="00352165">
        <w:rPr>
          <w:rFonts w:asciiTheme="minorHAnsi" w:hAnsiTheme="minorHAnsi" w:cstheme="minorHAnsi"/>
          <w:lang w:val="en-US"/>
        </w:rPr>
        <w:t>in the lower market segment valued below R600 000</w:t>
      </w:r>
      <w:r w:rsidR="00073DD1" w:rsidRPr="00352165">
        <w:rPr>
          <w:rFonts w:asciiTheme="minorHAnsi" w:hAnsiTheme="minorHAnsi" w:cstheme="minorHAnsi"/>
          <w:lang w:val="en-US"/>
        </w:rPr>
        <w:t xml:space="preserve"> has been falling </w:t>
      </w:r>
      <w:r w:rsidRPr="00352165">
        <w:rPr>
          <w:rFonts w:asciiTheme="minorHAnsi" w:hAnsiTheme="minorHAnsi" w:cstheme="minorHAnsi"/>
          <w:lang w:val="en-US"/>
        </w:rPr>
        <w:t xml:space="preserve">in the last 5 years </w:t>
      </w:r>
      <w:r w:rsidR="00073DD1" w:rsidRPr="00352165">
        <w:rPr>
          <w:rFonts w:asciiTheme="minorHAnsi" w:hAnsiTheme="minorHAnsi" w:cstheme="minorHAnsi"/>
          <w:lang w:val="en-US"/>
        </w:rPr>
        <w:t xml:space="preserve">due to reduced delivery and some of the properties filtering </w:t>
      </w:r>
      <w:r w:rsidRPr="00352165">
        <w:rPr>
          <w:rFonts w:asciiTheme="minorHAnsi" w:hAnsiTheme="minorHAnsi" w:cstheme="minorHAnsi"/>
          <w:lang w:val="en-US"/>
        </w:rPr>
        <w:t>i</w:t>
      </w:r>
      <w:r w:rsidR="00073DD1" w:rsidRPr="00352165">
        <w:rPr>
          <w:rFonts w:asciiTheme="minorHAnsi" w:hAnsiTheme="minorHAnsi" w:cstheme="minorHAnsi"/>
          <w:lang w:val="en-US"/>
        </w:rPr>
        <w:t xml:space="preserve">nto </w:t>
      </w:r>
      <w:r w:rsidRPr="00352165">
        <w:rPr>
          <w:rFonts w:asciiTheme="minorHAnsi" w:hAnsiTheme="minorHAnsi" w:cstheme="minorHAnsi"/>
          <w:lang w:val="en-US"/>
        </w:rPr>
        <w:t>higher market segments</w:t>
      </w:r>
      <w:r w:rsidR="00073DD1" w:rsidRPr="00352165">
        <w:rPr>
          <w:rFonts w:asciiTheme="minorHAnsi" w:hAnsiTheme="minorHAnsi" w:cstheme="minorHAnsi"/>
          <w:lang w:val="en-US"/>
        </w:rPr>
        <w:t xml:space="preserve">. This poses a serious challenge to many South African households whose incomes only allow them to purchase entry </w:t>
      </w:r>
      <w:r w:rsidRPr="00352165">
        <w:rPr>
          <w:rFonts w:asciiTheme="minorHAnsi" w:hAnsiTheme="minorHAnsi" w:cstheme="minorHAnsi"/>
          <w:lang w:val="en-US"/>
        </w:rPr>
        <w:t>level properties valued R600 000 or less</w:t>
      </w:r>
      <w:r w:rsidR="00073DD1" w:rsidRPr="00352165">
        <w:rPr>
          <w:rFonts w:asciiTheme="minorHAnsi" w:hAnsiTheme="minorHAnsi" w:cstheme="minorHAnsi"/>
          <w:lang w:val="en-US"/>
        </w:rPr>
        <w:t xml:space="preserve">. </w:t>
      </w:r>
    </w:p>
    <w:p w14:paraId="69319B93" w14:textId="77777777" w:rsidR="00E907F3" w:rsidRPr="00352165" w:rsidRDefault="00E907F3" w:rsidP="00767FA7">
      <w:pPr>
        <w:spacing w:after="120"/>
        <w:contextualSpacing/>
        <w:rPr>
          <w:rFonts w:asciiTheme="minorHAnsi" w:hAnsiTheme="minorHAnsi" w:cstheme="minorHAnsi"/>
          <w:lang w:val="en-US"/>
        </w:rPr>
      </w:pPr>
    </w:p>
    <w:p w14:paraId="11DDC916" w14:textId="677C4CD5" w:rsidR="00767FA7" w:rsidRPr="00352165" w:rsidRDefault="00767FA7" w:rsidP="00767FA7">
      <w:pPr>
        <w:spacing w:after="120"/>
        <w:contextualSpacing/>
        <w:rPr>
          <w:rFonts w:asciiTheme="minorHAnsi" w:hAnsiTheme="minorHAnsi" w:cstheme="minorHAnsi"/>
          <w:b/>
          <w:bCs/>
          <w:lang w:val="en-US"/>
        </w:rPr>
      </w:pPr>
      <w:r w:rsidRPr="00352165">
        <w:rPr>
          <w:rFonts w:asciiTheme="minorHAnsi" w:hAnsiTheme="minorHAnsi" w:cstheme="minorHAnsi"/>
          <w:b/>
          <w:bCs/>
          <w:lang w:val="en-US"/>
        </w:rPr>
        <w:t>Availability of housing finance</w:t>
      </w:r>
    </w:p>
    <w:p w14:paraId="0913B2F0" w14:textId="77777777" w:rsidR="00EE0FA0" w:rsidRPr="00352165" w:rsidRDefault="00EE0FA0" w:rsidP="00767FA7">
      <w:pPr>
        <w:spacing w:after="120"/>
        <w:contextualSpacing/>
        <w:rPr>
          <w:rFonts w:asciiTheme="minorHAnsi" w:hAnsiTheme="minorHAnsi" w:cstheme="minorHAnsi"/>
          <w:b/>
          <w:bCs/>
          <w:lang w:val="en-US"/>
        </w:rPr>
      </w:pPr>
    </w:p>
    <w:p w14:paraId="31EC27D4" w14:textId="4A786654" w:rsidR="00450F7D" w:rsidRPr="00352165" w:rsidRDefault="00767FA7" w:rsidP="00767FA7">
      <w:pPr>
        <w:spacing w:after="120"/>
        <w:contextualSpacing/>
        <w:rPr>
          <w:rFonts w:asciiTheme="minorHAnsi" w:hAnsiTheme="minorHAnsi" w:cstheme="minorHAnsi"/>
          <w:lang w:val="en-US"/>
        </w:rPr>
      </w:pPr>
      <w:r w:rsidRPr="00352165">
        <w:rPr>
          <w:rFonts w:asciiTheme="minorHAnsi" w:hAnsiTheme="minorHAnsi" w:cstheme="minorHAnsi"/>
          <w:lang w:val="en-US"/>
        </w:rPr>
        <w:t>Housing finance serves as the third critical element in housing affordability, by bridging the gap between household income and the cost of the unit. With a mortgage at current interest rates (1</w:t>
      </w:r>
      <w:r w:rsidR="00296E36" w:rsidRPr="00352165">
        <w:rPr>
          <w:rFonts w:asciiTheme="minorHAnsi" w:hAnsiTheme="minorHAnsi" w:cstheme="minorHAnsi"/>
          <w:lang w:val="en-US"/>
        </w:rPr>
        <w:t>1</w:t>
      </w:r>
      <w:r w:rsidRPr="00352165">
        <w:rPr>
          <w:rFonts w:asciiTheme="minorHAnsi" w:hAnsiTheme="minorHAnsi" w:cstheme="minorHAnsi"/>
          <w:lang w:val="en-US"/>
        </w:rPr>
        <w:t xml:space="preserve">.25%), </w:t>
      </w:r>
      <w:r w:rsidR="00296E36" w:rsidRPr="00352165">
        <w:rPr>
          <w:rFonts w:asciiTheme="minorHAnsi" w:hAnsiTheme="minorHAnsi" w:cstheme="minorHAnsi"/>
          <w:lang w:val="en-US"/>
        </w:rPr>
        <w:t xml:space="preserve">a monthly income of at least R21 300 </w:t>
      </w:r>
      <w:r w:rsidR="00E907F3">
        <w:rPr>
          <w:rFonts w:asciiTheme="minorHAnsi" w:hAnsiTheme="minorHAnsi" w:cstheme="minorHAnsi"/>
          <w:lang w:val="en-US"/>
        </w:rPr>
        <w:t xml:space="preserve">(1 161 USD) </w:t>
      </w:r>
      <w:r w:rsidR="00DA2AD2" w:rsidRPr="00352165">
        <w:rPr>
          <w:rFonts w:asciiTheme="minorHAnsi" w:hAnsiTheme="minorHAnsi" w:cstheme="minorHAnsi"/>
          <w:lang w:val="en-US"/>
        </w:rPr>
        <w:t xml:space="preserve">is needed </w:t>
      </w:r>
      <w:r w:rsidR="00296E36" w:rsidRPr="00352165">
        <w:rPr>
          <w:rFonts w:asciiTheme="minorHAnsi" w:hAnsiTheme="minorHAnsi" w:cstheme="minorHAnsi"/>
          <w:lang w:val="en-US"/>
        </w:rPr>
        <w:t xml:space="preserve">in order to purchase </w:t>
      </w:r>
      <w:r w:rsidRPr="00352165">
        <w:rPr>
          <w:rFonts w:asciiTheme="minorHAnsi" w:hAnsiTheme="minorHAnsi" w:cstheme="minorHAnsi"/>
          <w:lang w:val="en-US"/>
        </w:rPr>
        <w:lastRenderedPageBreak/>
        <w:t xml:space="preserve">the cheapest newly-built house </w:t>
      </w:r>
      <w:r w:rsidR="00DA2AD2" w:rsidRPr="00352165">
        <w:rPr>
          <w:rFonts w:asciiTheme="minorHAnsi" w:hAnsiTheme="minorHAnsi" w:cstheme="minorHAnsi"/>
          <w:lang w:val="en-US"/>
        </w:rPr>
        <w:t>(</w:t>
      </w:r>
      <w:r w:rsidRPr="00352165">
        <w:rPr>
          <w:rFonts w:asciiTheme="minorHAnsi" w:hAnsiTheme="minorHAnsi" w:cstheme="minorHAnsi"/>
          <w:lang w:val="en-US"/>
        </w:rPr>
        <w:t>R</w:t>
      </w:r>
      <w:r w:rsidR="00296E36" w:rsidRPr="00352165">
        <w:rPr>
          <w:rFonts w:asciiTheme="minorHAnsi" w:hAnsiTheme="minorHAnsi" w:cstheme="minorHAnsi"/>
          <w:lang w:val="en-US"/>
        </w:rPr>
        <w:t>679</w:t>
      </w:r>
      <w:r w:rsidR="00E907F3">
        <w:rPr>
          <w:rFonts w:asciiTheme="minorHAnsi" w:hAnsiTheme="minorHAnsi" w:cstheme="minorHAnsi"/>
          <w:lang w:val="en-US"/>
        </w:rPr>
        <w:t> </w:t>
      </w:r>
      <w:r w:rsidRPr="00352165">
        <w:rPr>
          <w:rFonts w:asciiTheme="minorHAnsi" w:hAnsiTheme="minorHAnsi" w:cstheme="minorHAnsi"/>
          <w:lang w:val="en-US"/>
        </w:rPr>
        <w:t>000</w:t>
      </w:r>
      <w:r w:rsidR="00E907F3">
        <w:rPr>
          <w:rFonts w:asciiTheme="minorHAnsi" w:hAnsiTheme="minorHAnsi" w:cstheme="minorHAnsi"/>
          <w:lang w:val="en-US"/>
        </w:rPr>
        <w:t>; 37 000 USD</w:t>
      </w:r>
      <w:r w:rsidR="00DA2AD2" w:rsidRPr="00352165">
        <w:rPr>
          <w:rFonts w:asciiTheme="minorHAnsi" w:hAnsiTheme="minorHAnsi" w:cstheme="minorHAnsi"/>
          <w:lang w:val="en-US"/>
        </w:rPr>
        <w:t>)</w:t>
      </w:r>
      <w:r w:rsidR="00296E36" w:rsidRPr="00352165">
        <w:rPr>
          <w:rFonts w:asciiTheme="minorHAnsi" w:hAnsiTheme="minorHAnsi" w:cstheme="minorHAnsi"/>
          <w:lang w:val="en-US"/>
        </w:rPr>
        <w:t xml:space="preserve"> with a bond</w:t>
      </w:r>
      <w:r w:rsidRPr="00352165">
        <w:rPr>
          <w:rFonts w:asciiTheme="minorHAnsi" w:hAnsiTheme="minorHAnsi" w:cstheme="minorHAnsi"/>
          <w:lang w:val="en-US"/>
        </w:rPr>
        <w:t>.</w:t>
      </w:r>
      <w:r w:rsidRPr="00352165">
        <w:rPr>
          <w:rStyle w:val="FootnoteReference"/>
          <w:rFonts w:asciiTheme="minorHAnsi" w:hAnsiTheme="minorHAnsi" w:cstheme="minorHAnsi"/>
          <w:lang w:val="en-US"/>
        </w:rPr>
        <w:footnoteReference w:id="6"/>
      </w:r>
      <w:r w:rsidRPr="00352165">
        <w:rPr>
          <w:rFonts w:asciiTheme="minorHAnsi" w:hAnsiTheme="minorHAnsi" w:cstheme="minorHAnsi"/>
          <w:lang w:val="en-US"/>
        </w:rPr>
        <w:t xml:space="preserve"> </w:t>
      </w:r>
      <w:r w:rsidR="00DA2AD2" w:rsidRPr="00352165">
        <w:rPr>
          <w:rFonts w:asciiTheme="minorHAnsi" w:hAnsiTheme="minorHAnsi" w:cstheme="minorHAnsi"/>
          <w:lang w:val="en-US"/>
        </w:rPr>
        <w:t>(</w:t>
      </w:r>
      <w:r w:rsidR="003C71C9" w:rsidRPr="00352165">
        <w:rPr>
          <w:rFonts w:asciiTheme="minorHAnsi" w:hAnsiTheme="minorHAnsi" w:cstheme="minorHAnsi"/>
          <w:lang w:val="en-US"/>
        </w:rPr>
        <w:t>This is assuming that a poor credit score or other demands on disposable income do not lead to the mortgage application being declined.</w:t>
      </w:r>
      <w:r w:rsidR="00DA2AD2" w:rsidRPr="00352165">
        <w:rPr>
          <w:rFonts w:asciiTheme="minorHAnsi" w:hAnsiTheme="minorHAnsi" w:cstheme="minorHAnsi"/>
          <w:lang w:val="en-US"/>
        </w:rPr>
        <w:t>)</w:t>
      </w:r>
    </w:p>
    <w:p w14:paraId="0AE3062F" w14:textId="77777777" w:rsidR="00767FA7" w:rsidRPr="00352165" w:rsidRDefault="00767FA7" w:rsidP="00767FA7">
      <w:pPr>
        <w:spacing w:after="120"/>
        <w:contextualSpacing/>
        <w:rPr>
          <w:rFonts w:asciiTheme="minorHAnsi" w:hAnsiTheme="minorHAnsi" w:cstheme="minorHAnsi"/>
          <w:lang w:val="en-US"/>
        </w:rPr>
      </w:pPr>
    </w:p>
    <w:p w14:paraId="015611CB" w14:textId="2F744298" w:rsidR="00352165" w:rsidRPr="00352165" w:rsidRDefault="00767FA7" w:rsidP="00DA2AD2">
      <w:pPr>
        <w:spacing w:after="120"/>
        <w:contextualSpacing/>
        <w:rPr>
          <w:rFonts w:asciiTheme="minorHAnsi" w:hAnsiTheme="minorHAnsi" w:cstheme="minorHAnsi"/>
        </w:rPr>
      </w:pPr>
      <w:r w:rsidRPr="00352165">
        <w:rPr>
          <w:rFonts w:asciiTheme="minorHAnsi" w:hAnsiTheme="minorHAnsi" w:cstheme="minorHAnsi"/>
          <w:lang w:val="en-US"/>
        </w:rPr>
        <w:t xml:space="preserve">However, there has been little growth in the mortgage market in recent years. Mortgage lending </w:t>
      </w:r>
      <w:r w:rsidR="00E47C3E" w:rsidRPr="00352165">
        <w:rPr>
          <w:rFonts w:asciiTheme="minorHAnsi" w:hAnsiTheme="minorHAnsi" w:cstheme="minorHAnsi"/>
          <w:lang w:val="en-US"/>
        </w:rPr>
        <w:t xml:space="preserve">in South Africa </w:t>
      </w:r>
      <w:r w:rsidRPr="00352165">
        <w:rPr>
          <w:rFonts w:asciiTheme="minorHAnsi" w:hAnsiTheme="minorHAnsi" w:cstheme="minorHAnsi"/>
          <w:lang w:val="en-US"/>
        </w:rPr>
        <w:t xml:space="preserve">has largely recovered after the 2008 global financial crisis, but only in the </w:t>
      </w:r>
      <w:r w:rsidR="00DB47D8" w:rsidRPr="00352165">
        <w:rPr>
          <w:rFonts w:asciiTheme="minorHAnsi" w:hAnsiTheme="minorHAnsi" w:cstheme="minorHAnsi"/>
          <w:lang w:val="en-US"/>
        </w:rPr>
        <w:t>middle</w:t>
      </w:r>
      <w:r w:rsidRPr="00352165">
        <w:rPr>
          <w:rFonts w:asciiTheme="minorHAnsi" w:hAnsiTheme="minorHAnsi" w:cstheme="minorHAnsi"/>
          <w:lang w:val="en-US"/>
        </w:rPr>
        <w:t xml:space="preserve"> and high end market</w:t>
      </w:r>
      <w:r w:rsidR="00DB47D8" w:rsidRPr="00352165">
        <w:rPr>
          <w:rFonts w:asciiTheme="minorHAnsi" w:hAnsiTheme="minorHAnsi" w:cstheme="minorHAnsi"/>
          <w:lang w:val="en-US"/>
        </w:rPr>
        <w:t>s</w:t>
      </w:r>
      <w:r w:rsidRPr="00352165">
        <w:rPr>
          <w:rFonts w:asciiTheme="minorHAnsi" w:hAnsiTheme="minorHAnsi" w:cstheme="minorHAnsi"/>
          <w:lang w:val="en-US"/>
        </w:rPr>
        <w:t xml:space="preserve">.  </w:t>
      </w:r>
      <w:r w:rsidRPr="00352165">
        <w:rPr>
          <w:rFonts w:asciiTheme="minorHAnsi" w:hAnsiTheme="minorHAnsi" w:cstheme="minorHAnsi"/>
        </w:rPr>
        <w:t xml:space="preserve">In 2007, </w:t>
      </w:r>
      <w:r w:rsidR="00DB47D8" w:rsidRPr="00352165">
        <w:rPr>
          <w:rFonts w:asciiTheme="minorHAnsi" w:hAnsiTheme="minorHAnsi" w:cstheme="minorHAnsi"/>
        </w:rPr>
        <w:t xml:space="preserve">approximately </w:t>
      </w:r>
      <w:r w:rsidRPr="00352165">
        <w:rPr>
          <w:rFonts w:asciiTheme="minorHAnsi" w:hAnsiTheme="minorHAnsi" w:cstheme="minorHAnsi"/>
        </w:rPr>
        <w:t>14.5% of households in South Africa had a mortgage. By 20</w:t>
      </w:r>
      <w:r w:rsidR="00DB47D8" w:rsidRPr="00352165">
        <w:rPr>
          <w:rFonts w:asciiTheme="minorHAnsi" w:hAnsiTheme="minorHAnsi" w:cstheme="minorHAnsi"/>
        </w:rPr>
        <w:t>21</w:t>
      </w:r>
      <w:r w:rsidRPr="00352165">
        <w:rPr>
          <w:rFonts w:asciiTheme="minorHAnsi" w:hAnsiTheme="minorHAnsi" w:cstheme="minorHAnsi"/>
        </w:rPr>
        <w:t>, this had declined to 9.</w:t>
      </w:r>
      <w:r w:rsidR="00DB47D8" w:rsidRPr="00352165">
        <w:rPr>
          <w:rFonts w:asciiTheme="minorHAnsi" w:hAnsiTheme="minorHAnsi" w:cstheme="minorHAnsi"/>
        </w:rPr>
        <w:t>3</w:t>
      </w:r>
      <w:r w:rsidRPr="00352165">
        <w:rPr>
          <w:rFonts w:asciiTheme="minorHAnsi" w:hAnsiTheme="minorHAnsi" w:cstheme="minorHAnsi"/>
        </w:rPr>
        <w:t>% of households.</w:t>
      </w:r>
      <w:r w:rsidR="00DB47D8" w:rsidRPr="00352165">
        <w:rPr>
          <w:rStyle w:val="FootnoteReference"/>
          <w:rFonts w:asciiTheme="minorHAnsi" w:hAnsiTheme="minorHAnsi" w:cstheme="minorHAnsi"/>
        </w:rPr>
        <w:footnoteReference w:id="7"/>
      </w:r>
      <w:r w:rsidR="00DA2AD2" w:rsidRPr="00352165">
        <w:rPr>
          <w:rFonts w:asciiTheme="minorHAnsi" w:hAnsiTheme="minorHAnsi" w:cstheme="minorHAnsi"/>
        </w:rPr>
        <w:t xml:space="preserve"> </w:t>
      </w:r>
      <w:r w:rsidR="00450F7D" w:rsidRPr="00352165">
        <w:rPr>
          <w:rFonts w:asciiTheme="minorHAnsi" w:hAnsiTheme="minorHAnsi" w:cstheme="minorHAnsi"/>
        </w:rPr>
        <w:t>In 2020 the South African Reserve Bank reduced interest rates substantially, dropping them to record lows in order to respond to the economic impact of COVID. In 2021, we then saw a spike in residential transactions and bonded sales, as the residential property market rebounded from COVID</w:t>
      </w:r>
      <w:r w:rsidR="00E056E3" w:rsidRPr="00352165">
        <w:rPr>
          <w:rFonts w:asciiTheme="minorHAnsi" w:hAnsiTheme="minorHAnsi" w:cstheme="minorHAnsi"/>
        </w:rPr>
        <w:t xml:space="preserve"> (see figure below)</w:t>
      </w:r>
      <w:r w:rsidR="00450F7D" w:rsidRPr="00352165">
        <w:rPr>
          <w:rFonts w:asciiTheme="minorHAnsi" w:hAnsiTheme="minorHAnsi" w:cstheme="minorHAnsi"/>
        </w:rPr>
        <w:t xml:space="preserve">. </w:t>
      </w:r>
      <w:proofErr w:type="gramStart"/>
      <w:r w:rsidR="00450F7D" w:rsidRPr="00352165">
        <w:rPr>
          <w:rFonts w:asciiTheme="minorHAnsi" w:hAnsiTheme="minorHAnsi" w:cstheme="minorHAnsi"/>
        </w:rPr>
        <w:t>However</w:t>
      </w:r>
      <w:proofErr w:type="gramEnd"/>
      <w:r w:rsidR="00450F7D" w:rsidRPr="00352165">
        <w:rPr>
          <w:rFonts w:asciiTheme="minorHAnsi" w:hAnsiTheme="minorHAnsi" w:cstheme="minorHAnsi"/>
        </w:rPr>
        <w:t xml:space="preserve"> market activity </w:t>
      </w:r>
      <w:r w:rsidR="00E056E3" w:rsidRPr="00352165">
        <w:rPr>
          <w:rFonts w:asciiTheme="minorHAnsi" w:hAnsiTheme="minorHAnsi" w:cstheme="minorHAnsi"/>
        </w:rPr>
        <w:t xml:space="preserve">has since </w:t>
      </w:r>
      <w:r w:rsidR="00450F7D" w:rsidRPr="00352165">
        <w:rPr>
          <w:rFonts w:asciiTheme="minorHAnsi" w:hAnsiTheme="minorHAnsi" w:cstheme="minorHAnsi"/>
        </w:rPr>
        <w:t>dropped again in 2022</w:t>
      </w:r>
      <w:r w:rsidR="00E056E3" w:rsidRPr="00352165">
        <w:rPr>
          <w:rFonts w:asciiTheme="minorHAnsi" w:hAnsiTheme="minorHAnsi" w:cstheme="minorHAnsi"/>
        </w:rPr>
        <w:t>, and is closer to 2018-2019 levels.</w:t>
      </w:r>
    </w:p>
    <w:p w14:paraId="26A87A54" w14:textId="77777777" w:rsidR="00F07E46" w:rsidRPr="00352165" w:rsidRDefault="00F07E46" w:rsidP="00DA2AD2">
      <w:pPr>
        <w:spacing w:after="120"/>
        <w:contextualSpacing/>
        <w:rPr>
          <w:rFonts w:asciiTheme="minorHAnsi" w:hAnsiTheme="minorHAnsi" w:cstheme="minorHAnsi"/>
        </w:rPr>
      </w:pPr>
    </w:p>
    <w:p w14:paraId="6BA9A233" w14:textId="40392215" w:rsidR="00450F7D" w:rsidRPr="007C172E" w:rsidRDefault="00450F7D" w:rsidP="00DA2AD2">
      <w:pPr>
        <w:spacing w:after="120"/>
        <w:contextualSpacing/>
        <w:rPr>
          <w:rFonts w:asciiTheme="minorHAnsi" w:hAnsiTheme="minorHAnsi" w:cstheme="minorHAnsi"/>
          <w:color w:val="0070C0"/>
        </w:rPr>
      </w:pPr>
      <w:r w:rsidRPr="007C172E">
        <w:rPr>
          <w:rFonts w:asciiTheme="minorHAnsi" w:hAnsiTheme="minorHAnsi" w:cstheme="minorHAnsi"/>
          <w:noProof/>
          <w:color w:val="0070C0"/>
          <w:lang w:eastAsia="en-GB"/>
        </w:rPr>
        <w:lastRenderedPageBreak/>
        <w:drawing>
          <wp:inline distT="0" distB="0" distL="0" distR="0" wp14:anchorId="0B81C60C" wp14:editId="0C977F39">
            <wp:extent cx="3721261" cy="2685049"/>
            <wp:effectExtent l="0" t="0" r="0" b="1270"/>
            <wp:docPr id="7" name="Picture 6">
              <a:extLst xmlns:a="http://schemas.openxmlformats.org/drawingml/2006/main">
                <a:ext uri="{FF2B5EF4-FFF2-40B4-BE49-F238E27FC236}">
                  <a16:creationId xmlns:a16="http://schemas.microsoft.com/office/drawing/2014/main" id="{919D51D8-269F-8240-1D5B-FFD98B47D9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19D51D8-269F-8240-1D5B-FFD98B47D936}"/>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0" y="0"/>
                      <a:ext cx="3730993" cy="2692071"/>
                    </a:xfrm>
                    <a:prstGeom prst="rect">
                      <a:avLst/>
                    </a:prstGeom>
                  </pic:spPr>
                </pic:pic>
              </a:graphicData>
            </a:graphic>
          </wp:inline>
        </w:drawing>
      </w:r>
    </w:p>
    <w:p w14:paraId="0BAC0314" w14:textId="77777777" w:rsidR="00E056E3" w:rsidRPr="007C172E" w:rsidRDefault="00E056E3" w:rsidP="00450F7D">
      <w:pPr>
        <w:spacing w:after="120"/>
        <w:contextualSpacing/>
        <w:rPr>
          <w:rFonts w:asciiTheme="minorHAnsi" w:hAnsiTheme="minorHAnsi" w:cstheme="minorHAnsi"/>
          <w:color w:val="0070C0"/>
          <w:lang w:val="en-US"/>
        </w:rPr>
      </w:pPr>
    </w:p>
    <w:p w14:paraId="29DB52C6" w14:textId="20438076" w:rsidR="00073DD1" w:rsidRDefault="00DA2AD2" w:rsidP="00450F7D">
      <w:pPr>
        <w:spacing w:after="120"/>
        <w:contextualSpacing/>
        <w:rPr>
          <w:rFonts w:asciiTheme="minorHAnsi" w:hAnsiTheme="minorHAnsi" w:cstheme="minorHAnsi"/>
          <w:lang w:val="en-US"/>
        </w:rPr>
      </w:pPr>
      <w:r w:rsidRPr="00352165">
        <w:rPr>
          <w:rFonts w:asciiTheme="minorHAnsi" w:hAnsiTheme="minorHAnsi" w:cstheme="minorHAnsi"/>
          <w:lang w:val="en-US"/>
        </w:rPr>
        <w:t xml:space="preserve">For low-income households especially, access to housing finance is limited, and declining, for </w:t>
      </w:r>
      <w:r w:rsidRPr="00352165">
        <w:rPr>
          <w:rFonts w:asciiTheme="minorHAnsi" w:hAnsiTheme="minorHAnsi" w:cstheme="minorHAnsi"/>
        </w:rPr>
        <w:t xml:space="preserve">both new and resale transactions. </w:t>
      </w:r>
      <w:r w:rsidR="00E056E3" w:rsidRPr="00352165">
        <w:rPr>
          <w:rFonts w:asciiTheme="minorHAnsi" w:hAnsiTheme="minorHAnsi" w:cstheme="minorHAnsi"/>
        </w:rPr>
        <w:t>Increasingly, mortgages are approved for the purchase of higher priced homes, not for affordable houses at the lower end of the property ladder</w:t>
      </w:r>
      <w:r w:rsidR="00352165">
        <w:rPr>
          <w:rFonts w:asciiTheme="minorHAnsi" w:hAnsiTheme="minorHAnsi" w:cstheme="minorHAnsi"/>
        </w:rPr>
        <w:t>—see figure below.</w:t>
      </w:r>
      <w:r w:rsidR="00E056E3" w:rsidRPr="00352165">
        <w:rPr>
          <w:rFonts w:asciiTheme="minorHAnsi" w:hAnsiTheme="minorHAnsi" w:cstheme="minorHAnsi"/>
        </w:rPr>
        <w:t xml:space="preserve"> In Q4 of 2022, 68% of mortgages were granted in favour of larger sized credit agreements over R700</w:t>
      </w:r>
      <w:r w:rsidR="00E907F3">
        <w:rPr>
          <w:rFonts w:asciiTheme="minorHAnsi" w:hAnsiTheme="minorHAnsi" w:cstheme="minorHAnsi"/>
        </w:rPr>
        <w:t> </w:t>
      </w:r>
      <w:r w:rsidR="00E056E3" w:rsidRPr="00352165">
        <w:rPr>
          <w:rFonts w:asciiTheme="minorHAnsi" w:hAnsiTheme="minorHAnsi" w:cstheme="minorHAnsi"/>
        </w:rPr>
        <w:t>000</w:t>
      </w:r>
      <w:r w:rsidR="00E907F3">
        <w:rPr>
          <w:rFonts w:asciiTheme="minorHAnsi" w:hAnsiTheme="minorHAnsi" w:cstheme="minorHAnsi"/>
        </w:rPr>
        <w:t xml:space="preserve"> (38 147 USD)</w:t>
      </w:r>
      <w:r w:rsidR="00E056E3" w:rsidRPr="00352165">
        <w:rPr>
          <w:rFonts w:asciiTheme="minorHAnsi" w:hAnsiTheme="minorHAnsi" w:cstheme="minorHAnsi"/>
        </w:rPr>
        <w:t xml:space="preserve">. A further 22% of mortgages were granted for agreements were between R351 </w:t>
      </w:r>
      <w:r w:rsidR="00E056E3" w:rsidRPr="00352165">
        <w:rPr>
          <w:rFonts w:asciiTheme="minorHAnsi" w:hAnsiTheme="minorHAnsi" w:cstheme="minorHAnsi"/>
        </w:rPr>
        <w:lastRenderedPageBreak/>
        <w:t xml:space="preserve">000 </w:t>
      </w:r>
      <w:r w:rsidR="00E907F3">
        <w:rPr>
          <w:rFonts w:asciiTheme="minorHAnsi" w:hAnsiTheme="minorHAnsi" w:cstheme="minorHAnsi"/>
        </w:rPr>
        <w:t xml:space="preserve">(19 128 USD) </w:t>
      </w:r>
      <w:r w:rsidR="00E056E3" w:rsidRPr="00352165">
        <w:rPr>
          <w:rFonts w:asciiTheme="minorHAnsi" w:hAnsiTheme="minorHAnsi" w:cstheme="minorHAnsi"/>
        </w:rPr>
        <w:t>and R700</w:t>
      </w:r>
      <w:r w:rsidR="00E907F3">
        <w:rPr>
          <w:rFonts w:asciiTheme="minorHAnsi" w:hAnsiTheme="minorHAnsi" w:cstheme="minorHAnsi"/>
        </w:rPr>
        <w:t> </w:t>
      </w:r>
      <w:r w:rsidR="00E056E3" w:rsidRPr="00352165">
        <w:rPr>
          <w:rFonts w:asciiTheme="minorHAnsi" w:hAnsiTheme="minorHAnsi" w:cstheme="minorHAnsi"/>
        </w:rPr>
        <w:t>000</w:t>
      </w:r>
      <w:r w:rsidR="00E907F3">
        <w:rPr>
          <w:rFonts w:asciiTheme="minorHAnsi" w:hAnsiTheme="minorHAnsi" w:cstheme="minorHAnsi"/>
        </w:rPr>
        <w:t xml:space="preserve"> (38 147 USD)</w:t>
      </w:r>
      <w:r w:rsidR="00E056E3" w:rsidRPr="00352165">
        <w:rPr>
          <w:rFonts w:asciiTheme="minorHAnsi" w:hAnsiTheme="minorHAnsi" w:cstheme="minorHAnsi"/>
        </w:rPr>
        <w:t>, leaving only 10% of mortgage agreements for less than R350</w:t>
      </w:r>
      <w:r w:rsidR="00E907F3">
        <w:rPr>
          <w:rFonts w:asciiTheme="minorHAnsi" w:hAnsiTheme="minorHAnsi" w:cstheme="minorHAnsi"/>
        </w:rPr>
        <w:t> </w:t>
      </w:r>
      <w:r w:rsidR="00E056E3" w:rsidRPr="00352165">
        <w:rPr>
          <w:rFonts w:asciiTheme="minorHAnsi" w:hAnsiTheme="minorHAnsi" w:cstheme="minorHAnsi"/>
        </w:rPr>
        <w:t>000</w:t>
      </w:r>
      <w:r w:rsidR="00E907F3">
        <w:rPr>
          <w:rFonts w:asciiTheme="minorHAnsi" w:hAnsiTheme="minorHAnsi" w:cstheme="minorHAnsi"/>
        </w:rPr>
        <w:t xml:space="preserve"> (19 074 USD)</w:t>
      </w:r>
      <w:r w:rsidR="00E056E3" w:rsidRPr="00352165">
        <w:rPr>
          <w:rFonts w:asciiTheme="minorHAnsi" w:hAnsiTheme="minorHAnsi" w:cstheme="minorHAnsi"/>
        </w:rPr>
        <w:t>.</w:t>
      </w:r>
      <w:r w:rsidR="00E056E3" w:rsidRPr="00352165">
        <w:rPr>
          <w:rStyle w:val="FootnoteReference"/>
          <w:rFonts w:asciiTheme="minorHAnsi" w:hAnsiTheme="minorHAnsi" w:cstheme="minorHAnsi"/>
        </w:rPr>
        <w:footnoteReference w:id="8"/>
      </w:r>
      <w:r w:rsidR="00E056E3" w:rsidRPr="00352165">
        <w:rPr>
          <w:rFonts w:asciiTheme="minorHAnsi" w:hAnsiTheme="minorHAnsi" w:cstheme="minorHAnsi"/>
        </w:rPr>
        <w:t xml:space="preserve"> </w:t>
      </w:r>
      <w:r w:rsidR="00073DD1" w:rsidRPr="00352165">
        <w:rPr>
          <w:rFonts w:asciiTheme="minorHAnsi" w:hAnsiTheme="minorHAnsi" w:cstheme="minorHAnsi"/>
          <w:lang w:val="en-US"/>
        </w:rPr>
        <w:t>Of all the bonded transactions in 2021, only 10% were in the two lowest market segments and less than 1% were for properties valued under R300</w:t>
      </w:r>
      <w:r w:rsidR="00E907F3">
        <w:rPr>
          <w:rFonts w:asciiTheme="minorHAnsi" w:hAnsiTheme="minorHAnsi" w:cstheme="minorHAnsi"/>
          <w:lang w:val="en-US"/>
        </w:rPr>
        <w:t> </w:t>
      </w:r>
      <w:r w:rsidR="00073DD1" w:rsidRPr="00352165">
        <w:rPr>
          <w:rFonts w:asciiTheme="minorHAnsi" w:hAnsiTheme="minorHAnsi" w:cstheme="minorHAnsi"/>
          <w:lang w:val="en-US"/>
        </w:rPr>
        <w:t>000</w:t>
      </w:r>
      <w:r w:rsidR="00E907F3">
        <w:rPr>
          <w:rFonts w:asciiTheme="minorHAnsi" w:hAnsiTheme="minorHAnsi" w:cstheme="minorHAnsi"/>
          <w:lang w:val="en-US"/>
        </w:rPr>
        <w:t xml:space="preserve"> (16 349 USD)</w:t>
      </w:r>
      <w:r w:rsidR="00073DD1" w:rsidRPr="00352165">
        <w:rPr>
          <w:rFonts w:asciiTheme="minorHAnsi" w:hAnsiTheme="minorHAnsi" w:cstheme="minorHAnsi"/>
          <w:lang w:val="en-US"/>
        </w:rPr>
        <w:t xml:space="preserve">. </w:t>
      </w:r>
    </w:p>
    <w:p w14:paraId="1D1420E1" w14:textId="77777777" w:rsidR="00352165" w:rsidRDefault="00352165" w:rsidP="00450F7D">
      <w:pPr>
        <w:spacing w:after="120"/>
        <w:contextualSpacing/>
        <w:rPr>
          <w:rFonts w:asciiTheme="minorHAnsi" w:hAnsiTheme="minorHAnsi" w:cstheme="minorHAnsi"/>
          <w:lang w:val="en-US"/>
        </w:rPr>
      </w:pPr>
    </w:p>
    <w:p w14:paraId="18E82A5F" w14:textId="77777777" w:rsidR="00352165" w:rsidRDefault="00352165" w:rsidP="00767FA7">
      <w:pPr>
        <w:spacing w:after="120"/>
        <w:contextualSpacing/>
        <w:rPr>
          <w:rFonts w:asciiTheme="minorHAnsi" w:hAnsiTheme="minorHAnsi" w:cstheme="minorHAnsi"/>
        </w:rPr>
      </w:pPr>
    </w:p>
    <w:p w14:paraId="4332D55E" w14:textId="77777777" w:rsidR="00352165" w:rsidRDefault="00352165" w:rsidP="00767FA7">
      <w:pPr>
        <w:spacing w:after="120"/>
        <w:contextualSpacing/>
        <w:rPr>
          <w:rFonts w:asciiTheme="minorHAnsi" w:hAnsiTheme="minorHAnsi" w:cstheme="minorHAnsi"/>
        </w:rPr>
      </w:pPr>
    </w:p>
    <w:p w14:paraId="7AE22F41" w14:textId="77777777" w:rsidR="00352165" w:rsidRDefault="00352165" w:rsidP="00767FA7">
      <w:pPr>
        <w:spacing w:after="120"/>
        <w:contextualSpacing/>
        <w:rPr>
          <w:rFonts w:asciiTheme="minorHAnsi" w:hAnsiTheme="minorHAnsi" w:cstheme="minorHAnsi"/>
        </w:rPr>
      </w:pPr>
    </w:p>
    <w:p w14:paraId="582EDD0E" w14:textId="77777777" w:rsidR="00352165" w:rsidRDefault="00352165" w:rsidP="00767FA7">
      <w:pPr>
        <w:spacing w:after="120"/>
        <w:contextualSpacing/>
        <w:rPr>
          <w:rFonts w:asciiTheme="minorHAnsi" w:hAnsiTheme="minorHAnsi" w:cstheme="minorHAnsi"/>
        </w:rPr>
      </w:pPr>
    </w:p>
    <w:p w14:paraId="15FD438E" w14:textId="332687F3" w:rsidR="003C71C9" w:rsidRPr="00352165" w:rsidRDefault="00352165" w:rsidP="00767FA7">
      <w:pPr>
        <w:spacing w:after="120"/>
        <w:contextualSpacing/>
        <w:rPr>
          <w:rFonts w:asciiTheme="minorHAnsi" w:hAnsiTheme="minorHAnsi" w:cstheme="minorHAnsi"/>
        </w:rPr>
      </w:pPr>
      <w:r>
        <w:rPr>
          <w:noProof/>
          <w:lang w:eastAsia="en-GB"/>
        </w:rPr>
        <w:drawing>
          <wp:anchor distT="0" distB="0" distL="114300" distR="114300" simplePos="0" relativeHeight="251669504" behindDoc="0" locked="0" layoutInCell="1" allowOverlap="0" wp14:anchorId="1A88763D" wp14:editId="6F0AFE9E">
            <wp:simplePos x="0" y="0"/>
            <wp:positionH relativeFrom="margin">
              <wp:align>left</wp:align>
            </wp:positionH>
            <wp:positionV relativeFrom="page">
              <wp:posOffset>787491</wp:posOffset>
            </wp:positionV>
            <wp:extent cx="3434400" cy="3520800"/>
            <wp:effectExtent l="0" t="0" r="0" b="3810"/>
            <wp:wrapTopAndBottom/>
            <wp:docPr id="1460242187"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42187" name="Picture 1"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4400" cy="35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Th</w:t>
      </w:r>
      <w:r w:rsidR="008A568E" w:rsidRPr="00352165">
        <w:rPr>
          <w:rFonts w:asciiTheme="minorHAnsi" w:hAnsiTheme="minorHAnsi" w:cstheme="minorHAnsi"/>
        </w:rPr>
        <w:t xml:space="preserve">e data also shows that far more mortgage agreements are made with higher income individuals.  </w:t>
      </w:r>
      <w:r w:rsidR="003C71C9" w:rsidRPr="00352165">
        <w:rPr>
          <w:rFonts w:asciiTheme="minorHAnsi" w:hAnsiTheme="minorHAnsi" w:cstheme="minorHAnsi"/>
        </w:rPr>
        <w:t xml:space="preserve">In 2022, 98.3% of mortgage agreements </w:t>
      </w:r>
      <w:r w:rsidR="003C71C9" w:rsidRPr="00352165">
        <w:rPr>
          <w:rFonts w:asciiTheme="minorHAnsi" w:hAnsiTheme="minorHAnsi" w:cstheme="minorHAnsi"/>
        </w:rPr>
        <w:lastRenderedPageBreak/>
        <w:t>granted were for individual with gross monthly income of over R15 000/month</w:t>
      </w:r>
      <w:r w:rsidR="00E907F3">
        <w:rPr>
          <w:rFonts w:asciiTheme="minorHAnsi" w:hAnsiTheme="minorHAnsi" w:cstheme="minorHAnsi"/>
        </w:rPr>
        <w:t xml:space="preserve"> (817 USD)</w:t>
      </w:r>
      <w:r w:rsidR="003C71C9" w:rsidRPr="00352165">
        <w:rPr>
          <w:rFonts w:asciiTheme="minorHAnsi" w:hAnsiTheme="minorHAnsi" w:cstheme="minorHAnsi"/>
        </w:rPr>
        <w:t>.</w:t>
      </w:r>
    </w:p>
    <w:p w14:paraId="50DA3EA7" w14:textId="46690063" w:rsidR="008A568E" w:rsidRPr="00352165" w:rsidRDefault="008A568E" w:rsidP="00767FA7">
      <w:pPr>
        <w:spacing w:after="120"/>
        <w:contextualSpacing/>
        <w:rPr>
          <w:rFonts w:asciiTheme="minorHAnsi" w:hAnsiTheme="minorHAnsi" w:cstheme="minorHAnsi"/>
        </w:rPr>
      </w:pPr>
    </w:p>
    <w:p w14:paraId="1EBB57D0" w14:textId="576B6887" w:rsidR="008A568E" w:rsidRPr="00352165" w:rsidRDefault="00E056E3" w:rsidP="008A568E">
      <w:pPr>
        <w:spacing w:after="120"/>
        <w:contextualSpacing/>
        <w:rPr>
          <w:rFonts w:asciiTheme="minorHAnsi" w:hAnsiTheme="minorHAnsi" w:cstheme="minorHAnsi"/>
        </w:rPr>
      </w:pPr>
      <w:r w:rsidRPr="00352165">
        <w:rPr>
          <w:rFonts w:asciiTheme="minorHAnsi" w:hAnsiTheme="minorHAnsi" w:cstheme="minorHAnsi"/>
        </w:rPr>
        <w:t>In an effort to address these issues, h</w:t>
      </w:r>
      <w:r w:rsidR="008A568E" w:rsidRPr="00352165">
        <w:rPr>
          <w:rFonts w:asciiTheme="minorHAnsi" w:hAnsiTheme="minorHAnsi" w:cstheme="minorHAnsi"/>
        </w:rPr>
        <w:t>ousing affordability in South Africa is aided by specific housing subsidy programmes targeted at the ‘gap’ market—households that earn to</w:t>
      </w:r>
      <w:r w:rsidRPr="00352165">
        <w:rPr>
          <w:rFonts w:asciiTheme="minorHAnsi" w:hAnsiTheme="minorHAnsi" w:cstheme="minorHAnsi"/>
        </w:rPr>
        <w:t>o</w:t>
      </w:r>
      <w:r w:rsidR="008A568E" w:rsidRPr="00352165">
        <w:rPr>
          <w:rFonts w:asciiTheme="minorHAnsi" w:hAnsiTheme="minorHAnsi" w:cstheme="minorHAnsi"/>
        </w:rPr>
        <w:t xml:space="preserve"> much to qualify for fully subsidised housing, and too little to purchase a house with a mortgage</w:t>
      </w:r>
      <w:r w:rsidR="0049490D" w:rsidRPr="00352165">
        <w:rPr>
          <w:rFonts w:asciiTheme="minorHAnsi" w:hAnsiTheme="minorHAnsi" w:cstheme="minorHAnsi"/>
        </w:rPr>
        <w:t xml:space="preserve"> without state assistance</w:t>
      </w:r>
      <w:r w:rsidR="008A568E" w:rsidRPr="00352165">
        <w:rPr>
          <w:rFonts w:asciiTheme="minorHAnsi" w:hAnsiTheme="minorHAnsi" w:cstheme="minorHAnsi"/>
        </w:rPr>
        <w:t xml:space="preserve">. </w:t>
      </w:r>
    </w:p>
    <w:p w14:paraId="7D5C3D4D" w14:textId="77777777" w:rsidR="008A568E" w:rsidRPr="00352165" w:rsidRDefault="008A568E" w:rsidP="008A568E">
      <w:pPr>
        <w:spacing w:after="120"/>
        <w:contextualSpacing/>
        <w:rPr>
          <w:rFonts w:asciiTheme="minorHAnsi" w:hAnsiTheme="minorHAnsi" w:cstheme="minorHAnsi"/>
        </w:rPr>
      </w:pPr>
    </w:p>
    <w:p w14:paraId="3FFE1535" w14:textId="3894C475" w:rsidR="00AE4260" w:rsidRPr="00352165" w:rsidRDefault="008A568E" w:rsidP="00723628">
      <w:pPr>
        <w:spacing w:after="120"/>
        <w:contextualSpacing/>
        <w:rPr>
          <w:rFonts w:asciiTheme="minorHAnsi" w:hAnsiTheme="minorHAnsi" w:cstheme="minorHAnsi"/>
          <w:lang w:val="en-ZA"/>
        </w:rPr>
      </w:pPr>
      <w:r w:rsidRPr="00352165">
        <w:rPr>
          <w:rFonts w:asciiTheme="minorHAnsi" w:hAnsiTheme="minorHAnsi" w:cstheme="minorHAnsi"/>
        </w:rPr>
        <w:t xml:space="preserve">The FLISP programme, recently re-branded as First Home Finance, is a government subsidy programme </w:t>
      </w:r>
      <w:r w:rsidR="0049490D" w:rsidRPr="00352165">
        <w:rPr>
          <w:rFonts w:asciiTheme="minorHAnsi" w:hAnsiTheme="minorHAnsi" w:cstheme="minorHAnsi"/>
        </w:rPr>
        <w:t xml:space="preserve">in South Africa </w:t>
      </w:r>
      <w:r w:rsidRPr="00352165">
        <w:rPr>
          <w:rFonts w:asciiTheme="minorHAnsi" w:hAnsiTheme="minorHAnsi" w:cstheme="minorHAnsi"/>
        </w:rPr>
        <w:t xml:space="preserve">intended to provide funds to </w:t>
      </w:r>
      <w:r w:rsidR="0049490D" w:rsidRPr="00352165">
        <w:rPr>
          <w:rFonts w:asciiTheme="minorHAnsi" w:hAnsiTheme="minorHAnsi" w:cstheme="minorHAnsi"/>
        </w:rPr>
        <w:t>first-time homeowners</w:t>
      </w:r>
      <w:r w:rsidRPr="00352165">
        <w:rPr>
          <w:rFonts w:asciiTheme="minorHAnsi" w:hAnsiTheme="minorHAnsi" w:cstheme="minorHAnsi"/>
        </w:rPr>
        <w:t xml:space="preserve"> with an approved mortgage from a bank</w:t>
      </w:r>
      <w:r w:rsidR="0049490D" w:rsidRPr="00352165">
        <w:rPr>
          <w:rFonts w:asciiTheme="minorHAnsi" w:hAnsiTheme="minorHAnsi" w:cstheme="minorHAnsi"/>
        </w:rPr>
        <w:t xml:space="preserve">—the </w:t>
      </w:r>
      <w:r w:rsidRPr="00352165">
        <w:rPr>
          <w:rFonts w:asciiTheme="minorHAnsi" w:hAnsiTheme="minorHAnsi" w:cstheme="minorHAnsi"/>
        </w:rPr>
        <w:t>funds are inten</w:t>
      </w:r>
      <w:r w:rsidR="0049490D" w:rsidRPr="00352165">
        <w:rPr>
          <w:rFonts w:asciiTheme="minorHAnsi" w:hAnsiTheme="minorHAnsi" w:cstheme="minorHAnsi"/>
        </w:rPr>
        <w:t>d</w:t>
      </w:r>
      <w:r w:rsidRPr="00352165">
        <w:rPr>
          <w:rFonts w:asciiTheme="minorHAnsi" w:hAnsiTheme="minorHAnsi" w:cstheme="minorHAnsi"/>
        </w:rPr>
        <w:t xml:space="preserve">ed to be used either for the downpayment or to reduce the monthly repayments. </w:t>
      </w:r>
      <w:proofErr w:type="gramStart"/>
      <w:r w:rsidRPr="00352165">
        <w:rPr>
          <w:rFonts w:asciiTheme="minorHAnsi" w:hAnsiTheme="minorHAnsi" w:cstheme="minorHAnsi"/>
        </w:rPr>
        <w:t>However</w:t>
      </w:r>
      <w:proofErr w:type="gramEnd"/>
      <w:r w:rsidRPr="00352165">
        <w:rPr>
          <w:rFonts w:asciiTheme="minorHAnsi" w:hAnsiTheme="minorHAnsi" w:cstheme="minorHAnsi"/>
        </w:rPr>
        <w:t xml:space="preserve"> over the last few years, delivery on the programme has been incredibly slow, partly due to low awareness of the programme and low take-up, and partly due to burdensome and slow approval and payment procedures. However, with the rebranding of the programme to First Home Finance, government has </w:t>
      </w:r>
      <w:r w:rsidR="0049490D" w:rsidRPr="00352165">
        <w:rPr>
          <w:rFonts w:asciiTheme="minorHAnsi" w:hAnsiTheme="minorHAnsi" w:cstheme="minorHAnsi"/>
        </w:rPr>
        <w:t xml:space="preserve">also </w:t>
      </w:r>
      <w:r w:rsidRPr="00352165">
        <w:rPr>
          <w:rFonts w:asciiTheme="minorHAnsi" w:hAnsiTheme="minorHAnsi" w:cstheme="minorHAnsi"/>
        </w:rPr>
        <w:t xml:space="preserve">made two important </w:t>
      </w:r>
      <w:r w:rsidR="0049490D" w:rsidRPr="00352165">
        <w:rPr>
          <w:rFonts w:asciiTheme="minorHAnsi" w:hAnsiTheme="minorHAnsi" w:cstheme="minorHAnsi"/>
        </w:rPr>
        <w:t xml:space="preserve">policy </w:t>
      </w:r>
      <w:r w:rsidRPr="00352165">
        <w:rPr>
          <w:rFonts w:asciiTheme="minorHAnsi" w:hAnsiTheme="minorHAnsi" w:cstheme="minorHAnsi"/>
        </w:rPr>
        <w:t xml:space="preserve">changes aimed at </w:t>
      </w:r>
      <w:r w:rsidR="0049490D" w:rsidRPr="00352165">
        <w:rPr>
          <w:rFonts w:asciiTheme="minorHAnsi" w:hAnsiTheme="minorHAnsi" w:cstheme="minorHAnsi"/>
        </w:rPr>
        <w:t xml:space="preserve">expanding the reach of </w:t>
      </w:r>
      <w:proofErr w:type="gramStart"/>
      <w:r w:rsidR="0049490D" w:rsidRPr="00352165">
        <w:rPr>
          <w:rFonts w:asciiTheme="minorHAnsi" w:hAnsiTheme="minorHAnsi" w:cstheme="minorHAnsi"/>
        </w:rPr>
        <w:t xml:space="preserve">the  </w:t>
      </w:r>
      <w:r w:rsidRPr="00352165">
        <w:rPr>
          <w:rFonts w:asciiTheme="minorHAnsi" w:hAnsiTheme="minorHAnsi" w:cstheme="minorHAnsi"/>
        </w:rPr>
        <w:t>programme</w:t>
      </w:r>
      <w:proofErr w:type="gramEnd"/>
      <w:r w:rsidRPr="00352165">
        <w:rPr>
          <w:rFonts w:asciiTheme="minorHAnsi" w:hAnsiTheme="minorHAnsi" w:cstheme="minorHAnsi"/>
        </w:rPr>
        <w:t>. First, the subsidy was extended to non-mortgage credit such as pension-backed loans and housing micro finance, although the regulations and procedures for how to disburse these subsi</w:t>
      </w:r>
      <w:r w:rsidRPr="00352165">
        <w:rPr>
          <w:rFonts w:asciiTheme="minorHAnsi" w:hAnsiTheme="minorHAnsi" w:cstheme="minorHAnsi"/>
        </w:rPr>
        <w:lastRenderedPageBreak/>
        <w:t xml:space="preserve">dies has not yet been sorted out. Second, the </w:t>
      </w:r>
      <w:r w:rsidR="00723628" w:rsidRPr="00352165">
        <w:rPr>
          <w:rFonts w:asciiTheme="minorHAnsi" w:hAnsiTheme="minorHAnsi" w:cstheme="minorHAnsi"/>
        </w:rPr>
        <w:t>subsidy amount was increased. Administered on a sliding scale, h</w:t>
      </w:r>
      <w:proofErr w:type="spellStart"/>
      <w:r w:rsidR="00AE4260" w:rsidRPr="00352165">
        <w:rPr>
          <w:rFonts w:asciiTheme="minorHAnsi" w:hAnsiTheme="minorHAnsi" w:cstheme="minorHAnsi"/>
          <w:lang w:val="en-ZA"/>
        </w:rPr>
        <w:t>ousehold</w:t>
      </w:r>
      <w:r w:rsidR="00723628" w:rsidRPr="00352165">
        <w:rPr>
          <w:rFonts w:asciiTheme="minorHAnsi" w:hAnsiTheme="minorHAnsi" w:cstheme="minorHAnsi"/>
          <w:lang w:val="en-ZA"/>
        </w:rPr>
        <w:t>s</w:t>
      </w:r>
      <w:proofErr w:type="spellEnd"/>
      <w:r w:rsidR="00AE4260" w:rsidRPr="00352165">
        <w:rPr>
          <w:rFonts w:asciiTheme="minorHAnsi" w:hAnsiTheme="minorHAnsi" w:cstheme="minorHAnsi"/>
          <w:lang w:val="en-ZA"/>
        </w:rPr>
        <w:t xml:space="preserve"> with total gross income of R3 501 qualif</w:t>
      </w:r>
      <w:r w:rsidR="0049490D" w:rsidRPr="00352165">
        <w:rPr>
          <w:rFonts w:asciiTheme="minorHAnsi" w:hAnsiTheme="minorHAnsi" w:cstheme="minorHAnsi"/>
          <w:lang w:val="en-ZA"/>
        </w:rPr>
        <w:t>y</w:t>
      </w:r>
      <w:r w:rsidR="00AE4260" w:rsidRPr="00352165">
        <w:rPr>
          <w:rFonts w:asciiTheme="minorHAnsi" w:hAnsiTheme="minorHAnsi" w:cstheme="minorHAnsi"/>
          <w:lang w:val="en-ZA"/>
        </w:rPr>
        <w:t xml:space="preserve"> for </w:t>
      </w:r>
      <w:r w:rsidR="0049490D" w:rsidRPr="00352165">
        <w:rPr>
          <w:rFonts w:asciiTheme="minorHAnsi" w:hAnsiTheme="minorHAnsi" w:cstheme="minorHAnsi"/>
          <w:lang w:val="en-ZA"/>
        </w:rPr>
        <w:t xml:space="preserve">a </w:t>
      </w:r>
      <w:r w:rsidR="00AE4260" w:rsidRPr="00352165">
        <w:rPr>
          <w:rFonts w:asciiTheme="minorHAnsi" w:hAnsiTheme="minorHAnsi" w:cstheme="minorHAnsi"/>
          <w:lang w:val="en-ZA"/>
        </w:rPr>
        <w:t>maximum subsidy of R130</w:t>
      </w:r>
      <w:r w:rsidR="00723628" w:rsidRPr="00352165">
        <w:rPr>
          <w:rFonts w:asciiTheme="minorHAnsi" w:hAnsiTheme="minorHAnsi" w:cstheme="minorHAnsi"/>
          <w:lang w:val="en-ZA"/>
        </w:rPr>
        <w:t> </w:t>
      </w:r>
      <w:r w:rsidR="00AE4260" w:rsidRPr="00352165">
        <w:rPr>
          <w:rFonts w:asciiTheme="minorHAnsi" w:hAnsiTheme="minorHAnsi" w:cstheme="minorHAnsi"/>
          <w:lang w:val="en-ZA"/>
        </w:rPr>
        <w:t>505</w:t>
      </w:r>
      <w:r w:rsidR="00723628" w:rsidRPr="00352165">
        <w:rPr>
          <w:rFonts w:asciiTheme="minorHAnsi" w:hAnsiTheme="minorHAnsi" w:cstheme="minorHAnsi"/>
          <w:lang w:val="en-ZA"/>
        </w:rPr>
        <w:t xml:space="preserve">, while those with a </w:t>
      </w:r>
      <w:r w:rsidR="00AE4260" w:rsidRPr="00352165">
        <w:rPr>
          <w:rFonts w:asciiTheme="minorHAnsi" w:hAnsiTheme="minorHAnsi" w:cstheme="minorHAnsi"/>
          <w:lang w:val="en-ZA"/>
        </w:rPr>
        <w:t xml:space="preserve">total gross income of R22 000 </w:t>
      </w:r>
      <w:r w:rsidR="00E907F3">
        <w:rPr>
          <w:rFonts w:asciiTheme="minorHAnsi" w:hAnsiTheme="minorHAnsi" w:cstheme="minorHAnsi"/>
          <w:lang w:val="en-ZA"/>
        </w:rPr>
        <w:t xml:space="preserve">(1 199 USD) </w:t>
      </w:r>
      <w:r w:rsidR="00723628" w:rsidRPr="00352165">
        <w:rPr>
          <w:rFonts w:asciiTheme="minorHAnsi" w:hAnsiTheme="minorHAnsi" w:cstheme="minorHAnsi"/>
          <w:lang w:val="en-ZA"/>
        </w:rPr>
        <w:t xml:space="preserve">only </w:t>
      </w:r>
      <w:r w:rsidR="00AE4260" w:rsidRPr="00352165">
        <w:rPr>
          <w:rFonts w:asciiTheme="minorHAnsi" w:hAnsiTheme="minorHAnsi" w:cstheme="minorHAnsi"/>
          <w:lang w:val="en-ZA"/>
        </w:rPr>
        <w:t>qualif</w:t>
      </w:r>
      <w:r w:rsidR="00723628" w:rsidRPr="00352165">
        <w:rPr>
          <w:rFonts w:asciiTheme="minorHAnsi" w:hAnsiTheme="minorHAnsi" w:cstheme="minorHAnsi"/>
          <w:lang w:val="en-ZA"/>
        </w:rPr>
        <w:t>y</w:t>
      </w:r>
      <w:r w:rsidR="00AE4260" w:rsidRPr="00352165">
        <w:rPr>
          <w:rFonts w:asciiTheme="minorHAnsi" w:hAnsiTheme="minorHAnsi" w:cstheme="minorHAnsi"/>
          <w:lang w:val="en-ZA"/>
        </w:rPr>
        <w:t xml:space="preserve"> for R30</w:t>
      </w:r>
      <w:r w:rsidR="00E907F3">
        <w:rPr>
          <w:rFonts w:asciiTheme="minorHAnsi" w:hAnsiTheme="minorHAnsi" w:cstheme="minorHAnsi"/>
          <w:lang w:val="en-ZA"/>
        </w:rPr>
        <w:t> </w:t>
      </w:r>
      <w:r w:rsidR="00AE4260" w:rsidRPr="00352165">
        <w:rPr>
          <w:rFonts w:asciiTheme="minorHAnsi" w:hAnsiTheme="minorHAnsi" w:cstheme="minorHAnsi"/>
          <w:lang w:val="en-ZA"/>
        </w:rPr>
        <w:t>000</w:t>
      </w:r>
      <w:r w:rsidR="00E907F3">
        <w:rPr>
          <w:rFonts w:asciiTheme="minorHAnsi" w:hAnsiTheme="minorHAnsi" w:cstheme="minorHAnsi"/>
          <w:lang w:val="en-ZA"/>
        </w:rPr>
        <w:t xml:space="preserve"> (1 635 USD)</w:t>
      </w:r>
      <w:r w:rsidR="00723628" w:rsidRPr="00352165">
        <w:rPr>
          <w:rFonts w:asciiTheme="minorHAnsi" w:hAnsiTheme="minorHAnsi" w:cstheme="minorHAnsi"/>
          <w:lang w:val="en-ZA"/>
        </w:rPr>
        <w:t>.</w:t>
      </w:r>
    </w:p>
    <w:p w14:paraId="10CF663E" w14:textId="77777777" w:rsidR="00F07E46" w:rsidRPr="00352165" w:rsidRDefault="00F07E46" w:rsidP="00F07E46">
      <w:pPr>
        <w:spacing w:after="120"/>
        <w:contextualSpacing/>
        <w:rPr>
          <w:rFonts w:asciiTheme="minorHAnsi" w:hAnsiTheme="minorHAnsi" w:cstheme="minorHAnsi"/>
          <w:lang w:val="en-US"/>
        </w:rPr>
      </w:pPr>
    </w:p>
    <w:p w14:paraId="0EDE5787" w14:textId="2ED40553" w:rsidR="00106317" w:rsidRPr="00352165" w:rsidRDefault="00F07E46" w:rsidP="00493053">
      <w:pPr>
        <w:spacing w:after="120"/>
        <w:contextualSpacing/>
        <w:rPr>
          <w:rFonts w:asciiTheme="minorHAnsi" w:hAnsiTheme="minorHAnsi" w:cstheme="minorHAnsi"/>
          <w:lang w:val="en-ZA"/>
        </w:rPr>
      </w:pPr>
      <w:r w:rsidRPr="00352165">
        <w:rPr>
          <w:rFonts w:asciiTheme="minorHAnsi" w:hAnsiTheme="minorHAnsi" w:cstheme="minorHAnsi"/>
          <w:lang w:val="en-US"/>
        </w:rPr>
        <w:t xml:space="preserve">With a mortgage and a FLISP, the </w:t>
      </w:r>
      <w:r w:rsidR="00493053" w:rsidRPr="00352165">
        <w:rPr>
          <w:rFonts w:asciiTheme="minorHAnsi" w:hAnsiTheme="minorHAnsi" w:cstheme="minorHAnsi"/>
          <w:lang w:val="en-US"/>
        </w:rPr>
        <w:t xml:space="preserve">cheapest </w:t>
      </w:r>
      <w:r w:rsidRPr="00352165">
        <w:rPr>
          <w:rFonts w:asciiTheme="minorHAnsi" w:hAnsiTheme="minorHAnsi" w:cstheme="minorHAnsi"/>
          <w:lang w:val="en-US"/>
        </w:rPr>
        <w:t>new</w:t>
      </w:r>
      <w:r w:rsidR="00493053" w:rsidRPr="00352165">
        <w:rPr>
          <w:rFonts w:asciiTheme="minorHAnsi" w:hAnsiTheme="minorHAnsi" w:cstheme="minorHAnsi"/>
          <w:lang w:val="en-US"/>
        </w:rPr>
        <w:t>ly built house by a private developer</w:t>
      </w:r>
      <w:r w:rsidRPr="00352165">
        <w:rPr>
          <w:rFonts w:asciiTheme="minorHAnsi" w:hAnsiTheme="minorHAnsi" w:cstheme="minorHAnsi"/>
          <w:lang w:val="en-US"/>
        </w:rPr>
        <w:t xml:space="preserve"> </w:t>
      </w:r>
      <w:r w:rsidR="00493053" w:rsidRPr="00352165">
        <w:rPr>
          <w:rFonts w:asciiTheme="minorHAnsi" w:hAnsiTheme="minorHAnsi" w:cstheme="minorHAnsi"/>
          <w:lang w:val="en-US"/>
        </w:rPr>
        <w:t>(</w:t>
      </w:r>
      <w:r w:rsidRPr="00352165">
        <w:rPr>
          <w:rFonts w:asciiTheme="minorHAnsi" w:hAnsiTheme="minorHAnsi" w:cstheme="minorHAnsi"/>
          <w:lang w:val="en-US"/>
        </w:rPr>
        <w:t>R</w:t>
      </w:r>
      <w:r w:rsidR="00493053" w:rsidRPr="00352165">
        <w:rPr>
          <w:rFonts w:asciiTheme="minorHAnsi" w:hAnsiTheme="minorHAnsi" w:cstheme="minorHAnsi"/>
          <w:lang w:val="en-US"/>
        </w:rPr>
        <w:t>679</w:t>
      </w:r>
      <w:r w:rsidR="00E907F3">
        <w:rPr>
          <w:rFonts w:asciiTheme="minorHAnsi" w:hAnsiTheme="minorHAnsi" w:cstheme="minorHAnsi"/>
          <w:lang w:val="en-US"/>
        </w:rPr>
        <w:t> </w:t>
      </w:r>
      <w:r w:rsidRPr="00352165">
        <w:rPr>
          <w:rFonts w:asciiTheme="minorHAnsi" w:hAnsiTheme="minorHAnsi" w:cstheme="minorHAnsi"/>
          <w:lang w:val="en-US"/>
        </w:rPr>
        <w:t>000</w:t>
      </w:r>
      <w:r w:rsidR="00E907F3">
        <w:rPr>
          <w:rFonts w:asciiTheme="minorHAnsi" w:hAnsiTheme="minorHAnsi" w:cstheme="minorHAnsi"/>
          <w:lang w:val="en-US"/>
        </w:rPr>
        <w:t>; 37 000 USD</w:t>
      </w:r>
      <w:r w:rsidR="00493053" w:rsidRPr="00352165">
        <w:rPr>
          <w:rFonts w:asciiTheme="minorHAnsi" w:hAnsiTheme="minorHAnsi" w:cstheme="minorHAnsi"/>
          <w:lang w:val="en-US"/>
        </w:rPr>
        <w:t>)</w:t>
      </w:r>
      <w:r w:rsidRPr="00352165">
        <w:rPr>
          <w:rFonts w:asciiTheme="minorHAnsi" w:hAnsiTheme="minorHAnsi" w:cstheme="minorHAnsi"/>
          <w:lang w:val="en-US"/>
        </w:rPr>
        <w:t xml:space="preserve"> might be affordable to a household earning R</w:t>
      </w:r>
      <w:r w:rsidR="00493053" w:rsidRPr="00352165">
        <w:rPr>
          <w:rFonts w:asciiTheme="minorHAnsi" w:hAnsiTheme="minorHAnsi" w:cstheme="minorHAnsi"/>
          <w:lang w:val="en-US"/>
        </w:rPr>
        <w:t>20 400</w:t>
      </w:r>
      <w:r w:rsidRPr="00352165">
        <w:rPr>
          <w:rFonts w:asciiTheme="minorHAnsi" w:hAnsiTheme="minorHAnsi" w:cstheme="minorHAnsi"/>
          <w:lang w:val="en-US"/>
        </w:rPr>
        <w:t xml:space="preserve"> </w:t>
      </w:r>
      <w:r w:rsidR="00E907F3">
        <w:rPr>
          <w:rFonts w:asciiTheme="minorHAnsi" w:hAnsiTheme="minorHAnsi" w:cstheme="minorHAnsi"/>
          <w:lang w:val="en-US"/>
        </w:rPr>
        <w:t xml:space="preserve">(1 112 USD) </w:t>
      </w:r>
      <w:r w:rsidRPr="00352165">
        <w:rPr>
          <w:rFonts w:asciiTheme="minorHAnsi" w:hAnsiTheme="minorHAnsi" w:cstheme="minorHAnsi"/>
          <w:lang w:val="en-US"/>
        </w:rPr>
        <w:t>per month, assuming that a poor credit score or other demands on disposable income do not lead to the mortgage application being declined.</w:t>
      </w:r>
      <w:r w:rsidR="00493053" w:rsidRPr="00352165">
        <w:rPr>
          <w:rFonts w:asciiTheme="minorHAnsi" w:hAnsiTheme="minorHAnsi" w:cstheme="minorHAnsi"/>
          <w:lang w:val="en-US"/>
        </w:rPr>
        <w:t xml:space="preserve"> However, R22 000/month </w:t>
      </w:r>
      <w:r w:rsidR="00293D4D">
        <w:rPr>
          <w:rFonts w:asciiTheme="minorHAnsi" w:hAnsiTheme="minorHAnsi" w:cstheme="minorHAnsi"/>
          <w:lang w:val="en-US"/>
        </w:rPr>
        <w:t xml:space="preserve">(1 199 USD) </w:t>
      </w:r>
      <w:r w:rsidR="00493053" w:rsidRPr="00352165">
        <w:rPr>
          <w:rFonts w:asciiTheme="minorHAnsi" w:hAnsiTheme="minorHAnsi" w:cstheme="minorHAnsi"/>
          <w:lang w:val="en-US"/>
        </w:rPr>
        <w:t xml:space="preserve">is the maximum monthly income allowable to be eligible for FLISP. And since the focus of the FLISP has mainly been on new build, </w:t>
      </w:r>
      <w:r w:rsidRPr="00352165">
        <w:rPr>
          <w:rFonts w:asciiTheme="minorHAnsi" w:hAnsiTheme="minorHAnsi" w:cstheme="minorHAnsi"/>
          <w:lang w:val="en-ZA"/>
        </w:rPr>
        <w:t xml:space="preserve">most of the delivery on the FLISP programme has been at the </w:t>
      </w:r>
      <w:r w:rsidR="00493053" w:rsidRPr="00352165">
        <w:rPr>
          <w:rFonts w:asciiTheme="minorHAnsi" w:hAnsiTheme="minorHAnsi" w:cstheme="minorHAnsi"/>
          <w:lang w:val="en-ZA"/>
        </w:rPr>
        <w:t xml:space="preserve">very </w:t>
      </w:r>
      <w:r w:rsidRPr="00352165">
        <w:rPr>
          <w:rFonts w:asciiTheme="minorHAnsi" w:hAnsiTheme="minorHAnsi" w:cstheme="minorHAnsi"/>
          <w:lang w:val="en-ZA"/>
        </w:rPr>
        <w:t xml:space="preserve">high end of the target market. </w:t>
      </w:r>
      <w:r w:rsidR="0049490D" w:rsidRPr="00352165">
        <w:rPr>
          <w:rFonts w:asciiTheme="minorHAnsi" w:hAnsiTheme="minorHAnsi" w:cstheme="minorHAnsi"/>
          <w:lang w:val="en-ZA"/>
        </w:rPr>
        <w:t>Furthermore, partly as a result of the high level of indebtedness of many low-income households in South Africa, the rejection rate for mortgage applications stood at 69% at the end of 2022.</w:t>
      </w:r>
      <w:r w:rsidR="0049490D" w:rsidRPr="00352165">
        <w:rPr>
          <w:rStyle w:val="FootnoteReference"/>
          <w:rFonts w:asciiTheme="minorHAnsi" w:hAnsiTheme="minorHAnsi" w:cstheme="minorHAnsi"/>
          <w:lang w:val="en-ZA"/>
        </w:rPr>
        <w:footnoteReference w:id="9"/>
      </w:r>
      <w:r w:rsidR="0049490D" w:rsidRPr="00352165">
        <w:rPr>
          <w:rFonts w:asciiTheme="minorHAnsi" w:hAnsiTheme="minorHAnsi" w:cstheme="minorHAnsi"/>
          <w:lang w:val="en-ZA"/>
        </w:rPr>
        <w:t xml:space="preserve"> </w:t>
      </w:r>
    </w:p>
    <w:p w14:paraId="5E66FBC8" w14:textId="77777777" w:rsidR="00F07E46" w:rsidRPr="00352165" w:rsidRDefault="00F07E46" w:rsidP="00F07E46">
      <w:pPr>
        <w:spacing w:after="120"/>
        <w:contextualSpacing/>
        <w:rPr>
          <w:rFonts w:asciiTheme="minorHAnsi" w:hAnsiTheme="minorHAnsi" w:cstheme="minorHAnsi"/>
          <w:lang w:val="en-ZA"/>
        </w:rPr>
      </w:pPr>
    </w:p>
    <w:p w14:paraId="5C0A5CE6" w14:textId="6FFAFFFB" w:rsidR="00767FA7" w:rsidRPr="00352165" w:rsidRDefault="0049490D" w:rsidP="00AF5151">
      <w:pPr>
        <w:spacing w:after="120"/>
        <w:contextualSpacing/>
        <w:rPr>
          <w:rFonts w:asciiTheme="minorHAnsi" w:hAnsiTheme="minorHAnsi" w:cstheme="minorHAnsi"/>
        </w:rPr>
      </w:pPr>
      <w:r w:rsidRPr="00352165">
        <w:rPr>
          <w:rFonts w:asciiTheme="minorHAnsi" w:hAnsiTheme="minorHAnsi" w:cstheme="minorHAnsi"/>
        </w:rPr>
        <w:t xml:space="preserve">The housing sector is trying to tackle these affordability issues in a number of ways: reducing the cost of the construction of the house through </w:t>
      </w:r>
      <w:r w:rsidRPr="00352165">
        <w:rPr>
          <w:rFonts w:asciiTheme="minorHAnsi" w:hAnsiTheme="minorHAnsi" w:cstheme="minorHAnsi"/>
        </w:rPr>
        <w:lastRenderedPageBreak/>
        <w:t xml:space="preserve">alternative building methods, working with banks to support and encourage down-market lending, improving service delivery and urban management to increase property values in neighbourhoods, and addressing the challenges in the FLISP subsidy programme. </w:t>
      </w:r>
      <w:proofErr w:type="gramStart"/>
      <w:r w:rsidRPr="00352165">
        <w:rPr>
          <w:rFonts w:asciiTheme="minorHAnsi" w:hAnsiTheme="minorHAnsi" w:cstheme="minorHAnsi"/>
        </w:rPr>
        <w:t>However</w:t>
      </w:r>
      <w:proofErr w:type="gramEnd"/>
      <w:r w:rsidRPr="00352165">
        <w:rPr>
          <w:rFonts w:asciiTheme="minorHAnsi" w:hAnsiTheme="minorHAnsi" w:cstheme="minorHAnsi"/>
        </w:rPr>
        <w:t xml:space="preserve"> the particular issue of </w:t>
      </w:r>
      <w:r w:rsidR="00335922" w:rsidRPr="00352165">
        <w:rPr>
          <w:rFonts w:asciiTheme="minorHAnsi" w:hAnsiTheme="minorHAnsi" w:cstheme="minorHAnsi"/>
        </w:rPr>
        <w:t xml:space="preserve">non-creditworthiness of households requires interventions to roll out financial literacy and debt rehabilitation programmes. Another important innovation in South Africa is rent-to-own schemes that see households pay rent and contribute to savings for a few years before acquiring a bond to purchase the unit. These programmes possess great potential in South Africa, as they enable households to recover and build up their credit record and prepare financial for home ownership, before approaching the bank for a bond. </w:t>
      </w:r>
      <w:r w:rsidR="00335922" w:rsidRPr="00352165">
        <w:rPr>
          <w:rFonts w:asciiTheme="minorHAnsi" w:hAnsiTheme="minorHAnsi" w:cstheme="minorHAnsi"/>
          <w:lang w:val="en-ZA"/>
        </w:rPr>
        <w:t>Combined with the FLISP programme, rent-to-buy can be a structured, facilitative pathway to ownership.</w:t>
      </w:r>
    </w:p>
    <w:p w14:paraId="7A6CCFC8" w14:textId="77777777" w:rsidR="00AF5151" w:rsidRPr="00352165" w:rsidRDefault="00AF5151" w:rsidP="00AF5151">
      <w:pPr>
        <w:spacing w:after="120"/>
        <w:contextualSpacing/>
        <w:rPr>
          <w:rFonts w:ascii="Corbel" w:hAnsi="Corbel"/>
        </w:rPr>
      </w:pPr>
    </w:p>
    <w:p w14:paraId="381EFFAA" w14:textId="77777777" w:rsidR="00C951F9" w:rsidRPr="00352165" w:rsidRDefault="00A83B64" w:rsidP="00C951F9">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What percentage of land is owned or otherwise controlled by the State or other public entities, as contrasted with private entities (both for profit and not for profit)?  Please explain if there are any policies or laws which seeks to control the price of land, prevent land speculation including its supply and finance?</w:t>
      </w:r>
    </w:p>
    <w:p w14:paraId="5B8B024C" w14:textId="77777777" w:rsidR="00C951F9" w:rsidRPr="00352165" w:rsidRDefault="00C951F9" w:rsidP="00C951F9">
      <w:pPr>
        <w:spacing w:after="160" w:line="259" w:lineRule="auto"/>
        <w:ind w:left="284"/>
        <w:contextualSpacing/>
        <w:jc w:val="both"/>
        <w:rPr>
          <w:rFonts w:eastAsia="Calibri"/>
          <w:color w:val="0070C0"/>
          <w:sz w:val="22"/>
          <w:szCs w:val="22"/>
        </w:rPr>
      </w:pPr>
    </w:p>
    <w:p w14:paraId="5019210D" w14:textId="1842F3AD" w:rsidR="0040363A" w:rsidRPr="00352165" w:rsidRDefault="0040363A" w:rsidP="00C951F9">
      <w:pPr>
        <w:spacing w:after="160" w:line="259" w:lineRule="auto"/>
        <w:ind w:left="284"/>
        <w:contextualSpacing/>
        <w:jc w:val="both"/>
        <w:rPr>
          <w:rFonts w:eastAsia="Calibri"/>
        </w:rPr>
      </w:pPr>
      <w:r w:rsidRPr="00352165">
        <w:rPr>
          <w:rFonts w:asciiTheme="minorHAnsi" w:eastAsia="Calibri" w:hAnsiTheme="minorHAnsi" w:cstheme="minorHAnsi"/>
        </w:rPr>
        <w:t xml:space="preserve">This is not our organisation’s area of expertise. </w:t>
      </w:r>
    </w:p>
    <w:p w14:paraId="0CE22620" w14:textId="77777777" w:rsidR="00A83B64" w:rsidRDefault="00A83B64" w:rsidP="00A83B64">
      <w:pPr>
        <w:pStyle w:val="ListParagraph"/>
        <w:rPr>
          <w:rFonts w:eastAsia="Calibri"/>
          <w:sz w:val="22"/>
          <w:szCs w:val="22"/>
        </w:rPr>
      </w:pPr>
    </w:p>
    <w:p w14:paraId="5BA26206" w14:textId="77777777" w:rsidR="00C951F9" w:rsidRPr="00352165" w:rsidRDefault="00A83B64" w:rsidP="00C951F9">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 xml:space="preserve">How many households have, during the last ten years been evicted because of their non-payment of housing costs?  Please provide, if possible, more information on the socio-economic profile of the concerned households. </w:t>
      </w:r>
    </w:p>
    <w:p w14:paraId="6E95CA44" w14:textId="77777777" w:rsidR="00C951F9" w:rsidRPr="00352165" w:rsidRDefault="00C951F9" w:rsidP="00C951F9">
      <w:pPr>
        <w:spacing w:after="160" w:line="259" w:lineRule="auto"/>
        <w:ind w:left="284"/>
        <w:contextualSpacing/>
        <w:jc w:val="both"/>
        <w:rPr>
          <w:rFonts w:eastAsia="Calibri"/>
          <w:color w:val="0070C0"/>
          <w:sz w:val="22"/>
          <w:szCs w:val="22"/>
        </w:rPr>
      </w:pPr>
    </w:p>
    <w:p w14:paraId="46882F85" w14:textId="7F9768A0" w:rsidR="00C951F9" w:rsidRPr="00352165" w:rsidRDefault="00C951F9" w:rsidP="00C951F9">
      <w:pPr>
        <w:spacing w:after="160" w:line="259" w:lineRule="auto"/>
        <w:ind w:left="284"/>
        <w:contextualSpacing/>
        <w:jc w:val="both"/>
        <w:rPr>
          <w:rFonts w:eastAsia="Calibri"/>
        </w:rPr>
      </w:pPr>
      <w:r w:rsidRPr="00352165">
        <w:rPr>
          <w:rFonts w:asciiTheme="minorHAnsi" w:eastAsia="Calibri" w:hAnsiTheme="minorHAnsi" w:cstheme="minorHAnsi"/>
        </w:rPr>
        <w:t xml:space="preserve">This is not our organisation’s area of expertise. </w:t>
      </w:r>
    </w:p>
    <w:p w14:paraId="782B615F" w14:textId="77777777" w:rsidR="00A83B64" w:rsidRPr="00352165" w:rsidRDefault="00A83B64" w:rsidP="0040363A">
      <w:pPr>
        <w:rPr>
          <w:rFonts w:eastAsia="Calibri"/>
          <w:sz w:val="22"/>
          <w:szCs w:val="22"/>
        </w:rPr>
      </w:pPr>
    </w:p>
    <w:p w14:paraId="635D396E" w14:textId="77777777" w:rsidR="00C951F9" w:rsidRPr="00352165" w:rsidRDefault="00A83B64" w:rsidP="00C951F9">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How many individuals, households or groups have, during the last ten years, been rendered homeless because of inability to afford housing?  Please provide a breakdown of the socio-economic characteristics of such individuals.</w:t>
      </w:r>
    </w:p>
    <w:p w14:paraId="2FD1B3F6" w14:textId="77777777" w:rsidR="00C951F9" w:rsidRPr="00352165" w:rsidRDefault="00C951F9" w:rsidP="00C951F9">
      <w:pPr>
        <w:spacing w:after="160" w:line="259" w:lineRule="auto"/>
        <w:ind w:left="284"/>
        <w:contextualSpacing/>
        <w:jc w:val="both"/>
        <w:rPr>
          <w:rFonts w:eastAsia="Calibri"/>
          <w:color w:val="0070C0"/>
          <w:sz w:val="22"/>
          <w:szCs w:val="22"/>
        </w:rPr>
      </w:pPr>
    </w:p>
    <w:p w14:paraId="26BBD31A" w14:textId="0A7118D1" w:rsidR="0040363A" w:rsidRPr="00352165" w:rsidRDefault="0040363A" w:rsidP="00C951F9">
      <w:pPr>
        <w:spacing w:after="160" w:line="259" w:lineRule="auto"/>
        <w:ind w:left="284"/>
        <w:contextualSpacing/>
        <w:jc w:val="both"/>
        <w:rPr>
          <w:rFonts w:eastAsia="Calibri"/>
        </w:rPr>
      </w:pPr>
      <w:r w:rsidRPr="00352165">
        <w:rPr>
          <w:rFonts w:asciiTheme="minorHAnsi" w:eastAsia="Calibri" w:hAnsiTheme="minorHAnsi" w:cstheme="minorHAnsi"/>
        </w:rPr>
        <w:t xml:space="preserve">This is not our organisation’s area of expertise. </w:t>
      </w:r>
    </w:p>
    <w:p w14:paraId="3D25C44C" w14:textId="77777777" w:rsidR="00A83B64" w:rsidRPr="00352165" w:rsidRDefault="00A83B64" w:rsidP="00A83B64">
      <w:pPr>
        <w:spacing w:after="160" w:line="259" w:lineRule="auto"/>
        <w:ind w:left="720"/>
        <w:jc w:val="both"/>
        <w:rPr>
          <w:rFonts w:eastAsia="Calibri"/>
          <w:sz w:val="22"/>
          <w:szCs w:val="22"/>
        </w:rPr>
      </w:pPr>
    </w:p>
    <w:p w14:paraId="4712729C" w14:textId="77777777" w:rsidR="00C951F9" w:rsidRPr="00352165" w:rsidRDefault="00A83B64" w:rsidP="00C951F9">
      <w:pPr>
        <w:numPr>
          <w:ilvl w:val="0"/>
          <w:numId w:val="1"/>
        </w:numPr>
        <w:spacing w:after="160" w:line="259" w:lineRule="auto"/>
        <w:ind w:left="284" w:hanging="284"/>
        <w:contextualSpacing/>
        <w:jc w:val="both"/>
        <w:rPr>
          <w:rFonts w:eastAsia="Calibri"/>
          <w:color w:val="0070C0"/>
          <w:sz w:val="22"/>
          <w:szCs w:val="22"/>
        </w:rPr>
      </w:pPr>
      <w:r w:rsidRPr="00352165">
        <w:rPr>
          <w:rFonts w:eastAsia="Calibri"/>
          <w:color w:val="0070C0"/>
          <w:sz w:val="22"/>
          <w:szCs w:val="22"/>
        </w:rPr>
        <w:t>Please describe how housing unaffordability impacts the capacity of individuals and families to enjoy their other human rights including rights to work, health, education, and access to personal security in all its dimensions.</w:t>
      </w:r>
    </w:p>
    <w:p w14:paraId="5356F292" w14:textId="77777777" w:rsidR="00C951F9" w:rsidRPr="00352165" w:rsidRDefault="00C951F9" w:rsidP="00C951F9">
      <w:pPr>
        <w:spacing w:after="160" w:line="259" w:lineRule="auto"/>
        <w:ind w:left="284"/>
        <w:contextualSpacing/>
        <w:jc w:val="both"/>
        <w:rPr>
          <w:rFonts w:eastAsia="Calibri"/>
        </w:rPr>
      </w:pPr>
    </w:p>
    <w:p w14:paraId="39C933D9" w14:textId="29C3B080" w:rsidR="0040363A" w:rsidRPr="00352165" w:rsidRDefault="0040363A" w:rsidP="00C951F9">
      <w:pPr>
        <w:spacing w:after="160" w:line="259" w:lineRule="auto"/>
        <w:ind w:left="284"/>
        <w:contextualSpacing/>
        <w:jc w:val="both"/>
        <w:rPr>
          <w:rFonts w:asciiTheme="minorHAnsi" w:eastAsia="Calibri" w:hAnsiTheme="minorHAnsi" w:cstheme="minorHAnsi"/>
        </w:rPr>
      </w:pPr>
      <w:r w:rsidRPr="00352165">
        <w:rPr>
          <w:rFonts w:asciiTheme="minorHAnsi" w:eastAsia="Calibri" w:hAnsiTheme="minorHAnsi" w:cstheme="minorHAnsi"/>
        </w:rPr>
        <w:t xml:space="preserve">This is not our organisation’s area of expertise. </w:t>
      </w:r>
    </w:p>
    <w:p w14:paraId="4B30EA9A" w14:textId="77777777" w:rsidR="00C951F9" w:rsidRPr="00C951F9" w:rsidRDefault="00C951F9" w:rsidP="00C951F9">
      <w:pPr>
        <w:spacing w:after="160" w:line="259" w:lineRule="auto"/>
        <w:ind w:left="284"/>
        <w:contextualSpacing/>
        <w:jc w:val="both"/>
        <w:rPr>
          <w:rFonts w:eastAsia="Calibri"/>
          <w:sz w:val="22"/>
          <w:szCs w:val="22"/>
        </w:rPr>
      </w:pPr>
    </w:p>
    <w:p w14:paraId="732091AB" w14:textId="77777777" w:rsidR="00A83B64" w:rsidRPr="00352165" w:rsidRDefault="00A83B64" w:rsidP="00A83B64">
      <w:pPr>
        <w:spacing w:after="160" w:line="259" w:lineRule="auto"/>
        <w:jc w:val="both"/>
        <w:rPr>
          <w:rFonts w:eastAsia="Calibri"/>
          <w:b/>
          <w:color w:val="0070C0"/>
          <w:sz w:val="22"/>
          <w:szCs w:val="22"/>
          <w:lang w:val="en-US"/>
        </w:rPr>
      </w:pPr>
      <w:r w:rsidRPr="00352165">
        <w:rPr>
          <w:rFonts w:eastAsia="Calibri"/>
          <w:b/>
          <w:color w:val="0070C0"/>
          <w:sz w:val="22"/>
          <w:szCs w:val="22"/>
          <w:lang w:val="en-US"/>
        </w:rPr>
        <w:lastRenderedPageBreak/>
        <w:t xml:space="preserve">Laws, policies, </w:t>
      </w:r>
      <w:proofErr w:type="spellStart"/>
      <w:r w:rsidRPr="00352165">
        <w:rPr>
          <w:rFonts w:eastAsia="Calibri"/>
          <w:b/>
          <w:color w:val="0070C0"/>
          <w:sz w:val="22"/>
          <w:szCs w:val="22"/>
          <w:lang w:val="en-US"/>
        </w:rPr>
        <w:t>programmes</w:t>
      </w:r>
      <w:proofErr w:type="spellEnd"/>
      <w:r w:rsidRPr="00352165">
        <w:rPr>
          <w:rFonts w:eastAsia="Calibri"/>
          <w:b/>
          <w:color w:val="0070C0"/>
          <w:sz w:val="22"/>
          <w:szCs w:val="22"/>
          <w:lang w:val="en-US"/>
        </w:rPr>
        <w:t xml:space="preserve"> and practices aiming to ensure that housing is affordable to all without discrimination</w:t>
      </w:r>
    </w:p>
    <w:p w14:paraId="10CD7BD8" w14:textId="77777777" w:rsidR="00AF5151" w:rsidRPr="00352165" w:rsidRDefault="00A83B64" w:rsidP="00AF5151">
      <w:pPr>
        <w:numPr>
          <w:ilvl w:val="0"/>
          <w:numId w:val="1"/>
        </w:numPr>
        <w:spacing w:after="160" w:line="259" w:lineRule="auto"/>
        <w:ind w:left="284" w:hanging="284"/>
        <w:contextualSpacing/>
        <w:jc w:val="both"/>
        <w:rPr>
          <w:rFonts w:eastAsia="Calibri"/>
          <w:color w:val="0070C0"/>
          <w:sz w:val="22"/>
          <w:szCs w:val="22"/>
          <w:lang w:val="en-US"/>
        </w:rPr>
      </w:pPr>
      <w:r w:rsidRPr="00352165">
        <w:rPr>
          <w:rFonts w:eastAsia="Calibri"/>
          <w:color w:val="0070C0"/>
          <w:sz w:val="22"/>
          <w:szCs w:val="22"/>
          <w:lang w:val="en-US"/>
        </w:rPr>
        <w:t xml:space="preserve">Please share an overview of the laws, policies, </w:t>
      </w:r>
      <w:proofErr w:type="spellStart"/>
      <w:r w:rsidRPr="00352165">
        <w:rPr>
          <w:rFonts w:eastAsia="Calibri"/>
          <w:color w:val="0070C0"/>
          <w:sz w:val="22"/>
          <w:szCs w:val="22"/>
          <w:lang w:val="en-US"/>
        </w:rPr>
        <w:t>programmes</w:t>
      </w:r>
      <w:proofErr w:type="spellEnd"/>
      <w:r w:rsidRPr="00352165">
        <w:rPr>
          <w:rFonts w:eastAsia="Calibri"/>
          <w:color w:val="0070C0"/>
          <w:sz w:val="22"/>
          <w:szCs w:val="22"/>
          <w:lang w:val="en-US"/>
        </w:rPr>
        <w:t xml:space="preserve"> and practices adopted in your </w:t>
      </w:r>
      <w:r w:rsidRPr="00352165">
        <w:rPr>
          <w:rFonts w:eastAsia="Calibri"/>
          <w:color w:val="0070C0"/>
          <w:sz w:val="22"/>
          <w:szCs w:val="22"/>
        </w:rPr>
        <w:t>country</w:t>
      </w:r>
      <w:r w:rsidRPr="00352165">
        <w:rPr>
          <w:rFonts w:eastAsia="Calibri"/>
          <w:color w:val="0070C0"/>
          <w:sz w:val="22"/>
          <w:szCs w:val="22"/>
          <w:lang w:val="en-US"/>
        </w:rPr>
        <w:t xml:space="preserve">/region/city to ensure that housing is affordable for all without any discrimination, Please, provide links to relevant official texts (e.g. affordable housing, social and energy cost subsidies, preferential mortgage, building support schemes, provision of social and public housing, of serviced land for self-construction, rent containment and rent control measures, taxation, measures to reduce housing vacancy, multi-stakeholder initiatives by State, local Governments, construction industry, housing providers, tenant unions </w:t>
      </w:r>
      <w:proofErr w:type="spellStart"/>
      <w:r w:rsidRPr="00352165">
        <w:rPr>
          <w:rFonts w:eastAsia="Calibri"/>
          <w:color w:val="0070C0"/>
          <w:sz w:val="22"/>
          <w:szCs w:val="22"/>
          <w:lang w:val="en-US"/>
        </w:rPr>
        <w:t>etc</w:t>
      </w:r>
      <w:proofErr w:type="spellEnd"/>
      <w:r w:rsidRPr="00352165">
        <w:rPr>
          <w:rFonts w:eastAsia="Calibri"/>
          <w:color w:val="0070C0"/>
          <w:sz w:val="22"/>
          <w:szCs w:val="22"/>
          <w:lang w:val="en-US"/>
        </w:rPr>
        <w:t xml:space="preserve">). </w:t>
      </w:r>
    </w:p>
    <w:p w14:paraId="585711C3" w14:textId="77777777" w:rsidR="00AF5151" w:rsidRPr="007C172E" w:rsidRDefault="00AF5151" w:rsidP="00AF5151">
      <w:pPr>
        <w:spacing w:after="160" w:line="259" w:lineRule="auto"/>
        <w:ind w:left="284"/>
        <w:contextualSpacing/>
        <w:jc w:val="both"/>
        <w:rPr>
          <w:rFonts w:eastAsia="Calibri"/>
          <w:lang w:val="en-US"/>
        </w:rPr>
      </w:pPr>
    </w:p>
    <w:p w14:paraId="55D488ED" w14:textId="3614D5B3" w:rsidR="00A83B64" w:rsidRPr="00352165" w:rsidRDefault="0040363A" w:rsidP="00AF5151">
      <w:pPr>
        <w:spacing w:after="160" w:line="259" w:lineRule="auto"/>
        <w:ind w:left="284"/>
        <w:contextualSpacing/>
        <w:jc w:val="both"/>
        <w:rPr>
          <w:rFonts w:eastAsia="Calibri"/>
          <w:lang w:val="en-US"/>
        </w:rPr>
      </w:pPr>
      <w:r w:rsidRPr="00352165">
        <w:rPr>
          <w:rFonts w:asciiTheme="minorHAnsi" w:eastAsia="Calibri" w:hAnsiTheme="minorHAnsi" w:cstheme="minorHAnsi"/>
        </w:rPr>
        <w:t xml:space="preserve">This is not our organisation’s area of expertise. </w:t>
      </w:r>
    </w:p>
    <w:p w14:paraId="0C5AD87F" w14:textId="77777777" w:rsidR="00AF5151" w:rsidRPr="00352165" w:rsidRDefault="00AF5151" w:rsidP="00AF5151">
      <w:pPr>
        <w:spacing w:after="160" w:line="259" w:lineRule="auto"/>
        <w:ind w:left="284"/>
        <w:contextualSpacing/>
        <w:jc w:val="both"/>
        <w:rPr>
          <w:rFonts w:eastAsia="Calibri"/>
          <w:sz w:val="22"/>
          <w:szCs w:val="22"/>
          <w:lang w:val="en-US"/>
        </w:rPr>
      </w:pPr>
    </w:p>
    <w:p w14:paraId="5595BF7E" w14:textId="1F514899" w:rsidR="00A83B64" w:rsidRPr="00352165" w:rsidRDefault="00A83B64" w:rsidP="00AF5151">
      <w:pPr>
        <w:numPr>
          <w:ilvl w:val="0"/>
          <w:numId w:val="1"/>
        </w:numPr>
        <w:spacing w:after="160" w:line="259" w:lineRule="auto"/>
        <w:ind w:left="284" w:hanging="284"/>
        <w:contextualSpacing/>
        <w:jc w:val="both"/>
        <w:rPr>
          <w:rFonts w:eastAsia="Calibri"/>
          <w:color w:val="0070C0"/>
          <w:sz w:val="22"/>
          <w:szCs w:val="22"/>
          <w:lang w:val="en-US"/>
        </w:rPr>
      </w:pPr>
      <w:r w:rsidRPr="00352165">
        <w:rPr>
          <w:rFonts w:eastAsia="Calibri"/>
          <w:color w:val="0070C0"/>
          <w:sz w:val="22"/>
          <w:szCs w:val="22"/>
          <w:lang w:val="en-US"/>
        </w:rPr>
        <w:t xml:space="preserve">Please share an assessment of the success, limitations or potential failures of the above mentioned laws and policies in your country/region/city, including any studies or independent evaluation reports related to them. Who has benefited from them, who has not? What has worked well, what - less? What lessons can be </w:t>
      </w:r>
      <w:r w:rsidRPr="00352165">
        <w:rPr>
          <w:rFonts w:eastAsia="Calibri"/>
          <w:color w:val="0070C0"/>
          <w:sz w:val="22"/>
          <w:szCs w:val="22"/>
          <w:lang w:val="en-US"/>
        </w:rPr>
        <w:lastRenderedPageBreak/>
        <w:t>learned? What could potentially be replicable in other countries/regions/cities?</w:t>
      </w:r>
    </w:p>
    <w:p w14:paraId="6CE024FB" w14:textId="77777777" w:rsidR="00A83B64" w:rsidRPr="007B0340" w:rsidRDefault="00A83B64" w:rsidP="00A83B64">
      <w:pPr>
        <w:spacing w:after="160" w:line="259" w:lineRule="auto"/>
        <w:contextualSpacing/>
        <w:rPr>
          <w:rFonts w:eastAsia="Calibri"/>
          <w:color w:val="0070C0"/>
          <w:sz w:val="22"/>
          <w:szCs w:val="22"/>
          <w:lang w:val="en-US"/>
        </w:rPr>
      </w:pPr>
    </w:p>
    <w:p w14:paraId="5143276E" w14:textId="0E7FA541" w:rsidR="007C172E" w:rsidRPr="00352165" w:rsidRDefault="0077712E" w:rsidP="00AF5151">
      <w:pPr>
        <w:spacing w:after="120"/>
        <w:contextualSpacing/>
        <w:rPr>
          <w:rFonts w:asciiTheme="minorHAnsi" w:hAnsiTheme="minorHAnsi" w:cstheme="minorHAnsi"/>
        </w:rPr>
      </w:pPr>
      <w:r w:rsidRPr="00352165">
        <w:rPr>
          <w:rFonts w:asciiTheme="minorHAnsi" w:hAnsiTheme="minorHAnsi" w:cstheme="minorHAnsi"/>
        </w:rPr>
        <w:t xml:space="preserve">Delivery of government housing programmes since 1994 has profoundly altered the shape of South Africa’s property market such that more than half of residential properties are in the affordable housing segment (valued less than R600 000). </w:t>
      </w:r>
      <w:r w:rsidR="003D1CCB" w:rsidRPr="00352165">
        <w:rPr>
          <w:rFonts w:asciiTheme="minorHAnsi" w:hAnsiTheme="minorHAnsi" w:cstheme="minorHAnsi"/>
        </w:rPr>
        <w:t xml:space="preserve">The national government housing programme has played a massive role in shaping the supply and segmentation of the market. The availability of stock in the entry market is predominantly attributable to public investment: 69% of units valued under R300 000 were GSP. </w:t>
      </w:r>
      <w:proofErr w:type="gramStart"/>
      <w:r w:rsidR="003D1CCB" w:rsidRPr="00352165">
        <w:rPr>
          <w:rFonts w:asciiTheme="minorHAnsi" w:hAnsiTheme="minorHAnsi" w:cstheme="minorHAnsi"/>
        </w:rPr>
        <w:t>In  the</w:t>
      </w:r>
      <w:proofErr w:type="gramEnd"/>
      <w:r w:rsidR="003D1CCB" w:rsidRPr="00352165">
        <w:rPr>
          <w:rFonts w:asciiTheme="minorHAnsi" w:hAnsiTheme="minorHAnsi" w:cstheme="minorHAnsi"/>
        </w:rPr>
        <w:t xml:space="preserve"> affordable market (R300 000 – R600 000)</w:t>
      </w:r>
      <w:r w:rsidR="00293D4D">
        <w:rPr>
          <w:rFonts w:asciiTheme="minorHAnsi" w:hAnsiTheme="minorHAnsi" w:cstheme="minorHAnsi"/>
        </w:rPr>
        <w:t xml:space="preserve"> (16 349 USD – 32 698 USD)</w:t>
      </w:r>
      <w:r w:rsidR="003D1CCB" w:rsidRPr="00352165">
        <w:rPr>
          <w:rFonts w:asciiTheme="minorHAnsi" w:hAnsiTheme="minorHAnsi" w:cstheme="minorHAnsi"/>
        </w:rPr>
        <w:t xml:space="preserve">, 39% of the properties were government-subsidised. </w:t>
      </w:r>
      <w:r w:rsidR="007C172E" w:rsidRPr="00352165">
        <w:rPr>
          <w:rFonts w:asciiTheme="minorHAnsi" w:hAnsiTheme="minorHAnsi" w:cstheme="minorHAnsi"/>
        </w:rPr>
        <w:t xml:space="preserve"> </w:t>
      </w:r>
    </w:p>
    <w:p w14:paraId="70C67626" w14:textId="77777777" w:rsidR="007C172E" w:rsidRPr="00352165" w:rsidRDefault="007C172E" w:rsidP="00AF5151">
      <w:pPr>
        <w:spacing w:after="120"/>
        <w:contextualSpacing/>
        <w:rPr>
          <w:rFonts w:asciiTheme="minorHAnsi" w:hAnsiTheme="minorHAnsi" w:cstheme="minorHAnsi"/>
        </w:rPr>
      </w:pPr>
    </w:p>
    <w:p w14:paraId="70C8AE7C" w14:textId="3A6A3EBA" w:rsidR="007C172E" w:rsidRPr="00352165" w:rsidRDefault="007C172E" w:rsidP="007C172E">
      <w:pPr>
        <w:spacing w:after="120"/>
        <w:contextualSpacing/>
        <w:rPr>
          <w:rFonts w:asciiTheme="minorHAnsi" w:hAnsiTheme="minorHAnsi" w:cstheme="minorHAnsi"/>
        </w:rPr>
      </w:pPr>
      <w:r w:rsidRPr="00352165">
        <w:rPr>
          <w:rFonts w:asciiTheme="minorHAnsi" w:hAnsiTheme="minorHAnsi" w:cstheme="minorHAnsi"/>
        </w:rPr>
        <w:t>However shrinking household size, urbanisation and poverty levels have meant that 48% of South African households (6.959 million households) still stay in inadequate housing.</w:t>
      </w:r>
      <w:r w:rsidRPr="00352165">
        <w:rPr>
          <w:rFonts w:asciiTheme="minorHAnsi" w:hAnsiTheme="minorHAnsi" w:cstheme="minorHAnsi"/>
          <w:vertAlign w:val="superscript"/>
        </w:rPr>
        <w:footnoteReference w:id="10"/>
      </w:r>
      <w:r w:rsidRPr="00352165">
        <w:rPr>
          <w:rFonts w:asciiTheme="minorHAnsi" w:hAnsiTheme="minorHAnsi" w:cstheme="minorHAnsi"/>
        </w:rPr>
        <w:t xml:space="preserve"> The fully-subsidised provision of housing to low income households by government will not be able to address </w:t>
      </w:r>
      <w:r w:rsidRPr="00352165">
        <w:rPr>
          <w:rFonts w:asciiTheme="minorHAnsi" w:hAnsiTheme="minorHAnsi" w:cstheme="minorHAnsi"/>
        </w:rPr>
        <w:lastRenderedPageBreak/>
        <w:t>this gap. I</w:t>
      </w:r>
      <w:r w:rsidR="00AF5151" w:rsidRPr="00352165">
        <w:rPr>
          <w:rFonts w:asciiTheme="minorHAnsi" w:hAnsiTheme="minorHAnsi" w:cstheme="minorHAnsi"/>
        </w:rPr>
        <w:t xml:space="preserve">t is not sustainable—environmentally, financially—for government to continue a policy of providing fully-subsidised housing to the current eligible population. </w:t>
      </w:r>
      <w:r w:rsidRPr="00352165">
        <w:rPr>
          <w:rFonts w:asciiTheme="minorHAnsi" w:hAnsiTheme="minorHAnsi" w:cstheme="minorHAnsi"/>
        </w:rPr>
        <w:t>Instead the state must shift its primary role towards ensuring the effective functioning of the residential property market at the lower end. Toward this end</w:t>
      </w:r>
      <w:r w:rsidR="00AF5151" w:rsidRPr="00352165">
        <w:rPr>
          <w:rFonts w:asciiTheme="minorHAnsi" w:hAnsiTheme="minorHAnsi" w:cstheme="minorHAnsi"/>
        </w:rPr>
        <w:t xml:space="preserve">, the policy conversation has </w:t>
      </w:r>
      <w:r w:rsidRPr="00352165">
        <w:rPr>
          <w:rFonts w:asciiTheme="minorHAnsi" w:hAnsiTheme="minorHAnsi" w:cstheme="minorHAnsi"/>
        </w:rPr>
        <w:t xml:space="preserve">recently </w:t>
      </w:r>
      <w:r w:rsidR="00AF5151" w:rsidRPr="00352165">
        <w:rPr>
          <w:rFonts w:asciiTheme="minorHAnsi" w:hAnsiTheme="minorHAnsi" w:cstheme="minorHAnsi"/>
        </w:rPr>
        <w:t xml:space="preserve">shifted towards the delivery of serviced sites, expansion of rental programmes, and subsidies to the ‘gap’ market (the FLISP programme, as discussed above). </w:t>
      </w:r>
    </w:p>
    <w:p w14:paraId="1D728C00" w14:textId="77777777" w:rsidR="00CD359F" w:rsidRPr="00352165" w:rsidRDefault="00CD359F" w:rsidP="00AF5151">
      <w:pPr>
        <w:spacing w:after="120"/>
        <w:contextualSpacing/>
        <w:rPr>
          <w:rFonts w:asciiTheme="minorHAnsi" w:hAnsiTheme="minorHAnsi" w:cstheme="minorHAnsi"/>
        </w:rPr>
      </w:pPr>
    </w:p>
    <w:p w14:paraId="3FC0521A" w14:textId="49E7E587" w:rsidR="00352165" w:rsidRDefault="00352165" w:rsidP="0077712E">
      <w:pPr>
        <w:spacing w:after="120"/>
        <w:contextualSpacing/>
        <w:rPr>
          <w:rFonts w:ascii="Corbel" w:hAnsi="Corbel"/>
          <w:lang w:val="en-US"/>
        </w:rPr>
      </w:pPr>
      <w:r w:rsidRPr="00352165">
        <w:rPr>
          <w:rFonts w:asciiTheme="minorHAnsi" w:hAnsiTheme="minorHAnsi" w:cstheme="minorHAnsi"/>
          <w:b/>
          <w:bCs/>
          <w:noProof/>
          <w:lang w:eastAsia="en-GB"/>
        </w:rPr>
        <w:drawing>
          <wp:anchor distT="0" distB="0" distL="114300" distR="114300" simplePos="0" relativeHeight="251671552" behindDoc="0" locked="0" layoutInCell="1" allowOverlap="1" wp14:anchorId="253CBC29" wp14:editId="1EC35CA1">
            <wp:simplePos x="0" y="0"/>
            <wp:positionH relativeFrom="margin">
              <wp:align>left</wp:align>
            </wp:positionH>
            <wp:positionV relativeFrom="paragraph">
              <wp:posOffset>1639570</wp:posOffset>
            </wp:positionV>
            <wp:extent cx="2322195" cy="3197225"/>
            <wp:effectExtent l="0" t="0" r="1905" b="3175"/>
            <wp:wrapTopAndBottom/>
            <wp:docPr id="8" name="Picture 7" descr="Chart, bar chart&#10;&#10;Description automatically generated">
              <a:extLst xmlns:a="http://schemas.openxmlformats.org/drawingml/2006/main">
                <a:ext uri="{FF2B5EF4-FFF2-40B4-BE49-F238E27FC236}">
                  <a16:creationId xmlns:a16="http://schemas.microsoft.com/office/drawing/2014/main" id="{794C2916-9CBA-C63F-89D6-AC737BE47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hart, bar chart&#10;&#10;Description automatically generated">
                      <a:extLst>
                        <a:ext uri="{FF2B5EF4-FFF2-40B4-BE49-F238E27FC236}">
                          <a16:creationId xmlns:a16="http://schemas.microsoft.com/office/drawing/2014/main" id="{794C2916-9CBA-C63F-89D6-AC737BE4736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2195" cy="3197225"/>
                    </a:xfrm>
                    <a:prstGeom prst="rect">
                      <a:avLst/>
                    </a:prstGeom>
                  </pic:spPr>
                </pic:pic>
              </a:graphicData>
            </a:graphic>
            <wp14:sizeRelH relativeFrom="margin">
              <wp14:pctWidth>0</wp14:pctWidth>
            </wp14:sizeRelH>
            <wp14:sizeRelV relativeFrom="margin">
              <wp14:pctHeight>0</wp14:pctHeight>
            </wp14:sizeRelV>
          </wp:anchor>
        </w:drawing>
      </w:r>
      <w:r w:rsidR="00AF5151" w:rsidRPr="00352165">
        <w:rPr>
          <w:rFonts w:asciiTheme="minorHAnsi" w:hAnsiTheme="minorHAnsi" w:cstheme="minorHAnsi"/>
          <w:lang w:val="en-US"/>
        </w:rPr>
        <w:t xml:space="preserve">However even with access to FLISP, a household with a monthly income of R22 000 </w:t>
      </w:r>
      <w:r w:rsidR="00293D4D">
        <w:rPr>
          <w:rFonts w:asciiTheme="minorHAnsi" w:hAnsiTheme="minorHAnsi" w:cstheme="minorHAnsi"/>
          <w:lang w:val="en-US"/>
        </w:rPr>
        <w:t xml:space="preserve">(1 199 USD) </w:t>
      </w:r>
      <w:r w:rsidR="00AF5151" w:rsidRPr="00352165">
        <w:rPr>
          <w:rFonts w:asciiTheme="minorHAnsi" w:hAnsiTheme="minorHAnsi" w:cstheme="minorHAnsi"/>
          <w:lang w:val="en-US"/>
        </w:rPr>
        <w:t>(highes</w:t>
      </w:r>
      <w:r w:rsidR="007C172E" w:rsidRPr="00352165">
        <w:rPr>
          <w:rFonts w:asciiTheme="minorHAnsi" w:hAnsiTheme="minorHAnsi" w:cstheme="minorHAnsi"/>
          <w:lang w:val="en-US"/>
        </w:rPr>
        <w:t>t</w:t>
      </w:r>
      <w:r w:rsidR="00AF5151" w:rsidRPr="00352165">
        <w:rPr>
          <w:rFonts w:asciiTheme="minorHAnsi" w:hAnsiTheme="minorHAnsi" w:cstheme="minorHAnsi"/>
          <w:lang w:val="en-US"/>
        </w:rPr>
        <w:t xml:space="preserve"> allowable income to be eligible for the </w:t>
      </w:r>
      <w:proofErr w:type="spellStart"/>
      <w:r w:rsidR="00AF5151" w:rsidRPr="00352165">
        <w:rPr>
          <w:rFonts w:asciiTheme="minorHAnsi" w:hAnsiTheme="minorHAnsi" w:cstheme="minorHAnsi"/>
          <w:lang w:val="en-US"/>
        </w:rPr>
        <w:t>programme</w:t>
      </w:r>
      <w:proofErr w:type="spellEnd"/>
      <w:r w:rsidR="00AF5151" w:rsidRPr="00352165">
        <w:rPr>
          <w:rFonts w:asciiTheme="minorHAnsi" w:hAnsiTheme="minorHAnsi" w:cstheme="minorHAnsi"/>
          <w:lang w:val="en-US"/>
        </w:rPr>
        <w:t xml:space="preserve">) would likely struggle to find a newly built unit at the R700 000 </w:t>
      </w:r>
      <w:r w:rsidR="00293D4D">
        <w:rPr>
          <w:rFonts w:asciiTheme="minorHAnsi" w:hAnsiTheme="minorHAnsi" w:cstheme="minorHAnsi"/>
          <w:lang w:val="en-US"/>
        </w:rPr>
        <w:t xml:space="preserve">(38 147 USD) </w:t>
      </w:r>
      <w:r w:rsidR="007C172E" w:rsidRPr="00352165">
        <w:rPr>
          <w:rFonts w:asciiTheme="minorHAnsi" w:hAnsiTheme="minorHAnsi" w:cstheme="minorHAnsi"/>
          <w:lang w:val="en-US"/>
        </w:rPr>
        <w:t xml:space="preserve">price </w:t>
      </w:r>
      <w:r w:rsidR="00AF5151" w:rsidRPr="00352165">
        <w:rPr>
          <w:rFonts w:asciiTheme="minorHAnsi" w:hAnsiTheme="minorHAnsi" w:cstheme="minorHAnsi"/>
          <w:lang w:val="en-US"/>
        </w:rPr>
        <w:t xml:space="preserve">they could afford. </w:t>
      </w:r>
      <w:r w:rsidR="0077712E" w:rsidRPr="00352165">
        <w:rPr>
          <w:rFonts w:asciiTheme="minorHAnsi" w:hAnsiTheme="minorHAnsi" w:cstheme="minorHAnsi"/>
          <w:lang w:val="en-US"/>
        </w:rPr>
        <w:t>In short</w:t>
      </w:r>
      <w:r w:rsidR="0077712E" w:rsidRPr="00352165">
        <w:rPr>
          <w:rFonts w:asciiTheme="minorHAnsi" w:hAnsiTheme="minorHAnsi" w:cstheme="minorHAnsi"/>
          <w:b/>
          <w:bCs/>
          <w:lang w:val="en-US"/>
        </w:rPr>
        <w:t>, the new build market is too expensive to serve as a first step onto the property ladder</w:t>
      </w:r>
      <w:r w:rsidR="0077712E" w:rsidRPr="00352165">
        <w:rPr>
          <w:rFonts w:asciiTheme="minorHAnsi" w:hAnsiTheme="minorHAnsi" w:cstheme="minorHAnsi"/>
          <w:lang w:val="en-US"/>
        </w:rPr>
        <w:t xml:space="preserve">. Low income households who are not selected as beneficiaries of </w:t>
      </w:r>
      <w:r w:rsidR="0077712E" w:rsidRPr="00352165">
        <w:rPr>
          <w:rFonts w:asciiTheme="minorHAnsi" w:hAnsiTheme="minorHAnsi" w:cstheme="minorHAnsi"/>
          <w:lang w:val="en-US"/>
        </w:rPr>
        <w:lastRenderedPageBreak/>
        <w:t>fully-</w:t>
      </w:r>
      <w:proofErr w:type="spellStart"/>
      <w:r w:rsidR="0077712E" w:rsidRPr="00352165">
        <w:rPr>
          <w:rFonts w:asciiTheme="minorHAnsi" w:hAnsiTheme="minorHAnsi" w:cstheme="minorHAnsi"/>
          <w:lang w:val="en-US"/>
        </w:rPr>
        <w:t>subsidised</w:t>
      </w:r>
      <w:proofErr w:type="spellEnd"/>
      <w:r w:rsidR="0077712E" w:rsidRPr="00352165">
        <w:rPr>
          <w:rFonts w:asciiTheme="minorHAnsi" w:hAnsiTheme="minorHAnsi" w:cstheme="minorHAnsi"/>
          <w:lang w:val="en-US"/>
        </w:rPr>
        <w:t xml:space="preserve"> houses must enter the </w:t>
      </w:r>
      <w:r w:rsidR="0077712E" w:rsidRPr="00352165">
        <w:rPr>
          <w:rFonts w:asciiTheme="minorHAnsi" w:hAnsiTheme="minorHAnsi" w:cstheme="minorHAnsi"/>
          <w:b/>
          <w:bCs/>
          <w:lang w:val="en-US"/>
        </w:rPr>
        <w:t>resale market</w:t>
      </w:r>
      <w:r w:rsidR="0077712E" w:rsidRPr="00352165">
        <w:rPr>
          <w:rFonts w:asciiTheme="minorHAnsi" w:hAnsiTheme="minorHAnsi" w:cstheme="minorHAnsi"/>
          <w:lang w:val="en-US"/>
        </w:rPr>
        <w:t xml:space="preserve"> in order to become first-time homeowners. </w:t>
      </w:r>
      <w:r w:rsidR="00270843" w:rsidRPr="00352165">
        <w:rPr>
          <w:rFonts w:asciiTheme="minorHAnsi" w:hAnsiTheme="minorHAnsi" w:cstheme="minorHAnsi"/>
          <w:lang w:val="en-US"/>
        </w:rPr>
        <w:t xml:space="preserve">This is reflected in the data: of the approximately </w:t>
      </w:r>
      <w:r w:rsidR="00270843" w:rsidRPr="00352165">
        <w:rPr>
          <w:rFonts w:asciiTheme="minorHAnsi" w:hAnsiTheme="minorHAnsi" w:cstheme="minorHAnsi"/>
        </w:rPr>
        <w:t>122 000 households became homeowners for the first time in 2021, of which only 15% received a new house via a government programme, and just 18% were able to buy a newly built property from a private developer. The remaining 66% bought houses on the resale market.</w:t>
      </w:r>
      <w:r>
        <w:rPr>
          <w:rFonts w:ascii="Corbel" w:hAnsi="Corbel"/>
        </w:rPr>
        <w:t xml:space="preserve"> </w:t>
      </w:r>
      <w:r w:rsidR="00270843" w:rsidRPr="00270843">
        <w:rPr>
          <w:rFonts w:asciiTheme="minorHAnsi" w:hAnsiTheme="minorHAnsi" w:cstheme="minorHAnsi"/>
          <w:lang w:val="en-US"/>
        </w:rPr>
        <w:t>Overall, the main avenue through which most first-time homebuyers/owners step on to the property ladder is the resale market</w:t>
      </w:r>
      <w:r w:rsidR="00270843" w:rsidRPr="00352165">
        <w:rPr>
          <w:rFonts w:asciiTheme="minorHAnsi" w:hAnsiTheme="minorHAnsi" w:cstheme="minorHAnsi"/>
          <w:lang w:val="en-US"/>
        </w:rPr>
        <w:t>.</w:t>
      </w:r>
    </w:p>
    <w:p w14:paraId="13F248BD" w14:textId="15217633" w:rsidR="0077712E" w:rsidRPr="00352165" w:rsidRDefault="0077712E" w:rsidP="0077712E">
      <w:pPr>
        <w:spacing w:after="120"/>
        <w:contextualSpacing/>
        <w:rPr>
          <w:rFonts w:asciiTheme="minorHAnsi" w:hAnsiTheme="minorHAnsi" w:cstheme="minorHAnsi"/>
          <w:lang w:val="en-US"/>
        </w:rPr>
      </w:pPr>
      <w:r w:rsidRPr="00352165">
        <w:rPr>
          <w:rFonts w:asciiTheme="minorHAnsi" w:hAnsiTheme="minorHAnsi" w:cstheme="minorHAnsi"/>
          <w:b/>
          <w:bCs/>
          <w:lang w:val="en-US"/>
        </w:rPr>
        <w:t xml:space="preserve">The data therefore suggests that the resale market offers great potential as a means for low income households to </w:t>
      </w:r>
      <w:r w:rsidR="00270843" w:rsidRPr="00352165">
        <w:rPr>
          <w:rFonts w:asciiTheme="minorHAnsi" w:hAnsiTheme="minorHAnsi" w:cstheme="minorHAnsi"/>
          <w:b/>
          <w:bCs/>
          <w:lang w:val="en-US"/>
        </w:rPr>
        <w:t xml:space="preserve">access affordable housing. </w:t>
      </w:r>
      <w:r w:rsidRPr="00352165">
        <w:rPr>
          <w:rFonts w:asciiTheme="minorHAnsi" w:hAnsiTheme="minorHAnsi" w:cstheme="minorHAnsi"/>
          <w:lang w:val="en-US"/>
        </w:rPr>
        <w:t xml:space="preserve">Substantial lending opportunities therefore exist at the low end of the resale market (if issues with accessing FLIP are addressed) and some lenders are explicitly targeting low income households, despite the fact that first-time homebuyers in this income bracket are likely entering the market with no equity and thus these mortgages would require high loan-to-value ratios. </w:t>
      </w:r>
    </w:p>
    <w:p w14:paraId="50DD4031" w14:textId="7C191097" w:rsidR="0077712E" w:rsidRPr="00352165" w:rsidRDefault="0077712E" w:rsidP="0077712E">
      <w:pPr>
        <w:spacing w:after="120"/>
        <w:contextualSpacing/>
        <w:rPr>
          <w:rFonts w:asciiTheme="minorHAnsi" w:hAnsiTheme="minorHAnsi" w:cstheme="minorHAnsi"/>
          <w:b/>
          <w:bCs/>
          <w:lang w:val="en-US"/>
        </w:rPr>
      </w:pPr>
      <w:r w:rsidRPr="00352165">
        <w:rPr>
          <w:rFonts w:asciiTheme="minorHAnsi" w:hAnsiTheme="minorHAnsi" w:cstheme="minorHAnsi"/>
          <w:lang w:val="en-US"/>
        </w:rPr>
        <w:t xml:space="preserve"> </w:t>
      </w:r>
    </w:p>
    <w:p w14:paraId="7C3AFB26" w14:textId="665135B1" w:rsidR="0077712E" w:rsidRPr="00352165" w:rsidRDefault="0077712E" w:rsidP="0077712E">
      <w:pPr>
        <w:spacing w:after="120"/>
        <w:contextualSpacing/>
        <w:rPr>
          <w:rFonts w:asciiTheme="minorHAnsi" w:hAnsiTheme="minorHAnsi" w:cstheme="minorHAnsi"/>
        </w:rPr>
      </w:pPr>
      <w:r w:rsidRPr="00352165">
        <w:rPr>
          <w:rFonts w:asciiTheme="minorHAnsi" w:hAnsiTheme="minorHAnsi" w:cstheme="minorHAnsi"/>
          <w:lang w:val="en-US"/>
        </w:rPr>
        <w:t>Unlocking the resale market would help to enable access to housing for low-income households.</w:t>
      </w:r>
      <w:r w:rsidR="00270843" w:rsidRPr="00352165">
        <w:rPr>
          <w:rFonts w:asciiTheme="minorHAnsi" w:hAnsiTheme="minorHAnsi" w:cstheme="minorHAnsi"/>
        </w:rPr>
        <w:t xml:space="preserve"> </w:t>
      </w:r>
      <w:proofErr w:type="gramStart"/>
      <w:r w:rsidRPr="00352165">
        <w:rPr>
          <w:rFonts w:asciiTheme="minorHAnsi" w:hAnsiTheme="minorHAnsi" w:cstheme="minorHAnsi"/>
        </w:rPr>
        <w:t>However</w:t>
      </w:r>
      <w:proofErr w:type="gramEnd"/>
      <w:r w:rsidRPr="00352165">
        <w:rPr>
          <w:rFonts w:asciiTheme="minorHAnsi" w:hAnsiTheme="minorHAnsi" w:cstheme="minorHAnsi"/>
        </w:rPr>
        <w:t xml:space="preserve"> the resale market is not functioning effectively at the lower end of the market, which means that households are unable to leverage equity to move up the property ladder. For a number of reasons, the number of informal transactions exceeds formal sales for low-value properties. This occurs mainly because formal sales </w:t>
      </w:r>
      <w:r w:rsidRPr="00352165">
        <w:rPr>
          <w:rFonts w:asciiTheme="minorHAnsi" w:hAnsiTheme="minorHAnsi" w:cstheme="minorHAnsi"/>
        </w:rPr>
        <w:lastRenderedPageBreak/>
        <w:t xml:space="preserve">can be unduly complex, costly and slow. Problems with regularising title deeds, slow response times from regulatory bodies (including the municipality, province and deeds office), limited trust in formal processes (such as the role of conveyancers) and limited awareness of the protection afforded (to both buyer and seller) by these formal processes, leads to households reverting to cash sales. </w:t>
      </w:r>
      <w:r w:rsidRPr="00352165">
        <w:rPr>
          <w:rFonts w:asciiTheme="minorHAnsi" w:hAnsiTheme="minorHAnsi" w:cstheme="minorHAnsi"/>
          <w:lang w:val="en-US"/>
        </w:rPr>
        <w:t xml:space="preserve">Estate agents may also promote cash sales because they believe the banks are unlikely to approve bonds for this market, given particular restrictions by some lenders on what constitutes a ‘mortgageable product’. </w:t>
      </w:r>
    </w:p>
    <w:p w14:paraId="7DC1CE32" w14:textId="77777777" w:rsidR="0077712E" w:rsidRPr="00352165" w:rsidRDefault="0077712E" w:rsidP="0077712E">
      <w:pPr>
        <w:spacing w:after="120"/>
        <w:contextualSpacing/>
        <w:rPr>
          <w:rFonts w:asciiTheme="minorHAnsi" w:hAnsiTheme="minorHAnsi" w:cstheme="minorHAnsi"/>
          <w:lang w:val="en-US"/>
        </w:rPr>
      </w:pPr>
    </w:p>
    <w:p w14:paraId="0F105BDD" w14:textId="77777777" w:rsidR="0077712E" w:rsidRPr="00352165" w:rsidRDefault="0077712E" w:rsidP="0077712E">
      <w:pPr>
        <w:spacing w:after="120"/>
        <w:contextualSpacing/>
        <w:rPr>
          <w:rFonts w:asciiTheme="minorHAnsi" w:hAnsiTheme="minorHAnsi" w:cstheme="minorHAnsi"/>
        </w:rPr>
      </w:pPr>
      <w:r w:rsidRPr="00352165">
        <w:rPr>
          <w:rFonts w:asciiTheme="minorHAnsi" w:hAnsiTheme="minorHAnsi" w:cstheme="minorHAnsi"/>
          <w:lang w:val="en-US"/>
        </w:rPr>
        <w:t xml:space="preserve">The net result is that, relative to the value of the property, the transaction costs (in time and money) for a formal sale are too expensive and households rely upon informal sales, which provide very limited consumer protection and expose them to high risk. </w:t>
      </w:r>
      <w:r w:rsidRPr="00352165">
        <w:rPr>
          <w:rFonts w:asciiTheme="minorHAnsi" w:hAnsiTheme="minorHAnsi" w:cstheme="minorHAnsi"/>
        </w:rPr>
        <w:t>Apart from the legal risks around tenure security, informal sales also carry a financial cost for the seller. The average value of transaction with a mortgage is considerably higher than transaction without a mortgage. This means that the buyer has less equity to use towards their next house purchase and move up the property ladder.</w:t>
      </w:r>
    </w:p>
    <w:p w14:paraId="6B3FE9A0" w14:textId="77777777" w:rsidR="00073DD1" w:rsidRPr="00352165" w:rsidRDefault="00073DD1" w:rsidP="0077712E">
      <w:pPr>
        <w:spacing w:after="120"/>
        <w:contextualSpacing/>
        <w:rPr>
          <w:rFonts w:asciiTheme="minorHAnsi" w:hAnsiTheme="minorHAnsi" w:cstheme="minorHAnsi"/>
        </w:rPr>
      </w:pPr>
    </w:p>
    <w:p w14:paraId="5AF1D3BF" w14:textId="0CC019D8" w:rsidR="00073DD1" w:rsidRPr="00352165" w:rsidRDefault="00073DD1" w:rsidP="00073DD1">
      <w:pPr>
        <w:spacing w:after="120"/>
        <w:contextualSpacing/>
        <w:rPr>
          <w:rFonts w:asciiTheme="minorHAnsi" w:hAnsiTheme="minorHAnsi" w:cstheme="minorHAnsi"/>
          <w:lang w:val="en-ZA"/>
        </w:rPr>
      </w:pPr>
      <w:r w:rsidRPr="00352165">
        <w:rPr>
          <w:rFonts w:asciiTheme="minorHAnsi" w:hAnsiTheme="minorHAnsi" w:cstheme="minorHAnsi"/>
          <w:lang w:val="en-US"/>
        </w:rPr>
        <w:t xml:space="preserve">Leveraging the potential of the resale market </w:t>
      </w:r>
      <w:r w:rsidR="00270843" w:rsidRPr="00352165">
        <w:rPr>
          <w:rFonts w:asciiTheme="minorHAnsi" w:hAnsiTheme="minorHAnsi" w:cstheme="minorHAnsi"/>
          <w:lang w:val="en-US"/>
        </w:rPr>
        <w:t xml:space="preserve">to improve access to affordable housing </w:t>
      </w:r>
      <w:r w:rsidRPr="00352165">
        <w:rPr>
          <w:rFonts w:asciiTheme="minorHAnsi" w:hAnsiTheme="minorHAnsi" w:cstheme="minorHAnsi"/>
          <w:lang w:val="en-US"/>
        </w:rPr>
        <w:t>depends on resolving the title deeds backlog and ad</w:t>
      </w:r>
      <w:r w:rsidRPr="00352165">
        <w:rPr>
          <w:rFonts w:asciiTheme="minorHAnsi" w:hAnsiTheme="minorHAnsi" w:cstheme="minorHAnsi"/>
          <w:lang w:val="en-US"/>
        </w:rPr>
        <w:lastRenderedPageBreak/>
        <w:t xml:space="preserve">dressing the incidence of informal transactions, both of which undermine healthy market functioning and constrain transaction values. Intentional and targeted transaction support and title deed restoration efforts are needed. This would also increase municipal revenue. </w:t>
      </w:r>
    </w:p>
    <w:p w14:paraId="4DEAA7ED" w14:textId="77777777" w:rsidR="00A83B64" w:rsidRPr="00352165" w:rsidRDefault="00A83B64" w:rsidP="00A83B64">
      <w:pPr>
        <w:spacing w:after="160" w:line="259" w:lineRule="auto"/>
        <w:contextualSpacing/>
        <w:rPr>
          <w:rFonts w:asciiTheme="minorHAnsi" w:eastAsia="Calibri" w:hAnsiTheme="minorHAnsi" w:cstheme="minorHAnsi"/>
          <w:sz w:val="22"/>
          <w:szCs w:val="22"/>
          <w:lang w:val="en-US"/>
        </w:rPr>
      </w:pPr>
    </w:p>
    <w:p w14:paraId="3E38FDD9" w14:textId="77777777" w:rsidR="00A83B64" w:rsidRPr="00737659" w:rsidRDefault="00A83B64" w:rsidP="00A83B64">
      <w:pPr>
        <w:spacing w:after="160" w:line="259" w:lineRule="auto"/>
        <w:contextualSpacing/>
        <w:rPr>
          <w:rFonts w:eastAsia="Calibri"/>
          <w:sz w:val="22"/>
          <w:szCs w:val="22"/>
          <w:lang w:val="en-US"/>
        </w:rPr>
      </w:pPr>
    </w:p>
    <w:p w14:paraId="2B6F4400" w14:textId="77777777" w:rsidR="00A83B64" w:rsidRPr="00737659" w:rsidRDefault="00A83B64" w:rsidP="00A83B64">
      <w:pPr>
        <w:spacing w:after="160" w:line="259" w:lineRule="auto"/>
        <w:rPr>
          <w:rFonts w:eastAsia="Calibri"/>
          <w:b/>
          <w:sz w:val="28"/>
          <w:szCs w:val="22"/>
          <w:lang w:val="en-US"/>
        </w:rPr>
      </w:pPr>
      <w:r w:rsidRPr="00737659">
        <w:rPr>
          <w:rFonts w:eastAsia="Calibri"/>
          <w:b/>
          <w:sz w:val="28"/>
          <w:szCs w:val="22"/>
          <w:lang w:val="en-US"/>
        </w:rPr>
        <w:t>Submission instructions</w:t>
      </w:r>
    </w:p>
    <w:p w14:paraId="6690897E" w14:textId="77777777" w:rsidR="00A83B64" w:rsidRPr="00737659" w:rsidRDefault="00A83B64" w:rsidP="00A83B64">
      <w:pPr>
        <w:spacing w:after="160" w:line="259" w:lineRule="auto"/>
        <w:rPr>
          <w:rFonts w:eastAsia="Calibri"/>
          <w:sz w:val="22"/>
          <w:szCs w:val="22"/>
          <w:lang w:val="en-US"/>
        </w:rPr>
      </w:pPr>
      <w:r w:rsidRPr="00737659">
        <w:rPr>
          <w:rFonts w:eastAsia="Calibri"/>
          <w:b/>
          <w:sz w:val="22"/>
          <w:szCs w:val="22"/>
          <w:lang w:val="en-US"/>
        </w:rPr>
        <w:t>Deadline:</w:t>
      </w:r>
      <w:r w:rsidRPr="00737659">
        <w:rPr>
          <w:rFonts w:eastAsia="Calibri"/>
          <w:sz w:val="22"/>
          <w:szCs w:val="22"/>
          <w:lang w:val="en-US"/>
        </w:rPr>
        <w:t xml:space="preserve">  </w:t>
      </w:r>
      <w:r>
        <w:rPr>
          <w:rFonts w:eastAsia="Calibri"/>
          <w:b/>
          <w:sz w:val="22"/>
          <w:szCs w:val="22"/>
          <w:lang w:val="en-US"/>
        </w:rPr>
        <w:t>30</w:t>
      </w:r>
      <w:r w:rsidRPr="00737659">
        <w:rPr>
          <w:rFonts w:eastAsia="Calibri"/>
          <w:b/>
          <w:sz w:val="22"/>
          <w:szCs w:val="22"/>
          <w:lang w:val="en-US"/>
        </w:rPr>
        <w:t xml:space="preserve"> April 2023</w:t>
      </w:r>
    </w:p>
    <w:p w14:paraId="51F78A47" w14:textId="77777777" w:rsidR="00A83B64" w:rsidRPr="004175E5" w:rsidRDefault="00A83B64" w:rsidP="00A83B64">
      <w:pPr>
        <w:spacing w:after="160" w:line="259" w:lineRule="auto"/>
        <w:rPr>
          <w:rFonts w:eastAsia="Calibri"/>
          <w:color w:val="0563C1"/>
          <w:sz w:val="22"/>
          <w:szCs w:val="22"/>
          <w:u w:val="single"/>
          <w:lang w:val="en-US"/>
        </w:rPr>
      </w:pPr>
      <w:r w:rsidRPr="00737659">
        <w:rPr>
          <w:rFonts w:eastAsia="Calibri"/>
          <w:b/>
          <w:sz w:val="22"/>
          <w:szCs w:val="22"/>
          <w:lang w:val="en-US"/>
        </w:rPr>
        <w:t xml:space="preserve">Email: </w:t>
      </w:r>
      <w:r w:rsidRPr="00737659">
        <w:rPr>
          <w:rFonts w:eastAsia="Calibri"/>
          <w:sz w:val="22"/>
          <w:szCs w:val="22"/>
          <w:lang w:val="en-US"/>
        </w:rPr>
        <w:t xml:space="preserve">Please return this questionnaire to: </w:t>
      </w:r>
      <w:hyperlink r:id="rId17" w:history="1">
        <w:r w:rsidRPr="00737659">
          <w:rPr>
            <w:rFonts w:eastAsia="Calibri"/>
            <w:color w:val="0563C1"/>
            <w:sz w:val="22"/>
            <w:szCs w:val="22"/>
            <w:u w:val="single"/>
            <w:lang w:val="en-US"/>
          </w:rPr>
          <w:t>hrc-sr-housing@un.org</w:t>
        </w:r>
      </w:hyperlink>
      <w:r w:rsidRPr="00737659">
        <w:rPr>
          <w:rFonts w:eastAsia="Calibri"/>
          <w:color w:val="5B9BD5"/>
          <w:sz w:val="22"/>
          <w:szCs w:val="22"/>
          <w:lang w:val="en-US"/>
        </w:rPr>
        <w:t>;</w:t>
      </w:r>
      <w:r w:rsidRPr="00737659">
        <w:rPr>
          <w:rFonts w:eastAsia="Calibri"/>
          <w:sz w:val="22"/>
          <w:szCs w:val="22"/>
          <w:lang w:val="en-US"/>
        </w:rPr>
        <w:t xml:space="preserve"> </w:t>
      </w:r>
      <w:hyperlink r:id="rId18" w:history="1">
        <w:r w:rsidRPr="004175E5">
          <w:rPr>
            <w:rFonts w:eastAsia="Calibri"/>
            <w:color w:val="0563C1"/>
            <w:sz w:val="22"/>
            <w:szCs w:val="22"/>
            <w:u w:val="single"/>
            <w:lang w:val="en-US"/>
          </w:rPr>
          <w:t>ohchr-registry@un.org</w:t>
        </w:r>
      </w:hyperlink>
    </w:p>
    <w:p w14:paraId="2080A807" w14:textId="77777777"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Email subject line:</w:t>
      </w:r>
      <w:r w:rsidRPr="00737659">
        <w:rPr>
          <w:rFonts w:eastAsia="Calibri"/>
          <w:sz w:val="22"/>
          <w:szCs w:val="22"/>
          <w:lang w:val="en-US"/>
        </w:rPr>
        <w:t xml:space="preserve"> Input for SR housing - report on housing affordability</w:t>
      </w:r>
    </w:p>
    <w:p w14:paraId="02BACD0B" w14:textId="77777777" w:rsidR="00A83B64" w:rsidRPr="00737659" w:rsidRDefault="00A83B64" w:rsidP="00A83B64">
      <w:pPr>
        <w:spacing w:after="160"/>
        <w:rPr>
          <w:rFonts w:eastAsia="Calibri"/>
          <w:sz w:val="22"/>
          <w:szCs w:val="22"/>
          <w:lang w:val="en-US"/>
        </w:rPr>
      </w:pPr>
      <w:r w:rsidRPr="00737659">
        <w:rPr>
          <w:rFonts w:eastAsia="Calibri"/>
          <w:b/>
          <w:sz w:val="22"/>
          <w:szCs w:val="22"/>
          <w:lang w:val="en-US"/>
        </w:rPr>
        <w:t>Accepted File formats:</w:t>
      </w:r>
      <w:r w:rsidRPr="00737659">
        <w:rPr>
          <w:rFonts w:eastAsia="Calibri"/>
          <w:sz w:val="22"/>
          <w:szCs w:val="22"/>
          <w:lang w:val="en-US"/>
        </w:rPr>
        <w:t xml:space="preserve"> Word (supporting documents may be submitted in PDF)</w:t>
      </w:r>
    </w:p>
    <w:p w14:paraId="5358D0D3" w14:textId="77777777"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 xml:space="preserve">Accepted languages: </w:t>
      </w:r>
      <w:r w:rsidRPr="00737659">
        <w:rPr>
          <w:rFonts w:eastAsia="Calibri"/>
          <w:sz w:val="22"/>
          <w:szCs w:val="22"/>
          <w:lang w:val="en-US"/>
        </w:rPr>
        <w:t>English, French and Spanish</w:t>
      </w:r>
    </w:p>
    <w:p w14:paraId="1150007B" w14:textId="77777777" w:rsidR="00A83B64" w:rsidRPr="00737659" w:rsidRDefault="00A83B64" w:rsidP="00A83B64">
      <w:pPr>
        <w:spacing w:after="160" w:line="259" w:lineRule="auto"/>
        <w:jc w:val="both"/>
        <w:rPr>
          <w:rFonts w:eastAsia="Calibri"/>
          <w:sz w:val="22"/>
          <w:szCs w:val="22"/>
          <w:lang w:val="en-US"/>
        </w:rPr>
      </w:pPr>
      <w:r w:rsidRPr="00737659">
        <w:rPr>
          <w:rFonts w:eastAsia="Calibri"/>
          <w:sz w:val="22"/>
          <w:szCs w:val="22"/>
          <w:lang w:val="en-US"/>
        </w:rPr>
        <w:t xml:space="preserve">Please include references to reports, academic articles, policy documents, text of legislation and judgements, statistical information with hyperlinks or attach them to your submission (please respect </w:t>
      </w:r>
      <w:r w:rsidRPr="00737659">
        <w:rPr>
          <w:rFonts w:eastAsia="Calibri"/>
          <w:sz w:val="22"/>
          <w:szCs w:val="22"/>
          <w:lang w:val="en-US"/>
        </w:rPr>
        <w:lastRenderedPageBreak/>
        <w:t>total file size limit of 20 MB per email to ensure that it can be received)</w:t>
      </w:r>
    </w:p>
    <w:p w14:paraId="452F2049" w14:textId="77777777" w:rsidR="00A83B64" w:rsidRPr="00737659" w:rsidRDefault="00A83B64" w:rsidP="00A83B64">
      <w:pPr>
        <w:spacing w:after="160" w:line="259" w:lineRule="auto"/>
        <w:jc w:val="both"/>
        <w:rPr>
          <w:rFonts w:eastAsia="Calibri"/>
          <w:sz w:val="22"/>
          <w:szCs w:val="22"/>
          <w:lang w:val="en-US"/>
        </w:rPr>
      </w:pPr>
      <w:r w:rsidRPr="00737659">
        <w:rPr>
          <w:rFonts w:eastAsia="Calibri"/>
          <w:b/>
          <w:sz w:val="22"/>
          <w:szCs w:val="22"/>
          <w:lang w:val="en-US"/>
        </w:rPr>
        <w:t xml:space="preserve">Publication: </w:t>
      </w:r>
      <w:r w:rsidRPr="00737659">
        <w:rPr>
          <w:rFonts w:eastAsia="Calibri"/>
          <w:sz w:val="22"/>
          <w:szCs w:val="22"/>
          <w:lang w:val="en-US"/>
        </w:rPr>
        <w:t>Submissions of States and public authorities will be published. For other stakeholders, submissions will be published, except confidential</w:t>
      </w:r>
      <w:r>
        <w:rPr>
          <w:rFonts w:eastAsia="Calibri"/>
          <w:sz w:val="22"/>
          <w:szCs w:val="22"/>
          <w:lang w:val="en-US"/>
        </w:rPr>
        <w:t>ity</w:t>
      </w:r>
      <w:r w:rsidRPr="00737659">
        <w:rPr>
          <w:rFonts w:eastAsia="Calibri"/>
          <w:sz w:val="22"/>
          <w:szCs w:val="22"/>
          <w:lang w:val="en-US"/>
        </w:rPr>
        <w:t xml:space="preserve"> is explicitly requested.</w:t>
      </w:r>
    </w:p>
    <w:p w14:paraId="3BF673CD" w14:textId="77777777" w:rsidR="00A83B64" w:rsidRDefault="00A83B64" w:rsidP="00A83B64">
      <w:pPr>
        <w:rPr>
          <w:rFonts w:eastAsia="Calibri"/>
          <w:sz w:val="22"/>
          <w:szCs w:val="22"/>
          <w:lang w:val="en-US"/>
        </w:rPr>
      </w:pPr>
      <w:r w:rsidRPr="00737659">
        <w:rPr>
          <w:rFonts w:eastAsia="Calibri"/>
          <w:b/>
          <w:sz w:val="22"/>
          <w:szCs w:val="22"/>
          <w:lang w:val="en-US"/>
        </w:rPr>
        <w:t>Expected presentation</w:t>
      </w:r>
      <w:r w:rsidRPr="00737659">
        <w:rPr>
          <w:rFonts w:eastAsia="Calibri"/>
          <w:sz w:val="22"/>
          <w:szCs w:val="22"/>
          <w:lang w:val="en-US"/>
        </w:rPr>
        <w:t xml:space="preserve"> of the report of the Special Rapporteur to the General Assembly: October 2023</w:t>
      </w:r>
      <w:r>
        <w:rPr>
          <w:rFonts w:eastAsia="Calibri"/>
          <w:sz w:val="22"/>
          <w:szCs w:val="22"/>
          <w:lang w:val="en-US"/>
        </w:rPr>
        <w:t>.</w:t>
      </w:r>
    </w:p>
    <w:p w14:paraId="78C54CCC" w14:textId="77777777" w:rsidR="00A83B64" w:rsidRPr="00EC689C" w:rsidRDefault="00A83B64" w:rsidP="00A83B64">
      <w:pPr>
        <w:suppressAutoHyphens/>
        <w:spacing w:before="240" w:line="240" w:lineRule="atLeast"/>
        <w:ind w:left="1134" w:right="1134"/>
        <w:jc w:val="center"/>
        <w:rPr>
          <w:u w:val="single"/>
        </w:rPr>
      </w:pPr>
      <w:r>
        <w:rPr>
          <w:rFonts w:eastAsia="Calibri"/>
          <w:sz w:val="22"/>
          <w:szCs w:val="22"/>
          <w:u w:val="single"/>
          <w:lang w:val="en-US"/>
        </w:rPr>
        <w:tab/>
      </w:r>
      <w:r>
        <w:rPr>
          <w:rFonts w:eastAsia="Calibri"/>
          <w:sz w:val="22"/>
          <w:szCs w:val="22"/>
          <w:u w:val="single"/>
          <w:lang w:val="en-US"/>
        </w:rPr>
        <w:tab/>
      </w:r>
      <w:r>
        <w:rPr>
          <w:rFonts w:eastAsia="Calibri"/>
          <w:sz w:val="22"/>
          <w:szCs w:val="22"/>
          <w:u w:val="single"/>
          <w:lang w:val="en-US"/>
        </w:rPr>
        <w:tab/>
      </w:r>
    </w:p>
    <w:p w14:paraId="44201955" w14:textId="77777777" w:rsidR="0067523D" w:rsidRDefault="0067523D"/>
    <w:sectPr w:rsidR="0067523D" w:rsidSect="00656423">
      <w:headerReference w:type="default" r:id="rId19"/>
      <w:footerReference w:type="default" r:id="rId20"/>
      <w:headerReference w:type="firs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E95A" w14:textId="77777777" w:rsidR="007E17AF" w:rsidRDefault="007E17AF" w:rsidP="00A83B64">
      <w:r>
        <w:separator/>
      </w:r>
    </w:p>
  </w:endnote>
  <w:endnote w:type="continuationSeparator" w:id="0">
    <w:p w14:paraId="1CA7BD44" w14:textId="77777777" w:rsidR="007E17AF" w:rsidRDefault="007E17AF"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5504"/>
      <w:docPartObj>
        <w:docPartGallery w:val="Page Numbers (Bottom of Page)"/>
        <w:docPartUnique/>
      </w:docPartObj>
    </w:sdtPr>
    <w:sdtEndPr>
      <w:rPr>
        <w:noProof/>
      </w:rPr>
    </w:sdtEndPr>
    <w:sdtContent>
      <w:p w14:paraId="60B9D315" w14:textId="6DE3A7D8" w:rsidR="00A83B64" w:rsidRDefault="00A83B64">
        <w:pPr>
          <w:pStyle w:val="Footer"/>
          <w:jc w:val="center"/>
        </w:pPr>
        <w:r>
          <w:fldChar w:fldCharType="begin"/>
        </w:r>
        <w:r>
          <w:instrText xml:space="preserve"> PAGE   \* MERGEFORMAT </w:instrText>
        </w:r>
        <w:r>
          <w:fldChar w:fldCharType="separate"/>
        </w:r>
        <w:r w:rsidR="00466A3A">
          <w:rPr>
            <w:noProof/>
          </w:rPr>
          <w:t>10</w:t>
        </w:r>
        <w:r>
          <w:rPr>
            <w:noProof/>
          </w:rPr>
          <w:fldChar w:fldCharType="end"/>
        </w:r>
      </w:p>
    </w:sdtContent>
  </w:sdt>
  <w:p w14:paraId="53E3B9F3" w14:textId="77777777" w:rsidR="000D44ED" w:rsidRDefault="00466A3A"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5091"/>
      <w:docPartObj>
        <w:docPartGallery w:val="Page Numbers (Bottom of Page)"/>
        <w:docPartUnique/>
      </w:docPartObj>
    </w:sdtPr>
    <w:sdtEndPr>
      <w:rPr>
        <w:noProof/>
      </w:rPr>
    </w:sdtEndPr>
    <w:sdtContent>
      <w:p w14:paraId="5AC925C6" w14:textId="44F3000D" w:rsidR="00A83B64" w:rsidRDefault="00A83B64">
        <w:pPr>
          <w:pStyle w:val="Footer"/>
          <w:jc w:val="center"/>
        </w:pPr>
        <w:r>
          <w:fldChar w:fldCharType="begin"/>
        </w:r>
        <w:r>
          <w:instrText xml:space="preserve"> PAGE   \* MERGEFORMAT </w:instrText>
        </w:r>
        <w:r>
          <w:fldChar w:fldCharType="separate"/>
        </w:r>
        <w:r w:rsidR="00466A3A">
          <w:rPr>
            <w:noProof/>
          </w:rPr>
          <w:t>1</w:t>
        </w:r>
        <w:r>
          <w:rPr>
            <w:noProof/>
          </w:rPr>
          <w:fldChar w:fldCharType="end"/>
        </w:r>
      </w:p>
    </w:sdtContent>
  </w:sdt>
  <w:p w14:paraId="71BB0920" w14:textId="77777777" w:rsidR="00C17B65" w:rsidRPr="002873B2" w:rsidRDefault="00466A3A"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D98C5" w14:textId="77777777" w:rsidR="007E17AF" w:rsidRDefault="007E17AF" w:rsidP="00A83B64">
      <w:r>
        <w:separator/>
      </w:r>
    </w:p>
  </w:footnote>
  <w:footnote w:type="continuationSeparator" w:id="0">
    <w:p w14:paraId="6B4ADCE4" w14:textId="77777777" w:rsidR="007E17AF" w:rsidRDefault="007E17AF" w:rsidP="00A83B64">
      <w:r>
        <w:continuationSeparator/>
      </w:r>
    </w:p>
  </w:footnote>
  <w:footnote w:id="1">
    <w:p w14:paraId="372B2029" w14:textId="7EDA6DDE" w:rsidR="00E907F3" w:rsidRDefault="00E907F3">
      <w:pPr>
        <w:pStyle w:val="FootnoteText"/>
      </w:pPr>
      <w:r w:rsidRPr="00E907F3">
        <w:rPr>
          <w:rStyle w:val="FootnoteReference"/>
          <w:sz w:val="18"/>
          <w:szCs w:val="18"/>
        </w:rPr>
        <w:footnoteRef/>
      </w:r>
      <w:r w:rsidRPr="00E907F3">
        <w:rPr>
          <w:sz w:val="18"/>
          <w:szCs w:val="18"/>
        </w:rPr>
        <w:t xml:space="preserve"> Conversions are done with the exchange rate 29 April 2023: 18.35 ZAR = 1 USD.</w:t>
      </w:r>
    </w:p>
  </w:footnote>
  <w:footnote w:id="2">
    <w:p w14:paraId="6E637DC6" w14:textId="07D8862E" w:rsidR="009935B1" w:rsidRPr="00352165" w:rsidRDefault="009935B1" w:rsidP="006F283B">
      <w:pPr>
        <w:textAlignment w:val="baseline"/>
        <w:rPr>
          <w:rFonts w:asciiTheme="minorHAnsi" w:hAnsiTheme="minorHAnsi" w:cstheme="minorHAnsi"/>
          <w:sz w:val="18"/>
          <w:szCs w:val="18"/>
          <w:lang w:val="en-US"/>
        </w:rPr>
      </w:pPr>
      <w:r w:rsidRPr="00352165">
        <w:rPr>
          <w:rStyle w:val="FootnoteReference"/>
          <w:rFonts w:asciiTheme="minorHAnsi" w:hAnsiTheme="minorHAnsi" w:cstheme="minorHAnsi"/>
          <w:sz w:val="18"/>
          <w:szCs w:val="18"/>
        </w:rPr>
        <w:footnoteRef/>
      </w:r>
      <w:r w:rsidRPr="00352165">
        <w:rPr>
          <w:rFonts w:asciiTheme="minorHAnsi" w:hAnsiTheme="minorHAnsi" w:cstheme="minorHAnsi"/>
          <w:sz w:val="18"/>
          <w:szCs w:val="18"/>
        </w:rPr>
        <w:t xml:space="preserve"> </w:t>
      </w:r>
      <w:r w:rsidRPr="00352165">
        <w:rPr>
          <w:rFonts w:asciiTheme="minorHAnsi" w:eastAsiaTheme="minorHAnsi" w:hAnsiTheme="minorHAnsi" w:cstheme="minorHAnsi"/>
          <w:sz w:val="18"/>
          <w:szCs w:val="18"/>
          <w:lang w:val="en-ZA"/>
        </w:rPr>
        <w:t>Countries included in the study are Cameroon, DRC, Ghana, </w:t>
      </w:r>
      <w:hyperlink r:id="rId1" w:history="1">
        <w:r w:rsidRPr="00352165">
          <w:rPr>
            <w:rFonts w:asciiTheme="minorHAnsi" w:eastAsiaTheme="minorHAnsi" w:hAnsiTheme="minorHAnsi" w:cstheme="minorHAnsi"/>
            <w:sz w:val="18"/>
            <w:szCs w:val="18"/>
            <w:lang w:val="en-ZA"/>
          </w:rPr>
          <w:t>Kenya</w:t>
        </w:r>
      </w:hyperlink>
      <w:r w:rsidRPr="00352165">
        <w:rPr>
          <w:rFonts w:asciiTheme="minorHAnsi" w:eastAsiaTheme="minorHAnsi" w:hAnsiTheme="minorHAnsi" w:cstheme="minorHAnsi"/>
          <w:sz w:val="18"/>
          <w:szCs w:val="18"/>
          <w:lang w:val="en-ZA"/>
        </w:rPr>
        <w:t>, Liberia, Malawi, Morocco, Mozambique, Nigeria, </w:t>
      </w:r>
      <w:hyperlink r:id="rId2" w:history="1">
        <w:r w:rsidRPr="00352165">
          <w:rPr>
            <w:rFonts w:asciiTheme="minorHAnsi" w:eastAsiaTheme="minorHAnsi" w:hAnsiTheme="minorHAnsi" w:cstheme="minorHAnsi"/>
            <w:sz w:val="18"/>
            <w:szCs w:val="18"/>
            <w:lang w:val="en-ZA"/>
          </w:rPr>
          <w:t>Rwanda</w:t>
        </w:r>
      </w:hyperlink>
      <w:r w:rsidRPr="00352165">
        <w:rPr>
          <w:rFonts w:asciiTheme="minorHAnsi" w:eastAsiaTheme="minorHAnsi" w:hAnsiTheme="minorHAnsi" w:cstheme="minorHAnsi"/>
          <w:sz w:val="18"/>
          <w:szCs w:val="18"/>
          <w:lang w:val="en-ZA"/>
        </w:rPr>
        <w:t>, Senegal, </w:t>
      </w:r>
      <w:hyperlink r:id="rId3" w:history="1">
        <w:r w:rsidRPr="00352165">
          <w:rPr>
            <w:rFonts w:asciiTheme="minorHAnsi" w:eastAsiaTheme="minorHAnsi" w:hAnsiTheme="minorHAnsi" w:cstheme="minorHAnsi"/>
            <w:sz w:val="18"/>
            <w:szCs w:val="18"/>
            <w:lang w:val="en-ZA"/>
          </w:rPr>
          <w:t>South Africa</w:t>
        </w:r>
      </w:hyperlink>
      <w:r w:rsidRPr="00352165">
        <w:rPr>
          <w:rFonts w:asciiTheme="minorHAnsi" w:eastAsiaTheme="minorHAnsi" w:hAnsiTheme="minorHAnsi" w:cstheme="minorHAnsi"/>
          <w:sz w:val="18"/>
          <w:szCs w:val="18"/>
          <w:lang w:val="en-ZA"/>
        </w:rPr>
        <w:t>, Tanzania, Uganda and Zambia.</w:t>
      </w:r>
    </w:p>
  </w:footnote>
  <w:footnote w:id="3">
    <w:p w14:paraId="207D486C" w14:textId="6226A29A" w:rsidR="003D1CCB" w:rsidRPr="00352165" w:rsidRDefault="00767FA7" w:rsidP="006F283B">
      <w:pPr>
        <w:pStyle w:val="FootnoteText"/>
        <w:rPr>
          <w:rFonts w:cstheme="minorHAnsi"/>
          <w:sz w:val="18"/>
          <w:szCs w:val="18"/>
          <w:lang w:val="en-US"/>
        </w:rPr>
      </w:pPr>
      <w:r w:rsidRPr="00352165">
        <w:rPr>
          <w:rStyle w:val="FootnoteReference"/>
          <w:rFonts w:cstheme="minorHAnsi"/>
          <w:sz w:val="18"/>
          <w:szCs w:val="18"/>
        </w:rPr>
        <w:footnoteRef/>
      </w:r>
      <w:r w:rsidRPr="00352165">
        <w:rPr>
          <w:rFonts w:cstheme="minorHAnsi"/>
          <w:sz w:val="18"/>
          <w:szCs w:val="18"/>
        </w:rPr>
        <w:t xml:space="preserve"> </w:t>
      </w:r>
      <w:r w:rsidRPr="00352165">
        <w:rPr>
          <w:rFonts w:cstheme="minorHAnsi"/>
          <w:sz w:val="18"/>
          <w:szCs w:val="18"/>
          <w:lang w:val="en-US"/>
        </w:rPr>
        <w:t>Residential property market data used in this document is title deeds data</w:t>
      </w:r>
      <w:r w:rsidR="003D1CCB" w:rsidRPr="00352165">
        <w:rPr>
          <w:rFonts w:cstheme="minorHAnsi"/>
          <w:sz w:val="18"/>
          <w:szCs w:val="18"/>
          <w:lang w:val="en-US"/>
        </w:rPr>
        <w:t xml:space="preserve"> as of the end of 2021, purchased</w:t>
      </w:r>
      <w:r w:rsidRPr="00352165">
        <w:rPr>
          <w:rFonts w:cstheme="minorHAnsi"/>
          <w:sz w:val="18"/>
          <w:szCs w:val="18"/>
          <w:lang w:val="en-US"/>
        </w:rPr>
        <w:t xml:space="preserve"> from </w:t>
      </w:r>
      <w:r w:rsidR="003D1CCB" w:rsidRPr="00352165">
        <w:rPr>
          <w:rFonts w:cstheme="minorHAnsi"/>
          <w:sz w:val="18"/>
          <w:szCs w:val="18"/>
          <w:lang w:val="en-US"/>
        </w:rPr>
        <w:t xml:space="preserve">a private company, </w:t>
      </w:r>
      <w:r w:rsidRPr="00352165">
        <w:rPr>
          <w:rFonts w:cstheme="minorHAnsi"/>
          <w:sz w:val="18"/>
          <w:szCs w:val="18"/>
          <w:lang w:val="en-US"/>
        </w:rPr>
        <w:t>Lightstone Pty Ltd.</w:t>
      </w:r>
      <w:r w:rsidR="003D1CCB" w:rsidRPr="00352165">
        <w:rPr>
          <w:rFonts w:cstheme="minorHAnsi"/>
          <w:sz w:val="18"/>
          <w:szCs w:val="18"/>
          <w:lang w:val="en-US"/>
        </w:rPr>
        <w:t>,</w:t>
      </w:r>
      <w:r w:rsidRPr="00352165">
        <w:rPr>
          <w:rFonts w:cstheme="minorHAnsi"/>
          <w:sz w:val="18"/>
          <w:szCs w:val="18"/>
          <w:lang w:val="en-US"/>
        </w:rPr>
        <w:t xml:space="preserve"> CAHF. See </w:t>
      </w:r>
      <w:hyperlink r:id="rId4" w:history="1">
        <w:r w:rsidR="003D1CCB" w:rsidRPr="00352165">
          <w:rPr>
            <w:rStyle w:val="Hyperlink"/>
            <w:rFonts w:cstheme="minorHAnsi"/>
            <w:sz w:val="18"/>
            <w:szCs w:val="18"/>
            <w:lang w:val="en-US"/>
          </w:rPr>
          <w:t>https://housingfinanceafrica.org/documents/south-africa-housing-market-report-2021/</w:t>
        </w:r>
      </w:hyperlink>
    </w:p>
  </w:footnote>
  <w:footnote w:id="4">
    <w:p w14:paraId="3297FB14" w14:textId="54AF53C3" w:rsidR="00767FA7" w:rsidRPr="00690181" w:rsidRDefault="00767FA7" w:rsidP="006F283B">
      <w:pPr>
        <w:pStyle w:val="FootnoteText"/>
        <w:rPr>
          <w:rFonts w:ascii="Corbel" w:hAnsi="Corbel" w:cs="Arial"/>
          <w:sz w:val="18"/>
          <w:szCs w:val="18"/>
        </w:rPr>
      </w:pPr>
      <w:r w:rsidRPr="00352165">
        <w:rPr>
          <w:rStyle w:val="FootnoteReference"/>
          <w:rFonts w:cstheme="minorHAnsi"/>
          <w:sz w:val="18"/>
          <w:szCs w:val="18"/>
        </w:rPr>
        <w:footnoteRef/>
      </w:r>
      <w:r w:rsidRPr="00352165">
        <w:rPr>
          <w:rFonts w:cstheme="minorHAnsi"/>
          <w:sz w:val="18"/>
          <w:szCs w:val="18"/>
        </w:rPr>
        <w:t xml:space="preserve"> </w:t>
      </w:r>
      <w:r w:rsidR="003D1CCB" w:rsidRPr="00352165">
        <w:rPr>
          <w:rFonts w:cstheme="minorHAnsi"/>
          <w:sz w:val="18"/>
          <w:szCs w:val="18"/>
        </w:rPr>
        <w:t>In South Africa g</w:t>
      </w:r>
      <w:r w:rsidRPr="00352165">
        <w:rPr>
          <w:rFonts w:cstheme="minorHAnsi"/>
          <w:sz w:val="18"/>
          <w:szCs w:val="18"/>
        </w:rPr>
        <w:t>overnment</w:t>
      </w:r>
      <w:r w:rsidR="003D1CCB" w:rsidRPr="00352165">
        <w:rPr>
          <w:rFonts w:cstheme="minorHAnsi"/>
          <w:sz w:val="18"/>
          <w:szCs w:val="18"/>
        </w:rPr>
        <w:t>-</w:t>
      </w:r>
      <w:r w:rsidRPr="00352165">
        <w:rPr>
          <w:rFonts w:cstheme="minorHAnsi"/>
          <w:sz w:val="18"/>
          <w:szCs w:val="18"/>
        </w:rPr>
        <w:t xml:space="preserve">subsidised houses are not explicitly recognised or marked on the title deed. </w:t>
      </w:r>
      <w:proofErr w:type="gramStart"/>
      <w:r w:rsidRPr="00352165">
        <w:rPr>
          <w:rFonts w:cstheme="minorHAnsi"/>
          <w:sz w:val="18"/>
          <w:szCs w:val="18"/>
        </w:rPr>
        <w:t>Therefore</w:t>
      </w:r>
      <w:proofErr w:type="gramEnd"/>
      <w:r w:rsidRPr="00352165">
        <w:rPr>
          <w:rFonts w:cstheme="minorHAnsi"/>
          <w:sz w:val="18"/>
          <w:szCs w:val="18"/>
        </w:rPr>
        <w:t xml:space="preserve"> CAHF uses a proxy to identify government-subsidised properties on the deeds registry. The proxy is based on common programme characteristics of houses</w:t>
      </w:r>
      <w:r w:rsidR="006F283B" w:rsidRPr="00352165">
        <w:rPr>
          <w:rFonts w:cstheme="minorHAnsi"/>
          <w:sz w:val="18"/>
          <w:szCs w:val="18"/>
        </w:rPr>
        <w:t xml:space="preserve"> delivered through national government programmes</w:t>
      </w:r>
      <w:r w:rsidRPr="00352165">
        <w:rPr>
          <w:rFonts w:cstheme="minorHAnsi"/>
          <w:sz w:val="18"/>
          <w:szCs w:val="18"/>
        </w:rPr>
        <w:t xml:space="preserve">, including the year, first registration price and buyer type, maximum prices, and proximity to other similar housing types.  </w:t>
      </w:r>
      <w:r w:rsidRPr="00352165">
        <w:rPr>
          <w:rFonts w:cstheme="minorHAnsi"/>
          <w:sz w:val="18"/>
          <w:szCs w:val="18"/>
          <w:lang w:val="en-US"/>
        </w:rPr>
        <w:t>Furthermore, it’s important to note that, since this data is drawn from the deeds registry, by definition, it does not include delivery of government-</w:t>
      </w:r>
      <w:proofErr w:type="spellStart"/>
      <w:r w:rsidRPr="00352165">
        <w:rPr>
          <w:rFonts w:cstheme="minorHAnsi"/>
          <w:sz w:val="18"/>
          <w:szCs w:val="18"/>
          <w:lang w:val="en-US"/>
        </w:rPr>
        <w:t>subsidised</w:t>
      </w:r>
      <w:proofErr w:type="spellEnd"/>
      <w:r w:rsidRPr="00352165">
        <w:rPr>
          <w:rFonts w:cstheme="minorHAnsi"/>
          <w:sz w:val="18"/>
          <w:szCs w:val="18"/>
          <w:lang w:val="en-US"/>
        </w:rPr>
        <w:t xml:space="preserve"> houses where the beneficiary has not yet received the title deed. </w:t>
      </w:r>
    </w:p>
  </w:footnote>
  <w:footnote w:id="5">
    <w:p w14:paraId="0B880795" w14:textId="6E157F6E" w:rsidR="00767FA7" w:rsidRPr="00352165" w:rsidRDefault="00767FA7" w:rsidP="00767FA7">
      <w:pPr>
        <w:pStyle w:val="FootnoteText"/>
        <w:contextualSpacing/>
        <w:rPr>
          <w:rFonts w:cstheme="minorHAnsi"/>
          <w:sz w:val="18"/>
          <w:szCs w:val="18"/>
          <w:lang w:val="en-US"/>
        </w:rPr>
      </w:pPr>
      <w:r w:rsidRPr="00352165">
        <w:rPr>
          <w:rStyle w:val="FootnoteReference"/>
          <w:rFonts w:cstheme="minorHAnsi"/>
          <w:sz w:val="18"/>
          <w:szCs w:val="18"/>
        </w:rPr>
        <w:footnoteRef/>
      </w:r>
      <w:r w:rsidRPr="00352165">
        <w:rPr>
          <w:rFonts w:cstheme="minorHAnsi"/>
          <w:sz w:val="18"/>
          <w:szCs w:val="18"/>
        </w:rPr>
        <w:t xml:space="preserve"> </w:t>
      </w:r>
      <w:r w:rsidRPr="00352165">
        <w:rPr>
          <w:rFonts w:cstheme="minorHAnsi"/>
          <w:sz w:val="18"/>
          <w:szCs w:val="18"/>
          <w:lang w:val="en-US"/>
        </w:rPr>
        <w:t>CAHF.</w:t>
      </w:r>
      <w:r w:rsidRPr="00352165">
        <w:rPr>
          <w:rFonts w:cstheme="minorHAnsi"/>
          <w:i/>
          <w:iCs/>
          <w:sz w:val="18"/>
          <w:szCs w:val="18"/>
          <w:lang w:val="en-US"/>
        </w:rPr>
        <w:t xml:space="preserve"> 20</w:t>
      </w:r>
      <w:r w:rsidR="00EE0FA0" w:rsidRPr="00352165">
        <w:rPr>
          <w:rFonts w:cstheme="minorHAnsi"/>
          <w:i/>
          <w:iCs/>
          <w:sz w:val="18"/>
          <w:szCs w:val="18"/>
          <w:lang w:val="en-US"/>
        </w:rPr>
        <w:t>22</w:t>
      </w:r>
      <w:r w:rsidRPr="00352165">
        <w:rPr>
          <w:rFonts w:cstheme="minorHAnsi"/>
          <w:i/>
          <w:iCs/>
          <w:sz w:val="18"/>
          <w:szCs w:val="18"/>
          <w:lang w:val="en-US"/>
        </w:rPr>
        <w:t xml:space="preserve"> Housing Finance in Africa Yearbook</w:t>
      </w:r>
      <w:r w:rsidRPr="00352165">
        <w:rPr>
          <w:rFonts w:cstheme="minorHAnsi"/>
          <w:sz w:val="18"/>
          <w:szCs w:val="18"/>
          <w:lang w:val="en-US"/>
        </w:rPr>
        <w:t>. A</w:t>
      </w:r>
      <w:r w:rsidR="00EE0FA0" w:rsidRPr="00352165">
        <w:rPr>
          <w:rFonts w:cstheme="minorHAnsi"/>
          <w:sz w:val="18"/>
          <w:szCs w:val="18"/>
          <w:lang w:val="en-US"/>
        </w:rPr>
        <w:t>vailable</w:t>
      </w:r>
      <w:r w:rsidRPr="00352165">
        <w:rPr>
          <w:rFonts w:cstheme="minorHAnsi"/>
          <w:sz w:val="18"/>
          <w:szCs w:val="18"/>
          <w:lang w:val="en-US"/>
        </w:rPr>
        <w:t xml:space="preserve"> at</w:t>
      </w:r>
      <w:r w:rsidR="00EE0FA0" w:rsidRPr="00352165">
        <w:rPr>
          <w:rFonts w:cstheme="minorHAnsi"/>
          <w:sz w:val="18"/>
          <w:szCs w:val="18"/>
          <w:lang w:val="en-US"/>
        </w:rPr>
        <w:t>:</w:t>
      </w:r>
      <w:r w:rsidRPr="00352165">
        <w:rPr>
          <w:rFonts w:cstheme="minorHAnsi"/>
          <w:sz w:val="18"/>
          <w:szCs w:val="18"/>
          <w:lang w:val="en-US"/>
        </w:rPr>
        <w:t xml:space="preserve"> </w:t>
      </w:r>
      <w:hyperlink r:id="rId5" w:history="1">
        <w:r w:rsidR="00EE0FA0" w:rsidRPr="00352165">
          <w:rPr>
            <w:rStyle w:val="Hyperlink"/>
            <w:rFonts w:cstheme="minorHAnsi"/>
            <w:sz w:val="18"/>
            <w:szCs w:val="18"/>
            <w:lang w:val="en-US"/>
          </w:rPr>
          <w:t>https://housingfinanceafrica.org/resources/yearbook/</w:t>
        </w:r>
      </w:hyperlink>
      <w:r w:rsidR="00EE0FA0" w:rsidRPr="00352165">
        <w:rPr>
          <w:rFonts w:cstheme="minorHAnsi"/>
          <w:sz w:val="18"/>
          <w:szCs w:val="18"/>
          <w:lang w:val="en-US"/>
        </w:rPr>
        <w:t xml:space="preserve"> </w:t>
      </w:r>
    </w:p>
  </w:footnote>
  <w:footnote w:id="6">
    <w:p w14:paraId="7C97A662" w14:textId="3A1A555E" w:rsidR="00767FA7" w:rsidRPr="00352165" w:rsidRDefault="00767FA7" w:rsidP="00767FA7">
      <w:pPr>
        <w:pStyle w:val="FootnoteText"/>
        <w:contextualSpacing/>
        <w:rPr>
          <w:rFonts w:cstheme="minorHAnsi"/>
          <w:sz w:val="18"/>
          <w:szCs w:val="18"/>
          <w:lang w:val="en-US"/>
        </w:rPr>
      </w:pPr>
      <w:r w:rsidRPr="00352165">
        <w:rPr>
          <w:rStyle w:val="FootnoteReference"/>
          <w:rFonts w:cstheme="minorHAnsi"/>
          <w:sz w:val="18"/>
          <w:szCs w:val="18"/>
        </w:rPr>
        <w:footnoteRef/>
      </w:r>
      <w:r w:rsidRPr="00352165">
        <w:rPr>
          <w:rFonts w:cstheme="minorHAnsi"/>
          <w:sz w:val="18"/>
          <w:szCs w:val="18"/>
        </w:rPr>
        <w:t xml:space="preserve"> </w:t>
      </w:r>
      <w:r w:rsidR="00296E36" w:rsidRPr="00352165">
        <w:rPr>
          <w:rFonts w:cstheme="minorHAnsi"/>
          <w:sz w:val="18"/>
          <w:szCs w:val="18"/>
          <w:lang w:val="en-US"/>
        </w:rPr>
        <w:t xml:space="preserve">This assumes: no government housing subsidy, a 30% premium to income ratio, </w:t>
      </w:r>
      <w:proofErr w:type="gramStart"/>
      <w:r w:rsidR="00296E36" w:rsidRPr="00352165">
        <w:rPr>
          <w:rFonts w:cstheme="minorHAnsi"/>
          <w:sz w:val="18"/>
          <w:szCs w:val="18"/>
          <w:lang w:val="en-US"/>
        </w:rPr>
        <w:t>20 year</w:t>
      </w:r>
      <w:proofErr w:type="gramEnd"/>
      <w:r w:rsidR="00296E36" w:rsidRPr="00352165">
        <w:rPr>
          <w:rFonts w:cstheme="minorHAnsi"/>
          <w:sz w:val="18"/>
          <w:szCs w:val="18"/>
          <w:lang w:val="en-US"/>
        </w:rPr>
        <w:t xml:space="preserve"> loan tenor, 10% deposit, and that the mortgage interest rate is the prime lending rate (11.25%).</w:t>
      </w:r>
    </w:p>
  </w:footnote>
  <w:footnote w:id="7">
    <w:p w14:paraId="0AF66D11" w14:textId="35E6BD5A" w:rsidR="00DB47D8" w:rsidRPr="00352165" w:rsidRDefault="00DB47D8">
      <w:pPr>
        <w:pStyle w:val="FootnoteText"/>
        <w:rPr>
          <w:rFonts w:cstheme="minorHAnsi"/>
          <w:sz w:val="18"/>
          <w:szCs w:val="18"/>
        </w:rPr>
      </w:pPr>
      <w:r w:rsidRPr="00352165">
        <w:rPr>
          <w:rStyle w:val="FootnoteReference"/>
          <w:rFonts w:cstheme="minorHAnsi"/>
          <w:sz w:val="18"/>
          <w:szCs w:val="18"/>
        </w:rPr>
        <w:footnoteRef/>
      </w:r>
      <w:r w:rsidRPr="00352165">
        <w:rPr>
          <w:rFonts w:cstheme="minorHAnsi"/>
          <w:sz w:val="18"/>
          <w:szCs w:val="18"/>
        </w:rPr>
        <w:t xml:space="preserve"> (2018). </w:t>
      </w:r>
      <w:r w:rsidRPr="00352165">
        <w:rPr>
          <w:rFonts w:cstheme="minorHAnsi"/>
          <w:i/>
          <w:iCs/>
          <w:sz w:val="18"/>
          <w:szCs w:val="18"/>
        </w:rPr>
        <w:t>Bringing life to mortgage markets in South Africa.</w:t>
      </w:r>
      <w:r w:rsidRPr="00352165">
        <w:rPr>
          <w:rFonts w:cstheme="minorHAnsi"/>
          <w:sz w:val="18"/>
          <w:szCs w:val="18"/>
        </w:rPr>
        <w:t xml:space="preserve"> Published by CAHF. Available at: </w:t>
      </w:r>
      <w:hyperlink r:id="rId6" w:history="1">
        <w:r w:rsidRPr="00352165">
          <w:rPr>
            <w:rStyle w:val="Hyperlink"/>
            <w:rFonts w:cstheme="minorHAnsi"/>
            <w:sz w:val="18"/>
            <w:szCs w:val="18"/>
          </w:rPr>
          <w:t>https://housingfinanceafrica.org/app/uploads/Bringing-life-to-mortgage-markets_Final60818.pdf</w:t>
        </w:r>
      </w:hyperlink>
    </w:p>
  </w:footnote>
  <w:footnote w:id="8">
    <w:p w14:paraId="5F020DCF" w14:textId="77777777" w:rsidR="00E056E3" w:rsidRPr="00352165" w:rsidRDefault="00E056E3" w:rsidP="00E056E3">
      <w:pPr>
        <w:spacing w:after="120"/>
        <w:contextualSpacing/>
        <w:rPr>
          <w:rFonts w:asciiTheme="minorHAnsi" w:hAnsiTheme="minorHAnsi" w:cstheme="minorHAnsi"/>
        </w:rPr>
      </w:pPr>
      <w:r w:rsidRPr="00352165">
        <w:rPr>
          <w:rStyle w:val="FootnoteReference"/>
          <w:rFonts w:asciiTheme="minorHAnsi" w:hAnsiTheme="minorHAnsi" w:cstheme="minorHAnsi"/>
          <w:sz w:val="18"/>
          <w:szCs w:val="18"/>
        </w:rPr>
        <w:footnoteRef/>
      </w:r>
      <w:r w:rsidRPr="00352165">
        <w:rPr>
          <w:rFonts w:asciiTheme="minorHAnsi" w:hAnsiTheme="minorHAnsi" w:cstheme="minorHAnsi"/>
          <w:sz w:val="18"/>
          <w:szCs w:val="18"/>
        </w:rPr>
        <w:t xml:space="preserve"> National Credit Regulator (December 2022). National Consumer Credit Market Report – Fourth Quarter December 2022. Available at: </w:t>
      </w:r>
      <w:hyperlink r:id="rId7" w:history="1">
        <w:r w:rsidRPr="00352165">
          <w:rPr>
            <w:rStyle w:val="Hyperlink"/>
            <w:rFonts w:asciiTheme="minorHAnsi" w:hAnsiTheme="minorHAnsi" w:cstheme="minorHAnsi"/>
            <w:sz w:val="18"/>
            <w:szCs w:val="18"/>
          </w:rPr>
          <w:t>https://ncr.org.za/documents/CCMR/CCMR%202022Q4.pdf</w:t>
        </w:r>
      </w:hyperlink>
    </w:p>
  </w:footnote>
  <w:footnote w:id="9">
    <w:p w14:paraId="42974987" w14:textId="20EE83C3" w:rsidR="0049490D" w:rsidRPr="00352165" w:rsidRDefault="0049490D">
      <w:pPr>
        <w:pStyle w:val="FootnoteText"/>
        <w:rPr>
          <w:rFonts w:cstheme="minorHAnsi"/>
        </w:rPr>
      </w:pPr>
      <w:r w:rsidRPr="00352165">
        <w:rPr>
          <w:rStyle w:val="FootnoteReference"/>
          <w:rFonts w:cstheme="minorHAnsi"/>
        </w:rPr>
        <w:footnoteRef/>
      </w:r>
      <w:r w:rsidRPr="00352165">
        <w:rPr>
          <w:rFonts w:cstheme="minorHAnsi"/>
        </w:rPr>
        <w:t xml:space="preserve"> </w:t>
      </w:r>
      <w:r w:rsidRPr="00352165">
        <w:rPr>
          <w:rFonts w:cstheme="minorHAnsi"/>
          <w:sz w:val="18"/>
          <w:szCs w:val="18"/>
        </w:rPr>
        <w:t xml:space="preserve">National Credit Regulator (December 2022). National Consumer Credit Market Report – Fourth Quarter December 2022. Available at: </w:t>
      </w:r>
      <w:hyperlink r:id="rId8" w:history="1">
        <w:r w:rsidRPr="00352165">
          <w:rPr>
            <w:rStyle w:val="Hyperlink"/>
            <w:rFonts w:cstheme="minorHAnsi"/>
            <w:sz w:val="18"/>
            <w:szCs w:val="18"/>
          </w:rPr>
          <w:t>https://ncr.org.za/documents/CCMR/CCMR%202022Q4.pdf</w:t>
        </w:r>
      </w:hyperlink>
    </w:p>
  </w:footnote>
  <w:footnote w:id="10">
    <w:p w14:paraId="3109EB54" w14:textId="58B55C0B" w:rsidR="007C172E" w:rsidRPr="00352165" w:rsidRDefault="007C172E" w:rsidP="007C172E">
      <w:pPr>
        <w:pStyle w:val="FootnoteText"/>
        <w:contextualSpacing/>
        <w:rPr>
          <w:rFonts w:cstheme="minorHAnsi"/>
          <w:sz w:val="18"/>
          <w:szCs w:val="18"/>
          <w:lang w:val="en-US"/>
        </w:rPr>
      </w:pPr>
      <w:r w:rsidRPr="00352165">
        <w:rPr>
          <w:rStyle w:val="FootnoteReference"/>
          <w:rFonts w:cstheme="minorHAnsi"/>
          <w:sz w:val="18"/>
          <w:szCs w:val="18"/>
        </w:rPr>
        <w:footnoteRef/>
      </w:r>
      <w:r w:rsidRPr="00352165">
        <w:rPr>
          <w:rFonts w:cstheme="minorHAnsi"/>
          <w:sz w:val="18"/>
          <w:szCs w:val="18"/>
        </w:rPr>
        <w:t xml:space="preserve"> </w:t>
      </w:r>
      <w:r w:rsidRPr="00352165">
        <w:rPr>
          <w:rFonts w:cstheme="minorHAnsi"/>
          <w:sz w:val="18"/>
          <w:szCs w:val="18"/>
          <w:lang w:val="en-US"/>
        </w:rPr>
        <w:t>Census 2011 – ‘Inadequate housing’ includes informal dwelling/shack not in backyard, informal dwelling/shack in backyard, traditional dwelling, formal dwelling with no flush toilet, and overcrowded formal dwelling. As quoted in presentation by 71point</w:t>
      </w:r>
      <w:proofErr w:type="gramStart"/>
      <w:r w:rsidRPr="00352165">
        <w:rPr>
          <w:rFonts w:cstheme="minorHAnsi"/>
          <w:sz w:val="18"/>
          <w:szCs w:val="18"/>
          <w:lang w:val="en-US"/>
        </w:rPr>
        <w:t>4 ,</w:t>
      </w:r>
      <w:proofErr w:type="gramEnd"/>
      <w:r w:rsidRPr="00352165">
        <w:rPr>
          <w:rFonts w:cstheme="minorHAnsi"/>
          <w:sz w:val="18"/>
          <w:szCs w:val="18"/>
          <w:lang w:val="en-US"/>
        </w:rPr>
        <w:t>“Affordable Housing in South Africa” June 2018. Accessed at</w:t>
      </w:r>
      <w:r w:rsidR="00352165" w:rsidRPr="00352165">
        <w:rPr>
          <w:rFonts w:cstheme="minorHAnsi"/>
          <w:sz w:val="18"/>
          <w:szCs w:val="18"/>
          <w:lang w:val="en-US"/>
        </w:rPr>
        <w:t>:</w:t>
      </w:r>
      <w:r w:rsidRPr="00352165">
        <w:rPr>
          <w:rFonts w:cstheme="minorHAnsi"/>
          <w:sz w:val="18"/>
          <w:szCs w:val="18"/>
          <w:lang w:val="en-US"/>
        </w:rPr>
        <w:t xml:space="preserve"> </w:t>
      </w:r>
      <w:hyperlink r:id="rId9" w:history="1">
        <w:r w:rsidRPr="00352165">
          <w:rPr>
            <w:rStyle w:val="Hyperlink"/>
            <w:rFonts w:cstheme="minorHAnsi"/>
            <w:sz w:val="18"/>
            <w:szCs w:val="18"/>
          </w:rPr>
          <w:t>https://www.71point4.com/Projects/affordable-housing-in-south-africa/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2D5C" w14:textId="77777777" w:rsidR="000D44ED" w:rsidRPr="00AD4CA9" w:rsidRDefault="00466A3A" w:rsidP="00656423">
    <w:pPr>
      <w:pStyle w:val="Header"/>
      <w:tabs>
        <w:tab w:val="clear" w:pos="4153"/>
        <w:tab w:val="clear" w:pos="8306"/>
        <w:tab w:val="right" w:pos="9214"/>
      </w:tabs>
      <w:spacing w:before="360" w:after="840"/>
      <w:jc w:val="right"/>
      <w:rPr>
        <w:sz w:val="14"/>
        <w:szCs w:val="14"/>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464AA" w14:textId="77777777" w:rsidR="0003674D" w:rsidRPr="00925A9D" w:rsidRDefault="00A83B64"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680896FE" wp14:editId="2C958FD3">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0216B0AB" w14:textId="77777777" w:rsidR="000D44ED" w:rsidRPr="00B73FD1" w:rsidRDefault="00466A3A"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70F2"/>
    <w:multiLevelType w:val="hybridMultilevel"/>
    <w:tmpl w:val="90B4DE40"/>
    <w:lvl w:ilvl="0" w:tplc="D3EEEE96">
      <w:start w:val="1"/>
      <w:numFmt w:val="bullet"/>
      <w:lvlText w:val="•"/>
      <w:lvlJc w:val="left"/>
      <w:pPr>
        <w:tabs>
          <w:tab w:val="num" w:pos="720"/>
        </w:tabs>
        <w:ind w:left="720" w:hanging="360"/>
      </w:pPr>
      <w:rPr>
        <w:rFonts w:ascii="Arial" w:hAnsi="Arial" w:hint="default"/>
      </w:rPr>
    </w:lvl>
    <w:lvl w:ilvl="1" w:tplc="A67435BE" w:tentative="1">
      <w:start w:val="1"/>
      <w:numFmt w:val="bullet"/>
      <w:lvlText w:val="•"/>
      <w:lvlJc w:val="left"/>
      <w:pPr>
        <w:tabs>
          <w:tab w:val="num" w:pos="1440"/>
        </w:tabs>
        <w:ind w:left="1440" w:hanging="360"/>
      </w:pPr>
      <w:rPr>
        <w:rFonts w:ascii="Arial" w:hAnsi="Arial" w:hint="default"/>
      </w:rPr>
    </w:lvl>
    <w:lvl w:ilvl="2" w:tplc="2E5034C4" w:tentative="1">
      <w:start w:val="1"/>
      <w:numFmt w:val="bullet"/>
      <w:lvlText w:val="•"/>
      <w:lvlJc w:val="left"/>
      <w:pPr>
        <w:tabs>
          <w:tab w:val="num" w:pos="2160"/>
        </w:tabs>
        <w:ind w:left="2160" w:hanging="360"/>
      </w:pPr>
      <w:rPr>
        <w:rFonts w:ascii="Arial" w:hAnsi="Arial" w:hint="default"/>
      </w:rPr>
    </w:lvl>
    <w:lvl w:ilvl="3" w:tplc="CECAC342" w:tentative="1">
      <w:start w:val="1"/>
      <w:numFmt w:val="bullet"/>
      <w:lvlText w:val="•"/>
      <w:lvlJc w:val="left"/>
      <w:pPr>
        <w:tabs>
          <w:tab w:val="num" w:pos="2880"/>
        </w:tabs>
        <w:ind w:left="2880" w:hanging="360"/>
      </w:pPr>
      <w:rPr>
        <w:rFonts w:ascii="Arial" w:hAnsi="Arial" w:hint="default"/>
      </w:rPr>
    </w:lvl>
    <w:lvl w:ilvl="4" w:tplc="448403D6" w:tentative="1">
      <w:start w:val="1"/>
      <w:numFmt w:val="bullet"/>
      <w:lvlText w:val="•"/>
      <w:lvlJc w:val="left"/>
      <w:pPr>
        <w:tabs>
          <w:tab w:val="num" w:pos="3600"/>
        </w:tabs>
        <w:ind w:left="3600" w:hanging="360"/>
      </w:pPr>
      <w:rPr>
        <w:rFonts w:ascii="Arial" w:hAnsi="Arial" w:hint="default"/>
      </w:rPr>
    </w:lvl>
    <w:lvl w:ilvl="5" w:tplc="99C48F70" w:tentative="1">
      <w:start w:val="1"/>
      <w:numFmt w:val="bullet"/>
      <w:lvlText w:val="•"/>
      <w:lvlJc w:val="left"/>
      <w:pPr>
        <w:tabs>
          <w:tab w:val="num" w:pos="4320"/>
        </w:tabs>
        <w:ind w:left="4320" w:hanging="360"/>
      </w:pPr>
      <w:rPr>
        <w:rFonts w:ascii="Arial" w:hAnsi="Arial" w:hint="default"/>
      </w:rPr>
    </w:lvl>
    <w:lvl w:ilvl="6" w:tplc="52260098" w:tentative="1">
      <w:start w:val="1"/>
      <w:numFmt w:val="bullet"/>
      <w:lvlText w:val="•"/>
      <w:lvlJc w:val="left"/>
      <w:pPr>
        <w:tabs>
          <w:tab w:val="num" w:pos="5040"/>
        </w:tabs>
        <w:ind w:left="5040" w:hanging="360"/>
      </w:pPr>
      <w:rPr>
        <w:rFonts w:ascii="Arial" w:hAnsi="Arial" w:hint="default"/>
      </w:rPr>
    </w:lvl>
    <w:lvl w:ilvl="7" w:tplc="0A18954E" w:tentative="1">
      <w:start w:val="1"/>
      <w:numFmt w:val="bullet"/>
      <w:lvlText w:val="•"/>
      <w:lvlJc w:val="left"/>
      <w:pPr>
        <w:tabs>
          <w:tab w:val="num" w:pos="5760"/>
        </w:tabs>
        <w:ind w:left="5760" w:hanging="360"/>
      </w:pPr>
      <w:rPr>
        <w:rFonts w:ascii="Arial" w:hAnsi="Arial" w:hint="default"/>
      </w:rPr>
    </w:lvl>
    <w:lvl w:ilvl="8" w:tplc="6A6074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0620D8"/>
    <w:multiLevelType w:val="hybridMultilevel"/>
    <w:tmpl w:val="5D3E7A46"/>
    <w:lvl w:ilvl="0" w:tplc="44304FBE">
      <w:start w:val="1"/>
      <w:numFmt w:val="bullet"/>
      <w:lvlText w:val="•"/>
      <w:lvlJc w:val="left"/>
      <w:pPr>
        <w:tabs>
          <w:tab w:val="num" w:pos="720"/>
        </w:tabs>
        <w:ind w:left="720" w:hanging="360"/>
      </w:pPr>
      <w:rPr>
        <w:rFonts w:ascii="Arial" w:hAnsi="Arial" w:hint="default"/>
      </w:rPr>
    </w:lvl>
    <w:lvl w:ilvl="1" w:tplc="A1E0972C" w:tentative="1">
      <w:start w:val="1"/>
      <w:numFmt w:val="bullet"/>
      <w:lvlText w:val="•"/>
      <w:lvlJc w:val="left"/>
      <w:pPr>
        <w:tabs>
          <w:tab w:val="num" w:pos="1440"/>
        </w:tabs>
        <w:ind w:left="1440" w:hanging="360"/>
      </w:pPr>
      <w:rPr>
        <w:rFonts w:ascii="Arial" w:hAnsi="Arial" w:hint="default"/>
      </w:rPr>
    </w:lvl>
    <w:lvl w:ilvl="2" w:tplc="096CD364" w:tentative="1">
      <w:start w:val="1"/>
      <w:numFmt w:val="bullet"/>
      <w:lvlText w:val="•"/>
      <w:lvlJc w:val="left"/>
      <w:pPr>
        <w:tabs>
          <w:tab w:val="num" w:pos="2160"/>
        </w:tabs>
        <w:ind w:left="2160" w:hanging="360"/>
      </w:pPr>
      <w:rPr>
        <w:rFonts w:ascii="Arial" w:hAnsi="Arial" w:hint="default"/>
      </w:rPr>
    </w:lvl>
    <w:lvl w:ilvl="3" w:tplc="64BE4624" w:tentative="1">
      <w:start w:val="1"/>
      <w:numFmt w:val="bullet"/>
      <w:lvlText w:val="•"/>
      <w:lvlJc w:val="left"/>
      <w:pPr>
        <w:tabs>
          <w:tab w:val="num" w:pos="2880"/>
        </w:tabs>
        <w:ind w:left="2880" w:hanging="360"/>
      </w:pPr>
      <w:rPr>
        <w:rFonts w:ascii="Arial" w:hAnsi="Arial" w:hint="default"/>
      </w:rPr>
    </w:lvl>
    <w:lvl w:ilvl="4" w:tplc="1ECCEAB6" w:tentative="1">
      <w:start w:val="1"/>
      <w:numFmt w:val="bullet"/>
      <w:lvlText w:val="•"/>
      <w:lvlJc w:val="left"/>
      <w:pPr>
        <w:tabs>
          <w:tab w:val="num" w:pos="3600"/>
        </w:tabs>
        <w:ind w:left="3600" w:hanging="360"/>
      </w:pPr>
      <w:rPr>
        <w:rFonts w:ascii="Arial" w:hAnsi="Arial" w:hint="default"/>
      </w:rPr>
    </w:lvl>
    <w:lvl w:ilvl="5" w:tplc="E1C6001E" w:tentative="1">
      <w:start w:val="1"/>
      <w:numFmt w:val="bullet"/>
      <w:lvlText w:val="•"/>
      <w:lvlJc w:val="left"/>
      <w:pPr>
        <w:tabs>
          <w:tab w:val="num" w:pos="4320"/>
        </w:tabs>
        <w:ind w:left="4320" w:hanging="360"/>
      </w:pPr>
      <w:rPr>
        <w:rFonts w:ascii="Arial" w:hAnsi="Arial" w:hint="default"/>
      </w:rPr>
    </w:lvl>
    <w:lvl w:ilvl="6" w:tplc="EA66CB6A" w:tentative="1">
      <w:start w:val="1"/>
      <w:numFmt w:val="bullet"/>
      <w:lvlText w:val="•"/>
      <w:lvlJc w:val="left"/>
      <w:pPr>
        <w:tabs>
          <w:tab w:val="num" w:pos="5040"/>
        </w:tabs>
        <w:ind w:left="5040" w:hanging="360"/>
      </w:pPr>
      <w:rPr>
        <w:rFonts w:ascii="Arial" w:hAnsi="Arial" w:hint="default"/>
      </w:rPr>
    </w:lvl>
    <w:lvl w:ilvl="7" w:tplc="5EF66C34" w:tentative="1">
      <w:start w:val="1"/>
      <w:numFmt w:val="bullet"/>
      <w:lvlText w:val="•"/>
      <w:lvlJc w:val="left"/>
      <w:pPr>
        <w:tabs>
          <w:tab w:val="num" w:pos="5760"/>
        </w:tabs>
        <w:ind w:left="5760" w:hanging="360"/>
      </w:pPr>
      <w:rPr>
        <w:rFonts w:ascii="Arial" w:hAnsi="Arial" w:hint="default"/>
      </w:rPr>
    </w:lvl>
    <w:lvl w:ilvl="8" w:tplc="A4C22C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946238"/>
    <w:multiLevelType w:val="hybridMultilevel"/>
    <w:tmpl w:val="A566C4F4"/>
    <w:lvl w:ilvl="0" w:tplc="7F601632">
      <w:start w:val="1"/>
      <w:numFmt w:val="bullet"/>
      <w:lvlText w:val=""/>
      <w:lvlJc w:val="left"/>
      <w:pPr>
        <w:tabs>
          <w:tab w:val="num" w:pos="720"/>
        </w:tabs>
        <w:ind w:left="720" w:hanging="360"/>
      </w:pPr>
      <w:rPr>
        <w:rFonts w:ascii="Wingdings" w:hAnsi="Wingdings" w:hint="default"/>
      </w:rPr>
    </w:lvl>
    <w:lvl w:ilvl="1" w:tplc="D78810EA">
      <w:start w:val="1"/>
      <w:numFmt w:val="bullet"/>
      <w:lvlText w:val=""/>
      <w:lvlJc w:val="left"/>
      <w:pPr>
        <w:tabs>
          <w:tab w:val="num" w:pos="1440"/>
        </w:tabs>
        <w:ind w:left="1440" w:hanging="360"/>
      </w:pPr>
      <w:rPr>
        <w:rFonts w:ascii="Wingdings" w:hAnsi="Wingdings" w:hint="default"/>
      </w:rPr>
    </w:lvl>
    <w:lvl w:ilvl="2" w:tplc="33387240" w:tentative="1">
      <w:start w:val="1"/>
      <w:numFmt w:val="bullet"/>
      <w:lvlText w:val=""/>
      <w:lvlJc w:val="left"/>
      <w:pPr>
        <w:tabs>
          <w:tab w:val="num" w:pos="2160"/>
        </w:tabs>
        <w:ind w:left="2160" w:hanging="360"/>
      </w:pPr>
      <w:rPr>
        <w:rFonts w:ascii="Wingdings" w:hAnsi="Wingdings" w:hint="default"/>
      </w:rPr>
    </w:lvl>
    <w:lvl w:ilvl="3" w:tplc="90A453F4" w:tentative="1">
      <w:start w:val="1"/>
      <w:numFmt w:val="bullet"/>
      <w:lvlText w:val=""/>
      <w:lvlJc w:val="left"/>
      <w:pPr>
        <w:tabs>
          <w:tab w:val="num" w:pos="2880"/>
        </w:tabs>
        <w:ind w:left="2880" w:hanging="360"/>
      </w:pPr>
      <w:rPr>
        <w:rFonts w:ascii="Wingdings" w:hAnsi="Wingdings" w:hint="default"/>
      </w:rPr>
    </w:lvl>
    <w:lvl w:ilvl="4" w:tplc="4614BA80" w:tentative="1">
      <w:start w:val="1"/>
      <w:numFmt w:val="bullet"/>
      <w:lvlText w:val=""/>
      <w:lvlJc w:val="left"/>
      <w:pPr>
        <w:tabs>
          <w:tab w:val="num" w:pos="3600"/>
        </w:tabs>
        <w:ind w:left="3600" w:hanging="360"/>
      </w:pPr>
      <w:rPr>
        <w:rFonts w:ascii="Wingdings" w:hAnsi="Wingdings" w:hint="default"/>
      </w:rPr>
    </w:lvl>
    <w:lvl w:ilvl="5" w:tplc="57860358" w:tentative="1">
      <w:start w:val="1"/>
      <w:numFmt w:val="bullet"/>
      <w:lvlText w:val=""/>
      <w:lvlJc w:val="left"/>
      <w:pPr>
        <w:tabs>
          <w:tab w:val="num" w:pos="4320"/>
        </w:tabs>
        <w:ind w:left="4320" w:hanging="360"/>
      </w:pPr>
      <w:rPr>
        <w:rFonts w:ascii="Wingdings" w:hAnsi="Wingdings" w:hint="default"/>
      </w:rPr>
    </w:lvl>
    <w:lvl w:ilvl="6" w:tplc="C9C63B1E" w:tentative="1">
      <w:start w:val="1"/>
      <w:numFmt w:val="bullet"/>
      <w:lvlText w:val=""/>
      <w:lvlJc w:val="left"/>
      <w:pPr>
        <w:tabs>
          <w:tab w:val="num" w:pos="5040"/>
        </w:tabs>
        <w:ind w:left="5040" w:hanging="360"/>
      </w:pPr>
      <w:rPr>
        <w:rFonts w:ascii="Wingdings" w:hAnsi="Wingdings" w:hint="default"/>
      </w:rPr>
    </w:lvl>
    <w:lvl w:ilvl="7" w:tplc="42A08A34" w:tentative="1">
      <w:start w:val="1"/>
      <w:numFmt w:val="bullet"/>
      <w:lvlText w:val=""/>
      <w:lvlJc w:val="left"/>
      <w:pPr>
        <w:tabs>
          <w:tab w:val="num" w:pos="5760"/>
        </w:tabs>
        <w:ind w:left="5760" w:hanging="360"/>
      </w:pPr>
      <w:rPr>
        <w:rFonts w:ascii="Wingdings" w:hAnsi="Wingdings" w:hint="default"/>
      </w:rPr>
    </w:lvl>
    <w:lvl w:ilvl="8" w:tplc="9078E5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31BE8"/>
    <w:multiLevelType w:val="hybridMultilevel"/>
    <w:tmpl w:val="B20AAC1A"/>
    <w:lvl w:ilvl="0" w:tplc="FE92F20A">
      <w:start w:val="1"/>
      <w:numFmt w:val="bullet"/>
      <w:lvlText w:val="•"/>
      <w:lvlJc w:val="left"/>
      <w:pPr>
        <w:tabs>
          <w:tab w:val="num" w:pos="720"/>
        </w:tabs>
        <w:ind w:left="720" w:hanging="360"/>
      </w:pPr>
      <w:rPr>
        <w:rFonts w:ascii="Arial" w:hAnsi="Arial" w:hint="default"/>
      </w:rPr>
    </w:lvl>
    <w:lvl w:ilvl="1" w:tplc="0E0E82DA" w:tentative="1">
      <w:start w:val="1"/>
      <w:numFmt w:val="bullet"/>
      <w:lvlText w:val="•"/>
      <w:lvlJc w:val="left"/>
      <w:pPr>
        <w:tabs>
          <w:tab w:val="num" w:pos="1440"/>
        </w:tabs>
        <w:ind w:left="1440" w:hanging="360"/>
      </w:pPr>
      <w:rPr>
        <w:rFonts w:ascii="Arial" w:hAnsi="Arial" w:hint="default"/>
      </w:rPr>
    </w:lvl>
    <w:lvl w:ilvl="2" w:tplc="4E627DA0" w:tentative="1">
      <w:start w:val="1"/>
      <w:numFmt w:val="bullet"/>
      <w:lvlText w:val="•"/>
      <w:lvlJc w:val="left"/>
      <w:pPr>
        <w:tabs>
          <w:tab w:val="num" w:pos="2160"/>
        </w:tabs>
        <w:ind w:left="2160" w:hanging="360"/>
      </w:pPr>
      <w:rPr>
        <w:rFonts w:ascii="Arial" w:hAnsi="Arial" w:hint="default"/>
      </w:rPr>
    </w:lvl>
    <w:lvl w:ilvl="3" w:tplc="0A1C4D66" w:tentative="1">
      <w:start w:val="1"/>
      <w:numFmt w:val="bullet"/>
      <w:lvlText w:val="•"/>
      <w:lvlJc w:val="left"/>
      <w:pPr>
        <w:tabs>
          <w:tab w:val="num" w:pos="2880"/>
        </w:tabs>
        <w:ind w:left="2880" w:hanging="360"/>
      </w:pPr>
      <w:rPr>
        <w:rFonts w:ascii="Arial" w:hAnsi="Arial" w:hint="default"/>
      </w:rPr>
    </w:lvl>
    <w:lvl w:ilvl="4" w:tplc="A3FEE6D8" w:tentative="1">
      <w:start w:val="1"/>
      <w:numFmt w:val="bullet"/>
      <w:lvlText w:val="•"/>
      <w:lvlJc w:val="left"/>
      <w:pPr>
        <w:tabs>
          <w:tab w:val="num" w:pos="3600"/>
        </w:tabs>
        <w:ind w:left="3600" w:hanging="360"/>
      </w:pPr>
      <w:rPr>
        <w:rFonts w:ascii="Arial" w:hAnsi="Arial" w:hint="default"/>
      </w:rPr>
    </w:lvl>
    <w:lvl w:ilvl="5" w:tplc="AD144C86" w:tentative="1">
      <w:start w:val="1"/>
      <w:numFmt w:val="bullet"/>
      <w:lvlText w:val="•"/>
      <w:lvlJc w:val="left"/>
      <w:pPr>
        <w:tabs>
          <w:tab w:val="num" w:pos="4320"/>
        </w:tabs>
        <w:ind w:left="4320" w:hanging="360"/>
      </w:pPr>
      <w:rPr>
        <w:rFonts w:ascii="Arial" w:hAnsi="Arial" w:hint="default"/>
      </w:rPr>
    </w:lvl>
    <w:lvl w:ilvl="6" w:tplc="2D4073BE" w:tentative="1">
      <w:start w:val="1"/>
      <w:numFmt w:val="bullet"/>
      <w:lvlText w:val="•"/>
      <w:lvlJc w:val="left"/>
      <w:pPr>
        <w:tabs>
          <w:tab w:val="num" w:pos="5040"/>
        </w:tabs>
        <w:ind w:left="5040" w:hanging="360"/>
      </w:pPr>
      <w:rPr>
        <w:rFonts w:ascii="Arial" w:hAnsi="Arial" w:hint="default"/>
      </w:rPr>
    </w:lvl>
    <w:lvl w:ilvl="7" w:tplc="C44E5F10" w:tentative="1">
      <w:start w:val="1"/>
      <w:numFmt w:val="bullet"/>
      <w:lvlText w:val="•"/>
      <w:lvlJc w:val="left"/>
      <w:pPr>
        <w:tabs>
          <w:tab w:val="num" w:pos="5760"/>
        </w:tabs>
        <w:ind w:left="5760" w:hanging="360"/>
      </w:pPr>
      <w:rPr>
        <w:rFonts w:ascii="Arial" w:hAnsi="Arial" w:hint="default"/>
      </w:rPr>
    </w:lvl>
    <w:lvl w:ilvl="8" w:tplc="3E4AE7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98729B"/>
    <w:multiLevelType w:val="hybridMultilevel"/>
    <w:tmpl w:val="4C42195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81A52"/>
    <w:multiLevelType w:val="hybridMultilevel"/>
    <w:tmpl w:val="274E31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32D7FAC"/>
    <w:multiLevelType w:val="hybridMultilevel"/>
    <w:tmpl w:val="71A68472"/>
    <w:lvl w:ilvl="0" w:tplc="83304B76">
      <w:start w:val="1"/>
      <w:numFmt w:val="bullet"/>
      <w:lvlText w:val="•"/>
      <w:lvlJc w:val="left"/>
      <w:pPr>
        <w:tabs>
          <w:tab w:val="num" w:pos="720"/>
        </w:tabs>
        <w:ind w:left="720" w:hanging="360"/>
      </w:pPr>
      <w:rPr>
        <w:rFonts w:ascii="Arial" w:hAnsi="Arial" w:hint="default"/>
      </w:rPr>
    </w:lvl>
    <w:lvl w:ilvl="1" w:tplc="456A734C" w:tentative="1">
      <w:start w:val="1"/>
      <w:numFmt w:val="bullet"/>
      <w:lvlText w:val="•"/>
      <w:lvlJc w:val="left"/>
      <w:pPr>
        <w:tabs>
          <w:tab w:val="num" w:pos="1440"/>
        </w:tabs>
        <w:ind w:left="1440" w:hanging="360"/>
      </w:pPr>
      <w:rPr>
        <w:rFonts w:ascii="Arial" w:hAnsi="Arial" w:hint="default"/>
      </w:rPr>
    </w:lvl>
    <w:lvl w:ilvl="2" w:tplc="A1782700" w:tentative="1">
      <w:start w:val="1"/>
      <w:numFmt w:val="bullet"/>
      <w:lvlText w:val="•"/>
      <w:lvlJc w:val="left"/>
      <w:pPr>
        <w:tabs>
          <w:tab w:val="num" w:pos="2160"/>
        </w:tabs>
        <w:ind w:left="2160" w:hanging="360"/>
      </w:pPr>
      <w:rPr>
        <w:rFonts w:ascii="Arial" w:hAnsi="Arial" w:hint="default"/>
      </w:rPr>
    </w:lvl>
    <w:lvl w:ilvl="3" w:tplc="9B1E73AE" w:tentative="1">
      <w:start w:val="1"/>
      <w:numFmt w:val="bullet"/>
      <w:lvlText w:val="•"/>
      <w:lvlJc w:val="left"/>
      <w:pPr>
        <w:tabs>
          <w:tab w:val="num" w:pos="2880"/>
        </w:tabs>
        <w:ind w:left="2880" w:hanging="360"/>
      </w:pPr>
      <w:rPr>
        <w:rFonts w:ascii="Arial" w:hAnsi="Arial" w:hint="default"/>
      </w:rPr>
    </w:lvl>
    <w:lvl w:ilvl="4" w:tplc="6F00CC96" w:tentative="1">
      <w:start w:val="1"/>
      <w:numFmt w:val="bullet"/>
      <w:lvlText w:val="•"/>
      <w:lvlJc w:val="left"/>
      <w:pPr>
        <w:tabs>
          <w:tab w:val="num" w:pos="3600"/>
        </w:tabs>
        <w:ind w:left="3600" w:hanging="360"/>
      </w:pPr>
      <w:rPr>
        <w:rFonts w:ascii="Arial" w:hAnsi="Arial" w:hint="default"/>
      </w:rPr>
    </w:lvl>
    <w:lvl w:ilvl="5" w:tplc="2550DB5A" w:tentative="1">
      <w:start w:val="1"/>
      <w:numFmt w:val="bullet"/>
      <w:lvlText w:val="•"/>
      <w:lvlJc w:val="left"/>
      <w:pPr>
        <w:tabs>
          <w:tab w:val="num" w:pos="4320"/>
        </w:tabs>
        <w:ind w:left="4320" w:hanging="360"/>
      </w:pPr>
      <w:rPr>
        <w:rFonts w:ascii="Arial" w:hAnsi="Arial" w:hint="default"/>
      </w:rPr>
    </w:lvl>
    <w:lvl w:ilvl="6" w:tplc="CF381A34" w:tentative="1">
      <w:start w:val="1"/>
      <w:numFmt w:val="bullet"/>
      <w:lvlText w:val="•"/>
      <w:lvlJc w:val="left"/>
      <w:pPr>
        <w:tabs>
          <w:tab w:val="num" w:pos="5040"/>
        </w:tabs>
        <w:ind w:left="5040" w:hanging="360"/>
      </w:pPr>
      <w:rPr>
        <w:rFonts w:ascii="Arial" w:hAnsi="Arial" w:hint="default"/>
      </w:rPr>
    </w:lvl>
    <w:lvl w:ilvl="7" w:tplc="9CC255F4" w:tentative="1">
      <w:start w:val="1"/>
      <w:numFmt w:val="bullet"/>
      <w:lvlText w:val="•"/>
      <w:lvlJc w:val="left"/>
      <w:pPr>
        <w:tabs>
          <w:tab w:val="num" w:pos="5760"/>
        </w:tabs>
        <w:ind w:left="5760" w:hanging="360"/>
      </w:pPr>
      <w:rPr>
        <w:rFonts w:ascii="Arial" w:hAnsi="Arial" w:hint="default"/>
      </w:rPr>
    </w:lvl>
    <w:lvl w:ilvl="8" w:tplc="C49C36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B47EAC"/>
    <w:multiLevelType w:val="hybridMultilevel"/>
    <w:tmpl w:val="CE145DB4"/>
    <w:lvl w:ilvl="0" w:tplc="58C60E60">
      <w:start w:val="1"/>
      <w:numFmt w:val="bullet"/>
      <w:lvlText w:val="•"/>
      <w:lvlJc w:val="left"/>
      <w:pPr>
        <w:tabs>
          <w:tab w:val="num" w:pos="720"/>
        </w:tabs>
        <w:ind w:left="720" w:hanging="360"/>
      </w:pPr>
      <w:rPr>
        <w:rFonts w:ascii="Arial" w:hAnsi="Arial" w:hint="default"/>
      </w:rPr>
    </w:lvl>
    <w:lvl w:ilvl="1" w:tplc="CD34C7CC">
      <w:start w:val="1"/>
      <w:numFmt w:val="bullet"/>
      <w:lvlText w:val="•"/>
      <w:lvlJc w:val="left"/>
      <w:pPr>
        <w:tabs>
          <w:tab w:val="num" w:pos="1440"/>
        </w:tabs>
        <w:ind w:left="1440" w:hanging="360"/>
      </w:pPr>
      <w:rPr>
        <w:rFonts w:ascii="Arial" w:hAnsi="Arial" w:hint="default"/>
      </w:rPr>
    </w:lvl>
    <w:lvl w:ilvl="2" w:tplc="55505C28" w:tentative="1">
      <w:start w:val="1"/>
      <w:numFmt w:val="bullet"/>
      <w:lvlText w:val="•"/>
      <w:lvlJc w:val="left"/>
      <w:pPr>
        <w:tabs>
          <w:tab w:val="num" w:pos="2160"/>
        </w:tabs>
        <w:ind w:left="2160" w:hanging="360"/>
      </w:pPr>
      <w:rPr>
        <w:rFonts w:ascii="Arial" w:hAnsi="Arial" w:hint="default"/>
      </w:rPr>
    </w:lvl>
    <w:lvl w:ilvl="3" w:tplc="EB304442" w:tentative="1">
      <w:start w:val="1"/>
      <w:numFmt w:val="bullet"/>
      <w:lvlText w:val="•"/>
      <w:lvlJc w:val="left"/>
      <w:pPr>
        <w:tabs>
          <w:tab w:val="num" w:pos="2880"/>
        </w:tabs>
        <w:ind w:left="2880" w:hanging="360"/>
      </w:pPr>
      <w:rPr>
        <w:rFonts w:ascii="Arial" w:hAnsi="Arial" w:hint="default"/>
      </w:rPr>
    </w:lvl>
    <w:lvl w:ilvl="4" w:tplc="19C0461C" w:tentative="1">
      <w:start w:val="1"/>
      <w:numFmt w:val="bullet"/>
      <w:lvlText w:val="•"/>
      <w:lvlJc w:val="left"/>
      <w:pPr>
        <w:tabs>
          <w:tab w:val="num" w:pos="3600"/>
        </w:tabs>
        <w:ind w:left="3600" w:hanging="360"/>
      </w:pPr>
      <w:rPr>
        <w:rFonts w:ascii="Arial" w:hAnsi="Arial" w:hint="default"/>
      </w:rPr>
    </w:lvl>
    <w:lvl w:ilvl="5" w:tplc="F6CEDE06" w:tentative="1">
      <w:start w:val="1"/>
      <w:numFmt w:val="bullet"/>
      <w:lvlText w:val="•"/>
      <w:lvlJc w:val="left"/>
      <w:pPr>
        <w:tabs>
          <w:tab w:val="num" w:pos="4320"/>
        </w:tabs>
        <w:ind w:left="4320" w:hanging="360"/>
      </w:pPr>
      <w:rPr>
        <w:rFonts w:ascii="Arial" w:hAnsi="Arial" w:hint="default"/>
      </w:rPr>
    </w:lvl>
    <w:lvl w:ilvl="6" w:tplc="080CF9D8" w:tentative="1">
      <w:start w:val="1"/>
      <w:numFmt w:val="bullet"/>
      <w:lvlText w:val="•"/>
      <w:lvlJc w:val="left"/>
      <w:pPr>
        <w:tabs>
          <w:tab w:val="num" w:pos="5040"/>
        </w:tabs>
        <w:ind w:left="5040" w:hanging="360"/>
      </w:pPr>
      <w:rPr>
        <w:rFonts w:ascii="Arial" w:hAnsi="Arial" w:hint="default"/>
      </w:rPr>
    </w:lvl>
    <w:lvl w:ilvl="7" w:tplc="86865DD4" w:tentative="1">
      <w:start w:val="1"/>
      <w:numFmt w:val="bullet"/>
      <w:lvlText w:val="•"/>
      <w:lvlJc w:val="left"/>
      <w:pPr>
        <w:tabs>
          <w:tab w:val="num" w:pos="5760"/>
        </w:tabs>
        <w:ind w:left="5760" w:hanging="360"/>
      </w:pPr>
      <w:rPr>
        <w:rFonts w:ascii="Arial" w:hAnsi="Arial" w:hint="default"/>
      </w:rPr>
    </w:lvl>
    <w:lvl w:ilvl="8" w:tplc="E28237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CE2570"/>
    <w:multiLevelType w:val="hybridMultilevel"/>
    <w:tmpl w:val="E6864F12"/>
    <w:lvl w:ilvl="0" w:tplc="C3DEC7C4">
      <w:start w:val="1"/>
      <w:numFmt w:val="bullet"/>
      <w:lvlText w:val="•"/>
      <w:lvlJc w:val="left"/>
      <w:pPr>
        <w:tabs>
          <w:tab w:val="num" w:pos="720"/>
        </w:tabs>
        <w:ind w:left="720" w:hanging="360"/>
      </w:pPr>
      <w:rPr>
        <w:rFonts w:ascii="Arial" w:hAnsi="Arial" w:hint="default"/>
      </w:rPr>
    </w:lvl>
    <w:lvl w:ilvl="1" w:tplc="1E4CC934" w:tentative="1">
      <w:start w:val="1"/>
      <w:numFmt w:val="bullet"/>
      <w:lvlText w:val="•"/>
      <w:lvlJc w:val="left"/>
      <w:pPr>
        <w:tabs>
          <w:tab w:val="num" w:pos="1440"/>
        </w:tabs>
        <w:ind w:left="1440" w:hanging="360"/>
      </w:pPr>
      <w:rPr>
        <w:rFonts w:ascii="Arial" w:hAnsi="Arial" w:hint="default"/>
      </w:rPr>
    </w:lvl>
    <w:lvl w:ilvl="2" w:tplc="4DDA21E6" w:tentative="1">
      <w:start w:val="1"/>
      <w:numFmt w:val="bullet"/>
      <w:lvlText w:val="•"/>
      <w:lvlJc w:val="left"/>
      <w:pPr>
        <w:tabs>
          <w:tab w:val="num" w:pos="2160"/>
        </w:tabs>
        <w:ind w:left="2160" w:hanging="360"/>
      </w:pPr>
      <w:rPr>
        <w:rFonts w:ascii="Arial" w:hAnsi="Arial" w:hint="default"/>
      </w:rPr>
    </w:lvl>
    <w:lvl w:ilvl="3" w:tplc="E7CE7BD8" w:tentative="1">
      <w:start w:val="1"/>
      <w:numFmt w:val="bullet"/>
      <w:lvlText w:val="•"/>
      <w:lvlJc w:val="left"/>
      <w:pPr>
        <w:tabs>
          <w:tab w:val="num" w:pos="2880"/>
        </w:tabs>
        <w:ind w:left="2880" w:hanging="360"/>
      </w:pPr>
      <w:rPr>
        <w:rFonts w:ascii="Arial" w:hAnsi="Arial" w:hint="default"/>
      </w:rPr>
    </w:lvl>
    <w:lvl w:ilvl="4" w:tplc="7A0C9F60" w:tentative="1">
      <w:start w:val="1"/>
      <w:numFmt w:val="bullet"/>
      <w:lvlText w:val="•"/>
      <w:lvlJc w:val="left"/>
      <w:pPr>
        <w:tabs>
          <w:tab w:val="num" w:pos="3600"/>
        </w:tabs>
        <w:ind w:left="3600" w:hanging="360"/>
      </w:pPr>
      <w:rPr>
        <w:rFonts w:ascii="Arial" w:hAnsi="Arial" w:hint="default"/>
      </w:rPr>
    </w:lvl>
    <w:lvl w:ilvl="5" w:tplc="D3D2A004" w:tentative="1">
      <w:start w:val="1"/>
      <w:numFmt w:val="bullet"/>
      <w:lvlText w:val="•"/>
      <w:lvlJc w:val="left"/>
      <w:pPr>
        <w:tabs>
          <w:tab w:val="num" w:pos="4320"/>
        </w:tabs>
        <w:ind w:left="4320" w:hanging="360"/>
      </w:pPr>
      <w:rPr>
        <w:rFonts w:ascii="Arial" w:hAnsi="Arial" w:hint="default"/>
      </w:rPr>
    </w:lvl>
    <w:lvl w:ilvl="6" w:tplc="35D22516" w:tentative="1">
      <w:start w:val="1"/>
      <w:numFmt w:val="bullet"/>
      <w:lvlText w:val="•"/>
      <w:lvlJc w:val="left"/>
      <w:pPr>
        <w:tabs>
          <w:tab w:val="num" w:pos="5040"/>
        </w:tabs>
        <w:ind w:left="5040" w:hanging="360"/>
      </w:pPr>
      <w:rPr>
        <w:rFonts w:ascii="Arial" w:hAnsi="Arial" w:hint="default"/>
      </w:rPr>
    </w:lvl>
    <w:lvl w:ilvl="7" w:tplc="0A582A84" w:tentative="1">
      <w:start w:val="1"/>
      <w:numFmt w:val="bullet"/>
      <w:lvlText w:val="•"/>
      <w:lvlJc w:val="left"/>
      <w:pPr>
        <w:tabs>
          <w:tab w:val="num" w:pos="5760"/>
        </w:tabs>
        <w:ind w:left="5760" w:hanging="360"/>
      </w:pPr>
      <w:rPr>
        <w:rFonts w:ascii="Arial" w:hAnsi="Arial" w:hint="default"/>
      </w:rPr>
    </w:lvl>
    <w:lvl w:ilvl="8" w:tplc="68667A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650416"/>
    <w:multiLevelType w:val="hybridMultilevel"/>
    <w:tmpl w:val="CB3089A8"/>
    <w:lvl w:ilvl="0" w:tplc="8F4CB9EE">
      <w:start w:val="1"/>
      <w:numFmt w:val="bullet"/>
      <w:lvlText w:val="•"/>
      <w:lvlJc w:val="left"/>
      <w:pPr>
        <w:tabs>
          <w:tab w:val="num" w:pos="720"/>
        </w:tabs>
        <w:ind w:left="720" w:hanging="360"/>
      </w:pPr>
      <w:rPr>
        <w:rFonts w:ascii="Arial" w:hAnsi="Arial" w:hint="default"/>
      </w:rPr>
    </w:lvl>
    <w:lvl w:ilvl="1" w:tplc="84FC2AAC" w:tentative="1">
      <w:start w:val="1"/>
      <w:numFmt w:val="bullet"/>
      <w:lvlText w:val="•"/>
      <w:lvlJc w:val="left"/>
      <w:pPr>
        <w:tabs>
          <w:tab w:val="num" w:pos="1440"/>
        </w:tabs>
        <w:ind w:left="1440" w:hanging="360"/>
      </w:pPr>
      <w:rPr>
        <w:rFonts w:ascii="Arial" w:hAnsi="Arial" w:hint="default"/>
      </w:rPr>
    </w:lvl>
    <w:lvl w:ilvl="2" w:tplc="62A24156" w:tentative="1">
      <w:start w:val="1"/>
      <w:numFmt w:val="bullet"/>
      <w:lvlText w:val="•"/>
      <w:lvlJc w:val="left"/>
      <w:pPr>
        <w:tabs>
          <w:tab w:val="num" w:pos="2160"/>
        </w:tabs>
        <w:ind w:left="2160" w:hanging="360"/>
      </w:pPr>
      <w:rPr>
        <w:rFonts w:ascii="Arial" w:hAnsi="Arial" w:hint="default"/>
      </w:rPr>
    </w:lvl>
    <w:lvl w:ilvl="3" w:tplc="064857AE" w:tentative="1">
      <w:start w:val="1"/>
      <w:numFmt w:val="bullet"/>
      <w:lvlText w:val="•"/>
      <w:lvlJc w:val="left"/>
      <w:pPr>
        <w:tabs>
          <w:tab w:val="num" w:pos="2880"/>
        </w:tabs>
        <w:ind w:left="2880" w:hanging="360"/>
      </w:pPr>
      <w:rPr>
        <w:rFonts w:ascii="Arial" w:hAnsi="Arial" w:hint="default"/>
      </w:rPr>
    </w:lvl>
    <w:lvl w:ilvl="4" w:tplc="3E383C4E" w:tentative="1">
      <w:start w:val="1"/>
      <w:numFmt w:val="bullet"/>
      <w:lvlText w:val="•"/>
      <w:lvlJc w:val="left"/>
      <w:pPr>
        <w:tabs>
          <w:tab w:val="num" w:pos="3600"/>
        </w:tabs>
        <w:ind w:left="3600" w:hanging="360"/>
      </w:pPr>
      <w:rPr>
        <w:rFonts w:ascii="Arial" w:hAnsi="Arial" w:hint="default"/>
      </w:rPr>
    </w:lvl>
    <w:lvl w:ilvl="5" w:tplc="FB12873A" w:tentative="1">
      <w:start w:val="1"/>
      <w:numFmt w:val="bullet"/>
      <w:lvlText w:val="•"/>
      <w:lvlJc w:val="left"/>
      <w:pPr>
        <w:tabs>
          <w:tab w:val="num" w:pos="4320"/>
        </w:tabs>
        <w:ind w:left="4320" w:hanging="360"/>
      </w:pPr>
      <w:rPr>
        <w:rFonts w:ascii="Arial" w:hAnsi="Arial" w:hint="default"/>
      </w:rPr>
    </w:lvl>
    <w:lvl w:ilvl="6" w:tplc="40BE1B9C" w:tentative="1">
      <w:start w:val="1"/>
      <w:numFmt w:val="bullet"/>
      <w:lvlText w:val="•"/>
      <w:lvlJc w:val="left"/>
      <w:pPr>
        <w:tabs>
          <w:tab w:val="num" w:pos="5040"/>
        </w:tabs>
        <w:ind w:left="5040" w:hanging="360"/>
      </w:pPr>
      <w:rPr>
        <w:rFonts w:ascii="Arial" w:hAnsi="Arial" w:hint="default"/>
      </w:rPr>
    </w:lvl>
    <w:lvl w:ilvl="7" w:tplc="7B0AAD00" w:tentative="1">
      <w:start w:val="1"/>
      <w:numFmt w:val="bullet"/>
      <w:lvlText w:val="•"/>
      <w:lvlJc w:val="left"/>
      <w:pPr>
        <w:tabs>
          <w:tab w:val="num" w:pos="5760"/>
        </w:tabs>
        <w:ind w:left="5760" w:hanging="360"/>
      </w:pPr>
      <w:rPr>
        <w:rFonts w:ascii="Arial" w:hAnsi="Arial" w:hint="default"/>
      </w:rPr>
    </w:lvl>
    <w:lvl w:ilvl="8" w:tplc="88268D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3B3080"/>
    <w:multiLevelType w:val="hybridMultilevel"/>
    <w:tmpl w:val="D1EAAC38"/>
    <w:lvl w:ilvl="0" w:tplc="74F083EE">
      <w:start w:val="1"/>
      <w:numFmt w:val="bullet"/>
      <w:lvlText w:val="•"/>
      <w:lvlJc w:val="left"/>
      <w:pPr>
        <w:tabs>
          <w:tab w:val="num" w:pos="720"/>
        </w:tabs>
        <w:ind w:left="720" w:hanging="360"/>
      </w:pPr>
      <w:rPr>
        <w:rFonts w:ascii="Arial" w:hAnsi="Arial" w:hint="default"/>
      </w:rPr>
    </w:lvl>
    <w:lvl w:ilvl="1" w:tplc="DC1260A8" w:tentative="1">
      <w:start w:val="1"/>
      <w:numFmt w:val="bullet"/>
      <w:lvlText w:val="•"/>
      <w:lvlJc w:val="left"/>
      <w:pPr>
        <w:tabs>
          <w:tab w:val="num" w:pos="1440"/>
        </w:tabs>
        <w:ind w:left="1440" w:hanging="360"/>
      </w:pPr>
      <w:rPr>
        <w:rFonts w:ascii="Arial" w:hAnsi="Arial" w:hint="default"/>
      </w:rPr>
    </w:lvl>
    <w:lvl w:ilvl="2" w:tplc="9268090E" w:tentative="1">
      <w:start w:val="1"/>
      <w:numFmt w:val="bullet"/>
      <w:lvlText w:val="•"/>
      <w:lvlJc w:val="left"/>
      <w:pPr>
        <w:tabs>
          <w:tab w:val="num" w:pos="2160"/>
        </w:tabs>
        <w:ind w:left="2160" w:hanging="360"/>
      </w:pPr>
      <w:rPr>
        <w:rFonts w:ascii="Arial" w:hAnsi="Arial" w:hint="default"/>
      </w:rPr>
    </w:lvl>
    <w:lvl w:ilvl="3" w:tplc="D09222AA" w:tentative="1">
      <w:start w:val="1"/>
      <w:numFmt w:val="bullet"/>
      <w:lvlText w:val="•"/>
      <w:lvlJc w:val="left"/>
      <w:pPr>
        <w:tabs>
          <w:tab w:val="num" w:pos="2880"/>
        </w:tabs>
        <w:ind w:left="2880" w:hanging="360"/>
      </w:pPr>
      <w:rPr>
        <w:rFonts w:ascii="Arial" w:hAnsi="Arial" w:hint="default"/>
      </w:rPr>
    </w:lvl>
    <w:lvl w:ilvl="4" w:tplc="25F6B5D8" w:tentative="1">
      <w:start w:val="1"/>
      <w:numFmt w:val="bullet"/>
      <w:lvlText w:val="•"/>
      <w:lvlJc w:val="left"/>
      <w:pPr>
        <w:tabs>
          <w:tab w:val="num" w:pos="3600"/>
        </w:tabs>
        <w:ind w:left="3600" w:hanging="360"/>
      </w:pPr>
      <w:rPr>
        <w:rFonts w:ascii="Arial" w:hAnsi="Arial" w:hint="default"/>
      </w:rPr>
    </w:lvl>
    <w:lvl w:ilvl="5" w:tplc="D012FA6A" w:tentative="1">
      <w:start w:val="1"/>
      <w:numFmt w:val="bullet"/>
      <w:lvlText w:val="•"/>
      <w:lvlJc w:val="left"/>
      <w:pPr>
        <w:tabs>
          <w:tab w:val="num" w:pos="4320"/>
        </w:tabs>
        <w:ind w:left="4320" w:hanging="360"/>
      </w:pPr>
      <w:rPr>
        <w:rFonts w:ascii="Arial" w:hAnsi="Arial" w:hint="default"/>
      </w:rPr>
    </w:lvl>
    <w:lvl w:ilvl="6" w:tplc="512C6EAC" w:tentative="1">
      <w:start w:val="1"/>
      <w:numFmt w:val="bullet"/>
      <w:lvlText w:val="•"/>
      <w:lvlJc w:val="left"/>
      <w:pPr>
        <w:tabs>
          <w:tab w:val="num" w:pos="5040"/>
        </w:tabs>
        <w:ind w:left="5040" w:hanging="360"/>
      </w:pPr>
      <w:rPr>
        <w:rFonts w:ascii="Arial" w:hAnsi="Arial" w:hint="default"/>
      </w:rPr>
    </w:lvl>
    <w:lvl w:ilvl="7" w:tplc="1F8EDBDA" w:tentative="1">
      <w:start w:val="1"/>
      <w:numFmt w:val="bullet"/>
      <w:lvlText w:val="•"/>
      <w:lvlJc w:val="left"/>
      <w:pPr>
        <w:tabs>
          <w:tab w:val="num" w:pos="5760"/>
        </w:tabs>
        <w:ind w:left="5760" w:hanging="360"/>
      </w:pPr>
      <w:rPr>
        <w:rFonts w:ascii="Arial" w:hAnsi="Arial" w:hint="default"/>
      </w:rPr>
    </w:lvl>
    <w:lvl w:ilvl="8" w:tplc="D3D8A2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9566E1"/>
    <w:multiLevelType w:val="hybridMultilevel"/>
    <w:tmpl w:val="20CC7A6E"/>
    <w:lvl w:ilvl="0" w:tplc="527831A0">
      <w:start w:val="1"/>
      <w:numFmt w:val="bullet"/>
      <w:lvlText w:val="•"/>
      <w:lvlJc w:val="left"/>
      <w:pPr>
        <w:tabs>
          <w:tab w:val="num" w:pos="720"/>
        </w:tabs>
        <w:ind w:left="720" w:hanging="360"/>
      </w:pPr>
      <w:rPr>
        <w:rFonts w:ascii="Arial" w:hAnsi="Arial" w:hint="default"/>
      </w:rPr>
    </w:lvl>
    <w:lvl w:ilvl="1" w:tplc="151048E0" w:tentative="1">
      <w:start w:val="1"/>
      <w:numFmt w:val="bullet"/>
      <w:lvlText w:val="•"/>
      <w:lvlJc w:val="left"/>
      <w:pPr>
        <w:tabs>
          <w:tab w:val="num" w:pos="1440"/>
        </w:tabs>
        <w:ind w:left="1440" w:hanging="360"/>
      </w:pPr>
      <w:rPr>
        <w:rFonts w:ascii="Arial" w:hAnsi="Arial" w:hint="default"/>
      </w:rPr>
    </w:lvl>
    <w:lvl w:ilvl="2" w:tplc="427CF4D6" w:tentative="1">
      <w:start w:val="1"/>
      <w:numFmt w:val="bullet"/>
      <w:lvlText w:val="•"/>
      <w:lvlJc w:val="left"/>
      <w:pPr>
        <w:tabs>
          <w:tab w:val="num" w:pos="2160"/>
        </w:tabs>
        <w:ind w:left="2160" w:hanging="360"/>
      </w:pPr>
      <w:rPr>
        <w:rFonts w:ascii="Arial" w:hAnsi="Arial" w:hint="default"/>
      </w:rPr>
    </w:lvl>
    <w:lvl w:ilvl="3" w:tplc="52A04320" w:tentative="1">
      <w:start w:val="1"/>
      <w:numFmt w:val="bullet"/>
      <w:lvlText w:val="•"/>
      <w:lvlJc w:val="left"/>
      <w:pPr>
        <w:tabs>
          <w:tab w:val="num" w:pos="2880"/>
        </w:tabs>
        <w:ind w:left="2880" w:hanging="360"/>
      </w:pPr>
      <w:rPr>
        <w:rFonts w:ascii="Arial" w:hAnsi="Arial" w:hint="default"/>
      </w:rPr>
    </w:lvl>
    <w:lvl w:ilvl="4" w:tplc="A7A62710" w:tentative="1">
      <w:start w:val="1"/>
      <w:numFmt w:val="bullet"/>
      <w:lvlText w:val="•"/>
      <w:lvlJc w:val="left"/>
      <w:pPr>
        <w:tabs>
          <w:tab w:val="num" w:pos="3600"/>
        </w:tabs>
        <w:ind w:left="3600" w:hanging="360"/>
      </w:pPr>
      <w:rPr>
        <w:rFonts w:ascii="Arial" w:hAnsi="Arial" w:hint="default"/>
      </w:rPr>
    </w:lvl>
    <w:lvl w:ilvl="5" w:tplc="FC54B94A" w:tentative="1">
      <w:start w:val="1"/>
      <w:numFmt w:val="bullet"/>
      <w:lvlText w:val="•"/>
      <w:lvlJc w:val="left"/>
      <w:pPr>
        <w:tabs>
          <w:tab w:val="num" w:pos="4320"/>
        </w:tabs>
        <w:ind w:left="4320" w:hanging="360"/>
      </w:pPr>
      <w:rPr>
        <w:rFonts w:ascii="Arial" w:hAnsi="Arial" w:hint="default"/>
      </w:rPr>
    </w:lvl>
    <w:lvl w:ilvl="6" w:tplc="C990587E" w:tentative="1">
      <w:start w:val="1"/>
      <w:numFmt w:val="bullet"/>
      <w:lvlText w:val="•"/>
      <w:lvlJc w:val="left"/>
      <w:pPr>
        <w:tabs>
          <w:tab w:val="num" w:pos="5040"/>
        </w:tabs>
        <w:ind w:left="5040" w:hanging="360"/>
      </w:pPr>
      <w:rPr>
        <w:rFonts w:ascii="Arial" w:hAnsi="Arial" w:hint="default"/>
      </w:rPr>
    </w:lvl>
    <w:lvl w:ilvl="7" w:tplc="465A4334" w:tentative="1">
      <w:start w:val="1"/>
      <w:numFmt w:val="bullet"/>
      <w:lvlText w:val="•"/>
      <w:lvlJc w:val="left"/>
      <w:pPr>
        <w:tabs>
          <w:tab w:val="num" w:pos="5760"/>
        </w:tabs>
        <w:ind w:left="5760" w:hanging="360"/>
      </w:pPr>
      <w:rPr>
        <w:rFonts w:ascii="Arial" w:hAnsi="Arial" w:hint="default"/>
      </w:rPr>
    </w:lvl>
    <w:lvl w:ilvl="8" w:tplc="A2AC120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4"/>
  </w:num>
  <w:num w:numId="4">
    <w:abstractNumId w:val="7"/>
  </w:num>
  <w:num w:numId="5">
    <w:abstractNumId w:val="10"/>
  </w:num>
  <w:num w:numId="6">
    <w:abstractNumId w:val="0"/>
  </w:num>
  <w:num w:numId="7">
    <w:abstractNumId w:val="8"/>
  </w:num>
  <w:num w:numId="8">
    <w:abstractNumId w:val="1"/>
  </w:num>
  <w:num w:numId="9">
    <w:abstractNumId w:val="12"/>
  </w:num>
  <w:num w:numId="10">
    <w:abstractNumId w:val="2"/>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64"/>
    <w:rsid w:val="00012B71"/>
    <w:rsid w:val="00043807"/>
    <w:rsid w:val="00073DD1"/>
    <w:rsid w:val="00076950"/>
    <w:rsid w:val="00106317"/>
    <w:rsid w:val="00270843"/>
    <w:rsid w:val="00293D4D"/>
    <w:rsid w:val="00296E36"/>
    <w:rsid w:val="002B0C82"/>
    <w:rsid w:val="00335922"/>
    <w:rsid w:val="00352165"/>
    <w:rsid w:val="00385EA4"/>
    <w:rsid w:val="003C71C9"/>
    <w:rsid w:val="003D1CCB"/>
    <w:rsid w:val="0040363A"/>
    <w:rsid w:val="00450F7D"/>
    <w:rsid w:val="00466A3A"/>
    <w:rsid w:val="00493053"/>
    <w:rsid w:val="0049490D"/>
    <w:rsid w:val="004B5978"/>
    <w:rsid w:val="004C69C4"/>
    <w:rsid w:val="00542187"/>
    <w:rsid w:val="0067523D"/>
    <w:rsid w:val="006F283B"/>
    <w:rsid w:val="0071442F"/>
    <w:rsid w:val="00723628"/>
    <w:rsid w:val="00767FA7"/>
    <w:rsid w:val="0077712E"/>
    <w:rsid w:val="007B0340"/>
    <w:rsid w:val="007C172E"/>
    <w:rsid w:val="007E17AF"/>
    <w:rsid w:val="008A568E"/>
    <w:rsid w:val="009935B1"/>
    <w:rsid w:val="009A74EA"/>
    <w:rsid w:val="00A66EF2"/>
    <w:rsid w:val="00A83B64"/>
    <w:rsid w:val="00AE4260"/>
    <w:rsid w:val="00AF5151"/>
    <w:rsid w:val="00B64132"/>
    <w:rsid w:val="00B82F42"/>
    <w:rsid w:val="00C951F9"/>
    <w:rsid w:val="00CD1FC3"/>
    <w:rsid w:val="00CD359F"/>
    <w:rsid w:val="00D15E89"/>
    <w:rsid w:val="00D17A8E"/>
    <w:rsid w:val="00D441A5"/>
    <w:rsid w:val="00DA2AD2"/>
    <w:rsid w:val="00DB47D8"/>
    <w:rsid w:val="00E056E3"/>
    <w:rsid w:val="00E25790"/>
    <w:rsid w:val="00E47C3E"/>
    <w:rsid w:val="00E729EB"/>
    <w:rsid w:val="00E75531"/>
    <w:rsid w:val="00E907F3"/>
    <w:rsid w:val="00EE0FA0"/>
    <w:rsid w:val="00F07E46"/>
    <w:rsid w:val="00F90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EEB2"/>
  <w15:chartTrackingRefBased/>
  <w15:docId w15:val="{7D3ECC23-D814-470F-AE1A-987C80D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paragraph" w:styleId="FootnoteText">
    <w:name w:val="footnote text"/>
    <w:basedOn w:val="Normal"/>
    <w:link w:val="FootnoteTextChar"/>
    <w:uiPriority w:val="99"/>
    <w:semiHidden/>
    <w:unhideWhenUsed/>
    <w:rsid w:val="00767FA7"/>
    <w:rPr>
      <w:rFonts w:asciiTheme="minorHAnsi" w:eastAsiaTheme="minorHAnsi" w:hAnsiTheme="minorHAnsi" w:cstheme="minorBidi"/>
      <w:lang w:val="en-ZA"/>
    </w:rPr>
  </w:style>
  <w:style w:type="character" w:customStyle="1" w:styleId="FootnoteTextChar">
    <w:name w:val="Footnote Text Char"/>
    <w:basedOn w:val="DefaultParagraphFont"/>
    <w:link w:val="FootnoteText"/>
    <w:uiPriority w:val="99"/>
    <w:semiHidden/>
    <w:rsid w:val="00767FA7"/>
    <w:rPr>
      <w:sz w:val="20"/>
      <w:szCs w:val="20"/>
      <w:lang w:val="en-ZA"/>
    </w:rPr>
  </w:style>
  <w:style w:type="character" w:styleId="FootnoteReference">
    <w:name w:val="footnote reference"/>
    <w:basedOn w:val="DefaultParagraphFont"/>
    <w:uiPriority w:val="99"/>
    <w:semiHidden/>
    <w:unhideWhenUsed/>
    <w:rsid w:val="00767FA7"/>
    <w:rPr>
      <w:vertAlign w:val="superscript"/>
    </w:rPr>
  </w:style>
  <w:style w:type="character" w:styleId="Hyperlink">
    <w:name w:val="Hyperlink"/>
    <w:basedOn w:val="DefaultParagraphFont"/>
    <w:uiPriority w:val="99"/>
    <w:unhideWhenUsed/>
    <w:rsid w:val="00767FA7"/>
    <w:rPr>
      <w:color w:val="0000FF"/>
      <w:u w:val="single"/>
    </w:rPr>
  </w:style>
  <w:style w:type="character" w:customStyle="1" w:styleId="UnresolvedMention">
    <w:name w:val="Unresolved Mention"/>
    <w:basedOn w:val="DefaultParagraphFont"/>
    <w:uiPriority w:val="99"/>
    <w:semiHidden/>
    <w:unhideWhenUsed/>
    <w:rsid w:val="00E75531"/>
    <w:rPr>
      <w:color w:val="605E5C"/>
      <w:shd w:val="clear" w:color="auto" w:fill="E1DFDD"/>
    </w:rPr>
  </w:style>
  <w:style w:type="paragraph" w:styleId="NormalWeb">
    <w:name w:val="Normal (Web)"/>
    <w:basedOn w:val="Normal"/>
    <w:uiPriority w:val="99"/>
    <w:unhideWhenUsed/>
    <w:rsid w:val="009935B1"/>
    <w:pPr>
      <w:spacing w:before="100" w:beforeAutospacing="1" w:after="100" w:afterAutospacing="1"/>
    </w:pPr>
    <w:rPr>
      <w:sz w:val="24"/>
      <w:szCs w:val="24"/>
      <w:lang w:val="en-ZA" w:eastAsia="en-ZA"/>
    </w:rPr>
  </w:style>
  <w:style w:type="character" w:styleId="FollowedHyperlink">
    <w:name w:val="FollowedHyperlink"/>
    <w:basedOn w:val="DefaultParagraphFont"/>
    <w:uiPriority w:val="99"/>
    <w:semiHidden/>
    <w:unhideWhenUsed/>
    <w:rsid w:val="009A7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0924">
      <w:bodyDiv w:val="1"/>
      <w:marLeft w:val="0"/>
      <w:marRight w:val="0"/>
      <w:marTop w:val="0"/>
      <w:marBottom w:val="0"/>
      <w:divBdr>
        <w:top w:val="none" w:sz="0" w:space="0" w:color="auto"/>
        <w:left w:val="none" w:sz="0" w:space="0" w:color="auto"/>
        <w:bottom w:val="none" w:sz="0" w:space="0" w:color="auto"/>
        <w:right w:val="none" w:sz="0" w:space="0" w:color="auto"/>
      </w:divBdr>
    </w:div>
    <w:div w:id="206913935">
      <w:bodyDiv w:val="1"/>
      <w:marLeft w:val="0"/>
      <w:marRight w:val="0"/>
      <w:marTop w:val="0"/>
      <w:marBottom w:val="0"/>
      <w:divBdr>
        <w:top w:val="none" w:sz="0" w:space="0" w:color="auto"/>
        <w:left w:val="none" w:sz="0" w:space="0" w:color="auto"/>
        <w:bottom w:val="none" w:sz="0" w:space="0" w:color="auto"/>
        <w:right w:val="none" w:sz="0" w:space="0" w:color="auto"/>
      </w:divBdr>
      <w:divsChild>
        <w:div w:id="1190948582">
          <w:marLeft w:val="475"/>
          <w:marRight w:val="216"/>
          <w:marTop w:val="347"/>
          <w:marBottom w:val="0"/>
          <w:divBdr>
            <w:top w:val="none" w:sz="0" w:space="0" w:color="auto"/>
            <w:left w:val="none" w:sz="0" w:space="0" w:color="auto"/>
            <w:bottom w:val="none" w:sz="0" w:space="0" w:color="auto"/>
            <w:right w:val="none" w:sz="0" w:space="0" w:color="auto"/>
          </w:divBdr>
        </w:div>
      </w:divsChild>
    </w:div>
    <w:div w:id="224490779">
      <w:bodyDiv w:val="1"/>
      <w:marLeft w:val="0"/>
      <w:marRight w:val="0"/>
      <w:marTop w:val="0"/>
      <w:marBottom w:val="0"/>
      <w:divBdr>
        <w:top w:val="none" w:sz="0" w:space="0" w:color="auto"/>
        <w:left w:val="none" w:sz="0" w:space="0" w:color="auto"/>
        <w:bottom w:val="none" w:sz="0" w:space="0" w:color="auto"/>
        <w:right w:val="none" w:sz="0" w:space="0" w:color="auto"/>
      </w:divBdr>
    </w:div>
    <w:div w:id="295063966">
      <w:bodyDiv w:val="1"/>
      <w:marLeft w:val="0"/>
      <w:marRight w:val="0"/>
      <w:marTop w:val="0"/>
      <w:marBottom w:val="0"/>
      <w:divBdr>
        <w:top w:val="none" w:sz="0" w:space="0" w:color="auto"/>
        <w:left w:val="none" w:sz="0" w:space="0" w:color="auto"/>
        <w:bottom w:val="none" w:sz="0" w:space="0" w:color="auto"/>
        <w:right w:val="none" w:sz="0" w:space="0" w:color="auto"/>
      </w:divBdr>
      <w:divsChild>
        <w:div w:id="1444492529">
          <w:marLeft w:val="590"/>
          <w:marRight w:val="0"/>
          <w:marTop w:val="240"/>
          <w:marBottom w:val="240"/>
          <w:divBdr>
            <w:top w:val="none" w:sz="0" w:space="0" w:color="auto"/>
            <w:left w:val="none" w:sz="0" w:space="0" w:color="auto"/>
            <w:bottom w:val="none" w:sz="0" w:space="0" w:color="auto"/>
            <w:right w:val="none" w:sz="0" w:space="0" w:color="auto"/>
          </w:divBdr>
        </w:div>
      </w:divsChild>
    </w:div>
    <w:div w:id="401559116">
      <w:bodyDiv w:val="1"/>
      <w:marLeft w:val="0"/>
      <w:marRight w:val="0"/>
      <w:marTop w:val="0"/>
      <w:marBottom w:val="0"/>
      <w:divBdr>
        <w:top w:val="none" w:sz="0" w:space="0" w:color="auto"/>
        <w:left w:val="none" w:sz="0" w:space="0" w:color="auto"/>
        <w:bottom w:val="none" w:sz="0" w:space="0" w:color="auto"/>
        <w:right w:val="none" w:sz="0" w:space="0" w:color="auto"/>
      </w:divBdr>
    </w:div>
    <w:div w:id="509442628">
      <w:bodyDiv w:val="1"/>
      <w:marLeft w:val="0"/>
      <w:marRight w:val="0"/>
      <w:marTop w:val="0"/>
      <w:marBottom w:val="0"/>
      <w:divBdr>
        <w:top w:val="none" w:sz="0" w:space="0" w:color="auto"/>
        <w:left w:val="none" w:sz="0" w:space="0" w:color="auto"/>
        <w:bottom w:val="none" w:sz="0" w:space="0" w:color="auto"/>
        <w:right w:val="none" w:sz="0" w:space="0" w:color="auto"/>
      </w:divBdr>
      <w:divsChild>
        <w:div w:id="1017464726">
          <w:marLeft w:val="1195"/>
          <w:marRight w:val="216"/>
          <w:marTop w:val="347"/>
          <w:marBottom w:val="0"/>
          <w:divBdr>
            <w:top w:val="none" w:sz="0" w:space="0" w:color="auto"/>
            <w:left w:val="none" w:sz="0" w:space="0" w:color="auto"/>
            <w:bottom w:val="none" w:sz="0" w:space="0" w:color="auto"/>
            <w:right w:val="none" w:sz="0" w:space="0" w:color="auto"/>
          </w:divBdr>
        </w:div>
        <w:div w:id="1779714694">
          <w:marLeft w:val="1195"/>
          <w:marRight w:val="216"/>
          <w:marTop w:val="347"/>
          <w:marBottom w:val="0"/>
          <w:divBdr>
            <w:top w:val="none" w:sz="0" w:space="0" w:color="auto"/>
            <w:left w:val="none" w:sz="0" w:space="0" w:color="auto"/>
            <w:bottom w:val="none" w:sz="0" w:space="0" w:color="auto"/>
            <w:right w:val="none" w:sz="0" w:space="0" w:color="auto"/>
          </w:divBdr>
        </w:div>
      </w:divsChild>
    </w:div>
    <w:div w:id="649138538">
      <w:bodyDiv w:val="1"/>
      <w:marLeft w:val="0"/>
      <w:marRight w:val="0"/>
      <w:marTop w:val="0"/>
      <w:marBottom w:val="0"/>
      <w:divBdr>
        <w:top w:val="none" w:sz="0" w:space="0" w:color="auto"/>
        <w:left w:val="none" w:sz="0" w:space="0" w:color="auto"/>
        <w:bottom w:val="none" w:sz="0" w:space="0" w:color="auto"/>
        <w:right w:val="none" w:sz="0" w:space="0" w:color="auto"/>
      </w:divBdr>
    </w:div>
    <w:div w:id="905381974">
      <w:bodyDiv w:val="1"/>
      <w:marLeft w:val="0"/>
      <w:marRight w:val="0"/>
      <w:marTop w:val="0"/>
      <w:marBottom w:val="0"/>
      <w:divBdr>
        <w:top w:val="none" w:sz="0" w:space="0" w:color="auto"/>
        <w:left w:val="none" w:sz="0" w:space="0" w:color="auto"/>
        <w:bottom w:val="none" w:sz="0" w:space="0" w:color="auto"/>
        <w:right w:val="none" w:sz="0" w:space="0" w:color="auto"/>
      </w:divBdr>
    </w:div>
    <w:div w:id="927276998">
      <w:bodyDiv w:val="1"/>
      <w:marLeft w:val="0"/>
      <w:marRight w:val="0"/>
      <w:marTop w:val="0"/>
      <w:marBottom w:val="0"/>
      <w:divBdr>
        <w:top w:val="none" w:sz="0" w:space="0" w:color="auto"/>
        <w:left w:val="none" w:sz="0" w:space="0" w:color="auto"/>
        <w:bottom w:val="none" w:sz="0" w:space="0" w:color="auto"/>
        <w:right w:val="none" w:sz="0" w:space="0" w:color="auto"/>
      </w:divBdr>
      <w:divsChild>
        <w:div w:id="1114444845">
          <w:marLeft w:val="274"/>
          <w:marRight w:val="0"/>
          <w:marTop w:val="120"/>
          <w:marBottom w:val="0"/>
          <w:divBdr>
            <w:top w:val="none" w:sz="0" w:space="0" w:color="auto"/>
            <w:left w:val="none" w:sz="0" w:space="0" w:color="auto"/>
            <w:bottom w:val="none" w:sz="0" w:space="0" w:color="auto"/>
            <w:right w:val="none" w:sz="0" w:space="0" w:color="auto"/>
          </w:divBdr>
        </w:div>
        <w:div w:id="1591239004">
          <w:marLeft w:val="274"/>
          <w:marRight w:val="0"/>
          <w:marTop w:val="120"/>
          <w:marBottom w:val="0"/>
          <w:divBdr>
            <w:top w:val="none" w:sz="0" w:space="0" w:color="auto"/>
            <w:left w:val="none" w:sz="0" w:space="0" w:color="auto"/>
            <w:bottom w:val="none" w:sz="0" w:space="0" w:color="auto"/>
            <w:right w:val="none" w:sz="0" w:space="0" w:color="auto"/>
          </w:divBdr>
        </w:div>
        <w:div w:id="486627218">
          <w:marLeft w:val="274"/>
          <w:marRight w:val="0"/>
          <w:marTop w:val="120"/>
          <w:marBottom w:val="0"/>
          <w:divBdr>
            <w:top w:val="none" w:sz="0" w:space="0" w:color="auto"/>
            <w:left w:val="none" w:sz="0" w:space="0" w:color="auto"/>
            <w:bottom w:val="none" w:sz="0" w:space="0" w:color="auto"/>
            <w:right w:val="none" w:sz="0" w:space="0" w:color="auto"/>
          </w:divBdr>
        </w:div>
        <w:div w:id="1461724624">
          <w:marLeft w:val="274"/>
          <w:marRight w:val="0"/>
          <w:marTop w:val="120"/>
          <w:marBottom w:val="0"/>
          <w:divBdr>
            <w:top w:val="none" w:sz="0" w:space="0" w:color="auto"/>
            <w:left w:val="none" w:sz="0" w:space="0" w:color="auto"/>
            <w:bottom w:val="none" w:sz="0" w:space="0" w:color="auto"/>
            <w:right w:val="none" w:sz="0" w:space="0" w:color="auto"/>
          </w:divBdr>
        </w:div>
      </w:divsChild>
    </w:div>
    <w:div w:id="1139497723">
      <w:bodyDiv w:val="1"/>
      <w:marLeft w:val="0"/>
      <w:marRight w:val="0"/>
      <w:marTop w:val="0"/>
      <w:marBottom w:val="0"/>
      <w:divBdr>
        <w:top w:val="none" w:sz="0" w:space="0" w:color="auto"/>
        <w:left w:val="none" w:sz="0" w:space="0" w:color="auto"/>
        <w:bottom w:val="none" w:sz="0" w:space="0" w:color="auto"/>
        <w:right w:val="none" w:sz="0" w:space="0" w:color="auto"/>
      </w:divBdr>
      <w:divsChild>
        <w:div w:id="935018348">
          <w:marLeft w:val="274"/>
          <w:marRight w:val="0"/>
          <w:marTop w:val="120"/>
          <w:marBottom w:val="0"/>
          <w:divBdr>
            <w:top w:val="none" w:sz="0" w:space="0" w:color="auto"/>
            <w:left w:val="none" w:sz="0" w:space="0" w:color="auto"/>
            <w:bottom w:val="none" w:sz="0" w:space="0" w:color="auto"/>
            <w:right w:val="none" w:sz="0" w:space="0" w:color="auto"/>
          </w:divBdr>
        </w:div>
        <w:div w:id="2036298575">
          <w:marLeft w:val="274"/>
          <w:marRight w:val="0"/>
          <w:marTop w:val="120"/>
          <w:marBottom w:val="0"/>
          <w:divBdr>
            <w:top w:val="none" w:sz="0" w:space="0" w:color="auto"/>
            <w:left w:val="none" w:sz="0" w:space="0" w:color="auto"/>
            <w:bottom w:val="none" w:sz="0" w:space="0" w:color="auto"/>
            <w:right w:val="none" w:sz="0" w:space="0" w:color="auto"/>
          </w:divBdr>
        </w:div>
        <w:div w:id="2045280035">
          <w:marLeft w:val="274"/>
          <w:marRight w:val="0"/>
          <w:marTop w:val="120"/>
          <w:marBottom w:val="0"/>
          <w:divBdr>
            <w:top w:val="none" w:sz="0" w:space="0" w:color="auto"/>
            <w:left w:val="none" w:sz="0" w:space="0" w:color="auto"/>
            <w:bottom w:val="none" w:sz="0" w:space="0" w:color="auto"/>
            <w:right w:val="none" w:sz="0" w:space="0" w:color="auto"/>
          </w:divBdr>
        </w:div>
        <w:div w:id="1141851690">
          <w:marLeft w:val="274"/>
          <w:marRight w:val="0"/>
          <w:marTop w:val="120"/>
          <w:marBottom w:val="0"/>
          <w:divBdr>
            <w:top w:val="none" w:sz="0" w:space="0" w:color="auto"/>
            <w:left w:val="none" w:sz="0" w:space="0" w:color="auto"/>
            <w:bottom w:val="none" w:sz="0" w:space="0" w:color="auto"/>
            <w:right w:val="none" w:sz="0" w:space="0" w:color="auto"/>
          </w:divBdr>
        </w:div>
      </w:divsChild>
    </w:div>
    <w:div w:id="1304576782">
      <w:bodyDiv w:val="1"/>
      <w:marLeft w:val="0"/>
      <w:marRight w:val="0"/>
      <w:marTop w:val="0"/>
      <w:marBottom w:val="0"/>
      <w:divBdr>
        <w:top w:val="none" w:sz="0" w:space="0" w:color="auto"/>
        <w:left w:val="none" w:sz="0" w:space="0" w:color="auto"/>
        <w:bottom w:val="none" w:sz="0" w:space="0" w:color="auto"/>
        <w:right w:val="none" w:sz="0" w:space="0" w:color="auto"/>
      </w:divBdr>
      <w:divsChild>
        <w:div w:id="320500204">
          <w:marLeft w:val="547"/>
          <w:marRight w:val="0"/>
          <w:marTop w:val="200"/>
          <w:marBottom w:val="160"/>
          <w:divBdr>
            <w:top w:val="none" w:sz="0" w:space="0" w:color="auto"/>
            <w:left w:val="none" w:sz="0" w:space="0" w:color="auto"/>
            <w:bottom w:val="none" w:sz="0" w:space="0" w:color="auto"/>
            <w:right w:val="none" w:sz="0" w:space="0" w:color="auto"/>
          </w:divBdr>
        </w:div>
        <w:div w:id="279537107">
          <w:marLeft w:val="547"/>
          <w:marRight w:val="0"/>
          <w:marTop w:val="200"/>
          <w:marBottom w:val="160"/>
          <w:divBdr>
            <w:top w:val="none" w:sz="0" w:space="0" w:color="auto"/>
            <w:left w:val="none" w:sz="0" w:space="0" w:color="auto"/>
            <w:bottom w:val="none" w:sz="0" w:space="0" w:color="auto"/>
            <w:right w:val="none" w:sz="0" w:space="0" w:color="auto"/>
          </w:divBdr>
        </w:div>
        <w:div w:id="1038316168">
          <w:marLeft w:val="547"/>
          <w:marRight w:val="0"/>
          <w:marTop w:val="200"/>
          <w:marBottom w:val="160"/>
          <w:divBdr>
            <w:top w:val="none" w:sz="0" w:space="0" w:color="auto"/>
            <w:left w:val="none" w:sz="0" w:space="0" w:color="auto"/>
            <w:bottom w:val="none" w:sz="0" w:space="0" w:color="auto"/>
            <w:right w:val="none" w:sz="0" w:space="0" w:color="auto"/>
          </w:divBdr>
        </w:div>
        <w:div w:id="1322662271">
          <w:marLeft w:val="547"/>
          <w:marRight w:val="0"/>
          <w:marTop w:val="200"/>
          <w:marBottom w:val="160"/>
          <w:divBdr>
            <w:top w:val="none" w:sz="0" w:space="0" w:color="auto"/>
            <w:left w:val="none" w:sz="0" w:space="0" w:color="auto"/>
            <w:bottom w:val="none" w:sz="0" w:space="0" w:color="auto"/>
            <w:right w:val="none" w:sz="0" w:space="0" w:color="auto"/>
          </w:divBdr>
        </w:div>
      </w:divsChild>
    </w:div>
    <w:div w:id="1383098406">
      <w:bodyDiv w:val="1"/>
      <w:marLeft w:val="0"/>
      <w:marRight w:val="0"/>
      <w:marTop w:val="0"/>
      <w:marBottom w:val="0"/>
      <w:divBdr>
        <w:top w:val="none" w:sz="0" w:space="0" w:color="auto"/>
        <w:left w:val="none" w:sz="0" w:space="0" w:color="auto"/>
        <w:bottom w:val="none" w:sz="0" w:space="0" w:color="auto"/>
        <w:right w:val="none" w:sz="0" w:space="0" w:color="auto"/>
      </w:divBdr>
    </w:div>
    <w:div w:id="1441878010">
      <w:bodyDiv w:val="1"/>
      <w:marLeft w:val="0"/>
      <w:marRight w:val="0"/>
      <w:marTop w:val="0"/>
      <w:marBottom w:val="0"/>
      <w:divBdr>
        <w:top w:val="none" w:sz="0" w:space="0" w:color="auto"/>
        <w:left w:val="none" w:sz="0" w:space="0" w:color="auto"/>
        <w:bottom w:val="none" w:sz="0" w:space="0" w:color="auto"/>
        <w:right w:val="none" w:sz="0" w:space="0" w:color="auto"/>
      </w:divBdr>
    </w:div>
    <w:div w:id="1541742566">
      <w:bodyDiv w:val="1"/>
      <w:marLeft w:val="0"/>
      <w:marRight w:val="0"/>
      <w:marTop w:val="0"/>
      <w:marBottom w:val="0"/>
      <w:divBdr>
        <w:top w:val="none" w:sz="0" w:space="0" w:color="auto"/>
        <w:left w:val="none" w:sz="0" w:space="0" w:color="auto"/>
        <w:bottom w:val="none" w:sz="0" w:space="0" w:color="auto"/>
        <w:right w:val="none" w:sz="0" w:space="0" w:color="auto"/>
      </w:divBdr>
      <w:divsChild>
        <w:div w:id="1532183809">
          <w:marLeft w:val="144"/>
          <w:marRight w:val="0"/>
          <w:marTop w:val="0"/>
          <w:marBottom w:val="160"/>
          <w:divBdr>
            <w:top w:val="none" w:sz="0" w:space="0" w:color="auto"/>
            <w:left w:val="none" w:sz="0" w:space="0" w:color="auto"/>
            <w:bottom w:val="none" w:sz="0" w:space="0" w:color="auto"/>
            <w:right w:val="none" w:sz="0" w:space="0" w:color="auto"/>
          </w:divBdr>
        </w:div>
      </w:divsChild>
    </w:div>
    <w:div w:id="1640988036">
      <w:bodyDiv w:val="1"/>
      <w:marLeft w:val="0"/>
      <w:marRight w:val="0"/>
      <w:marTop w:val="0"/>
      <w:marBottom w:val="0"/>
      <w:divBdr>
        <w:top w:val="none" w:sz="0" w:space="0" w:color="auto"/>
        <w:left w:val="none" w:sz="0" w:space="0" w:color="auto"/>
        <w:bottom w:val="none" w:sz="0" w:space="0" w:color="auto"/>
        <w:right w:val="none" w:sz="0" w:space="0" w:color="auto"/>
      </w:divBdr>
      <w:divsChild>
        <w:div w:id="75370766">
          <w:marLeft w:val="547"/>
          <w:marRight w:val="0"/>
          <w:marTop w:val="200"/>
          <w:marBottom w:val="160"/>
          <w:divBdr>
            <w:top w:val="none" w:sz="0" w:space="0" w:color="auto"/>
            <w:left w:val="none" w:sz="0" w:space="0" w:color="auto"/>
            <w:bottom w:val="none" w:sz="0" w:space="0" w:color="auto"/>
            <w:right w:val="none" w:sz="0" w:space="0" w:color="auto"/>
          </w:divBdr>
        </w:div>
        <w:div w:id="948127414">
          <w:marLeft w:val="547"/>
          <w:marRight w:val="0"/>
          <w:marTop w:val="200"/>
          <w:marBottom w:val="160"/>
          <w:divBdr>
            <w:top w:val="none" w:sz="0" w:space="0" w:color="auto"/>
            <w:left w:val="none" w:sz="0" w:space="0" w:color="auto"/>
            <w:bottom w:val="none" w:sz="0" w:space="0" w:color="auto"/>
            <w:right w:val="none" w:sz="0" w:space="0" w:color="auto"/>
          </w:divBdr>
        </w:div>
      </w:divsChild>
    </w:div>
    <w:div w:id="1828208465">
      <w:bodyDiv w:val="1"/>
      <w:marLeft w:val="0"/>
      <w:marRight w:val="0"/>
      <w:marTop w:val="0"/>
      <w:marBottom w:val="0"/>
      <w:divBdr>
        <w:top w:val="none" w:sz="0" w:space="0" w:color="auto"/>
        <w:left w:val="none" w:sz="0" w:space="0" w:color="auto"/>
        <w:bottom w:val="none" w:sz="0" w:space="0" w:color="auto"/>
        <w:right w:val="none" w:sz="0" w:space="0" w:color="auto"/>
      </w:divBdr>
    </w:div>
    <w:div w:id="1865552630">
      <w:bodyDiv w:val="1"/>
      <w:marLeft w:val="0"/>
      <w:marRight w:val="0"/>
      <w:marTop w:val="0"/>
      <w:marBottom w:val="0"/>
      <w:divBdr>
        <w:top w:val="none" w:sz="0" w:space="0" w:color="auto"/>
        <w:left w:val="none" w:sz="0" w:space="0" w:color="auto"/>
        <w:bottom w:val="none" w:sz="0" w:space="0" w:color="auto"/>
        <w:right w:val="none" w:sz="0" w:space="0" w:color="auto"/>
      </w:divBdr>
    </w:div>
    <w:div w:id="1876506467">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6">
          <w:marLeft w:val="144"/>
          <w:marRight w:val="0"/>
          <w:marTop w:val="0"/>
          <w:marBottom w:val="160"/>
          <w:divBdr>
            <w:top w:val="none" w:sz="0" w:space="0" w:color="auto"/>
            <w:left w:val="none" w:sz="0" w:space="0" w:color="auto"/>
            <w:bottom w:val="none" w:sz="0" w:space="0" w:color="auto"/>
            <w:right w:val="none" w:sz="0" w:space="0" w:color="auto"/>
          </w:divBdr>
        </w:div>
      </w:divsChild>
    </w:div>
    <w:div w:id="1915124052">
      <w:bodyDiv w:val="1"/>
      <w:marLeft w:val="0"/>
      <w:marRight w:val="0"/>
      <w:marTop w:val="0"/>
      <w:marBottom w:val="0"/>
      <w:divBdr>
        <w:top w:val="none" w:sz="0" w:space="0" w:color="auto"/>
        <w:left w:val="none" w:sz="0" w:space="0" w:color="auto"/>
        <w:bottom w:val="none" w:sz="0" w:space="0" w:color="auto"/>
        <w:right w:val="none" w:sz="0" w:space="0" w:color="auto"/>
      </w:divBdr>
      <w:divsChild>
        <w:div w:id="468136845">
          <w:marLeft w:val="446"/>
          <w:marRight w:val="0"/>
          <w:marTop w:val="0"/>
          <w:marBottom w:val="0"/>
          <w:divBdr>
            <w:top w:val="none" w:sz="0" w:space="0" w:color="auto"/>
            <w:left w:val="none" w:sz="0" w:space="0" w:color="auto"/>
            <w:bottom w:val="none" w:sz="0" w:space="0" w:color="auto"/>
            <w:right w:val="none" w:sz="0" w:space="0" w:color="auto"/>
          </w:divBdr>
        </w:div>
        <w:div w:id="1532919416">
          <w:marLeft w:val="446"/>
          <w:marRight w:val="0"/>
          <w:marTop w:val="0"/>
          <w:marBottom w:val="0"/>
          <w:divBdr>
            <w:top w:val="none" w:sz="0" w:space="0" w:color="auto"/>
            <w:left w:val="none" w:sz="0" w:space="0" w:color="auto"/>
            <w:bottom w:val="none" w:sz="0" w:space="0" w:color="auto"/>
            <w:right w:val="none" w:sz="0" w:space="0" w:color="auto"/>
          </w:divBdr>
        </w:div>
        <w:div w:id="1490445042">
          <w:marLeft w:val="446"/>
          <w:marRight w:val="0"/>
          <w:marTop w:val="0"/>
          <w:marBottom w:val="0"/>
          <w:divBdr>
            <w:top w:val="none" w:sz="0" w:space="0" w:color="auto"/>
            <w:left w:val="none" w:sz="0" w:space="0" w:color="auto"/>
            <w:bottom w:val="none" w:sz="0" w:space="0" w:color="auto"/>
            <w:right w:val="none" w:sz="0" w:space="0" w:color="auto"/>
          </w:divBdr>
        </w:div>
      </w:divsChild>
    </w:div>
    <w:div w:id="2035419960">
      <w:bodyDiv w:val="1"/>
      <w:marLeft w:val="0"/>
      <w:marRight w:val="0"/>
      <w:marTop w:val="0"/>
      <w:marBottom w:val="0"/>
      <w:divBdr>
        <w:top w:val="none" w:sz="0" w:space="0" w:color="auto"/>
        <w:left w:val="none" w:sz="0" w:space="0" w:color="auto"/>
        <w:bottom w:val="none" w:sz="0" w:space="0" w:color="auto"/>
        <w:right w:val="none" w:sz="0" w:space="0" w:color="auto"/>
      </w:divBdr>
      <w:divsChild>
        <w:div w:id="226258391">
          <w:marLeft w:val="144"/>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ohchr-registry@un.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hrc-sr-housing@un.or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ingfinanceafrica.org/documents/using-cahfs-housing-cost-benchmarking-methodology-to-analyse-housing-costs-in-fifteen-african-countr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housingfinanceafrica.org/documents/brick-level-benchmarking-housing-construction-costs-afri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usingfinanceafrica.org/documents/using-cahfs-housing-cost-benchmarking-methodology-to-analyse-housing-costs-in-fifteen-african-countries/" TargetMode="External"/><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ncr.org.za/documents/CCMR/CCMR%202022Q4.pdf" TargetMode="External"/><Relationship Id="rId3" Type="http://schemas.openxmlformats.org/officeDocument/2006/relationships/hyperlink" Target="http://housingfinanceafrica.org/documents/estimated-contribution-of-housing-construction-and-residential-rental-activities-to-the-south-african-economy-in-2017/" TargetMode="External"/><Relationship Id="rId7" Type="http://schemas.openxmlformats.org/officeDocument/2006/relationships/hyperlink" Target="https://ncr.org.za/documents/CCMR/CCMR%202022Q4.pdf" TargetMode="External"/><Relationship Id="rId2" Type="http://schemas.openxmlformats.org/officeDocument/2006/relationships/hyperlink" Target="http://housingfinanceafrica.org/documents/assessing-rwandas-affordable-housing-sector/" TargetMode="External"/><Relationship Id="rId1" Type="http://schemas.openxmlformats.org/officeDocument/2006/relationships/hyperlink" Target="http://housingfinanceafrica.org/documents/assessing-kenyas-affordable-housing-market/" TargetMode="External"/><Relationship Id="rId6" Type="http://schemas.openxmlformats.org/officeDocument/2006/relationships/hyperlink" Target="https://housingfinanceafrica.org/app/uploads/Bringing-life-to-mortgage-markets_Final60818.pdf" TargetMode="External"/><Relationship Id="rId5" Type="http://schemas.openxmlformats.org/officeDocument/2006/relationships/hyperlink" Target="https://housingfinanceafrica.org/resources/yearbook/" TargetMode="External"/><Relationship Id="rId4" Type="http://schemas.openxmlformats.org/officeDocument/2006/relationships/hyperlink" Target="https://housingfinanceafrica.org/documents/south-africa-housing-market-report-2021/" TargetMode="External"/><Relationship Id="rId9" Type="http://schemas.openxmlformats.org/officeDocument/2006/relationships/hyperlink" Target="https://www.71point4.com/Projects/affordable-housing-in-south-afr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C8FC1-5774-4191-B4C5-515D2428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4128</Words>
  <Characters>23530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Theissen</dc:creator>
  <cp:keywords/>
  <dc:description/>
  <cp:lastModifiedBy>Gunnar Theissen</cp:lastModifiedBy>
  <cp:revision>2</cp:revision>
  <dcterms:created xsi:type="dcterms:W3CDTF">2023-05-03T08:08:00Z</dcterms:created>
  <dcterms:modified xsi:type="dcterms:W3CDTF">2023-05-03T08:08:00Z</dcterms:modified>
</cp:coreProperties>
</file>