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35" w:rsidRDefault="000525AA">
      <w:pPr>
        <w:spacing w:before="240" w:after="240"/>
        <w:rPr>
          <w:rFonts w:ascii="Roboto" w:eastAsia="Roboto" w:hAnsi="Roboto" w:cs="Roboto"/>
          <w:color w:val="242424"/>
        </w:rPr>
      </w:pPr>
      <w:bookmarkStart w:id="0" w:name="_GoBack"/>
      <w:bookmarkEnd w:id="0"/>
      <w:r>
        <w:rPr>
          <w:rFonts w:ascii="Roboto" w:eastAsia="Roboto" w:hAnsi="Roboto" w:cs="Roboto"/>
          <w:color w:val="262262"/>
          <w:sz w:val="40"/>
          <w:szCs w:val="40"/>
        </w:rPr>
        <w:t>Human rights data on affordable housing</w:t>
      </w:r>
    </w:p>
    <w:p w:rsidR="00205335" w:rsidRDefault="000525AA">
      <w:pPr>
        <w:spacing w:before="240" w:after="240"/>
        <w:rPr>
          <w:rFonts w:ascii="Roboto" w:eastAsia="Roboto" w:hAnsi="Roboto" w:cs="Roboto"/>
          <w:color w:val="242424"/>
        </w:rPr>
      </w:pPr>
      <w:r>
        <w:rPr>
          <w:rFonts w:ascii="Roboto" w:eastAsia="Roboto" w:hAnsi="Roboto" w:cs="Roboto"/>
        </w:rPr>
        <w:t xml:space="preserve">The </w:t>
      </w:r>
      <w:hyperlink r:id="rId7">
        <w:r>
          <w:rPr>
            <w:rFonts w:ascii="Roboto" w:eastAsia="Roboto" w:hAnsi="Roboto" w:cs="Roboto"/>
            <w:color w:val="1155CC"/>
            <w:u w:val="single"/>
          </w:rPr>
          <w:t>Human Rights Measurement Initiative (HRMI)</w:t>
        </w:r>
      </w:hyperlink>
      <w:r>
        <w:rPr>
          <w:rFonts w:ascii="Roboto" w:eastAsia="Roboto" w:hAnsi="Roboto" w:cs="Roboto"/>
        </w:rPr>
        <w:t xml:space="preserve"> </w:t>
      </w:r>
      <w:r>
        <w:rPr>
          <w:rFonts w:ascii="Roboto" w:eastAsia="Roboto" w:hAnsi="Roboto" w:cs="Roboto"/>
          <w:color w:val="242424"/>
        </w:rPr>
        <w:t>produces d</w:t>
      </w:r>
      <w:r>
        <w:rPr>
          <w:rFonts w:ascii="Roboto" w:eastAsia="Roboto" w:hAnsi="Roboto" w:cs="Roboto"/>
        </w:rPr>
        <w:t xml:space="preserve">ata tools that track how effectively a </w:t>
      </w:r>
      <w:r>
        <w:rPr>
          <w:rFonts w:ascii="Roboto" w:eastAsia="Roboto" w:hAnsi="Roboto" w:cs="Roboto"/>
          <w:color w:val="242424"/>
        </w:rPr>
        <w:t>country is using its resources to protect human rights. Our data</w:t>
      </w:r>
      <w:r>
        <w:rPr>
          <w:rFonts w:ascii="Roboto" w:eastAsia="Roboto" w:hAnsi="Roboto" w:cs="Roboto"/>
          <w:color w:val="242424"/>
        </w:rPr>
        <w:t xml:space="preserve"> on the right to affordable housing include 36 European countries, and could assist in the preparation for the upcoming report on the right to adequate housing for the 78th session of the UN General Assembly.</w:t>
      </w:r>
    </w:p>
    <w:p w:rsidR="00205335" w:rsidRDefault="000525AA">
      <w:pPr>
        <w:spacing w:before="240" w:after="240"/>
        <w:rPr>
          <w:rFonts w:ascii="Roboto" w:eastAsia="Roboto" w:hAnsi="Roboto" w:cs="Roboto"/>
          <w:color w:val="242424"/>
        </w:rPr>
      </w:pPr>
      <w:r>
        <w:rPr>
          <w:rFonts w:ascii="Roboto" w:eastAsia="Roboto" w:hAnsi="Roboto" w:cs="Roboto"/>
          <w:color w:val="242424"/>
        </w:rPr>
        <w:t>H</w:t>
      </w:r>
      <w:r>
        <w:rPr>
          <w:rFonts w:ascii="Roboto" w:eastAsia="Roboto" w:hAnsi="Roboto" w:cs="Roboto"/>
        </w:rPr>
        <w:t>RMI calculates its scores by looking at what a</w:t>
      </w:r>
      <w:r>
        <w:rPr>
          <w:rFonts w:ascii="Roboto" w:eastAsia="Roboto" w:hAnsi="Roboto" w:cs="Roboto"/>
        </w:rPr>
        <w:t xml:space="preserve"> country could be achieving at its level of income (100%) and then producing a score to show what the country is actually achieving. This means that every country should be able to achieve 100% if it used its resources effectively to</w:t>
      </w:r>
      <w:r>
        <w:rPr>
          <w:rFonts w:ascii="Roboto" w:eastAsia="Roboto" w:hAnsi="Roboto" w:cs="Roboto"/>
          <w:color w:val="242424"/>
        </w:rPr>
        <w:t xml:space="preserve"> meet its human rights </w:t>
      </w:r>
      <w:r>
        <w:rPr>
          <w:rFonts w:ascii="Roboto" w:eastAsia="Roboto" w:hAnsi="Roboto" w:cs="Roboto"/>
          <w:color w:val="242424"/>
        </w:rPr>
        <w:t xml:space="preserve">obligations. All of our data are freely available on the </w:t>
      </w:r>
      <w:hyperlink r:id="rId8">
        <w:r>
          <w:rPr>
            <w:rFonts w:ascii="Roboto" w:eastAsia="Roboto" w:hAnsi="Roboto" w:cs="Roboto"/>
            <w:color w:val="1155CC"/>
            <w:u w:val="single"/>
          </w:rPr>
          <w:t>Rights Tracker</w:t>
        </w:r>
      </w:hyperlink>
      <w:r>
        <w:rPr>
          <w:rFonts w:ascii="Roboto" w:eastAsia="Roboto" w:hAnsi="Roboto" w:cs="Roboto"/>
          <w:color w:val="242424"/>
        </w:rPr>
        <w:t>.</w:t>
      </w:r>
    </w:p>
    <w:p w:rsidR="00205335" w:rsidRDefault="00205335">
      <w:pPr>
        <w:spacing w:before="240" w:after="240"/>
        <w:rPr>
          <w:rFonts w:ascii="Roboto" w:eastAsia="Roboto" w:hAnsi="Roboto" w:cs="Roboto"/>
          <w:color w:val="242424"/>
        </w:rPr>
      </w:pPr>
    </w:p>
    <w:p w:rsidR="00205335" w:rsidRDefault="000525AA">
      <w:pPr>
        <w:pStyle w:val="Heading2"/>
        <w:spacing w:before="240" w:after="240"/>
        <w:rPr>
          <w:color w:val="262262"/>
        </w:rPr>
      </w:pPr>
      <w:bookmarkStart w:id="1" w:name="_o2z6tde6fi2r" w:colFirst="0" w:colLast="0"/>
      <w:bookmarkEnd w:id="1"/>
      <w:r>
        <w:rPr>
          <w:color w:val="262262"/>
        </w:rPr>
        <w:t>Right to housing</w:t>
      </w:r>
    </w:p>
    <w:p w:rsidR="00205335" w:rsidRDefault="000525AA">
      <w:pPr>
        <w:spacing w:before="240" w:after="240"/>
        <w:rPr>
          <w:rFonts w:ascii="Roboto" w:eastAsia="Roboto" w:hAnsi="Roboto" w:cs="Roboto"/>
          <w:color w:val="242424"/>
        </w:rPr>
      </w:pPr>
      <w:r>
        <w:rPr>
          <w:rFonts w:ascii="Roboto" w:eastAsia="Roboto" w:hAnsi="Roboto" w:cs="Roboto"/>
          <w:color w:val="242424"/>
        </w:rPr>
        <w:t xml:space="preserve">HRMI tracks the right to housing for 193 countries and territories. The </w:t>
      </w:r>
      <w:hyperlink r:id="rId9">
        <w:r>
          <w:rPr>
            <w:rFonts w:ascii="Roboto" w:eastAsia="Roboto" w:hAnsi="Roboto" w:cs="Roboto"/>
            <w:color w:val="1155CC"/>
            <w:u w:val="single"/>
          </w:rPr>
          <w:t>SERF methodology</w:t>
        </w:r>
      </w:hyperlink>
      <w:r>
        <w:rPr>
          <w:rFonts w:ascii="Roboto" w:eastAsia="Roboto" w:hAnsi="Roboto" w:cs="Roboto"/>
          <w:color w:val="242424"/>
        </w:rPr>
        <w:t xml:space="preserve"> we use to produce country scores selects a small number of ‘bellwether’ indicators to give an overview of people’s experiences in each country. The indicators we use to produce country scores include </w:t>
      </w:r>
      <w:r>
        <w:rPr>
          <w:rFonts w:ascii="Roboto" w:eastAsia="Roboto" w:hAnsi="Roboto" w:cs="Roboto"/>
          <w:b/>
          <w:color w:val="242424"/>
        </w:rPr>
        <w:t xml:space="preserve">housing </w:t>
      </w:r>
      <w:r>
        <w:rPr>
          <w:rFonts w:ascii="Roboto" w:eastAsia="Roboto" w:hAnsi="Roboto" w:cs="Roboto"/>
          <w:b/>
          <w:color w:val="242424"/>
        </w:rPr>
        <w:t>affordability and safely managed sanitation</w:t>
      </w:r>
      <w:r>
        <w:rPr>
          <w:rFonts w:ascii="Roboto" w:eastAsia="Roboto" w:hAnsi="Roboto" w:cs="Roboto"/>
          <w:color w:val="242424"/>
        </w:rPr>
        <w:t xml:space="preserve"> (for high income countries), and </w:t>
      </w:r>
      <w:r>
        <w:rPr>
          <w:rFonts w:ascii="Roboto" w:eastAsia="Roboto" w:hAnsi="Roboto" w:cs="Roboto"/>
          <w:b/>
          <w:color w:val="242424"/>
        </w:rPr>
        <w:t>access to water on the premises and basic sanitation</w:t>
      </w:r>
      <w:r>
        <w:rPr>
          <w:rFonts w:ascii="Roboto" w:eastAsia="Roboto" w:hAnsi="Roboto" w:cs="Roboto"/>
          <w:color w:val="242424"/>
        </w:rPr>
        <w:t xml:space="preserve"> (for low and middle income countries). These indicators are sourced from databases such as the World Health </w:t>
      </w:r>
      <w:proofErr w:type="spellStart"/>
      <w:r>
        <w:rPr>
          <w:rFonts w:ascii="Roboto" w:eastAsia="Roboto" w:hAnsi="Roboto" w:cs="Roboto"/>
          <w:color w:val="242424"/>
        </w:rPr>
        <w:t>Organisation</w:t>
      </w:r>
      <w:proofErr w:type="spellEnd"/>
      <w:r>
        <w:rPr>
          <w:rFonts w:ascii="Roboto" w:eastAsia="Roboto" w:hAnsi="Roboto" w:cs="Roboto"/>
          <w:color w:val="242424"/>
        </w:rPr>
        <w:t xml:space="preserve">, the </w:t>
      </w:r>
      <w:r>
        <w:rPr>
          <w:rFonts w:ascii="Roboto" w:eastAsia="Roboto" w:hAnsi="Roboto" w:cs="Roboto"/>
          <w:color w:val="242424"/>
        </w:rPr>
        <w:t xml:space="preserve">UNICEF Joint Monitoring Project, and </w:t>
      </w:r>
      <w:proofErr w:type="spellStart"/>
      <w:r>
        <w:rPr>
          <w:rFonts w:ascii="Roboto" w:eastAsia="Roboto" w:hAnsi="Roboto" w:cs="Roboto"/>
          <w:color w:val="242424"/>
        </w:rPr>
        <w:t>EuroStats</w:t>
      </w:r>
      <w:proofErr w:type="spellEnd"/>
      <w:r>
        <w:rPr>
          <w:rFonts w:ascii="Roboto" w:eastAsia="Roboto" w:hAnsi="Roboto" w:cs="Roboto"/>
          <w:color w:val="242424"/>
        </w:rPr>
        <w:t>.</w:t>
      </w:r>
    </w:p>
    <w:p w:rsidR="00205335" w:rsidRDefault="00205335">
      <w:pPr>
        <w:spacing w:before="240" w:after="240"/>
        <w:rPr>
          <w:rFonts w:ascii="Roboto" w:eastAsia="Roboto" w:hAnsi="Roboto" w:cs="Roboto"/>
          <w:color w:val="242424"/>
        </w:rPr>
      </w:pPr>
    </w:p>
    <w:p w:rsidR="00205335" w:rsidRDefault="000525AA">
      <w:pPr>
        <w:pStyle w:val="Heading3"/>
        <w:spacing w:before="240" w:after="240"/>
      </w:pPr>
      <w:bookmarkStart w:id="2" w:name="_aj7fmalujog4" w:colFirst="0" w:colLast="0"/>
      <w:bookmarkEnd w:id="2"/>
      <w:r>
        <w:t>Stats</w:t>
      </w:r>
    </w:p>
    <w:p w:rsidR="00205335" w:rsidRDefault="000525AA">
      <w:pPr>
        <w:spacing w:before="240" w:after="240"/>
        <w:rPr>
          <w:rFonts w:ascii="Roboto" w:eastAsia="Roboto" w:hAnsi="Roboto" w:cs="Roboto"/>
          <w:color w:val="242424"/>
        </w:rPr>
      </w:pPr>
      <w:r>
        <w:rPr>
          <w:rFonts w:ascii="Roboto" w:eastAsia="Roboto" w:hAnsi="Roboto" w:cs="Roboto"/>
          <w:color w:val="242424"/>
        </w:rPr>
        <w:t xml:space="preserve">Our </w:t>
      </w:r>
      <w:hyperlink r:id="rId10">
        <w:r>
          <w:rPr>
            <w:rFonts w:ascii="Roboto" w:eastAsia="Roboto" w:hAnsi="Roboto" w:cs="Roboto"/>
            <w:color w:val="1155CC"/>
            <w:u w:val="single"/>
          </w:rPr>
          <w:t>methodology</w:t>
        </w:r>
      </w:hyperlink>
      <w:hyperlink r:id="rId11">
        <w:r>
          <w:rPr>
            <w:rFonts w:ascii="Roboto" w:eastAsia="Roboto" w:hAnsi="Roboto" w:cs="Roboto"/>
            <w:color w:val="1155CC"/>
            <w:u w:val="single"/>
          </w:rPr>
          <w:t xml:space="preserve"> on economic and social rights </w:t>
        </w:r>
      </w:hyperlink>
      <w:r>
        <w:rPr>
          <w:rFonts w:ascii="Roboto" w:eastAsia="Roboto" w:hAnsi="Roboto" w:cs="Roboto"/>
          <w:color w:val="242424"/>
        </w:rPr>
        <w:t>scores each country on their fulfillment of the right to ho</w:t>
      </w:r>
      <w:r>
        <w:rPr>
          <w:rFonts w:ascii="Roboto" w:eastAsia="Roboto" w:hAnsi="Roboto" w:cs="Roboto"/>
          <w:color w:val="242424"/>
        </w:rPr>
        <w:t>using within the limits of their income. Income-adjusted scores allow us to compare different countries’ performances.</w:t>
      </w:r>
    </w:p>
    <w:p w:rsidR="00205335" w:rsidRDefault="000525AA">
      <w:pPr>
        <w:ind w:left="720"/>
        <w:jc w:val="center"/>
        <w:rPr>
          <w:rFonts w:ascii="Roboto" w:eastAsia="Roboto" w:hAnsi="Roboto" w:cs="Roboto"/>
          <w:color w:val="242424"/>
        </w:rPr>
      </w:pPr>
      <w:r>
        <w:rPr>
          <w:rFonts w:ascii="Roboto" w:eastAsia="Roboto" w:hAnsi="Roboto" w:cs="Roboto"/>
          <w:noProof/>
          <w:color w:val="242424"/>
          <w:lang w:val="en-GB" w:eastAsia="en-GB"/>
        </w:rPr>
        <w:lastRenderedPageBreak/>
        <w:drawing>
          <wp:inline distT="114300" distB="114300" distL="114300" distR="114300">
            <wp:extent cx="5172491" cy="679385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172491" cy="6793851"/>
                    </a:xfrm>
                    <a:prstGeom prst="rect">
                      <a:avLst/>
                    </a:prstGeom>
                    <a:ln/>
                  </pic:spPr>
                </pic:pic>
              </a:graphicData>
            </a:graphic>
          </wp:inline>
        </w:drawing>
      </w:r>
    </w:p>
    <w:p w:rsidR="00205335" w:rsidRDefault="000525AA" w:rsidP="001722C9">
      <w:pPr>
        <w:spacing w:before="240" w:after="240"/>
        <w:rPr>
          <w:rFonts w:ascii="Roboto" w:eastAsia="Roboto" w:hAnsi="Roboto" w:cs="Roboto"/>
          <w:color w:val="262262"/>
        </w:rPr>
      </w:pPr>
      <w:hyperlink r:id="rId13">
        <w:r>
          <w:rPr>
            <w:rFonts w:ascii="Roboto" w:eastAsia="Roboto" w:hAnsi="Roboto" w:cs="Roboto"/>
            <w:color w:val="1155CC"/>
            <w:u w:val="single"/>
          </w:rPr>
          <w:t xml:space="preserve">HRMI right to housing scores using the high-income </w:t>
        </w:r>
        <w:r>
          <w:rPr>
            <w:rFonts w:ascii="Roboto" w:eastAsia="Roboto" w:hAnsi="Roboto" w:cs="Roboto"/>
            <w:color w:val="1155CC"/>
            <w:u w:val="single"/>
          </w:rPr>
          <w:t>assessment standard (Income-Adjusted)</w:t>
        </w:r>
      </w:hyperlink>
    </w:p>
    <w:p w:rsidR="00205335" w:rsidRDefault="000525AA">
      <w:pPr>
        <w:spacing w:before="240" w:after="240"/>
        <w:rPr>
          <w:rFonts w:ascii="Roboto" w:eastAsia="Roboto" w:hAnsi="Roboto" w:cs="Roboto"/>
          <w:color w:val="242424"/>
        </w:rPr>
      </w:pPr>
      <w:r>
        <w:rPr>
          <w:rFonts w:ascii="Roboto" w:eastAsia="Roboto" w:hAnsi="Roboto" w:cs="Roboto"/>
          <w:color w:val="242424"/>
        </w:rPr>
        <w:lastRenderedPageBreak/>
        <w:t>Our latest dataset measures the right to housing in 2019 (the most recent indicators available). The 10 top scoring countries for the right to housing, taking income into account, are:</w:t>
      </w:r>
    </w:p>
    <w:tbl>
      <w:tblPr>
        <w:tblStyle w:val="a"/>
        <w:tblW w:w="8640" w:type="dxa"/>
        <w:tblInd w:w="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0"/>
        <w:gridCol w:w="4320"/>
      </w:tblGrid>
      <w:tr w:rsidR="00205335">
        <w:tc>
          <w:tcPr>
            <w:tcW w:w="4320" w:type="dxa"/>
            <w:shd w:val="clear" w:color="auto" w:fill="auto"/>
            <w:tcMar>
              <w:top w:w="100" w:type="dxa"/>
              <w:left w:w="100" w:type="dxa"/>
              <w:bottom w:w="100" w:type="dxa"/>
              <w:right w:w="100" w:type="dxa"/>
            </w:tcMar>
          </w:tcPr>
          <w:p w:rsidR="00205335" w:rsidRDefault="000525AA">
            <w:pPr>
              <w:rPr>
                <w:rFonts w:ascii="Roboto" w:eastAsia="Roboto" w:hAnsi="Roboto" w:cs="Roboto"/>
                <w:color w:val="242424"/>
              </w:rPr>
            </w:pPr>
            <w:r>
              <w:rPr>
                <w:rFonts w:ascii="Roboto" w:eastAsia="Roboto" w:hAnsi="Roboto" w:cs="Roboto"/>
                <w:color w:val="242424"/>
              </w:rPr>
              <w:t>Low and middle income countries</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S</w:t>
            </w:r>
            <w:r>
              <w:rPr>
                <w:rFonts w:ascii="Roboto" w:eastAsia="Roboto" w:hAnsi="Roboto" w:cs="Roboto"/>
                <w:color w:val="242424"/>
              </w:rPr>
              <w:t>ingapore</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San Marino</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Puerto Rico</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New Zealand</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Macao</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Kuwait</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Burundi</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Austria</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Malta</w:t>
            </w:r>
          </w:p>
          <w:p w:rsidR="00205335" w:rsidRDefault="000525AA">
            <w:pPr>
              <w:numPr>
                <w:ilvl w:val="0"/>
                <w:numId w:val="4"/>
              </w:numPr>
              <w:ind w:left="720"/>
              <w:rPr>
                <w:rFonts w:ascii="Roboto" w:eastAsia="Roboto" w:hAnsi="Roboto" w:cs="Roboto"/>
                <w:color w:val="242424"/>
              </w:rPr>
            </w:pPr>
            <w:r>
              <w:rPr>
                <w:rFonts w:ascii="Roboto" w:eastAsia="Roboto" w:hAnsi="Roboto" w:cs="Roboto"/>
                <w:color w:val="242424"/>
              </w:rPr>
              <w:t>Israel</w:t>
            </w:r>
          </w:p>
        </w:tc>
        <w:tc>
          <w:tcPr>
            <w:tcW w:w="4320" w:type="dxa"/>
            <w:shd w:val="clear" w:color="auto" w:fill="auto"/>
            <w:tcMar>
              <w:top w:w="100" w:type="dxa"/>
              <w:left w:w="100" w:type="dxa"/>
              <w:bottom w:w="100" w:type="dxa"/>
              <w:right w:w="100" w:type="dxa"/>
            </w:tcMar>
          </w:tcPr>
          <w:p w:rsidR="00205335" w:rsidRDefault="000525AA">
            <w:pPr>
              <w:rPr>
                <w:rFonts w:ascii="Roboto" w:eastAsia="Roboto" w:hAnsi="Roboto" w:cs="Roboto"/>
                <w:color w:val="242424"/>
              </w:rPr>
            </w:pPr>
            <w:r>
              <w:rPr>
                <w:rFonts w:ascii="Roboto" w:eastAsia="Roboto" w:hAnsi="Roboto" w:cs="Roboto"/>
                <w:color w:val="242424"/>
              </w:rPr>
              <w:t>High income countries</w:t>
            </w:r>
          </w:p>
          <w:p w:rsidR="00205335" w:rsidRDefault="000525AA">
            <w:pPr>
              <w:numPr>
                <w:ilvl w:val="0"/>
                <w:numId w:val="1"/>
              </w:numPr>
              <w:rPr>
                <w:rFonts w:ascii="Roboto" w:eastAsia="Roboto" w:hAnsi="Roboto" w:cs="Roboto"/>
                <w:color w:val="242424"/>
              </w:rPr>
            </w:pPr>
            <w:r>
              <w:rPr>
                <w:rFonts w:ascii="Roboto" w:eastAsia="Roboto" w:hAnsi="Roboto" w:cs="Roboto"/>
                <w:color w:val="242424"/>
              </w:rPr>
              <w:t>Malta</w:t>
            </w:r>
          </w:p>
          <w:p w:rsidR="00205335" w:rsidRDefault="000525AA">
            <w:pPr>
              <w:numPr>
                <w:ilvl w:val="0"/>
                <w:numId w:val="1"/>
              </w:numPr>
              <w:rPr>
                <w:rFonts w:ascii="Roboto" w:eastAsia="Roboto" w:hAnsi="Roboto" w:cs="Roboto"/>
                <w:color w:val="242424"/>
              </w:rPr>
            </w:pPr>
            <w:r>
              <w:rPr>
                <w:rFonts w:ascii="Roboto" w:eastAsia="Roboto" w:hAnsi="Roboto" w:cs="Roboto"/>
                <w:color w:val="242424"/>
              </w:rPr>
              <w:t>Estonia</w:t>
            </w:r>
          </w:p>
          <w:p w:rsidR="00205335" w:rsidRDefault="000525AA">
            <w:pPr>
              <w:numPr>
                <w:ilvl w:val="0"/>
                <w:numId w:val="1"/>
              </w:numPr>
              <w:rPr>
                <w:rFonts w:ascii="Roboto" w:eastAsia="Roboto" w:hAnsi="Roboto" w:cs="Roboto"/>
                <w:color w:val="242424"/>
              </w:rPr>
            </w:pPr>
            <w:r>
              <w:rPr>
                <w:rFonts w:ascii="Roboto" w:eastAsia="Roboto" w:hAnsi="Roboto" w:cs="Roboto"/>
                <w:color w:val="242424"/>
              </w:rPr>
              <w:t>Hungary</w:t>
            </w:r>
          </w:p>
          <w:p w:rsidR="00205335" w:rsidRDefault="000525AA">
            <w:pPr>
              <w:numPr>
                <w:ilvl w:val="0"/>
                <w:numId w:val="1"/>
              </w:numPr>
              <w:rPr>
                <w:rFonts w:ascii="Roboto" w:eastAsia="Roboto" w:hAnsi="Roboto" w:cs="Roboto"/>
                <w:color w:val="242424"/>
              </w:rPr>
            </w:pPr>
            <w:r>
              <w:rPr>
                <w:rFonts w:ascii="Roboto" w:eastAsia="Roboto" w:hAnsi="Roboto" w:cs="Roboto"/>
                <w:color w:val="242424"/>
              </w:rPr>
              <w:t>Lithuania</w:t>
            </w:r>
          </w:p>
          <w:p w:rsidR="00205335" w:rsidRDefault="000525AA">
            <w:pPr>
              <w:numPr>
                <w:ilvl w:val="0"/>
                <w:numId w:val="1"/>
              </w:numPr>
              <w:rPr>
                <w:rFonts w:ascii="Roboto" w:eastAsia="Roboto" w:hAnsi="Roboto" w:cs="Roboto"/>
                <w:color w:val="242424"/>
              </w:rPr>
            </w:pPr>
            <w:r>
              <w:rPr>
                <w:rFonts w:ascii="Roboto" w:eastAsia="Roboto" w:hAnsi="Roboto" w:cs="Roboto"/>
                <w:color w:val="242424"/>
              </w:rPr>
              <w:t>Poland</w:t>
            </w:r>
          </w:p>
          <w:p w:rsidR="00205335" w:rsidRDefault="000525AA">
            <w:pPr>
              <w:numPr>
                <w:ilvl w:val="0"/>
                <w:numId w:val="1"/>
              </w:numPr>
              <w:rPr>
                <w:rFonts w:ascii="Roboto" w:eastAsia="Roboto" w:hAnsi="Roboto" w:cs="Roboto"/>
                <w:color w:val="242424"/>
              </w:rPr>
            </w:pPr>
            <w:r>
              <w:rPr>
                <w:rFonts w:ascii="Roboto" w:eastAsia="Roboto" w:hAnsi="Roboto" w:cs="Roboto"/>
                <w:color w:val="242424"/>
              </w:rPr>
              <w:t>Cyprus</w:t>
            </w:r>
          </w:p>
          <w:p w:rsidR="00205335" w:rsidRDefault="000525AA">
            <w:pPr>
              <w:numPr>
                <w:ilvl w:val="0"/>
                <w:numId w:val="1"/>
              </w:numPr>
              <w:rPr>
                <w:rFonts w:ascii="Roboto" w:eastAsia="Roboto" w:hAnsi="Roboto" w:cs="Roboto"/>
                <w:color w:val="242424"/>
              </w:rPr>
            </w:pPr>
            <w:r>
              <w:rPr>
                <w:rFonts w:ascii="Roboto" w:eastAsia="Roboto" w:hAnsi="Roboto" w:cs="Roboto"/>
                <w:color w:val="242424"/>
              </w:rPr>
              <w:t>Finland</w:t>
            </w:r>
          </w:p>
          <w:p w:rsidR="00205335" w:rsidRDefault="000525AA">
            <w:pPr>
              <w:numPr>
                <w:ilvl w:val="0"/>
                <w:numId w:val="1"/>
              </w:numPr>
              <w:rPr>
                <w:rFonts w:ascii="Roboto" w:eastAsia="Roboto" w:hAnsi="Roboto" w:cs="Roboto"/>
                <w:color w:val="242424"/>
              </w:rPr>
            </w:pPr>
            <w:r>
              <w:rPr>
                <w:rFonts w:ascii="Roboto" w:eastAsia="Roboto" w:hAnsi="Roboto" w:cs="Roboto"/>
                <w:color w:val="242424"/>
              </w:rPr>
              <w:t>Slovakia</w:t>
            </w:r>
          </w:p>
          <w:p w:rsidR="00205335" w:rsidRDefault="000525AA">
            <w:pPr>
              <w:numPr>
                <w:ilvl w:val="0"/>
                <w:numId w:val="1"/>
              </w:numPr>
              <w:rPr>
                <w:rFonts w:ascii="Roboto" w:eastAsia="Roboto" w:hAnsi="Roboto" w:cs="Roboto"/>
                <w:color w:val="242424"/>
              </w:rPr>
            </w:pPr>
            <w:r>
              <w:rPr>
                <w:rFonts w:ascii="Roboto" w:eastAsia="Roboto" w:hAnsi="Roboto" w:cs="Roboto"/>
                <w:color w:val="242424"/>
              </w:rPr>
              <w:t>Portugal</w:t>
            </w:r>
          </w:p>
          <w:p w:rsidR="00205335" w:rsidRDefault="000525AA">
            <w:pPr>
              <w:numPr>
                <w:ilvl w:val="0"/>
                <w:numId w:val="1"/>
              </w:numPr>
              <w:rPr>
                <w:rFonts w:ascii="Roboto" w:eastAsia="Roboto" w:hAnsi="Roboto" w:cs="Roboto"/>
                <w:color w:val="242424"/>
              </w:rPr>
            </w:pPr>
            <w:r>
              <w:rPr>
                <w:rFonts w:ascii="Roboto" w:eastAsia="Roboto" w:hAnsi="Roboto" w:cs="Roboto"/>
                <w:color w:val="242424"/>
              </w:rPr>
              <w:t>Austria</w:t>
            </w:r>
          </w:p>
        </w:tc>
      </w:tr>
    </w:tbl>
    <w:p w:rsidR="00205335" w:rsidRDefault="000525AA">
      <w:pPr>
        <w:spacing w:before="240" w:after="240"/>
        <w:rPr>
          <w:rFonts w:ascii="Roboto" w:eastAsia="Roboto" w:hAnsi="Roboto" w:cs="Roboto"/>
          <w:b/>
          <w:color w:val="242424"/>
        </w:rPr>
      </w:pPr>
      <w:r>
        <w:rPr>
          <w:rFonts w:ascii="Roboto" w:eastAsia="Roboto" w:hAnsi="Roboto" w:cs="Roboto"/>
          <w:color w:val="242424"/>
        </w:rPr>
        <w:t>The top 8 of the low and middle income countries are scoring 100%.</w:t>
      </w:r>
    </w:p>
    <w:p w:rsidR="00205335" w:rsidRDefault="000525AA">
      <w:pPr>
        <w:spacing w:before="240" w:after="240"/>
        <w:rPr>
          <w:rFonts w:ascii="Roboto" w:eastAsia="Roboto" w:hAnsi="Roboto" w:cs="Roboto"/>
          <w:b/>
          <w:color w:val="242424"/>
        </w:rPr>
      </w:pPr>
      <w:r>
        <w:rPr>
          <w:rFonts w:ascii="Roboto" w:eastAsia="Roboto" w:hAnsi="Roboto" w:cs="Roboto"/>
          <w:b/>
          <w:color w:val="242424"/>
        </w:rPr>
        <w:t>A 100% score means a country is using its resources as effectively as possible to guarantee and protect the right to housing. In order to improve housing rights for its people, it needs more financial resources.</w:t>
      </w:r>
    </w:p>
    <w:p w:rsidR="00205335" w:rsidRDefault="00205335">
      <w:pPr>
        <w:spacing w:before="240" w:after="240"/>
        <w:rPr>
          <w:rFonts w:ascii="Roboto" w:eastAsia="Roboto" w:hAnsi="Roboto" w:cs="Roboto"/>
          <w:b/>
          <w:color w:val="242424"/>
        </w:rPr>
      </w:pPr>
    </w:p>
    <w:p w:rsidR="00205335" w:rsidRDefault="000525AA">
      <w:pPr>
        <w:pStyle w:val="Heading1"/>
        <w:spacing w:before="240" w:after="240"/>
        <w:rPr>
          <w:color w:val="262262"/>
        </w:rPr>
      </w:pPr>
      <w:bookmarkStart w:id="3" w:name="_pmsydjvqlq24" w:colFirst="0" w:colLast="0"/>
      <w:bookmarkEnd w:id="3"/>
      <w:r>
        <w:rPr>
          <w:color w:val="262262"/>
        </w:rPr>
        <w:t>Right to affordable housing</w:t>
      </w:r>
    </w:p>
    <w:p w:rsidR="00205335" w:rsidRDefault="000525AA">
      <w:pPr>
        <w:spacing w:before="240" w:after="240"/>
        <w:rPr>
          <w:rFonts w:ascii="Roboto" w:eastAsia="Roboto" w:hAnsi="Roboto" w:cs="Roboto"/>
        </w:rPr>
      </w:pPr>
      <w:r>
        <w:rPr>
          <w:rFonts w:ascii="Roboto" w:eastAsia="Roboto" w:hAnsi="Roboto" w:cs="Roboto"/>
          <w:color w:val="242424"/>
        </w:rPr>
        <w:t xml:space="preserve">We measure the right to affordable housing in our high income assessment standard, but we produce scores for all countries where the underlying indicator data are available. </w:t>
      </w:r>
      <w:r>
        <w:rPr>
          <w:rFonts w:ascii="Roboto" w:eastAsia="Roboto" w:hAnsi="Roboto" w:cs="Roboto"/>
        </w:rPr>
        <w:t xml:space="preserve">On the following page you may find our most recent income-adjusted data from 2019 </w:t>
      </w:r>
      <w:r>
        <w:rPr>
          <w:rFonts w:ascii="Roboto" w:eastAsia="Roboto" w:hAnsi="Roboto" w:cs="Roboto"/>
        </w:rPr>
        <w:t>regarding the right to affordable housing. The table includes 36 European countries and ranks each from highest to lowest scores.</w:t>
      </w:r>
    </w:p>
    <w:p w:rsidR="00205335" w:rsidRDefault="000525AA">
      <w:pPr>
        <w:jc w:val="center"/>
        <w:rPr>
          <w:rFonts w:ascii="Roboto" w:eastAsia="Roboto" w:hAnsi="Roboto" w:cs="Roboto"/>
        </w:rPr>
      </w:pPr>
      <w:r>
        <w:rPr>
          <w:rFonts w:ascii="Roboto" w:eastAsia="Roboto" w:hAnsi="Roboto" w:cs="Roboto"/>
          <w:noProof/>
          <w:lang w:val="en-GB" w:eastAsia="en-GB"/>
        </w:rPr>
        <w:drawing>
          <wp:inline distT="114300" distB="114300" distL="114300" distR="114300">
            <wp:extent cx="5167313" cy="7025988"/>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a:stretch>
                      <a:fillRect/>
                    </a:stretch>
                  </pic:blipFill>
                  <pic:spPr>
                    <a:xfrm>
                      <a:off x="0" y="0"/>
                      <a:ext cx="5167313" cy="7025988"/>
                    </a:xfrm>
                    <a:prstGeom prst="rect">
                      <a:avLst/>
                    </a:prstGeom>
                    <a:ln/>
                  </pic:spPr>
                </pic:pic>
              </a:graphicData>
            </a:graphic>
          </wp:inline>
        </w:drawing>
      </w:r>
    </w:p>
    <w:p w:rsidR="00205335" w:rsidRDefault="000525AA">
      <w:pPr>
        <w:rPr>
          <w:rFonts w:ascii="Roboto" w:eastAsia="Roboto" w:hAnsi="Roboto" w:cs="Roboto"/>
          <w:color w:val="666666"/>
          <w:sz w:val="28"/>
          <w:szCs w:val="28"/>
        </w:rPr>
      </w:pPr>
      <w:hyperlink r:id="rId15">
        <w:r>
          <w:rPr>
            <w:rFonts w:ascii="Roboto" w:eastAsia="Roboto" w:hAnsi="Roboto" w:cs="Roboto"/>
            <w:color w:val="1155CC"/>
            <w:u w:val="single"/>
          </w:rPr>
          <w:t xml:space="preserve">HRMI </w:t>
        </w:r>
        <w:r w:rsidR="00744EBB">
          <w:rPr>
            <w:rFonts w:ascii="Roboto" w:eastAsia="Roboto" w:hAnsi="Roboto" w:cs="Roboto"/>
            <w:color w:val="1155CC"/>
            <w:u w:val="single"/>
          </w:rPr>
          <w:t>r</w:t>
        </w:r>
        <w:r>
          <w:rPr>
            <w:rFonts w:ascii="Roboto" w:eastAsia="Roboto" w:hAnsi="Roboto" w:cs="Roboto"/>
            <w:color w:val="1155CC"/>
            <w:u w:val="single"/>
          </w:rPr>
          <w:t xml:space="preserve">ight to </w:t>
        </w:r>
        <w:r w:rsidR="00744EBB">
          <w:rPr>
            <w:rFonts w:ascii="Roboto" w:eastAsia="Roboto" w:hAnsi="Roboto" w:cs="Roboto"/>
            <w:color w:val="1155CC"/>
            <w:u w:val="single"/>
          </w:rPr>
          <w:t>a</w:t>
        </w:r>
        <w:r>
          <w:rPr>
            <w:rFonts w:ascii="Roboto" w:eastAsia="Roboto" w:hAnsi="Roboto" w:cs="Roboto"/>
            <w:color w:val="1155CC"/>
            <w:u w:val="single"/>
          </w:rPr>
          <w:t xml:space="preserve">ffordable </w:t>
        </w:r>
        <w:r w:rsidR="00744EBB">
          <w:rPr>
            <w:rFonts w:ascii="Roboto" w:eastAsia="Roboto" w:hAnsi="Roboto" w:cs="Roboto"/>
            <w:color w:val="1155CC"/>
            <w:u w:val="single"/>
          </w:rPr>
          <w:t>h</w:t>
        </w:r>
        <w:r>
          <w:rPr>
            <w:rFonts w:ascii="Roboto" w:eastAsia="Roboto" w:hAnsi="Roboto" w:cs="Roboto"/>
            <w:color w:val="1155CC"/>
            <w:u w:val="single"/>
          </w:rPr>
          <w:t>ousing scores (Income-Adjusted)</w:t>
        </w:r>
      </w:hyperlink>
    </w:p>
    <w:p w:rsidR="00205335" w:rsidRDefault="000525AA">
      <w:pPr>
        <w:pStyle w:val="Heading3"/>
        <w:spacing w:before="240" w:after="240"/>
      </w:pPr>
      <w:bookmarkStart w:id="4" w:name="_git4wxr7gjhx" w:colFirst="0" w:colLast="0"/>
      <w:bookmarkEnd w:id="4"/>
      <w:r>
        <w:t>Changes over time</w:t>
      </w:r>
    </w:p>
    <w:p w:rsidR="00205335" w:rsidRDefault="000525AA">
      <w:pPr>
        <w:spacing w:before="240"/>
        <w:rPr>
          <w:rFonts w:ascii="Roboto" w:eastAsia="Roboto" w:hAnsi="Roboto" w:cs="Roboto"/>
        </w:rPr>
      </w:pPr>
      <w:r>
        <w:t>The Rights Tracker also shows how scores change over time.</w:t>
      </w:r>
      <w:r>
        <w:rPr>
          <w:rFonts w:ascii="Roboto" w:eastAsia="Roboto" w:hAnsi="Roboto" w:cs="Roboto"/>
        </w:rPr>
        <w:t xml:space="preserve"> Looking at </w:t>
      </w:r>
      <w:r>
        <w:rPr>
          <w:rFonts w:ascii="Roboto" w:eastAsia="Roboto" w:hAnsi="Roboto" w:cs="Roboto"/>
          <w:b/>
        </w:rPr>
        <w:t>Greece</w:t>
      </w:r>
      <w:r>
        <w:rPr>
          <w:rFonts w:ascii="Roboto" w:eastAsia="Roboto" w:hAnsi="Roboto" w:cs="Roboto"/>
        </w:rPr>
        <w:t>, the right to affordable housing scores dropped significantly after 2010.</w:t>
      </w:r>
    </w:p>
    <w:p w:rsidR="00205335" w:rsidRDefault="000525AA">
      <w:pPr>
        <w:jc w:val="center"/>
        <w:rPr>
          <w:rFonts w:ascii="Roboto" w:eastAsia="Roboto" w:hAnsi="Roboto" w:cs="Roboto"/>
        </w:rPr>
      </w:pPr>
      <w:r>
        <w:rPr>
          <w:rFonts w:ascii="Roboto" w:eastAsia="Roboto" w:hAnsi="Roboto" w:cs="Roboto"/>
          <w:noProof/>
          <w:lang w:val="en-GB" w:eastAsia="en-GB"/>
        </w:rPr>
        <w:drawing>
          <wp:inline distT="114300" distB="114300" distL="114300" distR="114300">
            <wp:extent cx="5486400" cy="2660904"/>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486400" cy="2660904"/>
                    </a:xfrm>
                    <a:prstGeom prst="rect">
                      <a:avLst/>
                    </a:prstGeom>
                    <a:ln/>
                  </pic:spPr>
                </pic:pic>
              </a:graphicData>
            </a:graphic>
          </wp:inline>
        </w:drawing>
      </w:r>
    </w:p>
    <w:p w:rsidR="00205335" w:rsidRDefault="000525AA">
      <w:pPr>
        <w:jc w:val="center"/>
        <w:rPr>
          <w:rFonts w:ascii="Roboto" w:eastAsia="Roboto" w:hAnsi="Roboto" w:cs="Roboto"/>
          <w:color w:val="262262"/>
        </w:rPr>
      </w:pPr>
      <w:hyperlink r:id="rId17">
        <w:r>
          <w:rPr>
            <w:rFonts w:ascii="Roboto" w:eastAsia="Roboto" w:hAnsi="Roboto" w:cs="Roboto"/>
            <w:color w:val="1155CC"/>
            <w:u w:val="single"/>
          </w:rPr>
          <w:t>Right to affordable housing performance over time in Greece, HRMI scores</w:t>
        </w:r>
      </w:hyperlink>
    </w:p>
    <w:p w:rsidR="00205335" w:rsidRDefault="00205335">
      <w:pPr>
        <w:ind w:firstLine="720"/>
        <w:rPr>
          <w:rFonts w:ascii="Roboto" w:eastAsia="Roboto" w:hAnsi="Roboto" w:cs="Roboto"/>
          <w:color w:val="262262"/>
        </w:rPr>
      </w:pPr>
    </w:p>
    <w:p w:rsidR="00205335" w:rsidRDefault="00205335">
      <w:pPr>
        <w:ind w:firstLine="720"/>
        <w:rPr>
          <w:rFonts w:ascii="Roboto" w:eastAsia="Roboto" w:hAnsi="Roboto" w:cs="Roboto"/>
          <w:color w:val="262262"/>
        </w:rPr>
      </w:pPr>
    </w:p>
    <w:p w:rsidR="00205335" w:rsidRDefault="000525AA">
      <w:pPr>
        <w:rPr>
          <w:rFonts w:ascii="Roboto" w:eastAsia="Roboto" w:hAnsi="Roboto" w:cs="Roboto"/>
        </w:rPr>
      </w:pPr>
      <w:r>
        <w:rPr>
          <w:rFonts w:ascii="Roboto" w:eastAsia="Roboto" w:hAnsi="Roboto" w:cs="Roboto"/>
        </w:rPr>
        <w:t xml:space="preserve">If we take a look now at </w:t>
      </w:r>
      <w:r>
        <w:rPr>
          <w:rFonts w:ascii="Roboto" w:eastAsia="Roboto" w:hAnsi="Roboto" w:cs="Roboto"/>
          <w:b/>
        </w:rPr>
        <w:t>Croatia</w:t>
      </w:r>
      <w:r>
        <w:rPr>
          <w:rFonts w:ascii="Roboto" w:eastAsia="Roboto" w:hAnsi="Roboto" w:cs="Roboto"/>
        </w:rPr>
        <w:t>, we can see steady improvement from 2015, when it comes to ensuring a</w:t>
      </w:r>
      <w:r>
        <w:rPr>
          <w:rFonts w:ascii="Roboto" w:eastAsia="Roboto" w:hAnsi="Roboto" w:cs="Roboto"/>
        </w:rPr>
        <w:t>ccess to affordable housing.</w:t>
      </w:r>
    </w:p>
    <w:p w:rsidR="00205335" w:rsidRDefault="000525AA">
      <w:pPr>
        <w:jc w:val="center"/>
        <w:rPr>
          <w:rFonts w:ascii="Roboto" w:eastAsia="Roboto" w:hAnsi="Roboto" w:cs="Roboto"/>
          <w:color w:val="262262"/>
        </w:rPr>
      </w:pPr>
      <w:r>
        <w:rPr>
          <w:rFonts w:ascii="Roboto" w:eastAsia="Roboto" w:hAnsi="Roboto" w:cs="Roboto"/>
          <w:noProof/>
          <w:color w:val="262262"/>
          <w:lang w:val="en-GB" w:eastAsia="en-GB"/>
        </w:rPr>
        <w:drawing>
          <wp:inline distT="114300" distB="114300" distL="114300" distR="114300">
            <wp:extent cx="5486400" cy="26517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486400" cy="2651760"/>
                    </a:xfrm>
                    <a:prstGeom prst="rect">
                      <a:avLst/>
                    </a:prstGeom>
                    <a:ln/>
                  </pic:spPr>
                </pic:pic>
              </a:graphicData>
            </a:graphic>
          </wp:inline>
        </w:drawing>
      </w:r>
    </w:p>
    <w:p w:rsidR="00205335" w:rsidRDefault="000525AA">
      <w:pPr>
        <w:jc w:val="center"/>
        <w:rPr>
          <w:rFonts w:ascii="Roboto" w:eastAsia="Roboto" w:hAnsi="Roboto" w:cs="Roboto"/>
          <w:color w:val="262262"/>
        </w:rPr>
      </w:pPr>
      <w:hyperlink r:id="rId19">
        <w:r>
          <w:rPr>
            <w:rFonts w:ascii="Roboto" w:eastAsia="Roboto" w:hAnsi="Roboto" w:cs="Roboto"/>
            <w:color w:val="1155CC"/>
            <w:u w:val="single"/>
          </w:rPr>
          <w:t>Right to affordable housing performance over time in Croatia, HRMI scores</w:t>
        </w:r>
      </w:hyperlink>
    </w:p>
    <w:p w:rsidR="00205335" w:rsidRDefault="000525AA">
      <w:pPr>
        <w:spacing w:before="240" w:after="240"/>
        <w:rPr>
          <w:rFonts w:ascii="Roboto" w:eastAsia="Roboto" w:hAnsi="Roboto" w:cs="Roboto"/>
        </w:rPr>
      </w:pPr>
      <w:r>
        <w:rPr>
          <w:rFonts w:ascii="Roboto" w:eastAsia="Roboto" w:hAnsi="Roboto" w:cs="Roboto"/>
        </w:rPr>
        <w:t>For additional information on how countries have scored on t</w:t>
      </w:r>
      <w:r>
        <w:rPr>
          <w:rFonts w:ascii="Roboto" w:eastAsia="Roboto" w:hAnsi="Roboto" w:cs="Roboto"/>
        </w:rPr>
        <w:t>he right to affordable housing over time, please visit the country page on the Rights Tracker, click the Quality of Life tab, scroll down to the Over Time graph, and select the Affordable Housing option in the dropdown menu.</w:t>
      </w:r>
    </w:p>
    <w:p w:rsidR="00205335" w:rsidRDefault="000525AA">
      <w:pPr>
        <w:spacing w:before="240" w:after="240"/>
        <w:rPr>
          <w:rFonts w:ascii="Roboto" w:eastAsia="Roboto" w:hAnsi="Roboto" w:cs="Roboto"/>
        </w:rPr>
      </w:pPr>
      <w:r>
        <w:rPr>
          <w:rFonts w:ascii="Roboto" w:eastAsia="Roboto" w:hAnsi="Roboto" w:cs="Roboto"/>
        </w:rPr>
        <w:t>HRMI also categorizes each scor</w:t>
      </w:r>
      <w:r>
        <w:rPr>
          <w:rFonts w:ascii="Roboto" w:eastAsia="Roboto" w:hAnsi="Roboto" w:cs="Roboto"/>
        </w:rPr>
        <w:t xml:space="preserve">e as </w:t>
      </w:r>
      <w:r>
        <w:rPr>
          <w:rFonts w:ascii="Roboto" w:eastAsia="Roboto" w:hAnsi="Roboto" w:cs="Roboto"/>
          <w:b/>
        </w:rPr>
        <w:t xml:space="preserve">good, fair, bad, </w:t>
      </w:r>
      <w:r>
        <w:rPr>
          <w:rFonts w:ascii="Roboto" w:eastAsia="Roboto" w:hAnsi="Roboto" w:cs="Roboto"/>
        </w:rPr>
        <w:t xml:space="preserve">and </w:t>
      </w:r>
      <w:r>
        <w:rPr>
          <w:rFonts w:ascii="Roboto" w:eastAsia="Roboto" w:hAnsi="Roboto" w:cs="Roboto"/>
          <w:b/>
        </w:rPr>
        <w:t>very bad</w:t>
      </w:r>
      <w:r>
        <w:rPr>
          <w:rFonts w:ascii="Roboto" w:eastAsia="Roboto" w:hAnsi="Roboto" w:cs="Roboto"/>
        </w:rPr>
        <w:t xml:space="preserve"> to help interpret how a country is performing. To view this information for a specific country, please refer to the </w:t>
      </w:r>
      <w:proofErr w:type="gramStart"/>
      <w:r>
        <w:rPr>
          <w:rFonts w:ascii="Roboto" w:eastAsia="Roboto" w:hAnsi="Roboto" w:cs="Roboto"/>
        </w:rPr>
        <w:t>At</w:t>
      </w:r>
      <w:proofErr w:type="gramEnd"/>
      <w:r>
        <w:rPr>
          <w:rFonts w:ascii="Roboto" w:eastAsia="Roboto" w:hAnsi="Roboto" w:cs="Roboto"/>
        </w:rPr>
        <w:t xml:space="preserve"> a Glance tab on the country’s page.</w:t>
      </w:r>
    </w:p>
    <w:p w:rsidR="00205335" w:rsidRDefault="00205335">
      <w:pPr>
        <w:spacing w:before="240" w:after="240"/>
        <w:rPr>
          <w:rFonts w:ascii="Roboto" w:eastAsia="Roboto" w:hAnsi="Roboto" w:cs="Roboto"/>
        </w:rPr>
      </w:pPr>
    </w:p>
    <w:p w:rsidR="00205335" w:rsidRDefault="000525AA">
      <w:pPr>
        <w:pStyle w:val="Heading3"/>
        <w:spacing w:after="200"/>
      </w:pPr>
      <w:bookmarkStart w:id="5" w:name="_n5osfxgjltv4" w:colFirst="0" w:colLast="0"/>
      <w:bookmarkEnd w:id="5"/>
      <w:r>
        <w:t>Groups at risk</w:t>
      </w:r>
    </w:p>
    <w:p w:rsidR="00205335" w:rsidRDefault="000525AA">
      <w:pPr>
        <w:spacing w:after="240"/>
        <w:rPr>
          <w:rFonts w:ascii="Roboto" w:eastAsia="Roboto" w:hAnsi="Roboto" w:cs="Roboto"/>
        </w:rPr>
      </w:pPr>
      <w:r>
        <w:rPr>
          <w:rFonts w:ascii="Roboto" w:eastAsia="Roboto" w:hAnsi="Roboto" w:cs="Roboto"/>
        </w:rPr>
        <w:t xml:space="preserve">HRMI uses a different </w:t>
      </w:r>
      <w:hyperlink r:id="rId20">
        <w:r>
          <w:rPr>
            <w:rFonts w:ascii="Roboto" w:eastAsia="Roboto" w:hAnsi="Roboto" w:cs="Roboto"/>
            <w:color w:val="1155CC"/>
            <w:u w:val="single"/>
          </w:rPr>
          <w:t>methodology</w:t>
        </w:r>
      </w:hyperlink>
      <w:hyperlink r:id="rId21">
        <w:r>
          <w:rPr>
            <w:rFonts w:ascii="Roboto" w:eastAsia="Roboto" w:hAnsi="Roboto" w:cs="Roboto"/>
            <w:color w:val="1155CC"/>
            <w:u w:val="single"/>
          </w:rPr>
          <w:t xml:space="preserve"> </w:t>
        </w:r>
      </w:hyperlink>
      <w:r>
        <w:rPr>
          <w:rFonts w:ascii="Roboto" w:eastAsia="Roboto" w:hAnsi="Roboto" w:cs="Roboto"/>
        </w:rPr>
        <w:t>for measuring civil and political rights by surveying human rights experts about rights violations in their country, and asking them which groups of people are especially vulne</w:t>
      </w:r>
      <w:r>
        <w:rPr>
          <w:rFonts w:ascii="Roboto" w:eastAsia="Roboto" w:hAnsi="Roboto" w:cs="Roboto"/>
        </w:rPr>
        <w:t xml:space="preserve">rable to violations. </w:t>
      </w:r>
    </w:p>
    <w:p w:rsidR="00205335" w:rsidRDefault="000525AA">
      <w:pPr>
        <w:spacing w:after="240"/>
      </w:pPr>
      <w:r>
        <w:rPr>
          <w:rFonts w:ascii="Roboto" w:eastAsia="Roboto" w:hAnsi="Roboto" w:cs="Roboto"/>
        </w:rPr>
        <w:t>We ask expert respondents specifically about which groups of people are at risk of violations of their right to housing. Experts also provide additional context about violations of this right in their country.</w:t>
      </w:r>
    </w:p>
    <w:p w:rsidR="00205335" w:rsidRDefault="000525AA">
      <w:pPr>
        <w:spacing w:before="240" w:after="240"/>
        <w:rPr>
          <w:rFonts w:ascii="Roboto" w:eastAsia="Roboto" w:hAnsi="Roboto" w:cs="Roboto"/>
        </w:rPr>
      </w:pPr>
      <w:r>
        <w:rPr>
          <w:rFonts w:ascii="Roboto" w:eastAsia="Roboto" w:hAnsi="Roboto" w:cs="Roboto"/>
        </w:rPr>
        <w:t>For example, in 2022, th</w:t>
      </w:r>
      <w:r>
        <w:rPr>
          <w:rFonts w:ascii="Roboto" w:eastAsia="Roboto" w:hAnsi="Roboto" w:cs="Roboto"/>
        </w:rPr>
        <w:t xml:space="preserve">e vulnerable groups in </w:t>
      </w:r>
      <w:r>
        <w:rPr>
          <w:rFonts w:ascii="Roboto" w:eastAsia="Roboto" w:hAnsi="Roboto" w:cs="Roboto"/>
          <w:b/>
        </w:rPr>
        <w:t>Australia</w:t>
      </w:r>
      <w:r>
        <w:rPr>
          <w:rFonts w:ascii="Roboto" w:eastAsia="Roboto" w:hAnsi="Roboto" w:cs="Roboto"/>
        </w:rPr>
        <w:t xml:space="preserve"> most frequently identified as being </w:t>
      </w:r>
      <w:r>
        <w:rPr>
          <w:rFonts w:ascii="Roboto" w:eastAsia="Roboto" w:hAnsi="Roboto" w:cs="Roboto"/>
          <w:b/>
        </w:rPr>
        <w:t>at risk of having the right to housing violated</w:t>
      </w:r>
      <w:r>
        <w:rPr>
          <w:rFonts w:ascii="Roboto" w:eastAsia="Roboto" w:hAnsi="Roboto" w:cs="Roboto"/>
        </w:rPr>
        <w:t xml:space="preserve"> were (image below): </w:t>
      </w:r>
    </w:p>
    <w:p w:rsidR="00205335" w:rsidRDefault="000525AA">
      <w:pPr>
        <w:numPr>
          <w:ilvl w:val="0"/>
          <w:numId w:val="2"/>
        </w:numPr>
        <w:rPr>
          <w:rFonts w:ascii="Roboto" w:eastAsia="Roboto" w:hAnsi="Roboto" w:cs="Roboto"/>
        </w:rPr>
      </w:pPr>
      <w:r>
        <w:rPr>
          <w:rFonts w:ascii="Roboto" w:eastAsia="Roboto" w:hAnsi="Roboto" w:cs="Roboto"/>
        </w:rPr>
        <w:t>Indigenous people</w:t>
      </w:r>
    </w:p>
    <w:p w:rsidR="00205335" w:rsidRDefault="000525AA">
      <w:pPr>
        <w:numPr>
          <w:ilvl w:val="0"/>
          <w:numId w:val="2"/>
        </w:numPr>
        <w:rPr>
          <w:rFonts w:ascii="Roboto" w:eastAsia="Roboto" w:hAnsi="Roboto" w:cs="Roboto"/>
        </w:rPr>
      </w:pPr>
      <w:r>
        <w:rPr>
          <w:rFonts w:ascii="Roboto" w:eastAsia="Roboto" w:hAnsi="Roboto" w:cs="Roboto"/>
        </w:rPr>
        <w:t>People with low social or economic status</w:t>
      </w:r>
    </w:p>
    <w:p w:rsidR="00205335" w:rsidRDefault="000525AA">
      <w:pPr>
        <w:numPr>
          <w:ilvl w:val="0"/>
          <w:numId w:val="2"/>
        </w:numPr>
        <w:rPr>
          <w:rFonts w:ascii="Roboto" w:eastAsia="Roboto" w:hAnsi="Roboto" w:cs="Roboto"/>
        </w:rPr>
      </w:pPr>
      <w:r>
        <w:rPr>
          <w:rFonts w:ascii="Roboto" w:eastAsia="Roboto" w:hAnsi="Roboto" w:cs="Roboto"/>
        </w:rPr>
        <w:t>People who are homeless</w:t>
      </w:r>
    </w:p>
    <w:p w:rsidR="00205335" w:rsidRDefault="000525AA">
      <w:pPr>
        <w:numPr>
          <w:ilvl w:val="0"/>
          <w:numId w:val="2"/>
        </w:numPr>
        <w:rPr>
          <w:rFonts w:ascii="Roboto" w:eastAsia="Roboto" w:hAnsi="Roboto" w:cs="Roboto"/>
        </w:rPr>
      </w:pPr>
      <w:r>
        <w:rPr>
          <w:rFonts w:ascii="Roboto" w:eastAsia="Roboto" w:hAnsi="Roboto" w:cs="Roboto"/>
        </w:rPr>
        <w:t>Street children or homeless youth</w:t>
      </w:r>
    </w:p>
    <w:p w:rsidR="00205335" w:rsidRDefault="000525AA">
      <w:pPr>
        <w:jc w:val="center"/>
        <w:rPr>
          <w:rFonts w:ascii="Roboto" w:eastAsia="Roboto" w:hAnsi="Roboto" w:cs="Roboto"/>
        </w:rPr>
      </w:pPr>
      <w:r>
        <w:rPr>
          <w:rFonts w:ascii="Roboto" w:eastAsia="Roboto" w:hAnsi="Roboto" w:cs="Roboto"/>
          <w:noProof/>
          <w:lang w:val="en-GB" w:eastAsia="en-GB"/>
        </w:rPr>
        <w:drawing>
          <wp:inline distT="114300" distB="114300" distL="114300" distR="114300">
            <wp:extent cx="5943600" cy="4622800"/>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2"/>
                    <a:srcRect/>
                    <a:stretch>
                      <a:fillRect/>
                    </a:stretch>
                  </pic:blipFill>
                  <pic:spPr>
                    <a:xfrm>
                      <a:off x="0" y="0"/>
                      <a:ext cx="5943600" cy="4622800"/>
                    </a:xfrm>
                    <a:prstGeom prst="rect">
                      <a:avLst/>
                    </a:prstGeom>
                    <a:ln/>
                  </pic:spPr>
                </pic:pic>
              </a:graphicData>
            </a:graphic>
          </wp:inline>
        </w:drawing>
      </w:r>
    </w:p>
    <w:p w:rsidR="00205335" w:rsidRDefault="000525AA">
      <w:pPr>
        <w:rPr>
          <w:rFonts w:ascii="Roboto" w:eastAsia="Roboto" w:hAnsi="Roboto" w:cs="Roboto"/>
        </w:rPr>
      </w:pPr>
      <w:hyperlink r:id="rId23">
        <w:r>
          <w:rPr>
            <w:rFonts w:ascii="Roboto" w:eastAsia="Roboto" w:hAnsi="Roboto" w:cs="Roboto"/>
            <w:color w:val="1155CC"/>
            <w:u w:val="single"/>
          </w:rPr>
          <w:t>People at risk groups for right to housing in Australia</w:t>
        </w:r>
      </w:hyperlink>
    </w:p>
    <w:p w:rsidR="00205335" w:rsidRDefault="00205335">
      <w:pPr>
        <w:rPr>
          <w:rFonts w:ascii="Roboto" w:eastAsia="Roboto" w:hAnsi="Roboto" w:cs="Roboto"/>
        </w:rPr>
      </w:pPr>
    </w:p>
    <w:p w:rsidR="00205335" w:rsidRDefault="000525AA">
      <w:pPr>
        <w:rPr>
          <w:rFonts w:ascii="Roboto" w:eastAsia="Roboto" w:hAnsi="Roboto" w:cs="Roboto"/>
        </w:rPr>
      </w:pPr>
      <w:r>
        <w:rPr>
          <w:rFonts w:ascii="Roboto" w:eastAsia="Roboto" w:hAnsi="Roboto" w:cs="Roboto"/>
        </w:rPr>
        <w:t xml:space="preserve">When asked for further details about people at risk of housing rights violations in </w:t>
      </w:r>
      <w:r>
        <w:rPr>
          <w:rFonts w:ascii="Roboto" w:eastAsia="Roboto" w:hAnsi="Roboto" w:cs="Roboto"/>
          <w:b/>
        </w:rPr>
        <w:t>Australia</w:t>
      </w:r>
      <w:r>
        <w:rPr>
          <w:rFonts w:ascii="Roboto" w:eastAsia="Roboto" w:hAnsi="Roboto" w:cs="Roboto"/>
        </w:rPr>
        <w:t xml:space="preserve">, human rights experts </w:t>
      </w:r>
      <w:r>
        <w:rPr>
          <w:rFonts w:ascii="Roboto" w:eastAsia="Roboto" w:hAnsi="Roboto" w:cs="Roboto"/>
        </w:rPr>
        <w:t>said:</w:t>
      </w:r>
    </w:p>
    <w:p w:rsidR="00205335" w:rsidRDefault="000525AA">
      <w:pPr>
        <w:numPr>
          <w:ilvl w:val="0"/>
          <w:numId w:val="3"/>
        </w:numPr>
        <w:rPr>
          <w:rFonts w:ascii="Roboto" w:eastAsia="Roboto" w:hAnsi="Roboto" w:cs="Roboto"/>
        </w:rPr>
      </w:pPr>
      <w:r>
        <w:rPr>
          <w:rFonts w:ascii="Roboto" w:eastAsia="Roboto" w:hAnsi="Roboto" w:cs="Roboto"/>
        </w:rPr>
        <w:t>Older people and people with disabilities, as there has been no increase in access to affordable housing or social and public housing</w:t>
      </w:r>
    </w:p>
    <w:p w:rsidR="00205335" w:rsidRDefault="000525AA">
      <w:pPr>
        <w:numPr>
          <w:ilvl w:val="0"/>
          <w:numId w:val="3"/>
        </w:numPr>
        <w:rPr>
          <w:rFonts w:ascii="Roboto" w:eastAsia="Roboto" w:hAnsi="Roboto" w:cs="Roboto"/>
        </w:rPr>
      </w:pPr>
      <w:r>
        <w:rPr>
          <w:rFonts w:ascii="Roboto" w:eastAsia="Roboto" w:hAnsi="Roboto" w:cs="Roboto"/>
        </w:rPr>
        <w:t>All people, particularly people who are homeless, due to an expensive rental market and the lack of policies to solv</w:t>
      </w:r>
      <w:r>
        <w:rPr>
          <w:rFonts w:ascii="Roboto" w:eastAsia="Roboto" w:hAnsi="Roboto" w:cs="Roboto"/>
        </w:rPr>
        <w:t>e housing problems</w:t>
      </w:r>
    </w:p>
    <w:p w:rsidR="00205335" w:rsidRDefault="000525AA">
      <w:pPr>
        <w:numPr>
          <w:ilvl w:val="0"/>
          <w:numId w:val="3"/>
        </w:numPr>
        <w:rPr>
          <w:rFonts w:ascii="Roboto" w:eastAsia="Roboto" w:hAnsi="Roboto" w:cs="Roboto"/>
        </w:rPr>
      </w:pPr>
      <w:r>
        <w:rPr>
          <w:rFonts w:ascii="Roboto" w:eastAsia="Roboto" w:hAnsi="Roboto" w:cs="Roboto"/>
        </w:rPr>
        <w:t>Young people, people with disabilities, and older people, especially Aboriginal people and Torres Strait Islanders, due to the low quantity of public housing available and high prices in the private market</w:t>
      </w:r>
    </w:p>
    <w:p w:rsidR="00205335" w:rsidRDefault="000525AA">
      <w:pPr>
        <w:numPr>
          <w:ilvl w:val="0"/>
          <w:numId w:val="3"/>
        </w:numPr>
        <w:rPr>
          <w:rFonts w:ascii="Roboto" w:eastAsia="Roboto" w:hAnsi="Roboto" w:cs="Roboto"/>
        </w:rPr>
      </w:pPr>
      <w:r>
        <w:rPr>
          <w:rFonts w:ascii="Roboto" w:eastAsia="Roboto" w:hAnsi="Roboto" w:cs="Roboto"/>
        </w:rPr>
        <w:t>Indigenous people, particularly</w:t>
      </w:r>
      <w:r>
        <w:rPr>
          <w:rFonts w:ascii="Roboto" w:eastAsia="Roboto" w:hAnsi="Roboto" w:cs="Roboto"/>
        </w:rPr>
        <w:t xml:space="preserve"> those who live in state-owned houses, which are not fully adequate for habitation</w:t>
      </w:r>
    </w:p>
    <w:p w:rsidR="00205335" w:rsidRDefault="00205335">
      <w:pPr>
        <w:rPr>
          <w:rFonts w:ascii="Roboto" w:eastAsia="Roboto" w:hAnsi="Roboto" w:cs="Roboto"/>
        </w:rPr>
      </w:pPr>
    </w:p>
    <w:p w:rsidR="00205335" w:rsidRDefault="000525AA">
      <w:pPr>
        <w:spacing w:before="240"/>
        <w:rPr>
          <w:rFonts w:ascii="Roboto" w:eastAsia="Roboto" w:hAnsi="Roboto" w:cs="Roboto"/>
        </w:rPr>
      </w:pPr>
      <w:r>
        <w:rPr>
          <w:rFonts w:ascii="Roboto" w:eastAsia="Roboto" w:hAnsi="Roboto" w:cs="Roboto"/>
        </w:rPr>
        <w:t>Similarly, South Korea and Saudi Arabia also indicate that groups especially at risk of having their right to housing violated include young people and people with low soci</w:t>
      </w:r>
      <w:r>
        <w:rPr>
          <w:rFonts w:ascii="Roboto" w:eastAsia="Roboto" w:hAnsi="Roboto" w:cs="Roboto"/>
        </w:rPr>
        <w:t>al or economic status. Both countries attribute these risks in part to rising housing costs and lack of affordable housing and public/social housing.</w:t>
      </w:r>
    </w:p>
    <w:p w:rsidR="00205335" w:rsidRDefault="000525AA">
      <w:pPr>
        <w:jc w:val="center"/>
        <w:rPr>
          <w:rFonts w:ascii="Roboto" w:eastAsia="Roboto" w:hAnsi="Roboto" w:cs="Roboto"/>
        </w:rPr>
      </w:pPr>
      <w:r>
        <w:rPr>
          <w:rFonts w:ascii="Roboto" w:eastAsia="Roboto" w:hAnsi="Roboto" w:cs="Roboto"/>
          <w:noProof/>
          <w:lang w:val="en-GB" w:eastAsia="en-GB"/>
        </w:rPr>
        <w:drawing>
          <wp:inline distT="114300" distB="114300" distL="114300" distR="114300">
            <wp:extent cx="4295775" cy="3848474"/>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4295775" cy="3848474"/>
                    </a:xfrm>
                    <a:prstGeom prst="rect">
                      <a:avLst/>
                    </a:prstGeom>
                    <a:ln/>
                  </pic:spPr>
                </pic:pic>
              </a:graphicData>
            </a:graphic>
          </wp:inline>
        </w:drawing>
      </w:r>
    </w:p>
    <w:p w:rsidR="00205335" w:rsidRDefault="000525AA">
      <w:pPr>
        <w:rPr>
          <w:rFonts w:ascii="Roboto" w:eastAsia="Roboto" w:hAnsi="Roboto" w:cs="Roboto"/>
        </w:rPr>
      </w:pPr>
      <w:hyperlink r:id="rId25">
        <w:r>
          <w:rPr>
            <w:rFonts w:ascii="Roboto" w:eastAsia="Roboto" w:hAnsi="Roboto" w:cs="Roboto"/>
            <w:color w:val="1155CC"/>
            <w:u w:val="single"/>
          </w:rPr>
          <w:t>People at risk groups for right to hou</w:t>
        </w:r>
        <w:r>
          <w:rPr>
            <w:rFonts w:ascii="Roboto" w:eastAsia="Roboto" w:hAnsi="Roboto" w:cs="Roboto"/>
            <w:color w:val="1155CC"/>
            <w:u w:val="single"/>
          </w:rPr>
          <w:t>sing in South Korea</w:t>
        </w:r>
      </w:hyperlink>
    </w:p>
    <w:p w:rsidR="00205335" w:rsidRDefault="000525AA">
      <w:pPr>
        <w:spacing w:before="240" w:after="240"/>
        <w:rPr>
          <w:rFonts w:ascii="Roboto" w:eastAsia="Roboto" w:hAnsi="Roboto" w:cs="Roboto"/>
        </w:rPr>
      </w:pPr>
      <w:r>
        <w:rPr>
          <w:rFonts w:ascii="Roboto" w:eastAsia="Roboto" w:hAnsi="Roboto" w:cs="Roboto"/>
        </w:rPr>
        <w:t>For additional information on the groups that are at risk of having the right to housing violated, you can find these data on a country’s page by clicking the People at Risk tab and scrolling down to the Right to Housing section. Select</w:t>
      </w:r>
      <w:r>
        <w:rPr>
          <w:rFonts w:ascii="Roboto" w:eastAsia="Roboto" w:hAnsi="Roboto" w:cs="Roboto"/>
        </w:rPr>
        <w:t xml:space="preserve"> ‘show more information from survey respondents’ for the additional context.</w:t>
      </w:r>
    </w:p>
    <w:p w:rsidR="00205335" w:rsidRDefault="00205335">
      <w:pPr>
        <w:spacing w:before="240" w:after="240"/>
        <w:rPr>
          <w:rFonts w:ascii="Roboto" w:eastAsia="Roboto" w:hAnsi="Roboto" w:cs="Roboto"/>
        </w:rPr>
      </w:pPr>
    </w:p>
    <w:p w:rsidR="00205335" w:rsidRDefault="000525AA">
      <w:pPr>
        <w:spacing w:before="240" w:after="240"/>
        <w:rPr>
          <w:rFonts w:ascii="Roboto" w:eastAsia="Roboto" w:hAnsi="Roboto" w:cs="Roboto"/>
        </w:rPr>
      </w:pPr>
      <w:r>
        <w:rPr>
          <w:rFonts w:ascii="Roboto" w:eastAsia="Roboto" w:hAnsi="Roboto" w:cs="Roboto"/>
        </w:rPr>
        <w:t>Please don’t hesitate to contact us at HRMI if you have clarifications or inquiries. We are always happy to help you incorporate Rights Tracker data in your work.</w:t>
      </w:r>
    </w:p>
    <w:p w:rsidR="00205335" w:rsidRDefault="000525AA">
      <w:pPr>
        <w:spacing w:before="240" w:after="240"/>
        <w:rPr>
          <w:rFonts w:ascii="Roboto" w:eastAsia="Roboto" w:hAnsi="Roboto" w:cs="Roboto"/>
        </w:rPr>
      </w:pPr>
      <w:r>
        <w:rPr>
          <w:rFonts w:ascii="Roboto" w:eastAsia="Roboto" w:hAnsi="Roboto" w:cs="Roboto"/>
          <w:b/>
        </w:rPr>
        <w:t>Contact informa</w:t>
      </w:r>
      <w:r>
        <w:rPr>
          <w:rFonts w:ascii="Roboto" w:eastAsia="Roboto" w:hAnsi="Roboto" w:cs="Roboto"/>
          <w:b/>
        </w:rPr>
        <w:t>tion</w:t>
      </w:r>
      <w:r>
        <w:rPr>
          <w:rFonts w:ascii="Roboto" w:eastAsia="Roboto" w:hAnsi="Roboto" w:cs="Roboto"/>
        </w:rPr>
        <w:t xml:space="preserve">: </w:t>
      </w:r>
      <w:proofErr w:type="spellStart"/>
      <w:r>
        <w:rPr>
          <w:rFonts w:ascii="Roboto" w:eastAsia="Roboto" w:hAnsi="Roboto" w:cs="Roboto"/>
        </w:rPr>
        <w:t>Thalia.KehoeRowden@hrmi.ngo</w:t>
      </w:r>
      <w:proofErr w:type="spellEnd"/>
      <w:r>
        <w:rPr>
          <w:rFonts w:ascii="Roboto" w:eastAsia="Roboto" w:hAnsi="Roboto" w:cs="Roboto"/>
        </w:rPr>
        <w:t xml:space="preserve"> and Yoyo.Pasieka@hrmi.ngo</w:t>
      </w:r>
    </w:p>
    <w:p w:rsidR="00205335" w:rsidRDefault="000525AA">
      <w:pPr>
        <w:spacing w:before="240" w:after="240"/>
        <w:rPr>
          <w:rFonts w:ascii="Roboto" w:eastAsia="Roboto" w:hAnsi="Roboto" w:cs="Roboto"/>
          <w:i/>
          <w:color w:val="040C28"/>
        </w:rPr>
      </w:pPr>
      <w:r>
        <w:rPr>
          <w:rFonts w:ascii="Roboto" w:eastAsia="Roboto" w:hAnsi="Roboto" w:cs="Roboto"/>
          <w:i/>
        </w:rPr>
        <w:t xml:space="preserve">Prepared by </w:t>
      </w:r>
      <w:proofErr w:type="spellStart"/>
      <w:r>
        <w:rPr>
          <w:rFonts w:ascii="Roboto" w:eastAsia="Roboto" w:hAnsi="Roboto" w:cs="Roboto"/>
          <w:i/>
        </w:rPr>
        <w:t>Nazia</w:t>
      </w:r>
      <w:proofErr w:type="spellEnd"/>
      <w:r>
        <w:rPr>
          <w:rFonts w:ascii="Roboto" w:eastAsia="Roboto" w:hAnsi="Roboto" w:cs="Roboto"/>
          <w:i/>
        </w:rPr>
        <w:t xml:space="preserve"> </w:t>
      </w:r>
      <w:proofErr w:type="spellStart"/>
      <w:r>
        <w:rPr>
          <w:rFonts w:ascii="Roboto" w:eastAsia="Roboto" w:hAnsi="Roboto" w:cs="Roboto"/>
          <w:i/>
        </w:rPr>
        <w:t>Kazi</w:t>
      </w:r>
      <w:proofErr w:type="spellEnd"/>
      <w:r>
        <w:rPr>
          <w:rFonts w:ascii="Roboto" w:eastAsia="Roboto" w:hAnsi="Roboto" w:cs="Roboto"/>
          <w:i/>
        </w:rPr>
        <w:t xml:space="preserve"> from the Human Rights Measurement Initiative, for the United Nations Special Rapporteur on the Right </w:t>
      </w:r>
      <w:proofErr w:type="gramStart"/>
      <w:r>
        <w:rPr>
          <w:rFonts w:ascii="Roboto" w:eastAsia="Roboto" w:hAnsi="Roboto" w:cs="Roboto"/>
          <w:i/>
        </w:rPr>
        <w:t>To</w:t>
      </w:r>
      <w:proofErr w:type="gramEnd"/>
      <w:r>
        <w:rPr>
          <w:rFonts w:ascii="Roboto" w:eastAsia="Roboto" w:hAnsi="Roboto" w:cs="Roboto"/>
          <w:i/>
        </w:rPr>
        <w:t xml:space="preserve"> Adequate Housing</w:t>
      </w:r>
      <w:r>
        <w:rPr>
          <w:rFonts w:ascii="Roboto" w:eastAsia="Roboto" w:hAnsi="Roboto" w:cs="Roboto"/>
          <w:i/>
          <w:color w:val="202124"/>
          <w:highlight w:val="white"/>
        </w:rPr>
        <w:t xml:space="preserve">: Balakrishnan Rajagopal, April </w:t>
      </w:r>
      <w:r>
        <w:rPr>
          <w:rFonts w:ascii="Roboto" w:eastAsia="Roboto" w:hAnsi="Roboto" w:cs="Roboto"/>
          <w:i/>
          <w:color w:val="040C28"/>
        </w:rPr>
        <w:t>2023.</w:t>
      </w:r>
    </w:p>
    <w:sectPr w:rsidR="00205335">
      <w:headerReference w:type="default"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7D0" w:rsidRDefault="00B727D0">
      <w:pPr>
        <w:spacing w:line="240" w:lineRule="auto"/>
      </w:pPr>
      <w:r>
        <w:separator/>
      </w:r>
    </w:p>
  </w:endnote>
  <w:endnote w:type="continuationSeparator" w:id="0">
    <w:p w:rsidR="00B727D0" w:rsidRDefault="00B72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5" w:rsidRDefault="000525AA">
    <w:pPr>
      <w:rPr>
        <w:rFonts w:ascii="Roboto" w:eastAsia="Roboto" w:hAnsi="Roboto" w:cs="Roboto"/>
        <w:color w:val="9CC2E5"/>
        <w:sz w:val="18"/>
        <w:szCs w:val="18"/>
      </w:rPr>
    </w:pPr>
    <w:r>
      <w:rPr>
        <w:rFonts w:ascii="Roboto" w:eastAsia="Roboto" w:hAnsi="Roboto" w:cs="Roboto"/>
        <w:color w:val="9CC2E5"/>
        <w:sz w:val="18"/>
        <w:szCs w:val="18"/>
      </w:rPr>
      <w:t>Human Rights Measurement Initiative</w:t>
    </w:r>
    <w:r>
      <w:rPr>
        <w:rFonts w:ascii="Roboto" w:eastAsia="Roboto" w:hAnsi="Roboto" w:cs="Roboto"/>
        <w:color w:val="9CC2E5"/>
        <w:sz w:val="18"/>
        <w:szCs w:val="18"/>
      </w:rPr>
      <w:br/>
    </w:r>
    <w:hyperlink r:id="rId1">
      <w:r>
        <w:rPr>
          <w:rFonts w:ascii="Roboto" w:eastAsia="Roboto" w:hAnsi="Roboto" w:cs="Roboto"/>
          <w:color w:val="1155CC"/>
          <w:sz w:val="18"/>
          <w:szCs w:val="18"/>
          <w:u w:val="single"/>
        </w:rPr>
        <w:t>www.humanrightsmeasurement.org</w:t>
      </w:r>
    </w:hyperlink>
    <w:r>
      <w:rPr>
        <w:rFonts w:ascii="Roboto" w:eastAsia="Roboto" w:hAnsi="Roboto" w:cs="Roboto"/>
        <w:color w:val="9CC2E5"/>
        <w:sz w:val="18"/>
        <w:szCs w:val="18"/>
      </w:rPr>
      <w:t xml:space="preserve"> | </w:t>
    </w:r>
    <w:hyperlink r:id="rId2">
      <w:r>
        <w:rPr>
          <w:rFonts w:ascii="Roboto" w:eastAsia="Roboto" w:hAnsi="Roboto" w:cs="Roboto"/>
          <w:color w:val="1155CC"/>
          <w:sz w:val="18"/>
          <w:szCs w:val="18"/>
          <w:u w:val="single"/>
        </w:rPr>
        <w:t>www.rightstracker.org</w:t>
      </w:r>
    </w:hyperlink>
    <w:r>
      <w:rPr>
        <w:rFonts w:ascii="Roboto" w:eastAsia="Roboto" w:hAnsi="Roboto" w:cs="Roboto"/>
        <w:color w:val="9CC2E5"/>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7D0" w:rsidRDefault="00B727D0">
      <w:pPr>
        <w:spacing w:line="240" w:lineRule="auto"/>
      </w:pPr>
      <w:r>
        <w:separator/>
      </w:r>
    </w:p>
  </w:footnote>
  <w:footnote w:type="continuationSeparator" w:id="0">
    <w:p w:rsidR="00B727D0" w:rsidRDefault="00B727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5" w:rsidRDefault="000525AA">
    <w:pPr>
      <w:spacing w:before="240" w:after="240"/>
      <w:ind w:left="5040" w:firstLine="720"/>
      <w:jc w:val="center"/>
    </w:pPr>
    <w:r>
      <w:rPr>
        <w:rFonts w:ascii="Georgia" w:eastAsia="Georgia" w:hAnsi="Georgia" w:cs="Georgia"/>
        <w:noProof/>
        <w:sz w:val="24"/>
        <w:szCs w:val="24"/>
        <w:lang w:val="en-GB" w:eastAsia="en-GB"/>
      </w:rPr>
      <w:drawing>
        <wp:inline distT="114300" distB="114300" distL="114300" distR="114300">
          <wp:extent cx="2000250" cy="72898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00250" cy="7289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6511E"/>
    <w:multiLevelType w:val="multilevel"/>
    <w:tmpl w:val="49188B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F98767C"/>
    <w:multiLevelType w:val="multilevel"/>
    <w:tmpl w:val="84E23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682CC4"/>
    <w:multiLevelType w:val="multilevel"/>
    <w:tmpl w:val="51C42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1A12E44"/>
    <w:multiLevelType w:val="multilevel"/>
    <w:tmpl w:val="63A08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35"/>
    <w:rsid w:val="000525AA"/>
    <w:rsid w:val="001722C9"/>
    <w:rsid w:val="00205335"/>
    <w:rsid w:val="00744EBB"/>
    <w:rsid w:val="00B727D0"/>
    <w:rsid w:val="00E46AD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086F3-F5C6-4AE8-A354-623DA4A7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ightstracker.org/en" TargetMode="External"/><Relationship Id="rId13" Type="http://schemas.openxmlformats.org/officeDocument/2006/relationships/hyperlink" Target="https://rightstracker.org/en/metric/housing?as=core&amp;atRisk=27"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youtu.be/EwwTHRH_tpk" TargetMode="External"/><Relationship Id="rId7" Type="http://schemas.openxmlformats.org/officeDocument/2006/relationships/hyperlink" Target="https://humanrightsmeasurement.org/" TargetMode="External"/><Relationship Id="rId12" Type="http://schemas.openxmlformats.org/officeDocument/2006/relationships/image" Target="media/image1.png"/><Relationship Id="rId17" Type="http://schemas.openxmlformats.org/officeDocument/2006/relationships/hyperlink" Target="https://rightstracker.org/en/country/GRC?as=hi&amp;tab=report-esr" TargetMode="External"/><Relationship Id="rId25" Type="http://schemas.openxmlformats.org/officeDocument/2006/relationships/hyperlink" Target="https://rightstracker.org/en/country/KOR?as=hi"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youtu.be/EwwTHRH_tp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7Kplyg_Fmv4"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rightstracker.org/en/metric/affordable-housing?as=hi&amp;atRisk=27&amp;pb=best" TargetMode="External"/><Relationship Id="rId23" Type="http://schemas.openxmlformats.org/officeDocument/2006/relationships/hyperlink" Target="https://rightstracker.org/en/country/AUS?as=hi&amp;tab=atrisk" TargetMode="External"/><Relationship Id="rId28" Type="http://schemas.openxmlformats.org/officeDocument/2006/relationships/fontTable" Target="fontTable.xml"/><Relationship Id="rId10" Type="http://schemas.openxmlformats.org/officeDocument/2006/relationships/hyperlink" Target="https://youtu.be/7Kplyg_Fmv4" TargetMode="External"/><Relationship Id="rId19" Type="http://schemas.openxmlformats.org/officeDocument/2006/relationships/hyperlink" Target="https://rightstracker.org/en/country/HRV?as=hi&amp;atRisk=27&amp;tab=report-esr" TargetMode="External"/><Relationship Id="rId4" Type="http://schemas.openxmlformats.org/officeDocument/2006/relationships/webSettings" Target="webSettings.xml"/><Relationship Id="rId9" Type="http://schemas.openxmlformats.org/officeDocument/2006/relationships/hyperlink" Target="https://humanrightsmeasurement.org/methodology/overview/" TargetMode="External"/><Relationship Id="rId14" Type="http://schemas.openxmlformats.org/officeDocument/2006/relationships/image" Target="media/image2.jpg"/><Relationship Id="rId22" Type="http://schemas.openxmlformats.org/officeDocument/2006/relationships/image" Target="media/image5.jp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ightstracker.org" TargetMode="External"/><Relationship Id="rId1" Type="http://schemas.openxmlformats.org/officeDocument/2006/relationships/hyperlink" Target="http://www.humanrightsmeasure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1094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Gunnar Theissen</cp:lastModifiedBy>
  <cp:revision>2</cp:revision>
  <dcterms:created xsi:type="dcterms:W3CDTF">2023-05-01T14:28:00Z</dcterms:created>
  <dcterms:modified xsi:type="dcterms:W3CDTF">2023-05-01T14:28:00Z</dcterms:modified>
</cp:coreProperties>
</file>