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11C5F" w14:textId="77777777" w:rsidR="00A83B64" w:rsidRPr="00437A10" w:rsidRDefault="00A83B64" w:rsidP="00A83B64">
      <w:pPr>
        <w:spacing w:after="160" w:line="259" w:lineRule="auto"/>
        <w:jc w:val="center"/>
        <w:rPr>
          <w:rFonts w:ascii="Arial" w:eastAsia="Calibri" w:hAnsi="Arial" w:cs="Arial"/>
          <w:b/>
          <w:sz w:val="28"/>
          <w:szCs w:val="22"/>
          <w:lang w:val="es-BO"/>
        </w:rPr>
      </w:pPr>
      <w:r w:rsidRPr="00437A10">
        <w:rPr>
          <w:rFonts w:ascii="Arial" w:eastAsia="Calibri" w:hAnsi="Arial" w:cs="Arial"/>
          <w:b/>
          <w:sz w:val="28"/>
          <w:szCs w:val="22"/>
          <w:lang w:val="es-BO"/>
        </w:rPr>
        <w:t>Un lugar para vivir con dignidad para todos: hacer que la vivienda sea asequible</w:t>
      </w:r>
    </w:p>
    <w:p w14:paraId="188A3192" w14:textId="77777777" w:rsidR="00A83B64" w:rsidRPr="00437A10" w:rsidRDefault="00A83B64" w:rsidP="00A83B64">
      <w:pPr>
        <w:spacing w:after="160" w:line="259" w:lineRule="auto"/>
        <w:jc w:val="center"/>
        <w:rPr>
          <w:rFonts w:ascii="Arial" w:eastAsia="Calibri" w:hAnsi="Arial" w:cs="Arial"/>
          <w:b/>
          <w:sz w:val="22"/>
          <w:szCs w:val="22"/>
          <w:lang w:val="es-BO"/>
        </w:rPr>
      </w:pPr>
      <w:r w:rsidRPr="00437A10">
        <w:rPr>
          <w:rFonts w:ascii="Arial" w:eastAsia="Calibri" w:hAnsi="Arial" w:cs="Arial"/>
          <w:b/>
          <w:sz w:val="22"/>
          <w:szCs w:val="22"/>
          <w:lang w:val="es-BO"/>
        </w:rPr>
        <w:t xml:space="preserve">Informe del Relator Especial sobre el derecho a una vivienda adecuada al </w:t>
      </w:r>
      <w:r w:rsidRPr="00437A10">
        <w:rPr>
          <w:rFonts w:ascii="Arial" w:eastAsia="Calibri" w:hAnsi="Arial" w:cs="Arial"/>
          <w:b/>
          <w:sz w:val="22"/>
          <w:szCs w:val="22"/>
          <w:lang w:val="es-BO"/>
        </w:rPr>
        <w:br/>
        <w:t>78° período de sesiones de la Asamblea General de la ONU</w:t>
      </w:r>
    </w:p>
    <w:p w14:paraId="089C6557" w14:textId="77777777" w:rsidR="00A83B64" w:rsidRPr="00437A10" w:rsidRDefault="00A83B64" w:rsidP="00A83B64">
      <w:pPr>
        <w:spacing w:after="160" w:line="259" w:lineRule="auto"/>
        <w:jc w:val="center"/>
        <w:rPr>
          <w:rFonts w:ascii="Arial" w:eastAsia="Calibri" w:hAnsi="Arial" w:cs="Arial"/>
          <w:b/>
          <w:bCs/>
          <w:sz w:val="32"/>
          <w:szCs w:val="22"/>
        </w:rPr>
      </w:pPr>
      <w:r w:rsidRPr="00437A10">
        <w:rPr>
          <w:rFonts w:ascii="Arial" w:eastAsia="Calibri" w:hAnsi="Arial" w:cs="Arial"/>
          <w:b/>
          <w:bCs/>
          <w:sz w:val="32"/>
          <w:szCs w:val="22"/>
        </w:rPr>
        <w:t>Cuestionario</w:t>
      </w:r>
    </w:p>
    <w:p w14:paraId="5A1EA9F0" w14:textId="77777777" w:rsidR="00A83B64" w:rsidRPr="00437A10" w:rsidRDefault="00A83B64" w:rsidP="00A83B64">
      <w:pPr>
        <w:spacing w:after="160" w:line="259" w:lineRule="auto"/>
        <w:jc w:val="both"/>
        <w:rPr>
          <w:rFonts w:ascii="Arial" w:eastAsia="Calibri" w:hAnsi="Arial" w:cs="Arial"/>
          <w:sz w:val="22"/>
          <w:szCs w:val="22"/>
        </w:rPr>
      </w:pPr>
      <w:r w:rsidRPr="00437A10">
        <w:rPr>
          <w:rFonts w:ascii="Arial" w:eastAsia="Calibri" w:hAnsi="Arial" w:cs="Arial"/>
          <w:sz w:val="22"/>
          <w:szCs w:val="22"/>
        </w:rPr>
        <w:t>Para los estados: comparta este cuestionario también con su Oficina Nacional de Estadística y los ministerios pertinentes para ayudar a completar las secciones estadísticas relacionadas con la asequibilidad de la vivienda.</w:t>
      </w:r>
    </w:p>
    <w:p w14:paraId="656A3D84" w14:textId="7149405D" w:rsidR="00A83B64" w:rsidRPr="00437A10" w:rsidRDefault="00A83B64" w:rsidP="00A83B64">
      <w:pPr>
        <w:spacing w:after="160" w:line="259" w:lineRule="auto"/>
        <w:jc w:val="both"/>
        <w:rPr>
          <w:rFonts w:ascii="Arial" w:eastAsia="Calibri" w:hAnsi="Arial" w:cs="Arial"/>
          <w:sz w:val="22"/>
          <w:szCs w:val="22"/>
        </w:rPr>
      </w:pPr>
      <w:r w:rsidRPr="00437A10">
        <w:rPr>
          <w:rFonts w:ascii="Arial" w:eastAsia="Calibri" w:hAnsi="Arial" w:cs="Arial"/>
          <w:sz w:val="22"/>
          <w:szCs w:val="22"/>
        </w:rPr>
        <w:t xml:space="preserve">Nombre de la entidad, organización o individuo que presenta: </w:t>
      </w:r>
      <w:r w:rsidR="00A80FD7" w:rsidRPr="00437A10">
        <w:rPr>
          <w:rFonts w:ascii="Arial" w:eastAsia="Calibri" w:hAnsi="Arial" w:cs="Arial"/>
          <w:b/>
          <w:sz w:val="22"/>
          <w:szCs w:val="22"/>
        </w:rPr>
        <w:t>Red Nacional de Asentami</w:t>
      </w:r>
      <w:r w:rsidR="00850BBB" w:rsidRPr="00437A10">
        <w:rPr>
          <w:rFonts w:ascii="Arial" w:eastAsia="Calibri" w:hAnsi="Arial" w:cs="Arial"/>
          <w:b/>
          <w:sz w:val="22"/>
          <w:szCs w:val="22"/>
        </w:rPr>
        <w:t>entos Humanos de Bolivia RENASEH</w:t>
      </w:r>
    </w:p>
    <w:p w14:paraId="37C6EF48" w14:textId="521C7531" w:rsidR="00A83B64" w:rsidRPr="00437A10" w:rsidRDefault="00A83B64" w:rsidP="00A83B64">
      <w:pPr>
        <w:spacing w:after="160" w:line="259" w:lineRule="auto"/>
        <w:jc w:val="both"/>
        <w:rPr>
          <w:rFonts w:ascii="Arial" w:eastAsia="Calibri" w:hAnsi="Arial" w:cs="Arial"/>
          <w:sz w:val="22"/>
          <w:szCs w:val="22"/>
        </w:rPr>
      </w:pPr>
      <w:bookmarkStart w:id="0" w:name="_GoBack"/>
      <w:bookmarkEnd w:id="0"/>
    </w:p>
    <w:p w14:paraId="710A1603" w14:textId="77777777" w:rsidR="00A83B64" w:rsidRPr="00437A10" w:rsidRDefault="00A83B64" w:rsidP="00A83B64">
      <w:pPr>
        <w:spacing w:after="160" w:line="259" w:lineRule="auto"/>
        <w:jc w:val="both"/>
        <w:rPr>
          <w:rFonts w:ascii="Arial" w:eastAsia="Calibri" w:hAnsi="Arial" w:cs="Arial"/>
          <w:b/>
          <w:sz w:val="22"/>
          <w:szCs w:val="22"/>
        </w:rPr>
      </w:pPr>
      <w:r w:rsidRPr="00437A10">
        <w:rPr>
          <w:rFonts w:ascii="Arial" w:eastAsia="Calibri" w:hAnsi="Arial" w:cs="Arial"/>
          <w:b/>
          <w:sz w:val="22"/>
          <w:szCs w:val="22"/>
        </w:rPr>
        <w:t>Leyes, políticas y jurisprudencia nacionales relacionadas con la vivienda asequible</w:t>
      </w:r>
    </w:p>
    <w:p w14:paraId="2AFB5C50" w14:textId="77777777" w:rsidR="00A83B64" w:rsidRPr="00437A10" w:rsidRDefault="00A83B64" w:rsidP="00A83B64">
      <w:pPr>
        <w:numPr>
          <w:ilvl w:val="0"/>
          <w:numId w:val="1"/>
        </w:num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¿La legislación nacional de su país, incluidas las leyes constitucionales, de vivienda o de protección social, se refiere a la asequibilidad de la vivienda o proporciona otras garantías para garantizar un nivel de vida mínimo? O en su defecto, ¿existen políticas nacionales que se refieran a vivienda asequible o nivel mínimo de vida? Proporcione referencias y enlaces a las respectivas leyes clave o disposiciones constitucionales, así como políticas.</w:t>
      </w:r>
    </w:p>
    <w:p w14:paraId="20A8F392" w14:textId="4BE27569" w:rsidR="00B32227" w:rsidRPr="00437A10" w:rsidRDefault="00A80FD7" w:rsidP="00B32227">
      <w:pPr>
        <w:spacing w:before="100" w:beforeAutospacing="1" w:line="259" w:lineRule="auto"/>
        <w:jc w:val="both"/>
        <w:rPr>
          <w:rFonts w:ascii="Arial" w:eastAsia="Calibri" w:hAnsi="Arial" w:cs="Arial"/>
          <w:sz w:val="22"/>
          <w:szCs w:val="22"/>
        </w:rPr>
      </w:pPr>
      <w:r w:rsidRPr="00437A10">
        <w:rPr>
          <w:rFonts w:ascii="Arial" w:eastAsia="Calibri" w:hAnsi="Arial" w:cs="Arial"/>
          <w:sz w:val="22"/>
          <w:szCs w:val="22"/>
        </w:rPr>
        <w:t>En la legislación nacional no existe referencias sobre vivienda asequible o nivel mínimo de vida, pero si cuenta con un marco constitucional y competencial sobre el derecho a la vivienda adecuada</w:t>
      </w:r>
      <w:r w:rsidR="00B32227" w:rsidRPr="00437A10">
        <w:rPr>
          <w:rFonts w:ascii="Arial" w:eastAsia="Calibri" w:hAnsi="Arial" w:cs="Arial"/>
          <w:sz w:val="22"/>
          <w:szCs w:val="22"/>
        </w:rPr>
        <w:t>, que se origina en la inclusión del derecho a la vivienda en la Constitución Política del Estado (CPE) de</w:t>
      </w:r>
      <w:r w:rsidR="0059094C" w:rsidRPr="00437A10">
        <w:rPr>
          <w:rFonts w:ascii="Arial" w:eastAsia="Calibri" w:hAnsi="Arial" w:cs="Arial"/>
          <w:sz w:val="22"/>
          <w:szCs w:val="22"/>
        </w:rPr>
        <w:t>l</w:t>
      </w:r>
      <w:r w:rsidR="00B32227" w:rsidRPr="00437A10">
        <w:rPr>
          <w:rFonts w:ascii="Arial" w:eastAsia="Calibri" w:hAnsi="Arial" w:cs="Arial"/>
          <w:sz w:val="22"/>
          <w:szCs w:val="22"/>
        </w:rPr>
        <w:t xml:space="preserve"> 2009, que implica la obligación de respetar, proteger y garantizar este derecho. </w:t>
      </w:r>
    </w:p>
    <w:p w14:paraId="146F6621" w14:textId="7E265C1E" w:rsidR="00A80FD7" w:rsidRPr="00437A10" w:rsidRDefault="00B32227" w:rsidP="006F180D">
      <w:pPr>
        <w:spacing w:line="259" w:lineRule="auto"/>
        <w:jc w:val="both"/>
        <w:rPr>
          <w:rFonts w:ascii="Arial" w:eastAsia="Calibri" w:hAnsi="Arial" w:cs="Arial"/>
          <w:sz w:val="22"/>
          <w:szCs w:val="22"/>
        </w:rPr>
      </w:pPr>
      <w:r w:rsidRPr="00437A10">
        <w:rPr>
          <w:rFonts w:ascii="Arial" w:eastAsia="Calibri" w:hAnsi="Arial" w:cs="Arial"/>
          <w:sz w:val="22"/>
          <w:szCs w:val="22"/>
        </w:rPr>
        <w:t>E</w:t>
      </w:r>
      <w:r w:rsidR="00A80FD7" w:rsidRPr="00437A10">
        <w:rPr>
          <w:rFonts w:ascii="Arial" w:eastAsia="Calibri" w:hAnsi="Arial" w:cs="Arial"/>
          <w:sz w:val="22"/>
          <w:szCs w:val="22"/>
        </w:rPr>
        <w:t xml:space="preserve">n el marco del Articulo 19, establece: </w:t>
      </w:r>
      <w:r w:rsidR="00A80FD7" w:rsidRPr="00437A10">
        <w:rPr>
          <w:rFonts w:ascii="Arial" w:eastAsia="Calibri" w:hAnsi="Arial" w:cs="Arial"/>
          <w:i/>
          <w:sz w:val="22"/>
          <w:szCs w:val="22"/>
        </w:rPr>
        <w:t>I. “Toda persona tiene derecho a un hábitat y vivienda adecuada, que dignifiquen la vida familiar y comunitaria”; II. “El Estado, en todos sus niveles de gobierno, promoverá planes de vivienda de interés social, mediante el sistema adecuado de financiamiento, basándose en los principios de solidaridad y equidad. Estos planes se destinarán preferentemente a familias de escasos recursos, a grupos menos favorecidos y al área rural”.</w:t>
      </w:r>
      <w:r w:rsidR="00A80FD7" w:rsidRPr="00437A10">
        <w:rPr>
          <w:rFonts w:ascii="Arial" w:eastAsia="Calibri" w:hAnsi="Arial" w:cs="Arial"/>
          <w:sz w:val="22"/>
          <w:szCs w:val="22"/>
        </w:rPr>
        <w:t xml:space="preserve"> </w:t>
      </w:r>
    </w:p>
    <w:p w14:paraId="049BC21F" w14:textId="77777777" w:rsidR="006F180D" w:rsidRPr="00437A10" w:rsidRDefault="006F180D" w:rsidP="006F180D">
      <w:pPr>
        <w:spacing w:before="100" w:beforeAutospacing="1" w:after="160" w:line="259" w:lineRule="auto"/>
        <w:ind w:left="720"/>
        <w:contextualSpacing/>
        <w:jc w:val="both"/>
        <w:rPr>
          <w:rFonts w:ascii="Arial" w:eastAsia="Calibri" w:hAnsi="Arial" w:cs="Arial"/>
          <w:sz w:val="22"/>
          <w:szCs w:val="22"/>
        </w:rPr>
      </w:pPr>
    </w:p>
    <w:p w14:paraId="18D8EE40" w14:textId="1B14B621" w:rsidR="00A83B64" w:rsidRPr="00437A10" w:rsidRDefault="00A83B64" w:rsidP="006F180D">
      <w:pPr>
        <w:numPr>
          <w:ilvl w:val="0"/>
          <w:numId w:val="1"/>
        </w:numPr>
        <w:spacing w:before="100" w:beforeAutospacing="1" w:after="160" w:line="259" w:lineRule="auto"/>
        <w:contextualSpacing/>
        <w:jc w:val="both"/>
        <w:rPr>
          <w:rFonts w:ascii="Arial" w:eastAsia="Calibri" w:hAnsi="Arial" w:cs="Arial"/>
          <w:sz w:val="22"/>
          <w:szCs w:val="22"/>
        </w:rPr>
      </w:pPr>
      <w:r w:rsidRPr="00437A10">
        <w:rPr>
          <w:rFonts w:ascii="Arial" w:eastAsia="Calibri" w:hAnsi="Arial" w:cs="Arial"/>
          <w:sz w:val="22"/>
          <w:szCs w:val="22"/>
        </w:rPr>
        <w:t>Explique si existe alguna definición o criterio oficial para evaluar si un hogar enfrenta costos de vivienda por encima del nivel de asequibilidad en su país.</w:t>
      </w:r>
    </w:p>
    <w:p w14:paraId="38785186" w14:textId="1C87C5FC" w:rsidR="0059094C" w:rsidRPr="00437A10" w:rsidRDefault="00621F91" w:rsidP="006F2C8B">
      <w:pPr>
        <w:spacing w:before="100" w:beforeAutospacing="1" w:after="160" w:line="259" w:lineRule="auto"/>
        <w:jc w:val="both"/>
        <w:rPr>
          <w:rFonts w:ascii="Arial" w:eastAsia="Calibri" w:hAnsi="Arial" w:cs="Arial"/>
          <w:sz w:val="22"/>
          <w:szCs w:val="22"/>
        </w:rPr>
      </w:pPr>
      <w:r w:rsidRPr="00437A10">
        <w:rPr>
          <w:rFonts w:ascii="Arial" w:eastAsia="Calibri" w:hAnsi="Arial" w:cs="Arial"/>
          <w:sz w:val="22"/>
          <w:szCs w:val="22"/>
        </w:rPr>
        <w:t>No existe definición o criterio oficial para evaluar si un hogar enfrenta costos de vivienda por encima del nivel de asequibilidad.</w:t>
      </w:r>
      <w:r w:rsidR="006F2C8B" w:rsidRPr="00437A10">
        <w:rPr>
          <w:rFonts w:ascii="Arial" w:eastAsia="Calibri" w:hAnsi="Arial" w:cs="Arial"/>
          <w:sz w:val="22"/>
          <w:szCs w:val="22"/>
        </w:rPr>
        <w:t xml:space="preserve"> </w:t>
      </w:r>
      <w:r w:rsidR="0059094C" w:rsidRPr="00437A10">
        <w:rPr>
          <w:rFonts w:ascii="Arial" w:eastAsia="Calibri" w:hAnsi="Arial" w:cs="Arial"/>
          <w:sz w:val="22"/>
          <w:szCs w:val="22"/>
        </w:rPr>
        <w:t>A partir de la definición de asequibilidad dada por ONU HÁBITAT</w:t>
      </w:r>
      <w:r w:rsidR="007F5E6C" w:rsidRPr="00437A10">
        <w:rPr>
          <w:rFonts w:ascii="Arial" w:eastAsia="Calibri" w:hAnsi="Arial" w:cs="Arial"/>
          <w:sz w:val="22"/>
          <w:szCs w:val="22"/>
        </w:rPr>
        <w:t xml:space="preserve"> (2015)</w:t>
      </w:r>
      <w:r w:rsidR="0059094C" w:rsidRPr="00437A10">
        <w:rPr>
          <w:rFonts w:ascii="Arial" w:eastAsia="Calibri" w:hAnsi="Arial" w:cs="Arial"/>
          <w:sz w:val="22"/>
          <w:szCs w:val="22"/>
        </w:rPr>
        <w:t>, se considera que una vivienda es asequible si un hogar destina menos del 30% de su ingreso en ga</w:t>
      </w:r>
      <w:r w:rsidR="007F5E6C" w:rsidRPr="00437A10">
        <w:rPr>
          <w:rFonts w:ascii="Arial" w:eastAsia="Calibri" w:hAnsi="Arial" w:cs="Arial"/>
          <w:sz w:val="22"/>
          <w:szCs w:val="22"/>
        </w:rPr>
        <w:t xml:space="preserve">stos asociados a la vivienda. </w:t>
      </w:r>
    </w:p>
    <w:p w14:paraId="0302D166" w14:textId="30C1E556" w:rsidR="0059094C" w:rsidRPr="00437A10" w:rsidRDefault="0059094C" w:rsidP="0059094C">
      <w:pPr>
        <w:spacing w:after="160" w:line="259" w:lineRule="auto"/>
        <w:ind w:left="720"/>
        <w:contextualSpacing/>
        <w:jc w:val="both"/>
        <w:rPr>
          <w:rFonts w:ascii="Arial" w:eastAsia="Calibri" w:hAnsi="Arial" w:cs="Arial"/>
          <w:sz w:val="22"/>
          <w:szCs w:val="22"/>
        </w:rPr>
      </w:pPr>
    </w:p>
    <w:p w14:paraId="1987ECE3" w14:textId="57E30042" w:rsidR="005716C7" w:rsidRPr="00437A10" w:rsidRDefault="005716C7" w:rsidP="0059094C">
      <w:pPr>
        <w:spacing w:after="160" w:line="259" w:lineRule="auto"/>
        <w:ind w:left="720"/>
        <w:contextualSpacing/>
        <w:jc w:val="both"/>
        <w:rPr>
          <w:rFonts w:ascii="Arial" w:eastAsia="Calibri" w:hAnsi="Arial" w:cs="Arial"/>
          <w:sz w:val="22"/>
          <w:szCs w:val="22"/>
        </w:rPr>
      </w:pPr>
    </w:p>
    <w:p w14:paraId="3A8DD50B" w14:textId="40F4E940" w:rsidR="005716C7" w:rsidRPr="00437A10" w:rsidRDefault="005716C7" w:rsidP="0059094C">
      <w:pPr>
        <w:spacing w:after="160" w:line="259" w:lineRule="auto"/>
        <w:ind w:left="720"/>
        <w:contextualSpacing/>
        <w:jc w:val="both"/>
        <w:rPr>
          <w:rFonts w:ascii="Arial" w:eastAsia="Calibri" w:hAnsi="Arial" w:cs="Arial"/>
          <w:sz w:val="22"/>
          <w:szCs w:val="22"/>
        </w:rPr>
      </w:pPr>
    </w:p>
    <w:p w14:paraId="7C71BACF" w14:textId="77777777" w:rsidR="00A83B64" w:rsidRPr="00437A10" w:rsidRDefault="00A83B64" w:rsidP="00A83B64">
      <w:pPr>
        <w:numPr>
          <w:ilvl w:val="0"/>
          <w:numId w:val="1"/>
        </w:num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lastRenderedPageBreak/>
        <w:t>Comparta cualquier decisión judicial importante en su país que se relacione con el tema de la vivienda asequible o el disfrute de un nivel de vida mínimo, incluidas sentencias importantes sobre políticas estatales o medidas destinadas a garantizar la asequibilidad de la vivienda. Sírvase proporcionar, si es posible, un breve resumen de la decisión y un enlace a su texto.</w:t>
      </w:r>
    </w:p>
    <w:p w14:paraId="32189501" w14:textId="445EFD9F" w:rsidR="00A83B64" w:rsidRPr="00437A10" w:rsidRDefault="00A83B64" w:rsidP="00A83B64">
      <w:pPr>
        <w:spacing w:after="160" w:line="259" w:lineRule="auto"/>
        <w:ind w:left="720"/>
        <w:jc w:val="both"/>
        <w:rPr>
          <w:rFonts w:ascii="Arial" w:eastAsia="Calibri" w:hAnsi="Arial" w:cs="Arial"/>
          <w:sz w:val="22"/>
          <w:szCs w:val="22"/>
        </w:rPr>
      </w:pPr>
      <w:r w:rsidRPr="00437A10">
        <w:rPr>
          <w:rFonts w:ascii="Arial" w:eastAsia="Calibri" w:hAnsi="Arial" w:cs="Arial"/>
          <w:sz w:val="22"/>
          <w:szCs w:val="22"/>
        </w:rPr>
        <w:t>(por ejemplo, sentencias de tribunales internacionales, constitucionales, supremos o superiores, sobre medidas de control de alquileres o congelaciones de alquileres, acceso a subsidios de vivienda, vivienda pública o social, no discriminación e igualdad de acceso a viviendas asequibles, etc.)</w:t>
      </w:r>
    </w:p>
    <w:p w14:paraId="07A708EB" w14:textId="2A9A3FF5" w:rsidR="007F5E6C" w:rsidRPr="00437A10" w:rsidRDefault="007F5E6C" w:rsidP="007F5E6C">
      <w:pPr>
        <w:spacing w:after="160" w:line="259" w:lineRule="auto"/>
        <w:jc w:val="both"/>
        <w:rPr>
          <w:rFonts w:ascii="Arial" w:eastAsia="Calibri" w:hAnsi="Arial" w:cs="Arial"/>
          <w:sz w:val="22"/>
          <w:szCs w:val="22"/>
        </w:rPr>
      </w:pPr>
      <w:r w:rsidRPr="00437A10">
        <w:rPr>
          <w:rFonts w:ascii="Arial" w:eastAsia="Calibri" w:hAnsi="Arial" w:cs="Arial"/>
          <w:sz w:val="22"/>
          <w:szCs w:val="22"/>
        </w:rPr>
        <w:t>Al respecto de la asequibilidad, al ser una cuestión de manejo de mercado del suelo y al ser este informal, su consideración en el ámbito judicial no está directamente relacionado al derecho a la vivienda. De manera indirecta se podría analizar sentencias o autos constitucionales con referencia a la propiedad en materia civil y comercial, estrictamente, pero no revisten los elementos que hacen al DDHH a la vivienda, en específico a la asequibilidad.</w:t>
      </w:r>
    </w:p>
    <w:p w14:paraId="10A6A5A6" w14:textId="23329CF4" w:rsidR="007F5E6C" w:rsidRPr="00437A10" w:rsidRDefault="00FF6F93" w:rsidP="007F5E6C">
      <w:pPr>
        <w:spacing w:after="160" w:line="259" w:lineRule="auto"/>
        <w:jc w:val="both"/>
        <w:rPr>
          <w:rFonts w:ascii="Arial" w:eastAsia="Calibri" w:hAnsi="Arial" w:cs="Arial"/>
          <w:sz w:val="22"/>
          <w:szCs w:val="22"/>
        </w:rPr>
      </w:pPr>
      <w:r w:rsidRPr="00437A10">
        <w:rPr>
          <w:rFonts w:ascii="Arial" w:eastAsia="Calibri" w:hAnsi="Arial" w:cs="Arial"/>
          <w:sz w:val="22"/>
          <w:szCs w:val="22"/>
        </w:rPr>
        <w:t>E</w:t>
      </w:r>
      <w:r w:rsidR="007F5E6C" w:rsidRPr="00437A10">
        <w:rPr>
          <w:rFonts w:ascii="Arial" w:eastAsia="Calibri" w:hAnsi="Arial" w:cs="Arial"/>
          <w:sz w:val="22"/>
          <w:szCs w:val="22"/>
        </w:rPr>
        <w:t xml:space="preserve">n esta predominancia del </w:t>
      </w:r>
      <w:r w:rsidRPr="00437A10">
        <w:rPr>
          <w:rFonts w:ascii="Arial" w:eastAsia="Calibri" w:hAnsi="Arial" w:cs="Arial"/>
          <w:sz w:val="22"/>
          <w:szCs w:val="22"/>
        </w:rPr>
        <w:t xml:space="preserve">accionar del </w:t>
      </w:r>
      <w:r w:rsidR="007F5E6C" w:rsidRPr="00437A10">
        <w:rPr>
          <w:rFonts w:ascii="Arial" w:eastAsia="Calibri" w:hAnsi="Arial" w:cs="Arial"/>
          <w:sz w:val="22"/>
          <w:szCs w:val="22"/>
        </w:rPr>
        <w:t>ámbito judicial de la viv</w:t>
      </w:r>
      <w:r w:rsidRPr="00437A10">
        <w:rPr>
          <w:rFonts w:ascii="Arial" w:eastAsia="Calibri" w:hAnsi="Arial" w:cs="Arial"/>
          <w:sz w:val="22"/>
          <w:szCs w:val="22"/>
        </w:rPr>
        <w:t>i</w:t>
      </w:r>
      <w:r w:rsidR="007F5E6C" w:rsidRPr="00437A10">
        <w:rPr>
          <w:rFonts w:ascii="Arial" w:eastAsia="Calibri" w:hAnsi="Arial" w:cs="Arial"/>
          <w:sz w:val="22"/>
          <w:szCs w:val="22"/>
        </w:rPr>
        <w:t>enda, en el ámbito concreto del derecho a la vivienda, encontramos algunas sentencias del Tribunal Constitucional Plurinacional (TCP), en las que se determina su contenido y en las cuales ha tenido en cuenta los posicionamientos más progresistas de organismos internacionales:</w:t>
      </w:r>
      <w:r w:rsidR="007F5E6C" w:rsidRPr="00437A10">
        <w:rPr>
          <w:rStyle w:val="FootnoteReference"/>
          <w:rFonts w:ascii="Arial" w:eastAsia="Calibri" w:hAnsi="Arial" w:cs="Arial"/>
          <w:sz w:val="22"/>
          <w:szCs w:val="22"/>
        </w:rPr>
        <w:footnoteReference w:id="1"/>
      </w:r>
      <w:r w:rsidR="007F5E6C" w:rsidRPr="00437A10">
        <w:rPr>
          <w:rFonts w:ascii="Arial" w:eastAsia="Calibri" w:hAnsi="Arial" w:cs="Arial"/>
          <w:sz w:val="22"/>
          <w:szCs w:val="22"/>
        </w:rPr>
        <w:t xml:space="preserve">  </w:t>
      </w:r>
    </w:p>
    <w:p w14:paraId="6AD5A255" w14:textId="3BD27539" w:rsidR="00C96550" w:rsidRPr="00437A10" w:rsidRDefault="00B32227" w:rsidP="007D47B3">
      <w:pPr>
        <w:pStyle w:val="ListParagraph"/>
        <w:numPr>
          <w:ilvl w:val="0"/>
          <w:numId w:val="7"/>
        </w:numPr>
        <w:spacing w:line="259" w:lineRule="auto"/>
        <w:jc w:val="both"/>
        <w:rPr>
          <w:rFonts w:ascii="Arial" w:eastAsia="Calibri" w:hAnsi="Arial" w:cs="Arial"/>
          <w:i/>
          <w:sz w:val="22"/>
          <w:szCs w:val="22"/>
        </w:rPr>
      </w:pPr>
      <w:r w:rsidRPr="00437A10">
        <w:rPr>
          <w:rFonts w:ascii="Arial" w:eastAsia="Calibri" w:hAnsi="Arial" w:cs="Arial"/>
          <w:i/>
          <w:sz w:val="22"/>
          <w:szCs w:val="22"/>
        </w:rPr>
        <w:t xml:space="preserve">Sentencia </w:t>
      </w:r>
      <w:r w:rsidR="00850BBB" w:rsidRPr="00437A10">
        <w:rPr>
          <w:rFonts w:ascii="Arial" w:eastAsia="Calibri" w:hAnsi="Arial" w:cs="Arial"/>
          <w:i/>
          <w:sz w:val="22"/>
          <w:szCs w:val="22"/>
        </w:rPr>
        <w:t xml:space="preserve">constitucional </w:t>
      </w:r>
      <w:r w:rsidRPr="00437A10">
        <w:rPr>
          <w:rFonts w:ascii="Arial" w:eastAsia="Calibri" w:hAnsi="Arial" w:cs="Arial"/>
          <w:i/>
          <w:sz w:val="22"/>
          <w:szCs w:val="22"/>
        </w:rPr>
        <w:t>0426/2012</w:t>
      </w:r>
      <w:r w:rsidR="006B2163" w:rsidRPr="00437A10">
        <w:rPr>
          <w:rFonts w:ascii="Arial" w:eastAsia="Calibri" w:hAnsi="Arial" w:cs="Arial"/>
          <w:i/>
          <w:sz w:val="22"/>
          <w:szCs w:val="22"/>
        </w:rPr>
        <w:t>.</w:t>
      </w:r>
      <w:r w:rsidRPr="00437A10">
        <w:rPr>
          <w:rFonts w:ascii="Arial" w:eastAsia="Calibri" w:hAnsi="Arial" w:cs="Arial"/>
          <w:i/>
          <w:sz w:val="22"/>
          <w:szCs w:val="22"/>
        </w:rPr>
        <w:t xml:space="preserve"> </w:t>
      </w:r>
      <w:r w:rsidR="00CE1B7B" w:rsidRPr="00437A10">
        <w:rPr>
          <w:rFonts w:ascii="Arial" w:hAnsi="Arial" w:cs="Arial"/>
          <w:i/>
          <w:sz w:val="22"/>
          <w:szCs w:val="22"/>
          <w:shd w:val="clear" w:color="auto" w:fill="FFFFFF"/>
        </w:rPr>
        <w:t> </w:t>
      </w:r>
      <w:r w:rsidR="00CE1B7B" w:rsidRPr="00437A10">
        <w:rPr>
          <w:rFonts w:ascii="Arial" w:eastAsia="Calibri" w:hAnsi="Arial" w:cs="Arial"/>
          <w:i/>
          <w:sz w:val="22"/>
          <w:szCs w:val="22"/>
        </w:rPr>
        <w:t>III.2. Definición y contenido del derecho a la vivienda</w:t>
      </w:r>
      <w:r w:rsidR="009726F9" w:rsidRPr="00437A10">
        <w:rPr>
          <w:rFonts w:ascii="Arial" w:eastAsia="Calibri" w:hAnsi="Arial" w:cs="Arial"/>
          <w:i/>
          <w:sz w:val="22"/>
          <w:szCs w:val="22"/>
        </w:rPr>
        <w:t xml:space="preserve">. </w:t>
      </w:r>
      <w:r w:rsidR="006B2163" w:rsidRPr="00437A10">
        <w:rPr>
          <w:rFonts w:ascii="Arial" w:eastAsia="Calibri" w:hAnsi="Arial" w:cs="Arial"/>
          <w:i/>
          <w:sz w:val="22"/>
          <w:szCs w:val="22"/>
        </w:rPr>
        <w:t>N</w:t>
      </w:r>
      <w:r w:rsidR="00CE1B7B" w:rsidRPr="00437A10">
        <w:rPr>
          <w:rFonts w:ascii="Arial" w:eastAsia="Calibri" w:hAnsi="Arial" w:cs="Arial"/>
          <w:i/>
          <w:sz w:val="22"/>
          <w:szCs w:val="22"/>
        </w:rPr>
        <w:t xml:space="preserve">os muestra el interés </w:t>
      </w:r>
      <w:r w:rsidR="00895820" w:rsidRPr="00437A10">
        <w:rPr>
          <w:rFonts w:ascii="Arial" w:eastAsia="Calibri" w:hAnsi="Arial" w:cs="Arial"/>
          <w:i/>
          <w:sz w:val="22"/>
          <w:szCs w:val="22"/>
        </w:rPr>
        <w:t xml:space="preserve">del TCP </w:t>
      </w:r>
      <w:r w:rsidR="00CE1B7B" w:rsidRPr="00437A10">
        <w:rPr>
          <w:rFonts w:ascii="Arial" w:eastAsia="Calibri" w:hAnsi="Arial" w:cs="Arial"/>
          <w:i/>
          <w:sz w:val="22"/>
          <w:szCs w:val="22"/>
        </w:rPr>
        <w:t>por definir el derecho a la vivienda con base en lo establecido por distintos actores internacionales especializados en esta materia. Pero también se tomaron en consideración los instrumentos internacionales, tratados y declaraciones que, a nivel universal y regional, se han establecido en materia de vivienda</w:t>
      </w:r>
      <w:r w:rsidR="007D47B3" w:rsidRPr="00437A10">
        <w:rPr>
          <w:rFonts w:ascii="Arial" w:eastAsia="Calibri" w:hAnsi="Arial" w:cs="Arial"/>
          <w:i/>
          <w:sz w:val="22"/>
          <w:szCs w:val="22"/>
        </w:rPr>
        <w:t xml:space="preserve">. </w:t>
      </w:r>
      <w:r w:rsidR="006B2163" w:rsidRPr="00437A10">
        <w:rPr>
          <w:rFonts w:ascii="Arial" w:eastAsia="Calibri" w:hAnsi="Arial" w:cs="Arial"/>
          <w:i/>
          <w:sz w:val="22"/>
          <w:szCs w:val="22"/>
        </w:rPr>
        <w:t xml:space="preserve">…. la vivienda es un derecho humano fundamental y como tal, obliga a sus gobiernos a respetarla, protegerla y garantizarla; es decir, que “como derecho humano, el derecho a la vivienda no es una opción política que los Estados puedan seguir o no seguir. Su reconocimiento implica una obligación jurídica </w:t>
      </w:r>
      <w:r w:rsidR="008B5316" w:rsidRPr="00437A10">
        <w:rPr>
          <w:rFonts w:ascii="Arial" w:eastAsia="Calibri" w:hAnsi="Arial" w:cs="Arial"/>
          <w:i/>
          <w:sz w:val="22"/>
          <w:szCs w:val="22"/>
        </w:rPr>
        <w:t>para los Estados” (ONU-Hábitat)</w:t>
      </w:r>
      <w:r w:rsidR="008B5316" w:rsidRPr="00437A10">
        <w:rPr>
          <w:rFonts w:ascii="Arial" w:hAnsi="Arial" w:cs="Arial"/>
          <w:sz w:val="22"/>
          <w:szCs w:val="22"/>
        </w:rPr>
        <w:t xml:space="preserve"> (P. 9).</w:t>
      </w:r>
    </w:p>
    <w:p w14:paraId="7EA35091" w14:textId="748832A1" w:rsidR="006B2163" w:rsidRPr="00437A10" w:rsidRDefault="0068271B" w:rsidP="007D47B3">
      <w:pPr>
        <w:spacing w:after="160" w:line="259" w:lineRule="auto"/>
        <w:ind w:firstLine="360"/>
        <w:jc w:val="both"/>
        <w:rPr>
          <w:rFonts w:ascii="Arial" w:eastAsia="Calibri" w:hAnsi="Arial" w:cs="Arial"/>
          <w:i/>
          <w:sz w:val="22"/>
          <w:szCs w:val="22"/>
        </w:rPr>
      </w:pPr>
      <w:hyperlink r:id="rId8" w:history="1">
        <w:r w:rsidR="006B2163" w:rsidRPr="00437A10">
          <w:rPr>
            <w:rStyle w:val="Hyperlink"/>
            <w:rFonts w:ascii="Arial" w:eastAsia="Calibri" w:hAnsi="Arial" w:cs="Arial"/>
            <w:i/>
            <w:color w:val="auto"/>
            <w:sz w:val="22"/>
            <w:szCs w:val="22"/>
          </w:rPr>
          <w:t>https://jurisprudencia.tcpbolivia.bo/Fichas/ObtieneResolucion?idFicha=15366</w:t>
        </w:r>
      </w:hyperlink>
    </w:p>
    <w:p w14:paraId="0557ACB7" w14:textId="0D48B631" w:rsidR="006B2163" w:rsidRPr="00437A10" w:rsidRDefault="006B2163" w:rsidP="00D07223">
      <w:pPr>
        <w:pStyle w:val="NormalWeb"/>
        <w:numPr>
          <w:ilvl w:val="0"/>
          <w:numId w:val="7"/>
        </w:numPr>
        <w:shd w:val="clear" w:color="auto" w:fill="FFFFFF"/>
        <w:spacing w:before="0" w:beforeAutospacing="0" w:after="0" w:afterAutospacing="0"/>
        <w:jc w:val="both"/>
        <w:rPr>
          <w:rFonts w:ascii="Arial" w:hAnsi="Arial" w:cs="Arial"/>
          <w:i/>
          <w:sz w:val="22"/>
          <w:szCs w:val="22"/>
        </w:rPr>
      </w:pPr>
      <w:r w:rsidRPr="00437A10">
        <w:rPr>
          <w:rFonts w:ascii="Arial" w:eastAsia="Calibri" w:hAnsi="Arial" w:cs="Arial"/>
          <w:i/>
          <w:sz w:val="22"/>
          <w:szCs w:val="22"/>
          <w:lang w:val="es" w:eastAsia="en-US"/>
        </w:rPr>
        <w:t xml:space="preserve">Sentencia </w:t>
      </w:r>
      <w:r w:rsidR="00850BBB" w:rsidRPr="00437A10">
        <w:rPr>
          <w:rFonts w:ascii="Arial" w:eastAsia="Calibri" w:hAnsi="Arial" w:cs="Arial"/>
          <w:i/>
          <w:sz w:val="22"/>
          <w:szCs w:val="22"/>
          <w:lang w:val="es" w:eastAsia="en-US"/>
        </w:rPr>
        <w:t xml:space="preserve">constitucional </w:t>
      </w:r>
      <w:r w:rsidRPr="00437A10">
        <w:rPr>
          <w:rFonts w:ascii="Arial" w:eastAsia="Calibri" w:hAnsi="Arial" w:cs="Arial"/>
          <w:i/>
          <w:sz w:val="22"/>
          <w:szCs w:val="22"/>
          <w:lang w:val="es" w:eastAsia="en-US"/>
        </w:rPr>
        <w:t xml:space="preserve">0897/2013, </w:t>
      </w:r>
      <w:r w:rsidRPr="00437A10">
        <w:rPr>
          <w:rFonts w:ascii="Arial" w:hAnsi="Arial" w:cs="Arial"/>
          <w:i/>
          <w:sz w:val="22"/>
          <w:szCs w:val="22"/>
        </w:rPr>
        <w:t>III.4. Sobre la definición y conte</w:t>
      </w:r>
      <w:r w:rsidR="009726F9" w:rsidRPr="00437A10">
        <w:rPr>
          <w:rFonts w:ascii="Arial" w:hAnsi="Arial" w:cs="Arial"/>
          <w:i/>
          <w:sz w:val="22"/>
          <w:szCs w:val="22"/>
        </w:rPr>
        <w:t xml:space="preserve">nido del derecho a la vivienda. </w:t>
      </w:r>
      <w:r w:rsidRPr="00437A10">
        <w:rPr>
          <w:rFonts w:ascii="Arial" w:eastAsia="Calibri" w:hAnsi="Arial" w:cs="Arial"/>
          <w:i/>
          <w:sz w:val="22"/>
          <w:szCs w:val="22"/>
          <w:lang w:eastAsia="en-US"/>
        </w:rPr>
        <w:t>E</w:t>
      </w:r>
      <w:r w:rsidRPr="00437A10">
        <w:rPr>
          <w:rFonts w:ascii="Arial" w:eastAsia="Calibri" w:hAnsi="Arial" w:cs="Arial"/>
          <w:i/>
          <w:sz w:val="22"/>
          <w:szCs w:val="22"/>
          <w:lang w:val="es" w:eastAsia="en-US"/>
        </w:rPr>
        <w:t xml:space="preserve">l </w:t>
      </w:r>
      <w:r w:rsidR="00850BBB" w:rsidRPr="00437A10">
        <w:rPr>
          <w:rFonts w:ascii="Arial" w:eastAsia="Calibri" w:hAnsi="Arial" w:cs="Arial"/>
          <w:i/>
          <w:sz w:val="22"/>
          <w:szCs w:val="22"/>
          <w:lang w:val="es" w:eastAsia="en-US"/>
        </w:rPr>
        <w:t>TCP</w:t>
      </w:r>
      <w:r w:rsidRPr="00437A10">
        <w:rPr>
          <w:rFonts w:ascii="Arial" w:eastAsia="Calibri" w:hAnsi="Arial" w:cs="Arial"/>
          <w:i/>
          <w:sz w:val="22"/>
          <w:szCs w:val="22"/>
          <w:lang w:val="es" w:eastAsia="en-US"/>
        </w:rPr>
        <w:t xml:space="preserve"> ha interpretado, dada su “naturaleza profundamente humana”, de forma amplia el alcance del derecho a la vivienda que constituiría:</w:t>
      </w:r>
      <w:bookmarkStart w:id="1" w:name="idp8243696"/>
      <w:bookmarkEnd w:id="1"/>
    </w:p>
    <w:p w14:paraId="530EA050" w14:textId="66A28F13" w:rsidR="006B2163" w:rsidRPr="00437A10" w:rsidRDefault="006B2163" w:rsidP="00E06E80">
      <w:pPr>
        <w:pStyle w:val="NormalWeb"/>
        <w:shd w:val="clear" w:color="auto" w:fill="FFFFFF"/>
        <w:spacing w:before="0" w:beforeAutospacing="0" w:after="0" w:afterAutospacing="0"/>
        <w:ind w:left="360"/>
        <w:jc w:val="both"/>
        <w:rPr>
          <w:rFonts w:ascii="Arial" w:hAnsi="Arial" w:cs="Arial"/>
          <w:i/>
          <w:sz w:val="22"/>
          <w:szCs w:val="22"/>
        </w:rPr>
      </w:pPr>
      <w:r w:rsidRPr="00437A10">
        <w:rPr>
          <w:rFonts w:ascii="Arial" w:hAnsi="Arial" w:cs="Arial"/>
          <w:i/>
          <w:sz w:val="22"/>
          <w:szCs w:val="22"/>
        </w:rPr>
        <w:t>1) La protección legal contra actos injustificados de desalojo.</w:t>
      </w:r>
    </w:p>
    <w:p w14:paraId="7328F626" w14:textId="77777777" w:rsidR="006B2163" w:rsidRPr="00437A10" w:rsidRDefault="006B2163" w:rsidP="00E06E80">
      <w:pPr>
        <w:pStyle w:val="NormalWeb"/>
        <w:shd w:val="clear" w:color="auto" w:fill="FFFFFF"/>
        <w:spacing w:before="0" w:beforeAutospacing="0" w:after="0" w:afterAutospacing="0"/>
        <w:ind w:left="360"/>
        <w:jc w:val="both"/>
        <w:rPr>
          <w:rFonts w:ascii="Arial" w:hAnsi="Arial" w:cs="Arial"/>
          <w:i/>
          <w:sz w:val="22"/>
          <w:szCs w:val="22"/>
        </w:rPr>
      </w:pPr>
      <w:r w:rsidRPr="00437A10">
        <w:rPr>
          <w:rFonts w:ascii="Arial" w:hAnsi="Arial" w:cs="Arial"/>
          <w:i/>
          <w:sz w:val="22"/>
          <w:szCs w:val="22"/>
        </w:rPr>
        <w:t>2) Acceso a servicios de agua potable, sanitarios, electricidad y gas domiciliario, extensible a los materiales, equipamiento e infraestructura necesaria.</w:t>
      </w:r>
    </w:p>
    <w:p w14:paraId="05780EE3" w14:textId="77777777" w:rsidR="006B2163" w:rsidRPr="00437A10" w:rsidRDefault="006B2163" w:rsidP="00E06E80">
      <w:pPr>
        <w:pStyle w:val="NormalWeb"/>
        <w:shd w:val="clear" w:color="auto" w:fill="FFFFFF"/>
        <w:spacing w:before="0" w:beforeAutospacing="0" w:after="0" w:afterAutospacing="0"/>
        <w:ind w:left="360"/>
        <w:jc w:val="both"/>
        <w:rPr>
          <w:rFonts w:ascii="Arial" w:hAnsi="Arial" w:cs="Arial"/>
          <w:i/>
          <w:sz w:val="22"/>
          <w:szCs w:val="22"/>
        </w:rPr>
      </w:pPr>
      <w:r w:rsidRPr="00437A10">
        <w:rPr>
          <w:rFonts w:ascii="Arial" w:hAnsi="Arial" w:cs="Arial"/>
          <w:i/>
          <w:sz w:val="22"/>
          <w:szCs w:val="22"/>
        </w:rPr>
        <w:t>3) El costo accesible, incluso mediante subsidios para vivienda, y protección contra arrendatarios que se excedan.</w:t>
      </w:r>
    </w:p>
    <w:p w14:paraId="69DFD056" w14:textId="77777777" w:rsidR="006B2163" w:rsidRPr="00437A10" w:rsidRDefault="006B2163" w:rsidP="00E06E80">
      <w:pPr>
        <w:pStyle w:val="NormalWeb"/>
        <w:shd w:val="clear" w:color="auto" w:fill="FFFFFF"/>
        <w:spacing w:before="0" w:beforeAutospacing="0" w:after="0" w:afterAutospacing="0"/>
        <w:ind w:left="360"/>
        <w:jc w:val="both"/>
        <w:rPr>
          <w:rFonts w:ascii="Arial" w:hAnsi="Arial" w:cs="Arial"/>
          <w:i/>
          <w:sz w:val="22"/>
          <w:szCs w:val="22"/>
        </w:rPr>
      </w:pPr>
      <w:r w:rsidRPr="00437A10">
        <w:rPr>
          <w:rFonts w:ascii="Arial" w:hAnsi="Arial" w:cs="Arial"/>
          <w:i/>
          <w:sz w:val="22"/>
          <w:szCs w:val="22"/>
        </w:rPr>
        <w:t>4) La habitabilidad, incluida la protección contra el frío, la humedad, el calor, la lluvia, el viento y las enfermedades.</w:t>
      </w:r>
    </w:p>
    <w:p w14:paraId="4A486415" w14:textId="77777777" w:rsidR="006B2163" w:rsidRPr="00437A10" w:rsidRDefault="006B2163" w:rsidP="00E06E80">
      <w:pPr>
        <w:pStyle w:val="NormalWeb"/>
        <w:shd w:val="clear" w:color="auto" w:fill="FFFFFF"/>
        <w:spacing w:before="0" w:beforeAutospacing="0" w:after="0" w:afterAutospacing="0"/>
        <w:ind w:left="360"/>
        <w:jc w:val="both"/>
        <w:rPr>
          <w:rFonts w:ascii="Arial" w:hAnsi="Arial" w:cs="Arial"/>
          <w:i/>
          <w:sz w:val="22"/>
          <w:szCs w:val="22"/>
        </w:rPr>
      </w:pPr>
      <w:r w:rsidRPr="00437A10">
        <w:rPr>
          <w:rFonts w:ascii="Arial" w:hAnsi="Arial" w:cs="Arial"/>
          <w:i/>
          <w:sz w:val="22"/>
          <w:szCs w:val="22"/>
        </w:rPr>
        <w:t>5) El acceso fácil para los grupos desfavorecidos, incluidas las personas ancianas, los niños, las personas con discapacidades físicas y las víctimas de catástrofes naturales.</w:t>
      </w:r>
    </w:p>
    <w:p w14:paraId="22EC9A00" w14:textId="06D996D2" w:rsidR="008B5316" w:rsidRPr="00437A10" w:rsidRDefault="006B2163" w:rsidP="00E06E80">
      <w:pPr>
        <w:pStyle w:val="NormalWeb"/>
        <w:shd w:val="clear" w:color="auto" w:fill="FFFFFF"/>
        <w:spacing w:before="0" w:beforeAutospacing="0" w:after="0" w:afterAutospacing="0"/>
        <w:ind w:left="360"/>
        <w:jc w:val="both"/>
        <w:rPr>
          <w:rFonts w:ascii="Arial" w:hAnsi="Arial" w:cs="Arial"/>
          <w:sz w:val="22"/>
          <w:szCs w:val="22"/>
        </w:rPr>
      </w:pPr>
      <w:r w:rsidRPr="00437A10">
        <w:rPr>
          <w:rFonts w:ascii="Arial" w:hAnsi="Arial" w:cs="Arial"/>
          <w:i/>
          <w:sz w:val="22"/>
          <w:szCs w:val="22"/>
        </w:rPr>
        <w:t>6. Estar alejado de fuentes de contaminación cercano</w:t>
      </w:r>
      <w:r w:rsidR="008B5316" w:rsidRPr="00437A10">
        <w:rPr>
          <w:rFonts w:ascii="Arial" w:hAnsi="Arial" w:cs="Arial"/>
          <w:i/>
          <w:sz w:val="22"/>
          <w:szCs w:val="22"/>
        </w:rPr>
        <w:t xml:space="preserve">s a los servicios básicos </w:t>
      </w:r>
      <w:r w:rsidR="008B5316" w:rsidRPr="00437A10">
        <w:rPr>
          <w:rFonts w:ascii="Arial" w:hAnsi="Arial" w:cs="Arial"/>
          <w:sz w:val="22"/>
          <w:szCs w:val="22"/>
        </w:rPr>
        <w:t>(P. 26</w:t>
      </w:r>
      <w:r w:rsidRPr="00437A10">
        <w:rPr>
          <w:rFonts w:ascii="Arial" w:hAnsi="Arial" w:cs="Arial"/>
          <w:sz w:val="22"/>
          <w:szCs w:val="22"/>
        </w:rPr>
        <w:t>).</w:t>
      </w:r>
    </w:p>
    <w:p w14:paraId="647BABB6" w14:textId="5FD0E5BA" w:rsidR="00B4344E" w:rsidRPr="00437A10" w:rsidRDefault="00B4344E" w:rsidP="00E06E80">
      <w:pPr>
        <w:pStyle w:val="NormalWeb"/>
        <w:shd w:val="clear" w:color="auto" w:fill="FFFFFF"/>
        <w:spacing w:before="0" w:beforeAutospacing="0" w:after="0" w:afterAutospacing="0"/>
        <w:ind w:left="360"/>
        <w:jc w:val="both"/>
        <w:rPr>
          <w:rFonts w:ascii="Arial" w:eastAsia="Calibri" w:hAnsi="Arial" w:cs="Arial"/>
          <w:i/>
          <w:sz w:val="22"/>
          <w:szCs w:val="22"/>
          <w:lang w:val="es" w:eastAsia="en-US"/>
        </w:rPr>
      </w:pPr>
      <w:r w:rsidRPr="00437A10">
        <w:rPr>
          <w:rFonts w:ascii="Arial" w:eastAsia="Calibri" w:hAnsi="Arial" w:cs="Arial"/>
          <w:i/>
          <w:sz w:val="22"/>
          <w:szCs w:val="22"/>
          <w:lang w:val="es" w:eastAsia="en-US"/>
        </w:rPr>
        <w:t xml:space="preserve">Destaca el mandato que el TCP le da al Estado de garantizar el costo accesible a la vivienda y el acceso a la misma a los grupos vulnerables. Igualmente es importante </w:t>
      </w:r>
      <w:r w:rsidRPr="00437A10">
        <w:rPr>
          <w:rFonts w:ascii="Arial" w:eastAsia="Calibri" w:hAnsi="Arial" w:cs="Arial"/>
          <w:i/>
          <w:sz w:val="22"/>
          <w:szCs w:val="22"/>
          <w:lang w:val="es" w:eastAsia="en-US"/>
        </w:rPr>
        <w:lastRenderedPageBreak/>
        <w:t>señalar que esta sentencia relaciona el derecho a la vivienda con otros derechos como el agua, el alcantarillado y los servicios básicos, pero también con un ambiente saludable, interrelacionándose la vivienda con el hábitat.</w:t>
      </w:r>
    </w:p>
    <w:p w14:paraId="56346899" w14:textId="2BB1EEC6" w:rsidR="006B2163" w:rsidRPr="00437A10" w:rsidRDefault="0068271B" w:rsidP="00E06E80">
      <w:pPr>
        <w:pStyle w:val="NormalWeb"/>
        <w:shd w:val="clear" w:color="auto" w:fill="FFFFFF"/>
        <w:spacing w:before="0" w:beforeAutospacing="0"/>
        <w:ind w:left="360"/>
        <w:rPr>
          <w:rFonts w:ascii="Arial" w:hAnsi="Arial" w:cs="Arial"/>
          <w:sz w:val="22"/>
          <w:szCs w:val="22"/>
        </w:rPr>
      </w:pPr>
      <w:hyperlink r:id="rId9" w:history="1">
        <w:r w:rsidR="008B5316" w:rsidRPr="00437A10">
          <w:rPr>
            <w:rStyle w:val="Hyperlink"/>
            <w:rFonts w:ascii="Arial" w:hAnsi="Arial" w:cs="Arial"/>
            <w:color w:val="auto"/>
            <w:sz w:val="22"/>
            <w:szCs w:val="22"/>
          </w:rPr>
          <w:t>https://jurisprudencia.tcpbolivia.bo/Fichas/ObtieneResolucion?idFicha=11071</w:t>
        </w:r>
      </w:hyperlink>
    </w:p>
    <w:p w14:paraId="68287BFE" w14:textId="48289428" w:rsidR="00850BBB" w:rsidRPr="00437A10" w:rsidRDefault="00850BBB" w:rsidP="00B76D13">
      <w:pPr>
        <w:pStyle w:val="NormalWeb"/>
        <w:numPr>
          <w:ilvl w:val="0"/>
          <w:numId w:val="7"/>
        </w:numPr>
        <w:shd w:val="clear" w:color="auto" w:fill="FFFFFF"/>
        <w:spacing w:before="0" w:beforeAutospacing="0" w:after="240" w:afterAutospacing="0"/>
        <w:jc w:val="both"/>
        <w:rPr>
          <w:rStyle w:val="Hyperlink"/>
          <w:rFonts w:ascii="Arial" w:hAnsi="Arial" w:cs="Arial"/>
          <w:color w:val="auto"/>
          <w:sz w:val="20"/>
          <w:szCs w:val="20"/>
          <w:u w:val="none"/>
        </w:rPr>
      </w:pPr>
      <w:r w:rsidRPr="00437A10">
        <w:rPr>
          <w:rFonts w:ascii="Arial" w:eastAsia="Calibri" w:hAnsi="Arial" w:cs="Arial"/>
          <w:i/>
          <w:sz w:val="22"/>
          <w:szCs w:val="22"/>
          <w:lang w:val="es" w:eastAsia="en-US"/>
        </w:rPr>
        <w:t xml:space="preserve">Sentencia constitucional 2233/2013, </w:t>
      </w:r>
      <w:r w:rsidRPr="00437A10">
        <w:rPr>
          <w:rFonts w:ascii="Arial" w:hAnsi="Arial" w:cs="Arial"/>
          <w:i/>
          <w:sz w:val="22"/>
          <w:szCs w:val="22"/>
        </w:rPr>
        <w:t>III.3. Aplicación del estándar más alto de la jurisprudencia constitucional</w:t>
      </w:r>
      <w:r w:rsidR="009726F9" w:rsidRPr="00437A10">
        <w:rPr>
          <w:rFonts w:ascii="Arial" w:hAnsi="Arial" w:cs="Arial"/>
          <w:i/>
          <w:sz w:val="22"/>
          <w:szCs w:val="22"/>
        </w:rPr>
        <w:t>. E</w:t>
      </w:r>
      <w:r w:rsidR="008C6B23" w:rsidRPr="00437A10">
        <w:rPr>
          <w:rFonts w:ascii="Arial" w:hAnsi="Arial" w:cs="Arial"/>
          <w:i/>
          <w:sz w:val="22"/>
          <w:szCs w:val="22"/>
        </w:rPr>
        <w:t xml:space="preserve">stableció que siempre, en caso de controversia, se deben aplicar las normas y estándares en materia de derechos humanos más altos y favorables. Plantea concretamente cómo llevar a cabo la interpretación de la Constitución y de los tratados internacionales de derechos humanos que forman parte del bloque de constitucionalidad: </w:t>
      </w:r>
      <w:r w:rsidR="00895820" w:rsidRPr="00437A10">
        <w:rPr>
          <w:rFonts w:ascii="Arial" w:hAnsi="Arial" w:cs="Arial"/>
          <w:i/>
          <w:sz w:val="22"/>
          <w:szCs w:val="22"/>
        </w:rPr>
        <w:t xml:space="preserve">“El método de identificación del estándar más alto en la jurisprudencia constitucional, es a través de un examen o análisis integral de la línea jurisprudencial, de tal forma que el precedente constitucional en vigor se constituirá en aquél que resulte de dicha comparación.” </w:t>
      </w:r>
      <w:r w:rsidR="006B2163" w:rsidRPr="00437A10">
        <w:rPr>
          <w:rFonts w:ascii="Arial" w:hAnsi="Arial" w:cs="Arial"/>
          <w:i/>
          <w:sz w:val="22"/>
          <w:szCs w:val="22"/>
        </w:rPr>
        <w:t xml:space="preserve">Lo que implica tomar estos estándares como referencia para la interpretación del derecho a la vivienda en otras ocasiones. </w:t>
      </w:r>
      <w:hyperlink r:id="rId10" w:history="1">
        <w:r w:rsidRPr="00437A10">
          <w:rPr>
            <w:rStyle w:val="Hyperlink"/>
            <w:rFonts w:ascii="Arial" w:hAnsi="Arial" w:cs="Arial"/>
            <w:color w:val="auto"/>
            <w:sz w:val="20"/>
            <w:szCs w:val="20"/>
          </w:rPr>
          <w:t>https://jurisprudencia.tcpbolivia.bo/Fichas/ObtieneResolucion?idFicha=24942</w:t>
        </w:r>
      </w:hyperlink>
    </w:p>
    <w:p w14:paraId="020B2511" w14:textId="26C83E4F" w:rsidR="008165C8" w:rsidRPr="00437A10" w:rsidRDefault="00FF6F93" w:rsidP="00E06E80">
      <w:pPr>
        <w:pStyle w:val="NormalWeb"/>
        <w:shd w:val="clear" w:color="auto" w:fill="FFFFFF"/>
        <w:spacing w:before="0" w:beforeAutospacing="0" w:after="240" w:afterAutospacing="0"/>
        <w:jc w:val="both"/>
        <w:rPr>
          <w:rFonts w:ascii="Arial" w:hAnsi="Arial" w:cs="Arial"/>
          <w:i/>
          <w:sz w:val="20"/>
          <w:szCs w:val="20"/>
        </w:rPr>
      </w:pPr>
      <w:r w:rsidRPr="00437A10">
        <w:rPr>
          <w:rFonts w:ascii="Arial" w:hAnsi="Arial" w:cs="Arial"/>
          <w:i/>
          <w:sz w:val="22"/>
          <w:szCs w:val="22"/>
        </w:rPr>
        <w:t xml:space="preserve">En </w:t>
      </w:r>
      <w:r w:rsidR="008165C8" w:rsidRPr="00437A10">
        <w:rPr>
          <w:rFonts w:ascii="Arial" w:hAnsi="Arial" w:cs="Arial"/>
          <w:i/>
          <w:sz w:val="22"/>
          <w:szCs w:val="22"/>
        </w:rPr>
        <w:t>caso</w:t>
      </w:r>
      <w:r w:rsidRPr="00437A10">
        <w:rPr>
          <w:rFonts w:ascii="Arial" w:hAnsi="Arial" w:cs="Arial"/>
          <w:i/>
          <w:sz w:val="22"/>
          <w:szCs w:val="22"/>
        </w:rPr>
        <w:t>s</w:t>
      </w:r>
      <w:r w:rsidR="008165C8" w:rsidRPr="00437A10">
        <w:rPr>
          <w:rFonts w:ascii="Arial" w:hAnsi="Arial" w:cs="Arial"/>
          <w:i/>
          <w:sz w:val="22"/>
          <w:szCs w:val="22"/>
        </w:rPr>
        <w:t xml:space="preserve"> relacionado</w:t>
      </w:r>
      <w:r w:rsidRPr="00437A10">
        <w:rPr>
          <w:rFonts w:ascii="Arial" w:hAnsi="Arial" w:cs="Arial"/>
          <w:i/>
          <w:sz w:val="22"/>
          <w:szCs w:val="22"/>
        </w:rPr>
        <w:t>s</w:t>
      </w:r>
      <w:r w:rsidR="008165C8" w:rsidRPr="00437A10">
        <w:rPr>
          <w:rFonts w:ascii="Arial" w:hAnsi="Arial" w:cs="Arial"/>
          <w:i/>
          <w:sz w:val="22"/>
          <w:szCs w:val="22"/>
        </w:rPr>
        <w:t xml:space="preserve"> con las vías de hecho y la vivienda</w:t>
      </w:r>
      <w:r w:rsidRPr="00437A10">
        <w:rPr>
          <w:rFonts w:ascii="Arial" w:hAnsi="Arial" w:cs="Arial"/>
          <w:i/>
          <w:sz w:val="22"/>
          <w:szCs w:val="22"/>
        </w:rPr>
        <w:t xml:space="preserve"> </w:t>
      </w:r>
      <w:r w:rsidR="00E06E80" w:rsidRPr="00437A10">
        <w:rPr>
          <w:rFonts w:ascii="Arial" w:hAnsi="Arial" w:cs="Arial"/>
          <w:i/>
          <w:sz w:val="22"/>
          <w:szCs w:val="22"/>
        </w:rPr>
        <w:t>tenemos las siguientes</w:t>
      </w:r>
      <w:r w:rsidRPr="00437A10">
        <w:rPr>
          <w:rFonts w:ascii="Arial" w:hAnsi="Arial" w:cs="Arial"/>
          <w:i/>
          <w:sz w:val="22"/>
          <w:szCs w:val="22"/>
        </w:rPr>
        <w:t>:</w:t>
      </w:r>
    </w:p>
    <w:p w14:paraId="17E65D1F" w14:textId="77777777" w:rsidR="008165C8" w:rsidRPr="00437A10" w:rsidRDefault="008165C8" w:rsidP="008165C8">
      <w:pPr>
        <w:pStyle w:val="NormalWeb"/>
        <w:numPr>
          <w:ilvl w:val="0"/>
          <w:numId w:val="7"/>
        </w:numPr>
        <w:shd w:val="clear" w:color="auto" w:fill="FFFFFF"/>
        <w:spacing w:before="0" w:beforeAutospacing="0" w:after="0" w:afterAutospacing="0"/>
        <w:jc w:val="both"/>
        <w:rPr>
          <w:rFonts w:ascii="Arial" w:hAnsi="Arial" w:cs="Arial"/>
          <w:i/>
          <w:sz w:val="22"/>
          <w:szCs w:val="22"/>
        </w:rPr>
      </w:pPr>
      <w:r w:rsidRPr="00437A10">
        <w:rPr>
          <w:rFonts w:ascii="Arial" w:eastAsia="Calibri" w:hAnsi="Arial" w:cs="Arial"/>
          <w:sz w:val="22"/>
          <w:szCs w:val="22"/>
          <w:lang w:val="es" w:eastAsia="en-US"/>
        </w:rPr>
        <w:t>Sentencia constitucional</w:t>
      </w:r>
      <w:r w:rsidRPr="00437A10">
        <w:rPr>
          <w:rFonts w:ascii="Arial" w:hAnsi="Arial" w:cs="Arial"/>
          <w:sz w:val="22"/>
          <w:szCs w:val="22"/>
        </w:rPr>
        <w:t xml:space="preserve"> 1948/2013, </w:t>
      </w:r>
      <w:r w:rsidRPr="00437A10">
        <w:rPr>
          <w:rFonts w:ascii="Arial" w:hAnsi="Arial" w:cs="Arial"/>
          <w:i/>
          <w:sz w:val="22"/>
          <w:szCs w:val="22"/>
        </w:rPr>
        <w:t>en el que los demandados fueron los propietarios, quienes juntamente con seis “cargadores” retiraron y echaron abruptamente a la calle todas sus pertenencias a los inquilinos del inmueble; evitando posteriormente su ingreso al mismo. El tribunal en este caso consideró que las personas no pueden ser desalojadas y los bienes sacados a la calle de forma desmedida y arbitraria. En consecuencia, concedió la tutela del derecho a la vivienda de los demandantes y ordenó la restitución del derecho habitacional del accionante en el bien inmueble. Hay que destacar que históricamente la legislación boliviana ha sido muy protectora de los inquilinos para evitar abusos de los propietarios</w:t>
      </w:r>
    </w:p>
    <w:p w14:paraId="7B8F1DC3" w14:textId="77777777" w:rsidR="008165C8" w:rsidRPr="00437A10" w:rsidRDefault="0068271B" w:rsidP="008165C8">
      <w:pPr>
        <w:pStyle w:val="NormalWeb"/>
        <w:shd w:val="clear" w:color="auto" w:fill="FFFFFF"/>
        <w:spacing w:before="0" w:beforeAutospacing="0"/>
        <w:ind w:left="1080"/>
        <w:rPr>
          <w:rFonts w:ascii="Arial" w:hAnsi="Arial" w:cs="Arial"/>
          <w:sz w:val="22"/>
          <w:szCs w:val="22"/>
        </w:rPr>
      </w:pPr>
      <w:hyperlink r:id="rId11" w:history="1">
        <w:r w:rsidR="008165C8" w:rsidRPr="00437A10">
          <w:rPr>
            <w:rStyle w:val="Hyperlink"/>
            <w:rFonts w:ascii="Arial" w:hAnsi="Arial" w:cs="Arial"/>
            <w:color w:val="auto"/>
            <w:sz w:val="22"/>
            <w:szCs w:val="22"/>
          </w:rPr>
          <w:t>https://jurisprudencia.tcpbolivia.bo/Fichas/ObtieneResolucion?idFicha=8165</w:t>
        </w:r>
      </w:hyperlink>
    </w:p>
    <w:p w14:paraId="27BEB13C" w14:textId="1D4DDDA2" w:rsidR="002D6A6C" w:rsidRPr="00437A10" w:rsidRDefault="00F9592D" w:rsidP="008165C8">
      <w:pPr>
        <w:pStyle w:val="NormalWeb"/>
        <w:numPr>
          <w:ilvl w:val="0"/>
          <w:numId w:val="7"/>
        </w:numPr>
        <w:shd w:val="clear" w:color="auto" w:fill="FFFFFF"/>
        <w:spacing w:after="0" w:afterAutospacing="0"/>
        <w:jc w:val="both"/>
        <w:rPr>
          <w:rFonts w:ascii="Arial" w:hAnsi="Arial" w:cs="Arial"/>
          <w:i/>
          <w:sz w:val="22"/>
          <w:szCs w:val="22"/>
        </w:rPr>
      </w:pPr>
      <w:r w:rsidRPr="00437A10">
        <w:rPr>
          <w:rFonts w:ascii="Arial" w:eastAsia="Calibri" w:hAnsi="Arial" w:cs="Arial"/>
          <w:sz w:val="22"/>
          <w:szCs w:val="22"/>
          <w:lang w:val="es" w:eastAsia="en-US"/>
        </w:rPr>
        <w:t>Sentencia constitucional</w:t>
      </w:r>
      <w:r w:rsidRPr="00437A10">
        <w:rPr>
          <w:rFonts w:ascii="Arial" w:hAnsi="Arial" w:cs="Arial"/>
          <w:sz w:val="22"/>
          <w:szCs w:val="22"/>
        </w:rPr>
        <w:t xml:space="preserve"> </w:t>
      </w:r>
      <w:r w:rsidR="00C24384" w:rsidRPr="00437A10">
        <w:rPr>
          <w:rFonts w:ascii="Arial" w:hAnsi="Arial" w:cs="Arial"/>
          <w:sz w:val="22"/>
          <w:szCs w:val="22"/>
        </w:rPr>
        <w:t>1782/2012</w:t>
      </w:r>
      <w:r w:rsidR="002D6A6C" w:rsidRPr="00437A10">
        <w:rPr>
          <w:rFonts w:ascii="Arial" w:hAnsi="Arial" w:cs="Arial"/>
          <w:sz w:val="22"/>
          <w:szCs w:val="22"/>
        </w:rPr>
        <w:t xml:space="preserve">, </w:t>
      </w:r>
      <w:r w:rsidR="002D6A6C" w:rsidRPr="00437A10">
        <w:rPr>
          <w:rFonts w:ascii="Arial" w:hAnsi="Arial" w:cs="Arial"/>
          <w:i/>
          <w:sz w:val="22"/>
          <w:szCs w:val="22"/>
        </w:rPr>
        <w:t>una mujer que vivía de alquiler en un ambiente, en una ocasión en que salió, a su retorno encontró su cuarto con dos candados, uno que puso ella y otro el propietario, quien le manifestó a la inquilina que mientras no cancelara el alquiler no le dejaría entrar a su casa, quedándose en la calle con sus dos hijos de uno y seis años. A consecuencia de los actos del propietario, los “enseres” como ropa, alimento y útiles escolares de la inquilina y sus hijos se quedaron en el cuarto.</w:t>
      </w:r>
    </w:p>
    <w:p w14:paraId="59A21A25" w14:textId="77777777" w:rsidR="002D6A6C" w:rsidRPr="00437A10" w:rsidRDefault="002D6A6C" w:rsidP="00E06E80">
      <w:pPr>
        <w:pStyle w:val="NormalWeb"/>
        <w:shd w:val="clear" w:color="auto" w:fill="FFFFFF"/>
        <w:spacing w:before="0" w:beforeAutospacing="0" w:after="0" w:afterAutospacing="0"/>
        <w:ind w:left="360"/>
        <w:jc w:val="both"/>
        <w:rPr>
          <w:rFonts w:ascii="Arial" w:hAnsi="Arial" w:cs="Arial"/>
          <w:i/>
          <w:sz w:val="22"/>
          <w:szCs w:val="22"/>
        </w:rPr>
      </w:pPr>
      <w:r w:rsidRPr="00437A10">
        <w:rPr>
          <w:rFonts w:ascii="Arial" w:hAnsi="Arial" w:cs="Arial"/>
          <w:i/>
          <w:sz w:val="22"/>
          <w:szCs w:val="22"/>
        </w:rPr>
        <w:t>El TCP, en este caso, relacionó con muy buen criterio las vías de hecho con la violación de otros derechos, además de la vivienda: “En ningún caso puede tomar acción por propia mano cerrando los ambientes que tenga arrendados o cortar los suministros de los servicios públicos, pues de hacerlo estaría lesionando derechos fundamentales como son los derechos al trabajo, a la dignidad, a la salud u otros”.</w:t>
      </w:r>
    </w:p>
    <w:p w14:paraId="4B946E65" w14:textId="15FCC516" w:rsidR="002D6A6C" w:rsidRPr="00437A10" w:rsidRDefault="002D6A6C" w:rsidP="00E06E80">
      <w:pPr>
        <w:pStyle w:val="NormalWeb"/>
        <w:shd w:val="clear" w:color="auto" w:fill="FFFFFF"/>
        <w:spacing w:before="0" w:beforeAutospacing="0" w:after="0" w:afterAutospacing="0"/>
        <w:ind w:left="360"/>
        <w:jc w:val="both"/>
        <w:rPr>
          <w:rFonts w:ascii="Arial" w:hAnsi="Arial" w:cs="Arial"/>
          <w:i/>
          <w:sz w:val="22"/>
          <w:szCs w:val="22"/>
        </w:rPr>
      </w:pPr>
      <w:r w:rsidRPr="00437A10">
        <w:rPr>
          <w:rFonts w:ascii="Arial" w:hAnsi="Arial" w:cs="Arial"/>
          <w:i/>
          <w:sz w:val="22"/>
          <w:szCs w:val="22"/>
        </w:rPr>
        <w:t>Por todos estos motivos, el tribunal consideró que el propietario debería haber acudido a la vía judicial ordinaria, y “no hacerse la justicia por sí mismo”, como prohíbe el Código Civil boliviano, por lo que se habría violado el derecho a la vivienda que aparece en “la Constitución Política del Estado, la Declaración Universal de los Derechos Humanos, y demás normas convencionales asumidas por nuestro Estado”. Comprobamos además que en la fundamentación jurídica de la sentencia, el TCP vuelve a hacer uso del control de convencionalidad.</w:t>
      </w:r>
    </w:p>
    <w:p w14:paraId="1D21A586" w14:textId="2C32EA7C" w:rsidR="008165C8" w:rsidRPr="00437A10" w:rsidRDefault="0068271B" w:rsidP="008165C8">
      <w:pPr>
        <w:pStyle w:val="NormalWeb"/>
        <w:shd w:val="clear" w:color="auto" w:fill="FFFFFF"/>
        <w:spacing w:before="0" w:beforeAutospacing="0"/>
        <w:ind w:left="1080"/>
        <w:jc w:val="both"/>
        <w:rPr>
          <w:rFonts w:ascii="Arial" w:hAnsi="Arial" w:cs="Arial"/>
          <w:i/>
          <w:sz w:val="22"/>
          <w:szCs w:val="22"/>
        </w:rPr>
      </w:pPr>
      <w:hyperlink r:id="rId12" w:history="1">
        <w:r w:rsidR="008165C8" w:rsidRPr="00437A10">
          <w:rPr>
            <w:rStyle w:val="Hyperlink"/>
            <w:rFonts w:ascii="Arial" w:hAnsi="Arial" w:cs="Arial"/>
            <w:i/>
            <w:color w:val="auto"/>
            <w:sz w:val="22"/>
            <w:szCs w:val="22"/>
          </w:rPr>
          <w:t>https://jurisprudencia.tcpbolivia.bo/Fichas/ObtieneResolucion?idFicha=827</w:t>
        </w:r>
      </w:hyperlink>
    </w:p>
    <w:p w14:paraId="185C051E" w14:textId="325AD00E" w:rsidR="002D6A6C" w:rsidRPr="00437A10" w:rsidRDefault="00F9592D" w:rsidP="00F90ABD">
      <w:pPr>
        <w:pStyle w:val="NormalWeb"/>
        <w:numPr>
          <w:ilvl w:val="0"/>
          <w:numId w:val="7"/>
        </w:numPr>
        <w:shd w:val="clear" w:color="auto" w:fill="FFFFFF"/>
        <w:spacing w:before="0" w:beforeAutospacing="0" w:after="0" w:afterAutospacing="0"/>
        <w:jc w:val="both"/>
        <w:rPr>
          <w:rFonts w:ascii="Arial" w:hAnsi="Arial" w:cs="Arial"/>
          <w:i/>
          <w:sz w:val="22"/>
          <w:szCs w:val="22"/>
        </w:rPr>
      </w:pPr>
      <w:r w:rsidRPr="00437A10">
        <w:rPr>
          <w:rFonts w:ascii="Arial" w:eastAsia="Calibri" w:hAnsi="Arial" w:cs="Arial"/>
          <w:sz w:val="22"/>
          <w:szCs w:val="22"/>
          <w:lang w:val="es" w:eastAsia="en-US"/>
        </w:rPr>
        <w:t>Sentencia constitucional</w:t>
      </w:r>
      <w:r w:rsidRPr="00437A10">
        <w:rPr>
          <w:rFonts w:ascii="Arial" w:hAnsi="Arial" w:cs="Arial"/>
          <w:sz w:val="22"/>
          <w:szCs w:val="22"/>
        </w:rPr>
        <w:t xml:space="preserve"> </w:t>
      </w:r>
      <w:r w:rsidR="00C24384" w:rsidRPr="00437A10">
        <w:rPr>
          <w:rFonts w:ascii="Arial" w:hAnsi="Arial" w:cs="Arial"/>
          <w:sz w:val="22"/>
          <w:szCs w:val="22"/>
        </w:rPr>
        <w:t>0434/2015-S2</w:t>
      </w:r>
      <w:r w:rsidR="00F90ABD" w:rsidRPr="00437A10">
        <w:rPr>
          <w:rFonts w:ascii="Arial" w:hAnsi="Arial" w:cs="Arial"/>
          <w:sz w:val="22"/>
          <w:szCs w:val="22"/>
        </w:rPr>
        <w:t xml:space="preserve">, </w:t>
      </w:r>
      <w:r w:rsidR="00F90ABD" w:rsidRPr="00437A10">
        <w:rPr>
          <w:rFonts w:ascii="Arial" w:hAnsi="Arial" w:cs="Arial"/>
          <w:i/>
          <w:sz w:val="22"/>
          <w:szCs w:val="22"/>
        </w:rPr>
        <w:t>e</w:t>
      </w:r>
      <w:r w:rsidR="002D6A6C" w:rsidRPr="00437A10">
        <w:rPr>
          <w:rFonts w:ascii="Arial" w:hAnsi="Arial" w:cs="Arial"/>
          <w:i/>
          <w:sz w:val="22"/>
          <w:szCs w:val="22"/>
        </w:rPr>
        <w:t>n e</w:t>
      </w:r>
      <w:r w:rsidR="00F90ABD" w:rsidRPr="00437A10">
        <w:rPr>
          <w:rFonts w:ascii="Arial" w:hAnsi="Arial" w:cs="Arial"/>
          <w:i/>
          <w:sz w:val="22"/>
          <w:szCs w:val="22"/>
        </w:rPr>
        <w:t>ste</w:t>
      </w:r>
      <w:r w:rsidR="002D6A6C" w:rsidRPr="00437A10">
        <w:rPr>
          <w:rFonts w:ascii="Arial" w:hAnsi="Arial" w:cs="Arial"/>
          <w:i/>
          <w:sz w:val="22"/>
          <w:szCs w:val="22"/>
        </w:rPr>
        <w:t xml:space="preserve"> caso el inquilino de un</w:t>
      </w:r>
      <w:r w:rsidR="002D6A6C" w:rsidRPr="00437A10">
        <w:rPr>
          <w:rFonts w:ascii="Arial" w:hAnsi="Arial" w:cs="Arial"/>
          <w:sz w:val="22"/>
          <w:szCs w:val="22"/>
        </w:rPr>
        <w:t xml:space="preserve"> </w:t>
      </w:r>
      <w:r w:rsidR="002D6A6C" w:rsidRPr="00437A10">
        <w:rPr>
          <w:rFonts w:ascii="Arial" w:hAnsi="Arial" w:cs="Arial"/>
          <w:i/>
          <w:sz w:val="22"/>
          <w:szCs w:val="22"/>
        </w:rPr>
        <w:t>inmueble demandó a su propietaria, después de que ésta tomara la justicia por su propia mano y efectuara una serie de medidas de hecho y actos violentos para desalojarle por incurrir en el impago del canon de arrendamiento, y al mismo tiempo de facturas por los meses de ocupación del inmueble.</w:t>
      </w:r>
    </w:p>
    <w:p w14:paraId="1D3CFD02" w14:textId="77777777" w:rsidR="002D6A6C" w:rsidRPr="00437A10" w:rsidRDefault="002D6A6C" w:rsidP="00E06E80">
      <w:pPr>
        <w:pStyle w:val="NormalWeb"/>
        <w:shd w:val="clear" w:color="auto" w:fill="FFFFFF"/>
        <w:spacing w:before="0" w:beforeAutospacing="0" w:after="0" w:afterAutospacing="0"/>
        <w:ind w:left="360"/>
        <w:jc w:val="both"/>
        <w:rPr>
          <w:rFonts w:ascii="Arial" w:hAnsi="Arial" w:cs="Arial"/>
          <w:i/>
          <w:sz w:val="22"/>
          <w:szCs w:val="22"/>
        </w:rPr>
      </w:pPr>
      <w:r w:rsidRPr="00437A10">
        <w:rPr>
          <w:rFonts w:ascii="Arial" w:hAnsi="Arial" w:cs="Arial"/>
          <w:i/>
          <w:sz w:val="22"/>
          <w:szCs w:val="22"/>
        </w:rPr>
        <w:t>Entre los actos, la dueña de la propiedad procedió a cambiar la cerradura de la puerta principal del inmueble y cortó los servicios de agua y la luz. Pero también procedió a amedrentar al inquilino mediante el uso de terceros para forzar su desalojo e incluso dejó a un perro propiedad del inquilino dentro del inmueble tras el cambio de la cerradura.</w:t>
      </w:r>
    </w:p>
    <w:p w14:paraId="47C2F68A" w14:textId="77777777" w:rsidR="002D6A6C" w:rsidRPr="00437A10" w:rsidRDefault="002D6A6C" w:rsidP="00E06E80">
      <w:pPr>
        <w:pStyle w:val="NormalWeb"/>
        <w:shd w:val="clear" w:color="auto" w:fill="FFFFFF"/>
        <w:spacing w:before="0" w:beforeAutospacing="0" w:after="0" w:afterAutospacing="0"/>
        <w:ind w:left="360"/>
        <w:jc w:val="both"/>
        <w:rPr>
          <w:rFonts w:ascii="Arial" w:hAnsi="Arial" w:cs="Arial"/>
          <w:i/>
          <w:sz w:val="22"/>
          <w:szCs w:val="22"/>
        </w:rPr>
      </w:pPr>
      <w:r w:rsidRPr="00437A10">
        <w:rPr>
          <w:rFonts w:ascii="Arial" w:hAnsi="Arial" w:cs="Arial"/>
          <w:i/>
          <w:sz w:val="22"/>
          <w:szCs w:val="22"/>
        </w:rPr>
        <w:t>El tribunal consideró que las medidas adoptadas por vías de hecho violaban el derecho al hábitat del inquilino y estableció que</w:t>
      </w:r>
    </w:p>
    <w:p w14:paraId="1D78EA8B" w14:textId="77777777" w:rsidR="002D6A6C" w:rsidRPr="00437A10" w:rsidRDefault="002D6A6C" w:rsidP="00E06E80">
      <w:pPr>
        <w:pStyle w:val="NormalWeb"/>
        <w:shd w:val="clear" w:color="auto" w:fill="FFFFFF"/>
        <w:spacing w:before="0" w:beforeAutospacing="0" w:after="0" w:afterAutospacing="0"/>
        <w:ind w:left="360"/>
        <w:jc w:val="both"/>
        <w:rPr>
          <w:rFonts w:ascii="Arial" w:hAnsi="Arial" w:cs="Arial"/>
          <w:i/>
          <w:sz w:val="22"/>
          <w:szCs w:val="22"/>
        </w:rPr>
      </w:pPr>
      <w:r w:rsidRPr="00437A10">
        <w:rPr>
          <w:rFonts w:ascii="Arial" w:hAnsi="Arial" w:cs="Arial"/>
          <w:i/>
          <w:sz w:val="22"/>
          <w:szCs w:val="22"/>
        </w:rPr>
        <w:t>...el Estado está basado en el respeto e igualdad entre todos los habitantes de esta tierra, para una convivencia colectiva con acceso al agua, trabajo, educación, salud y vivienda para todos; es decir que, los servicios básicos como responsabilidad del Estado en todos los niveles de gobierno de manera directa o mediante contratos con empresas privadas como prevé el parágrafo II del artículo 20 de la citada norma constitucional, no deben ser restringidos por motivos o causas más allá de las previstas por las normas o procedimientos para tal efecto.</w:t>
      </w:r>
    </w:p>
    <w:p w14:paraId="42CAAB3D" w14:textId="0BAE5A02" w:rsidR="002D6A6C" w:rsidRPr="00437A10" w:rsidRDefault="002D6A6C" w:rsidP="00E06E80">
      <w:pPr>
        <w:pStyle w:val="NormalWeb"/>
        <w:shd w:val="clear" w:color="auto" w:fill="FFFFFF"/>
        <w:spacing w:before="0" w:beforeAutospacing="0" w:after="0" w:afterAutospacing="0"/>
        <w:ind w:left="360"/>
        <w:jc w:val="both"/>
        <w:rPr>
          <w:rFonts w:ascii="Arial" w:hAnsi="Arial" w:cs="Arial"/>
          <w:i/>
          <w:sz w:val="22"/>
          <w:szCs w:val="22"/>
        </w:rPr>
      </w:pPr>
      <w:r w:rsidRPr="00437A10">
        <w:rPr>
          <w:rFonts w:ascii="Arial" w:hAnsi="Arial" w:cs="Arial"/>
          <w:i/>
          <w:sz w:val="22"/>
          <w:szCs w:val="22"/>
        </w:rPr>
        <w:t>De esta forma el tribunal dejó sentada la jurisprudencia que impide a cualquier particular disponer de los servicios que son responsabilidad del Estado y a seguir procedimientos de desalojo que no sean los estrictamente contemplados en la ley. Nos parece igualmente importante que la argumentación del tribunal se haya producido con base al derecho al hábitat y no en relación con la propiedad privada, el derecho normalmente alegado para este tipo de casos. No obstante, cabe destacar que la jurisprudencia del tribunal en materia de vías de hecho es incluso anterior a la conformación del TCP, y es una jurisprudencia muy consolidada en Bolivia.</w:t>
      </w:r>
    </w:p>
    <w:p w14:paraId="280B4F1D" w14:textId="233140F1" w:rsidR="006B2163" w:rsidRPr="00437A10" w:rsidRDefault="0068271B" w:rsidP="00E06E80">
      <w:pPr>
        <w:spacing w:after="100" w:afterAutospacing="1" w:line="259" w:lineRule="auto"/>
        <w:ind w:left="360"/>
        <w:jc w:val="both"/>
        <w:rPr>
          <w:rFonts w:ascii="Arial" w:eastAsia="Calibri" w:hAnsi="Arial" w:cs="Arial"/>
          <w:i/>
          <w:sz w:val="22"/>
          <w:szCs w:val="22"/>
        </w:rPr>
      </w:pPr>
      <w:hyperlink r:id="rId13" w:history="1">
        <w:r w:rsidR="008A1C8F" w:rsidRPr="00437A10">
          <w:rPr>
            <w:rStyle w:val="Hyperlink"/>
            <w:rFonts w:ascii="Arial" w:eastAsia="Calibri" w:hAnsi="Arial" w:cs="Arial"/>
            <w:i/>
            <w:color w:val="auto"/>
            <w:sz w:val="22"/>
            <w:szCs w:val="22"/>
          </w:rPr>
          <w:t>https://jurisprudencia.tcpbolivia.bo/Fichas/ObtieneResolucion?idFicha=18134</w:t>
        </w:r>
      </w:hyperlink>
    </w:p>
    <w:p w14:paraId="02F91B1E" w14:textId="34AAF57C" w:rsidR="00A83B64" w:rsidRPr="00437A10" w:rsidRDefault="00A83B64" w:rsidP="00A83B64">
      <w:pPr>
        <w:spacing w:after="160" w:line="259" w:lineRule="auto"/>
        <w:jc w:val="both"/>
        <w:rPr>
          <w:rFonts w:ascii="Arial" w:eastAsia="Calibri" w:hAnsi="Arial" w:cs="Arial"/>
          <w:b/>
          <w:sz w:val="22"/>
          <w:szCs w:val="22"/>
        </w:rPr>
      </w:pPr>
      <w:r w:rsidRPr="00437A10">
        <w:rPr>
          <w:rFonts w:ascii="Arial" w:eastAsia="Calibri" w:hAnsi="Arial" w:cs="Arial"/>
          <w:b/>
          <w:sz w:val="22"/>
          <w:szCs w:val="22"/>
        </w:rPr>
        <w:t>Datos y tendencias sobre la asequibilidad de la vivienda</w:t>
      </w:r>
    </w:p>
    <w:p w14:paraId="29920C2A" w14:textId="7F8E7EE4" w:rsidR="00A83B64" w:rsidRPr="00437A10" w:rsidRDefault="00A83B64" w:rsidP="00A83B64">
      <w:pPr>
        <w:numPr>
          <w:ilvl w:val="0"/>
          <w:numId w:val="1"/>
        </w:num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¿Se mide regularmente la asequibilidad de la vivienda en su país, región o ciudad, por la oficina nacional de estadística u otras entidades? Explique cómo se mide y rastrea la asequibilidad de la vivienda. ¿Dónde se publican los datos?</w:t>
      </w:r>
    </w:p>
    <w:p w14:paraId="18A6DF5A" w14:textId="77777777" w:rsidR="00621F91" w:rsidRPr="00437A10" w:rsidRDefault="00621F91" w:rsidP="00621F91">
      <w:pPr>
        <w:spacing w:after="160" w:line="259" w:lineRule="auto"/>
        <w:ind w:left="720"/>
        <w:contextualSpacing/>
        <w:jc w:val="both"/>
        <w:rPr>
          <w:rFonts w:ascii="Arial" w:eastAsia="Calibri" w:hAnsi="Arial" w:cs="Arial"/>
          <w:sz w:val="22"/>
          <w:szCs w:val="22"/>
        </w:rPr>
      </w:pPr>
    </w:p>
    <w:p w14:paraId="0FE619E0" w14:textId="734FAEBF" w:rsidR="008633E5" w:rsidRPr="00437A10" w:rsidRDefault="008633E5" w:rsidP="00621F91">
      <w:pPr>
        <w:spacing w:before="100" w:beforeAutospacing="1" w:after="160" w:line="259" w:lineRule="auto"/>
        <w:contextualSpacing/>
        <w:jc w:val="both"/>
        <w:rPr>
          <w:rFonts w:ascii="Arial" w:eastAsia="Calibri" w:hAnsi="Arial" w:cs="Arial"/>
          <w:sz w:val="22"/>
          <w:szCs w:val="22"/>
        </w:rPr>
      </w:pPr>
      <w:r w:rsidRPr="00437A10">
        <w:rPr>
          <w:rFonts w:ascii="Arial" w:eastAsia="Calibri" w:hAnsi="Arial" w:cs="Arial"/>
          <w:sz w:val="22"/>
          <w:szCs w:val="22"/>
        </w:rPr>
        <w:t>El Instituto Nacional de Estadística (INE) no ha desarrollado o asumido un indicador que mida la asequibilidad de la vivienda en Bolivia, por lo tanto, no ha realizado una medición o seguimiento al respecto.</w:t>
      </w:r>
    </w:p>
    <w:p w14:paraId="52EFC7CD" w14:textId="77777777" w:rsidR="006D322D" w:rsidRPr="00437A10" w:rsidRDefault="006D322D" w:rsidP="006361B3">
      <w:pPr>
        <w:spacing w:after="160" w:line="259" w:lineRule="auto"/>
        <w:contextualSpacing/>
        <w:jc w:val="both"/>
        <w:rPr>
          <w:rFonts w:ascii="Arial" w:eastAsia="Calibri" w:hAnsi="Arial" w:cs="Arial"/>
          <w:sz w:val="22"/>
          <w:szCs w:val="22"/>
        </w:rPr>
      </w:pPr>
    </w:p>
    <w:p w14:paraId="6A55AB4E" w14:textId="6C39A232" w:rsidR="008633E5" w:rsidRPr="00437A10" w:rsidRDefault="008633E5" w:rsidP="006361B3">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Por otra parte, el Centro de Estudios de Población</w:t>
      </w:r>
      <w:r w:rsidR="003868E5" w:rsidRPr="00437A10">
        <w:rPr>
          <w:rFonts w:ascii="Arial" w:eastAsia="Calibri" w:hAnsi="Arial" w:cs="Arial"/>
          <w:sz w:val="22"/>
          <w:szCs w:val="22"/>
        </w:rPr>
        <w:t xml:space="preserve"> (CEP)</w:t>
      </w:r>
      <w:r w:rsidRPr="00437A10">
        <w:rPr>
          <w:rFonts w:ascii="Arial" w:eastAsia="Calibri" w:hAnsi="Arial" w:cs="Arial"/>
          <w:sz w:val="22"/>
          <w:szCs w:val="22"/>
        </w:rPr>
        <w:t xml:space="preserve"> de la Universidad Mayor de San Simón</w:t>
      </w:r>
      <w:r w:rsidR="006361B3" w:rsidRPr="00437A10">
        <w:rPr>
          <w:rFonts w:ascii="Arial" w:eastAsia="Calibri" w:hAnsi="Arial" w:cs="Arial"/>
          <w:sz w:val="22"/>
          <w:szCs w:val="22"/>
        </w:rPr>
        <w:t>,</w:t>
      </w:r>
      <w:r w:rsidRPr="00437A10">
        <w:rPr>
          <w:rFonts w:ascii="Arial" w:eastAsia="Calibri" w:hAnsi="Arial" w:cs="Arial"/>
          <w:sz w:val="22"/>
          <w:szCs w:val="22"/>
        </w:rPr>
        <w:t xml:space="preserve"> en estos últimos años</w:t>
      </w:r>
      <w:r w:rsidR="003868E5" w:rsidRPr="00437A10">
        <w:rPr>
          <w:rFonts w:ascii="Arial" w:eastAsia="Calibri" w:hAnsi="Arial" w:cs="Arial"/>
          <w:sz w:val="22"/>
          <w:szCs w:val="22"/>
        </w:rPr>
        <w:t>,</w:t>
      </w:r>
      <w:r w:rsidRPr="00437A10">
        <w:rPr>
          <w:rFonts w:ascii="Arial" w:eastAsia="Calibri" w:hAnsi="Arial" w:cs="Arial"/>
          <w:sz w:val="22"/>
          <w:szCs w:val="22"/>
        </w:rPr>
        <w:t xml:space="preserve"> ha construido un indicador de asequibilidad en función a la definición operativa de ONU-Hábitat y a las variables sobre gastos en la vivienda disponibles en las Encuestas de Hogares de Bolivia.</w:t>
      </w:r>
    </w:p>
    <w:p w14:paraId="7A104E3F" w14:textId="77777777" w:rsidR="006D322D" w:rsidRPr="00437A10" w:rsidRDefault="006D322D" w:rsidP="006361B3">
      <w:pPr>
        <w:spacing w:after="160" w:line="259" w:lineRule="auto"/>
        <w:contextualSpacing/>
        <w:jc w:val="both"/>
        <w:rPr>
          <w:rFonts w:ascii="Arial" w:eastAsia="Calibri" w:hAnsi="Arial" w:cs="Arial"/>
          <w:sz w:val="22"/>
          <w:szCs w:val="22"/>
        </w:rPr>
      </w:pPr>
    </w:p>
    <w:p w14:paraId="69C4ADE5" w14:textId="4594D715" w:rsidR="008633E5" w:rsidRPr="00437A10" w:rsidRDefault="006361B3" w:rsidP="009643B7">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El indicador de asequibilidad propuesto es el siguiente:</w:t>
      </w:r>
    </w:p>
    <w:p w14:paraId="7A0C0D0D" w14:textId="77777777" w:rsidR="006D322D" w:rsidRPr="00437A10" w:rsidRDefault="006D322D" w:rsidP="009643B7">
      <w:pPr>
        <w:spacing w:after="160" w:line="259" w:lineRule="auto"/>
        <w:contextualSpacing/>
        <w:jc w:val="both"/>
        <w:rPr>
          <w:rFonts w:ascii="Arial" w:eastAsia="Calibri" w:hAnsi="Arial" w:cs="Arial"/>
          <w:sz w:val="22"/>
          <w:szCs w:val="22"/>
        </w:rPr>
      </w:pPr>
    </w:p>
    <w:tbl>
      <w:tblPr>
        <w:tblStyle w:val="TableGrid"/>
        <w:tblW w:w="0" w:type="auto"/>
        <w:tblLook w:val="04A0" w:firstRow="1" w:lastRow="0" w:firstColumn="1" w:lastColumn="0" w:noHBand="0" w:noVBand="1"/>
      </w:tblPr>
      <w:tblGrid>
        <w:gridCol w:w="8494"/>
      </w:tblGrid>
      <w:tr w:rsidR="006361B3" w:rsidRPr="00437A10" w14:paraId="3957CCB8" w14:textId="77777777" w:rsidTr="006361B3">
        <w:tc>
          <w:tcPr>
            <w:tcW w:w="8494" w:type="dxa"/>
          </w:tcPr>
          <w:p w14:paraId="4F29F98B" w14:textId="7E4BE877" w:rsidR="006361B3" w:rsidRPr="00437A10" w:rsidRDefault="006361B3" w:rsidP="006361B3">
            <w:pPr>
              <w:jc w:val="both"/>
              <w:rPr>
                <w:rFonts w:ascii="Arial" w:hAnsi="Arial" w:cs="Arial"/>
                <w:sz w:val="18"/>
                <w:szCs w:val="18"/>
              </w:rPr>
            </w:pPr>
            <w:r w:rsidRPr="00437A10">
              <w:rPr>
                <w:rFonts w:ascii="Arial" w:hAnsi="Arial" w:cs="Arial"/>
                <w:sz w:val="18"/>
                <w:szCs w:val="18"/>
              </w:rPr>
              <w:t>Definición de asequibilidad: “el costo de la vivienda debe ser tal que todas las personas puedan acceder a ella sin poner en peligro el disfrute de otros satisfactores básicos o el ejercicio de sus derechos humanos. Se considera que una vivienda es asequible si un hogar destina menos del 30% de su ingreso en gastos asociados a la vivienda” (ONU- Hábitat, 2019).</w:t>
            </w:r>
          </w:p>
          <w:p w14:paraId="654365C3" w14:textId="71A479A6" w:rsidR="006361B3" w:rsidRPr="00437A10" w:rsidRDefault="006361B3" w:rsidP="006361B3">
            <w:pPr>
              <w:jc w:val="both"/>
              <w:rPr>
                <w:rFonts w:ascii="Arial" w:hAnsi="Arial" w:cs="Arial"/>
                <w:sz w:val="18"/>
                <w:szCs w:val="18"/>
              </w:rPr>
            </w:pPr>
            <w:r w:rsidRPr="00437A10">
              <w:rPr>
                <w:rFonts w:ascii="Arial" w:hAnsi="Arial" w:cs="Arial"/>
                <w:sz w:val="18"/>
                <w:szCs w:val="18"/>
              </w:rPr>
              <w:t xml:space="preserve">El gasto en satisfactores básicos (alimentación, educación, salud, vestimenta, transporte, vivienda) ha sido determinado en función al indicador de pobreza moderada que define como umbral 4,5 dólares americanos por persona </w:t>
            </w:r>
            <w:r w:rsidR="009A0327" w:rsidRPr="00437A10">
              <w:rPr>
                <w:rFonts w:ascii="Arial" w:hAnsi="Arial" w:cs="Arial"/>
                <w:sz w:val="18"/>
                <w:szCs w:val="18"/>
              </w:rPr>
              <w:t xml:space="preserve">al </w:t>
            </w:r>
            <w:r w:rsidRPr="00437A10">
              <w:rPr>
                <w:rFonts w:ascii="Arial" w:hAnsi="Arial" w:cs="Arial"/>
                <w:sz w:val="18"/>
                <w:szCs w:val="18"/>
              </w:rPr>
              <w:t xml:space="preserve">día </w:t>
            </w:r>
            <w:r w:rsidR="00916DE5" w:rsidRPr="00437A10">
              <w:rPr>
                <w:rFonts w:ascii="Arial" w:hAnsi="Arial" w:cs="Arial"/>
                <w:sz w:val="18"/>
                <w:szCs w:val="18"/>
              </w:rPr>
              <w:t>para el área urbana y 3,2 dólares americanos por</w:t>
            </w:r>
            <w:r w:rsidR="00067B97" w:rsidRPr="00437A10">
              <w:rPr>
                <w:rFonts w:ascii="Arial" w:hAnsi="Arial" w:cs="Arial"/>
                <w:sz w:val="18"/>
                <w:szCs w:val="18"/>
              </w:rPr>
              <w:t xml:space="preserve"> persona</w:t>
            </w:r>
            <w:r w:rsidR="00916DE5" w:rsidRPr="00437A10">
              <w:rPr>
                <w:rFonts w:ascii="Arial" w:hAnsi="Arial" w:cs="Arial"/>
                <w:sz w:val="18"/>
                <w:szCs w:val="18"/>
              </w:rPr>
              <w:t xml:space="preserve"> </w:t>
            </w:r>
            <w:r w:rsidR="009A0327" w:rsidRPr="00437A10">
              <w:rPr>
                <w:rFonts w:ascii="Arial" w:hAnsi="Arial" w:cs="Arial"/>
                <w:sz w:val="18"/>
                <w:szCs w:val="18"/>
              </w:rPr>
              <w:t xml:space="preserve">al </w:t>
            </w:r>
            <w:r w:rsidR="00916DE5" w:rsidRPr="00437A10">
              <w:rPr>
                <w:rFonts w:ascii="Arial" w:hAnsi="Arial" w:cs="Arial"/>
                <w:sz w:val="18"/>
                <w:szCs w:val="18"/>
              </w:rPr>
              <w:t xml:space="preserve">día para el área rural </w:t>
            </w:r>
            <w:r w:rsidRPr="00437A10">
              <w:rPr>
                <w:rFonts w:ascii="Arial" w:hAnsi="Arial" w:cs="Arial"/>
                <w:sz w:val="18"/>
                <w:szCs w:val="18"/>
              </w:rPr>
              <w:t>(INE, 2020, en Figueroa 2020).</w:t>
            </w:r>
          </w:p>
          <w:p w14:paraId="584E8818" w14:textId="5F11BA01" w:rsidR="006361B3" w:rsidRPr="00437A10" w:rsidRDefault="006361B3" w:rsidP="006361B3">
            <w:pPr>
              <w:jc w:val="both"/>
              <w:rPr>
                <w:rFonts w:ascii="Arial" w:hAnsi="Arial" w:cs="Arial"/>
                <w:sz w:val="18"/>
                <w:szCs w:val="18"/>
              </w:rPr>
            </w:pPr>
            <w:r w:rsidRPr="00437A10">
              <w:rPr>
                <w:rFonts w:ascii="Arial" w:hAnsi="Arial" w:cs="Arial"/>
                <w:sz w:val="18"/>
                <w:szCs w:val="18"/>
              </w:rPr>
              <w:t>Para determinar los gastos básicos sin considerar los de la vivienda, se parte de la definición de asequibilidad que indica que una vivienda es asequible si un hogar destina menos del 30% de su ingreso en gastos asociados a la</w:t>
            </w:r>
            <w:r w:rsidR="00067B97" w:rsidRPr="00437A10">
              <w:rPr>
                <w:rFonts w:ascii="Arial" w:hAnsi="Arial" w:cs="Arial"/>
                <w:sz w:val="18"/>
                <w:szCs w:val="18"/>
              </w:rPr>
              <w:t xml:space="preserve"> vivienda, así se procede con la</w:t>
            </w:r>
            <w:r w:rsidRPr="00437A10">
              <w:rPr>
                <w:rFonts w:ascii="Arial" w:hAnsi="Arial" w:cs="Arial"/>
                <w:sz w:val="18"/>
                <w:szCs w:val="18"/>
              </w:rPr>
              <w:t xml:space="preserve"> siguiente </w:t>
            </w:r>
            <w:r w:rsidR="00067B97" w:rsidRPr="00437A10">
              <w:rPr>
                <w:rFonts w:ascii="Arial" w:hAnsi="Arial" w:cs="Arial"/>
                <w:sz w:val="18"/>
                <w:szCs w:val="18"/>
              </w:rPr>
              <w:t>operación</w:t>
            </w:r>
            <w:r w:rsidRPr="00437A10">
              <w:rPr>
                <w:rFonts w:ascii="Arial" w:hAnsi="Arial" w:cs="Arial"/>
                <w:sz w:val="18"/>
                <w:szCs w:val="18"/>
              </w:rPr>
              <w:t>:</w:t>
            </w:r>
          </w:p>
          <w:p w14:paraId="57C7EFC3" w14:textId="77777777" w:rsidR="006361B3" w:rsidRPr="00437A10" w:rsidRDefault="006361B3" w:rsidP="006361B3">
            <w:pPr>
              <w:jc w:val="both"/>
              <w:rPr>
                <w:rFonts w:ascii="Arial" w:hAnsi="Arial" w:cs="Arial"/>
                <w:sz w:val="18"/>
                <w:szCs w:val="18"/>
              </w:rPr>
            </w:pPr>
          </w:p>
          <w:p w14:paraId="24485DA8" w14:textId="366086A5" w:rsidR="00916DE5" w:rsidRPr="00437A10" w:rsidRDefault="00916DE5" w:rsidP="006361B3">
            <w:pPr>
              <w:pBdr>
                <w:top w:val="single" w:sz="4" w:space="1" w:color="auto"/>
                <w:left w:val="single" w:sz="4" w:space="4" w:color="auto"/>
                <w:bottom w:val="single" w:sz="4" w:space="1" w:color="auto"/>
                <w:right w:val="single" w:sz="4" w:space="4" w:color="auto"/>
              </w:pBdr>
              <w:jc w:val="center"/>
              <w:rPr>
                <w:rFonts w:ascii="Arial" w:hAnsi="Arial" w:cs="Arial"/>
                <w:i/>
                <w:sz w:val="18"/>
                <w:szCs w:val="18"/>
              </w:rPr>
            </w:pPr>
            <w:r w:rsidRPr="00437A10">
              <w:rPr>
                <w:rFonts w:ascii="Arial" w:hAnsi="Arial" w:cs="Arial"/>
                <w:i/>
                <w:sz w:val="18"/>
                <w:szCs w:val="18"/>
              </w:rPr>
              <w:t>Área urbana:</w:t>
            </w:r>
          </w:p>
          <w:p w14:paraId="2C45ED06" w14:textId="4C4F965D" w:rsidR="006361B3" w:rsidRPr="00437A10" w:rsidRDefault="006361B3" w:rsidP="006361B3">
            <w:pPr>
              <w:pBdr>
                <w:top w:val="single" w:sz="4" w:space="1" w:color="auto"/>
                <w:left w:val="single" w:sz="4" w:space="4" w:color="auto"/>
                <w:bottom w:val="single" w:sz="4" w:space="1" w:color="auto"/>
                <w:right w:val="single" w:sz="4" w:space="4" w:color="auto"/>
              </w:pBdr>
              <w:jc w:val="center"/>
              <w:rPr>
                <w:rFonts w:ascii="Arial" w:hAnsi="Arial" w:cs="Arial"/>
                <w:i/>
                <w:sz w:val="18"/>
                <w:szCs w:val="18"/>
              </w:rPr>
            </w:pPr>
            <w:r w:rsidRPr="00437A10">
              <w:rPr>
                <w:rFonts w:ascii="Arial" w:hAnsi="Arial" w:cs="Arial"/>
                <w:i/>
                <w:sz w:val="18"/>
                <w:szCs w:val="18"/>
              </w:rPr>
              <w:t xml:space="preserve">29% de los gastos básicos (4,5 $us/persona/día) = 0.29 * 137 $us/persona/mes = </w:t>
            </w:r>
          </w:p>
          <w:p w14:paraId="11A2C936" w14:textId="77777777" w:rsidR="006361B3" w:rsidRPr="00437A10" w:rsidRDefault="006361B3" w:rsidP="006361B3">
            <w:pPr>
              <w:pBdr>
                <w:top w:val="single" w:sz="4" w:space="1" w:color="auto"/>
                <w:left w:val="single" w:sz="4" w:space="4" w:color="auto"/>
                <w:bottom w:val="single" w:sz="4" w:space="1" w:color="auto"/>
                <w:right w:val="single" w:sz="4" w:space="4" w:color="auto"/>
              </w:pBdr>
              <w:jc w:val="center"/>
              <w:rPr>
                <w:rFonts w:ascii="Arial" w:hAnsi="Arial" w:cs="Arial"/>
                <w:sz w:val="18"/>
                <w:szCs w:val="18"/>
              </w:rPr>
            </w:pPr>
            <w:r w:rsidRPr="00437A10">
              <w:rPr>
                <w:rFonts w:ascii="Arial" w:hAnsi="Arial" w:cs="Arial"/>
                <w:i/>
                <w:sz w:val="18"/>
                <w:szCs w:val="18"/>
              </w:rPr>
              <w:t>0,29 * 953 Bs/persona/mes = 677 Bs/persona/mes</w:t>
            </w:r>
          </w:p>
          <w:p w14:paraId="2D0DE1C7" w14:textId="4869EFF8" w:rsidR="006361B3" w:rsidRPr="00437A10" w:rsidRDefault="006361B3" w:rsidP="006361B3">
            <w:pPr>
              <w:jc w:val="both"/>
              <w:rPr>
                <w:rFonts w:ascii="Arial" w:hAnsi="Arial" w:cs="Arial"/>
                <w:sz w:val="18"/>
                <w:szCs w:val="18"/>
              </w:rPr>
            </w:pPr>
          </w:p>
          <w:p w14:paraId="2CB3BC9D" w14:textId="77777777" w:rsidR="00916DE5" w:rsidRPr="00437A10" w:rsidRDefault="00916DE5" w:rsidP="00916DE5">
            <w:pPr>
              <w:jc w:val="both"/>
              <w:rPr>
                <w:rFonts w:ascii="Arial" w:hAnsi="Arial" w:cs="Arial"/>
                <w:sz w:val="18"/>
                <w:szCs w:val="18"/>
              </w:rPr>
            </w:pPr>
          </w:p>
          <w:p w14:paraId="38AA316A" w14:textId="5150B1D8" w:rsidR="00916DE5" w:rsidRPr="00437A10" w:rsidRDefault="00916DE5" w:rsidP="00916DE5">
            <w:pPr>
              <w:pBdr>
                <w:top w:val="single" w:sz="4" w:space="1" w:color="auto"/>
                <w:left w:val="single" w:sz="4" w:space="4" w:color="auto"/>
                <w:bottom w:val="single" w:sz="4" w:space="1" w:color="auto"/>
                <w:right w:val="single" w:sz="4" w:space="4" w:color="auto"/>
              </w:pBdr>
              <w:jc w:val="center"/>
              <w:rPr>
                <w:rFonts w:ascii="Arial" w:hAnsi="Arial" w:cs="Arial"/>
                <w:i/>
                <w:sz w:val="18"/>
                <w:szCs w:val="18"/>
              </w:rPr>
            </w:pPr>
            <w:r w:rsidRPr="00437A10">
              <w:rPr>
                <w:rFonts w:ascii="Arial" w:hAnsi="Arial" w:cs="Arial"/>
                <w:i/>
                <w:sz w:val="18"/>
                <w:szCs w:val="18"/>
              </w:rPr>
              <w:t>Área rural:</w:t>
            </w:r>
          </w:p>
          <w:p w14:paraId="06578D09" w14:textId="238D01A9" w:rsidR="00916DE5" w:rsidRPr="00437A10" w:rsidRDefault="00916DE5" w:rsidP="00916DE5">
            <w:pPr>
              <w:pBdr>
                <w:top w:val="single" w:sz="4" w:space="1" w:color="auto"/>
                <w:left w:val="single" w:sz="4" w:space="4" w:color="auto"/>
                <w:bottom w:val="single" w:sz="4" w:space="1" w:color="auto"/>
                <w:right w:val="single" w:sz="4" w:space="4" w:color="auto"/>
              </w:pBdr>
              <w:jc w:val="center"/>
              <w:rPr>
                <w:rFonts w:ascii="Arial" w:hAnsi="Arial" w:cs="Arial"/>
                <w:i/>
                <w:sz w:val="18"/>
                <w:szCs w:val="18"/>
              </w:rPr>
            </w:pPr>
            <w:r w:rsidRPr="00437A10">
              <w:rPr>
                <w:rFonts w:ascii="Arial" w:hAnsi="Arial" w:cs="Arial"/>
                <w:i/>
                <w:sz w:val="18"/>
                <w:szCs w:val="18"/>
              </w:rPr>
              <w:t xml:space="preserve">29% de los gastos básicos (3,2 $us/persona/día) = 0.29 * 96 $us/persona/mes = </w:t>
            </w:r>
          </w:p>
          <w:p w14:paraId="67CA3602" w14:textId="08EAF6F4" w:rsidR="00916DE5" w:rsidRPr="00437A10" w:rsidRDefault="00916DE5" w:rsidP="00916DE5">
            <w:pPr>
              <w:pBdr>
                <w:top w:val="single" w:sz="4" w:space="1" w:color="auto"/>
                <w:left w:val="single" w:sz="4" w:space="4" w:color="auto"/>
                <w:bottom w:val="single" w:sz="4" w:space="1" w:color="auto"/>
                <w:right w:val="single" w:sz="4" w:space="4" w:color="auto"/>
              </w:pBdr>
              <w:jc w:val="center"/>
              <w:rPr>
                <w:rFonts w:ascii="Arial" w:hAnsi="Arial" w:cs="Arial"/>
                <w:sz w:val="18"/>
                <w:szCs w:val="18"/>
              </w:rPr>
            </w:pPr>
            <w:r w:rsidRPr="00437A10">
              <w:rPr>
                <w:rFonts w:ascii="Arial" w:hAnsi="Arial" w:cs="Arial"/>
                <w:i/>
                <w:sz w:val="18"/>
                <w:szCs w:val="18"/>
              </w:rPr>
              <w:t>0,29 * 668 Bs/persona/mes = 194 Bs/persona/mes</w:t>
            </w:r>
          </w:p>
          <w:p w14:paraId="5386DD37" w14:textId="77777777" w:rsidR="00916DE5" w:rsidRPr="00437A10" w:rsidRDefault="00916DE5" w:rsidP="00916DE5">
            <w:pPr>
              <w:jc w:val="both"/>
              <w:rPr>
                <w:rFonts w:ascii="Arial" w:hAnsi="Arial" w:cs="Arial"/>
                <w:sz w:val="18"/>
                <w:szCs w:val="18"/>
              </w:rPr>
            </w:pPr>
          </w:p>
          <w:p w14:paraId="2327DE34" w14:textId="77777777" w:rsidR="00916DE5" w:rsidRPr="00437A10" w:rsidRDefault="00916DE5" w:rsidP="006361B3">
            <w:pPr>
              <w:jc w:val="both"/>
              <w:rPr>
                <w:rFonts w:ascii="Arial" w:hAnsi="Arial" w:cs="Arial"/>
                <w:sz w:val="18"/>
                <w:szCs w:val="18"/>
              </w:rPr>
            </w:pPr>
          </w:p>
          <w:p w14:paraId="089B5BE0" w14:textId="57F17012" w:rsidR="006361B3" w:rsidRPr="00437A10" w:rsidRDefault="006361B3" w:rsidP="006361B3">
            <w:pPr>
              <w:jc w:val="both"/>
              <w:rPr>
                <w:rFonts w:ascii="Arial" w:hAnsi="Arial" w:cs="Arial"/>
                <w:sz w:val="18"/>
                <w:szCs w:val="18"/>
              </w:rPr>
            </w:pPr>
            <w:r w:rsidRPr="00437A10">
              <w:rPr>
                <w:rFonts w:ascii="Arial" w:hAnsi="Arial" w:cs="Arial"/>
                <w:sz w:val="18"/>
                <w:szCs w:val="18"/>
              </w:rPr>
              <w:t>Para calcular los gastos asociados exclusivamente a la vivienda, se toma en cuenta, en los casos que corresponda, el pago del alquiler, las reparaciones, la construcción o ampliación de la vivienda, la colocación de piso y cortinas y el pago de servicios básicos (agua, electricidad y combustible para cocinar), los cuales se pueden obtener de las encuestas de hogares</w:t>
            </w:r>
            <w:r w:rsidR="009A0327" w:rsidRPr="00437A10">
              <w:rPr>
                <w:rFonts w:ascii="Arial" w:hAnsi="Arial" w:cs="Arial"/>
                <w:sz w:val="18"/>
                <w:szCs w:val="18"/>
              </w:rPr>
              <w:t xml:space="preserve"> del Instituto Nacional de Estadística</w:t>
            </w:r>
            <w:r w:rsidRPr="00437A10">
              <w:rPr>
                <w:rFonts w:ascii="Arial" w:hAnsi="Arial" w:cs="Arial"/>
                <w:sz w:val="18"/>
                <w:szCs w:val="18"/>
              </w:rPr>
              <w:t>.</w:t>
            </w:r>
          </w:p>
          <w:p w14:paraId="3026FBEC" w14:textId="2A61EC1A" w:rsidR="006361B3" w:rsidRPr="00437A10" w:rsidRDefault="006361B3" w:rsidP="006361B3">
            <w:pPr>
              <w:jc w:val="both"/>
              <w:rPr>
                <w:rFonts w:ascii="Arial" w:hAnsi="Arial" w:cs="Arial"/>
                <w:sz w:val="18"/>
                <w:szCs w:val="18"/>
              </w:rPr>
            </w:pPr>
            <w:r w:rsidRPr="00437A10">
              <w:rPr>
                <w:rFonts w:ascii="Arial" w:hAnsi="Arial" w:cs="Arial"/>
                <w:sz w:val="18"/>
                <w:szCs w:val="18"/>
              </w:rPr>
              <w:t>Considerando todos estos datos</w:t>
            </w:r>
            <w:r w:rsidR="009A0327" w:rsidRPr="00437A10">
              <w:rPr>
                <w:rFonts w:ascii="Arial" w:hAnsi="Arial" w:cs="Arial"/>
                <w:sz w:val="18"/>
                <w:szCs w:val="18"/>
              </w:rPr>
              <w:t>,</w:t>
            </w:r>
            <w:r w:rsidRPr="00437A10">
              <w:rPr>
                <w:rFonts w:ascii="Arial" w:hAnsi="Arial" w:cs="Arial"/>
                <w:sz w:val="18"/>
                <w:szCs w:val="18"/>
              </w:rPr>
              <w:t xml:space="preserve"> se plantea la siguiente fórmula de asequibilidad:</w:t>
            </w:r>
          </w:p>
          <w:p w14:paraId="629B655F" w14:textId="77777777" w:rsidR="006361B3" w:rsidRPr="00437A10" w:rsidRDefault="006361B3" w:rsidP="006361B3">
            <w:pPr>
              <w:jc w:val="both"/>
              <w:rPr>
                <w:rFonts w:ascii="Arial" w:hAnsi="Arial" w:cs="Arial"/>
                <w:sz w:val="16"/>
                <w:szCs w:val="16"/>
              </w:rPr>
            </w:pPr>
          </w:p>
          <w:p w14:paraId="7E8CE924" w14:textId="09E6F06C" w:rsidR="006361B3" w:rsidRPr="00437A10" w:rsidRDefault="006361B3" w:rsidP="006361B3">
            <w:pPr>
              <w:pBdr>
                <w:top w:val="single" w:sz="4" w:space="1" w:color="auto"/>
                <w:left w:val="single" w:sz="4" w:space="4" w:color="auto"/>
                <w:bottom w:val="single" w:sz="4" w:space="1" w:color="auto"/>
                <w:right w:val="single" w:sz="4" w:space="0" w:color="auto"/>
              </w:pBdr>
              <w:jc w:val="both"/>
              <w:rPr>
                <w:rFonts w:ascii="Arial" w:hAnsi="Arial" w:cs="Arial"/>
                <w:sz w:val="16"/>
                <w:szCs w:val="16"/>
              </w:rPr>
            </w:pPr>
            <m:oMathPara>
              <m:oMath>
                <m:r>
                  <w:rPr>
                    <w:rFonts w:ascii="Cambria Math" w:hAnsi="Cambria Math" w:cs="Arial"/>
                    <w:sz w:val="16"/>
                    <w:szCs w:val="16"/>
                  </w:rPr>
                  <m:t>Asequibilidad=Ingreso del hogar-pago de alquiler, reparación o construcción-pago de servicios básicos-</m:t>
                </m:r>
                <m:d>
                  <m:dPr>
                    <m:ctrlPr>
                      <w:rPr>
                        <w:rFonts w:ascii="Cambria Math" w:hAnsi="Cambria Math" w:cs="Arial"/>
                        <w:i/>
                        <w:sz w:val="16"/>
                        <w:szCs w:val="16"/>
                      </w:rPr>
                    </m:ctrlPr>
                  </m:dPr>
                  <m:e>
                    <m:r>
                      <w:rPr>
                        <w:rFonts w:ascii="Cambria Math" w:hAnsi="Cambria Math" w:cs="Arial"/>
                        <w:sz w:val="16"/>
                        <w:szCs w:val="16"/>
                      </w:rPr>
                      <m:t>Nº de personas del hogar*</m:t>
                    </m:r>
                    <m:f>
                      <m:fPr>
                        <m:ctrlPr>
                          <w:rPr>
                            <w:rFonts w:ascii="Cambria Math" w:hAnsi="Cambria Math" w:cs="Arial"/>
                            <w:i/>
                            <w:sz w:val="16"/>
                            <w:szCs w:val="16"/>
                          </w:rPr>
                        </m:ctrlPr>
                      </m:fPr>
                      <m:num>
                        <m:r>
                          <w:rPr>
                            <w:rFonts w:ascii="Cambria Math" w:hAnsi="Cambria Math" w:cs="Arial"/>
                            <w:sz w:val="16"/>
                            <w:szCs w:val="16"/>
                          </w:rPr>
                          <m:t>677 (o 194)</m:t>
                        </m:r>
                        <m:f>
                          <m:fPr>
                            <m:ctrlPr>
                              <w:rPr>
                                <w:rFonts w:ascii="Cambria Math" w:hAnsi="Cambria Math" w:cs="Arial"/>
                                <w:i/>
                                <w:sz w:val="16"/>
                                <w:szCs w:val="16"/>
                              </w:rPr>
                            </m:ctrlPr>
                          </m:fPr>
                          <m:num>
                            <m:r>
                              <w:rPr>
                                <w:rFonts w:ascii="Cambria Math" w:hAnsi="Cambria Math" w:cs="Arial"/>
                                <w:sz w:val="16"/>
                                <w:szCs w:val="16"/>
                              </w:rPr>
                              <m:t>Bs</m:t>
                            </m:r>
                          </m:num>
                          <m:den>
                            <m:r>
                              <w:rPr>
                                <w:rFonts w:ascii="Cambria Math" w:hAnsi="Cambria Math" w:cs="Arial"/>
                                <w:sz w:val="16"/>
                                <w:szCs w:val="16"/>
                              </w:rPr>
                              <m:t>persona</m:t>
                            </m:r>
                          </m:den>
                        </m:f>
                      </m:num>
                      <m:den>
                        <m:r>
                          <w:rPr>
                            <w:rFonts w:ascii="Cambria Math" w:hAnsi="Cambria Math" w:cs="Arial"/>
                            <w:sz w:val="16"/>
                            <w:szCs w:val="16"/>
                          </w:rPr>
                          <m:t>mes</m:t>
                        </m:r>
                      </m:den>
                    </m:f>
                  </m:e>
                </m:d>
                <m:r>
                  <w:rPr>
                    <w:rFonts w:ascii="Cambria Math" w:hAnsi="Cambria Math" w:cs="Arial"/>
                    <w:sz w:val="16"/>
                    <w:szCs w:val="16"/>
                  </w:rPr>
                  <m:t>&gt;0</m:t>
                </m:r>
              </m:oMath>
            </m:oMathPara>
          </w:p>
          <w:p w14:paraId="7ED8FF0A" w14:textId="77777777" w:rsidR="006361B3" w:rsidRPr="00437A10" w:rsidRDefault="006361B3" w:rsidP="006361B3">
            <w:pPr>
              <w:jc w:val="both"/>
              <w:rPr>
                <w:rFonts w:ascii="Arial" w:hAnsi="Arial" w:cs="Arial"/>
                <w:sz w:val="18"/>
                <w:szCs w:val="18"/>
              </w:rPr>
            </w:pPr>
          </w:p>
          <w:p w14:paraId="278BCD82" w14:textId="32EB8B1C" w:rsidR="006361B3" w:rsidRPr="00437A10" w:rsidRDefault="006361B3" w:rsidP="006361B3">
            <w:pPr>
              <w:jc w:val="both"/>
              <w:rPr>
                <w:rFonts w:ascii="Arial" w:hAnsi="Arial" w:cs="Arial"/>
              </w:rPr>
            </w:pPr>
            <w:r w:rsidRPr="00437A10">
              <w:rPr>
                <w:rFonts w:ascii="Arial" w:hAnsi="Arial" w:cs="Arial"/>
                <w:sz w:val="18"/>
                <w:szCs w:val="18"/>
              </w:rPr>
              <w:t>Si la diferencia entre el ingreso económico del hogar, los gastos en la vivienda y otros satisfactores básicos es mayor que cero, significa que el hogar cuenta con un saldo positivo de ingreso y, por tanto, la vivienda es asequible. En cambio, si el resultado es igual a cero, significa que el hogar no tiene posibilidades de ahorro ni de realizar algún gasto extraordinario a lo absolutamente básico. Si el resultado es menor que cero, significa que el gasto en la vivienda de alquiler ha comprometido el cumplimiento de otros derechos básicos como la alimentación, salud, educación o transporte, es decir, la vivienda es inasequible (Quillaguamán, 2022, p. 26).</w:t>
            </w:r>
          </w:p>
        </w:tc>
      </w:tr>
    </w:tbl>
    <w:p w14:paraId="3D8AC863" w14:textId="4291655B" w:rsidR="006361B3" w:rsidRPr="00437A10" w:rsidRDefault="009643B7" w:rsidP="006361B3">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Fuente: Quillaguamán, 2023</w:t>
      </w:r>
      <w:r w:rsidR="00E404C0" w:rsidRPr="00437A10">
        <w:rPr>
          <w:rFonts w:ascii="Arial" w:eastAsia="Calibri" w:hAnsi="Arial" w:cs="Arial"/>
          <w:sz w:val="22"/>
          <w:szCs w:val="22"/>
        </w:rPr>
        <w:t>a</w:t>
      </w:r>
      <w:r w:rsidRPr="00437A10">
        <w:rPr>
          <w:rFonts w:ascii="Arial" w:eastAsia="Calibri" w:hAnsi="Arial" w:cs="Arial"/>
          <w:sz w:val="22"/>
          <w:szCs w:val="22"/>
        </w:rPr>
        <w:t>.</w:t>
      </w:r>
    </w:p>
    <w:p w14:paraId="271D9C18" w14:textId="77777777" w:rsidR="00067B97" w:rsidRPr="00437A10" w:rsidRDefault="00067B97" w:rsidP="006361B3">
      <w:pPr>
        <w:spacing w:after="160" w:line="259" w:lineRule="auto"/>
        <w:contextualSpacing/>
        <w:jc w:val="both"/>
        <w:rPr>
          <w:rFonts w:ascii="Arial" w:eastAsia="Calibri" w:hAnsi="Arial" w:cs="Arial"/>
          <w:sz w:val="22"/>
          <w:szCs w:val="22"/>
        </w:rPr>
      </w:pPr>
    </w:p>
    <w:p w14:paraId="48B07E61" w14:textId="4BE06E0C" w:rsidR="009643B7" w:rsidRPr="00437A10" w:rsidRDefault="009643B7" w:rsidP="006361B3">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El desarrollo de este indicador será publicado próximamente en la investigación “Condiciones de vida y vulnerabilidades de la población joven en Bolivia” coordinado por Jorge Veizaga del Centro de Estudios de Población y patrocinado por el Fondo de Población de las Naciones Unidas.</w:t>
      </w:r>
    </w:p>
    <w:p w14:paraId="7BEAA124" w14:textId="474BBFA8" w:rsidR="009643B7" w:rsidRPr="00437A10" w:rsidRDefault="00EB6039" w:rsidP="006361B3">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 xml:space="preserve">Una adaptación de dicho indicador para hogares en situación de inquilinato se publicó en </w:t>
      </w:r>
      <w:hyperlink r:id="rId14" w:history="1">
        <w:r w:rsidR="00A07C69" w:rsidRPr="00437A10">
          <w:rPr>
            <w:rStyle w:val="Hyperlink"/>
            <w:rFonts w:ascii="Arial" w:eastAsia="Calibri" w:hAnsi="Arial" w:cs="Arial"/>
            <w:color w:val="auto"/>
            <w:sz w:val="22"/>
            <w:szCs w:val="22"/>
          </w:rPr>
          <w:t>www.iiach.fach.umss.edu.bo/locus/</w:t>
        </w:r>
      </w:hyperlink>
    </w:p>
    <w:p w14:paraId="62E97EED" w14:textId="77777777" w:rsidR="00A83B64" w:rsidRPr="00437A10" w:rsidRDefault="00A83B64" w:rsidP="00A83B64">
      <w:pPr>
        <w:spacing w:after="160" w:line="259" w:lineRule="auto"/>
        <w:ind w:left="720"/>
        <w:jc w:val="both"/>
        <w:rPr>
          <w:rFonts w:ascii="Arial" w:eastAsia="Calibri" w:hAnsi="Arial" w:cs="Arial"/>
          <w:sz w:val="22"/>
          <w:szCs w:val="22"/>
        </w:rPr>
      </w:pPr>
    </w:p>
    <w:p w14:paraId="32B72882" w14:textId="41D54F79" w:rsidR="00A83B64" w:rsidRPr="00437A10" w:rsidRDefault="00A83B64" w:rsidP="00A83B64">
      <w:pPr>
        <w:numPr>
          <w:ilvl w:val="0"/>
          <w:numId w:val="1"/>
        </w:num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¿Ha aumentado o disminuido la asequibilidad de la vivienda en su país durante los últimos 10 años? ¿En qué regiones o ciudades ha cambiado la asequibilidad de la vivienda y para quién?</w:t>
      </w:r>
    </w:p>
    <w:p w14:paraId="2F56BA1D" w14:textId="26510143" w:rsidR="00D02E9A" w:rsidRPr="00437A10" w:rsidRDefault="00D02E9A" w:rsidP="00D02E9A">
      <w:pPr>
        <w:spacing w:after="160" w:line="259" w:lineRule="auto"/>
        <w:contextualSpacing/>
        <w:jc w:val="both"/>
        <w:rPr>
          <w:rFonts w:ascii="Arial" w:eastAsia="Calibri" w:hAnsi="Arial" w:cs="Arial"/>
          <w:sz w:val="22"/>
          <w:szCs w:val="22"/>
        </w:rPr>
      </w:pPr>
    </w:p>
    <w:p w14:paraId="023F946C" w14:textId="06CC28F3" w:rsidR="00D02E9A" w:rsidRPr="00437A10" w:rsidRDefault="00D02E9A" w:rsidP="00D02E9A">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En función al indicador propuesto en la pregunta 4, en el cuadro 5.1 se advierte que, durante los años 2011</w:t>
      </w:r>
      <w:r w:rsidR="009A0327" w:rsidRPr="00437A10">
        <w:rPr>
          <w:rStyle w:val="FootnoteReference"/>
          <w:rFonts w:ascii="Arial" w:eastAsia="Calibri" w:hAnsi="Arial" w:cs="Arial"/>
          <w:sz w:val="22"/>
          <w:szCs w:val="22"/>
        </w:rPr>
        <w:footnoteReference w:id="2"/>
      </w:r>
      <w:r w:rsidRPr="00437A10">
        <w:rPr>
          <w:rFonts w:ascii="Arial" w:eastAsia="Calibri" w:hAnsi="Arial" w:cs="Arial"/>
          <w:sz w:val="22"/>
          <w:szCs w:val="22"/>
        </w:rPr>
        <w:t xml:space="preserve"> al 2021, la asequibilidad de la vivienda aumentó en el área urbana de 11,7% a 17.8% y en el área rural de 5.9 a 9.8%.</w:t>
      </w:r>
    </w:p>
    <w:p w14:paraId="08696BB1" w14:textId="77777777" w:rsidR="00D02E9A" w:rsidRPr="00437A10" w:rsidRDefault="00D02E9A" w:rsidP="00D02E9A">
      <w:pPr>
        <w:spacing w:after="160" w:line="259" w:lineRule="auto"/>
        <w:contextualSpacing/>
        <w:jc w:val="both"/>
        <w:rPr>
          <w:rFonts w:ascii="Arial" w:eastAsia="Calibri" w:hAnsi="Arial" w:cs="Arial"/>
          <w:sz w:val="22"/>
          <w:szCs w:val="22"/>
        </w:rPr>
      </w:pPr>
    </w:p>
    <w:p w14:paraId="0CAA3019" w14:textId="3D99347C" w:rsidR="00D02E9A" w:rsidRPr="00437A10" w:rsidRDefault="00D02E9A" w:rsidP="00D02E9A">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 xml:space="preserve">Cuadro 5.1. </w:t>
      </w:r>
      <w:r w:rsidR="00BD1083" w:rsidRPr="00437A10">
        <w:rPr>
          <w:rFonts w:ascii="Arial" w:eastAsia="Calibri" w:hAnsi="Arial" w:cs="Arial"/>
          <w:sz w:val="22"/>
          <w:szCs w:val="22"/>
        </w:rPr>
        <w:t xml:space="preserve">Bolivia: </w:t>
      </w:r>
      <w:r w:rsidRPr="00437A10">
        <w:rPr>
          <w:rFonts w:ascii="Arial" w:eastAsia="Calibri" w:hAnsi="Arial" w:cs="Arial"/>
          <w:sz w:val="22"/>
          <w:szCs w:val="22"/>
        </w:rPr>
        <w:t>Cantidad y porcentaje de viviendas por asequibilidad según área geográfica, 2011 y 2021</w:t>
      </w:r>
    </w:p>
    <w:tbl>
      <w:tblPr>
        <w:tblW w:w="8480" w:type="dxa"/>
        <w:tblInd w:w="-5" w:type="dxa"/>
        <w:tblCellMar>
          <w:left w:w="70" w:type="dxa"/>
          <w:right w:w="70" w:type="dxa"/>
        </w:tblCellMar>
        <w:tblLook w:val="04A0" w:firstRow="1" w:lastRow="0" w:firstColumn="1" w:lastColumn="0" w:noHBand="0" w:noVBand="1"/>
      </w:tblPr>
      <w:tblGrid>
        <w:gridCol w:w="1191"/>
        <w:gridCol w:w="1210"/>
        <w:gridCol w:w="591"/>
        <w:gridCol w:w="1134"/>
        <w:gridCol w:w="709"/>
        <w:gridCol w:w="1119"/>
        <w:gridCol w:w="674"/>
        <w:gridCol w:w="1200"/>
        <w:gridCol w:w="652"/>
      </w:tblGrid>
      <w:tr w:rsidR="00D02E9A" w:rsidRPr="00437A10" w14:paraId="182FB316" w14:textId="77777777" w:rsidTr="00D02E9A">
        <w:trPr>
          <w:trHeight w:val="300"/>
        </w:trPr>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5A4C35E" w14:textId="77777777" w:rsidR="00D02E9A" w:rsidRPr="00437A10" w:rsidRDefault="00D02E9A" w:rsidP="00D02E9A">
            <w:pPr>
              <w:jc w:val="center"/>
              <w:rPr>
                <w:rFonts w:ascii="Arial" w:hAnsi="Arial" w:cs="Arial"/>
                <w:sz w:val="18"/>
                <w:szCs w:val="18"/>
                <w:lang w:val="es-BO" w:eastAsia="es-BO"/>
              </w:rPr>
            </w:pPr>
            <w:r w:rsidRPr="00437A10">
              <w:rPr>
                <w:rFonts w:ascii="Arial" w:hAnsi="Arial" w:cs="Arial"/>
                <w:sz w:val="18"/>
                <w:szCs w:val="18"/>
                <w:lang w:val="es-BO" w:eastAsia="es-BO"/>
              </w:rPr>
              <w:t>Indicador de asequibilidad</w:t>
            </w:r>
          </w:p>
        </w:tc>
        <w:tc>
          <w:tcPr>
            <w:tcW w:w="3644"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5CE7CC15" w14:textId="77777777" w:rsidR="00D02E9A" w:rsidRPr="00437A10" w:rsidRDefault="00D02E9A" w:rsidP="00D02E9A">
            <w:pPr>
              <w:jc w:val="center"/>
              <w:rPr>
                <w:rFonts w:ascii="Arial" w:hAnsi="Arial" w:cs="Arial"/>
                <w:sz w:val="18"/>
                <w:szCs w:val="18"/>
                <w:lang w:val="es-BO" w:eastAsia="es-BO"/>
              </w:rPr>
            </w:pPr>
            <w:r w:rsidRPr="00437A10">
              <w:rPr>
                <w:rFonts w:ascii="Arial" w:hAnsi="Arial" w:cs="Arial"/>
                <w:sz w:val="18"/>
                <w:szCs w:val="18"/>
                <w:lang w:val="es-BO" w:eastAsia="es-BO"/>
              </w:rPr>
              <w:t>Área urbana</w:t>
            </w:r>
          </w:p>
        </w:tc>
        <w:tc>
          <w:tcPr>
            <w:tcW w:w="3645"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438D20CA" w14:textId="77777777" w:rsidR="00D02E9A" w:rsidRPr="00437A10" w:rsidRDefault="00D02E9A" w:rsidP="00D02E9A">
            <w:pPr>
              <w:jc w:val="center"/>
              <w:rPr>
                <w:rFonts w:ascii="Arial" w:hAnsi="Arial" w:cs="Arial"/>
                <w:sz w:val="18"/>
                <w:szCs w:val="18"/>
                <w:lang w:val="es-BO" w:eastAsia="es-BO"/>
              </w:rPr>
            </w:pPr>
            <w:r w:rsidRPr="00437A10">
              <w:rPr>
                <w:rFonts w:ascii="Arial" w:hAnsi="Arial" w:cs="Arial"/>
                <w:sz w:val="18"/>
                <w:szCs w:val="18"/>
                <w:lang w:val="es-BO" w:eastAsia="es-BO"/>
              </w:rPr>
              <w:t>Área rural</w:t>
            </w:r>
          </w:p>
        </w:tc>
      </w:tr>
      <w:tr w:rsidR="00D02E9A" w:rsidRPr="00437A10" w14:paraId="38A2BBFE" w14:textId="77777777" w:rsidTr="00D02E9A">
        <w:trPr>
          <w:trHeight w:val="315"/>
        </w:trPr>
        <w:tc>
          <w:tcPr>
            <w:tcW w:w="1191" w:type="dxa"/>
            <w:vMerge/>
            <w:tcBorders>
              <w:top w:val="single" w:sz="4" w:space="0" w:color="000000"/>
              <w:left w:val="single" w:sz="4" w:space="0" w:color="000000"/>
              <w:bottom w:val="single" w:sz="4" w:space="0" w:color="000000"/>
              <w:right w:val="single" w:sz="4" w:space="0" w:color="000000"/>
            </w:tcBorders>
            <w:vAlign w:val="center"/>
            <w:hideMark/>
          </w:tcPr>
          <w:p w14:paraId="78F61454" w14:textId="77777777" w:rsidR="00D02E9A" w:rsidRPr="00437A10" w:rsidRDefault="00D02E9A" w:rsidP="00D02E9A">
            <w:pPr>
              <w:rPr>
                <w:rFonts w:ascii="Arial" w:hAnsi="Arial" w:cs="Arial"/>
                <w:sz w:val="18"/>
                <w:szCs w:val="18"/>
                <w:lang w:val="es-BO" w:eastAsia="es-BO"/>
              </w:rPr>
            </w:pPr>
          </w:p>
        </w:tc>
        <w:tc>
          <w:tcPr>
            <w:tcW w:w="1801" w:type="dxa"/>
            <w:gridSpan w:val="2"/>
            <w:tcBorders>
              <w:top w:val="single" w:sz="4" w:space="0" w:color="000000"/>
              <w:left w:val="nil"/>
              <w:bottom w:val="single" w:sz="4" w:space="0" w:color="000000"/>
              <w:right w:val="single" w:sz="4" w:space="0" w:color="000000"/>
            </w:tcBorders>
            <w:shd w:val="clear" w:color="auto" w:fill="auto"/>
            <w:vAlign w:val="center"/>
            <w:hideMark/>
          </w:tcPr>
          <w:p w14:paraId="1376C358" w14:textId="77777777" w:rsidR="00D02E9A" w:rsidRPr="00437A10" w:rsidRDefault="00D02E9A" w:rsidP="00D02E9A">
            <w:pPr>
              <w:jc w:val="center"/>
              <w:rPr>
                <w:rFonts w:ascii="Arial" w:hAnsi="Arial" w:cs="Arial"/>
                <w:bCs/>
                <w:sz w:val="18"/>
                <w:szCs w:val="18"/>
                <w:lang w:val="es-BO" w:eastAsia="es-BO"/>
              </w:rPr>
            </w:pPr>
            <w:r w:rsidRPr="00437A10">
              <w:rPr>
                <w:rFonts w:ascii="Arial" w:hAnsi="Arial" w:cs="Arial"/>
                <w:bCs/>
                <w:sz w:val="18"/>
                <w:szCs w:val="18"/>
                <w:lang w:val="es-BO" w:eastAsia="es-BO"/>
              </w:rPr>
              <w:t>2011</w:t>
            </w:r>
          </w:p>
        </w:tc>
        <w:tc>
          <w:tcPr>
            <w:tcW w:w="1843" w:type="dxa"/>
            <w:gridSpan w:val="2"/>
            <w:tcBorders>
              <w:top w:val="single" w:sz="4" w:space="0" w:color="000000"/>
              <w:left w:val="nil"/>
              <w:bottom w:val="single" w:sz="4" w:space="0" w:color="000000"/>
              <w:right w:val="single" w:sz="4" w:space="0" w:color="000000"/>
            </w:tcBorders>
            <w:shd w:val="clear" w:color="auto" w:fill="auto"/>
            <w:vAlign w:val="center"/>
            <w:hideMark/>
          </w:tcPr>
          <w:p w14:paraId="4E30BEF1" w14:textId="77777777" w:rsidR="00D02E9A" w:rsidRPr="00437A10" w:rsidRDefault="00D02E9A" w:rsidP="00D02E9A">
            <w:pPr>
              <w:jc w:val="center"/>
              <w:rPr>
                <w:rFonts w:ascii="Arial" w:hAnsi="Arial" w:cs="Arial"/>
                <w:bCs/>
                <w:sz w:val="18"/>
                <w:szCs w:val="18"/>
                <w:lang w:val="es-BO" w:eastAsia="es-BO"/>
              </w:rPr>
            </w:pPr>
            <w:r w:rsidRPr="00437A10">
              <w:rPr>
                <w:rFonts w:ascii="Arial" w:hAnsi="Arial" w:cs="Arial"/>
                <w:bCs/>
                <w:sz w:val="18"/>
                <w:szCs w:val="18"/>
                <w:lang w:val="es-BO" w:eastAsia="es-BO"/>
              </w:rPr>
              <w:t>2021</w:t>
            </w:r>
          </w:p>
        </w:tc>
        <w:tc>
          <w:tcPr>
            <w:tcW w:w="179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3F19F154" w14:textId="77777777" w:rsidR="00D02E9A" w:rsidRPr="00437A10" w:rsidRDefault="00D02E9A" w:rsidP="00D02E9A">
            <w:pPr>
              <w:jc w:val="center"/>
              <w:rPr>
                <w:rFonts w:ascii="Arial" w:hAnsi="Arial" w:cs="Arial"/>
                <w:sz w:val="18"/>
                <w:szCs w:val="18"/>
                <w:lang w:val="es-BO" w:eastAsia="es-BO"/>
              </w:rPr>
            </w:pPr>
            <w:r w:rsidRPr="00437A10">
              <w:rPr>
                <w:rFonts w:ascii="Arial" w:hAnsi="Arial" w:cs="Arial"/>
                <w:sz w:val="18"/>
                <w:szCs w:val="18"/>
                <w:lang w:val="es-BO" w:eastAsia="es-BO"/>
              </w:rPr>
              <w:t>2011</w:t>
            </w:r>
          </w:p>
        </w:tc>
        <w:tc>
          <w:tcPr>
            <w:tcW w:w="185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614BEBD2" w14:textId="77777777" w:rsidR="00D02E9A" w:rsidRPr="00437A10" w:rsidRDefault="00D02E9A" w:rsidP="00D02E9A">
            <w:pPr>
              <w:jc w:val="center"/>
              <w:rPr>
                <w:rFonts w:ascii="Arial" w:hAnsi="Arial" w:cs="Arial"/>
                <w:sz w:val="18"/>
                <w:szCs w:val="18"/>
                <w:lang w:val="es-BO" w:eastAsia="es-BO"/>
              </w:rPr>
            </w:pPr>
            <w:r w:rsidRPr="00437A10">
              <w:rPr>
                <w:rFonts w:ascii="Arial" w:hAnsi="Arial" w:cs="Arial"/>
                <w:sz w:val="18"/>
                <w:szCs w:val="18"/>
                <w:lang w:val="es-BO" w:eastAsia="es-BO"/>
              </w:rPr>
              <w:t>2021</w:t>
            </w:r>
          </w:p>
        </w:tc>
      </w:tr>
      <w:tr w:rsidR="00D02E9A" w:rsidRPr="00437A10" w14:paraId="6A741827" w14:textId="77777777" w:rsidTr="00D02E9A">
        <w:trPr>
          <w:trHeight w:val="525"/>
        </w:trPr>
        <w:tc>
          <w:tcPr>
            <w:tcW w:w="1191" w:type="dxa"/>
            <w:vMerge/>
            <w:tcBorders>
              <w:top w:val="single" w:sz="4" w:space="0" w:color="000000"/>
              <w:left w:val="single" w:sz="4" w:space="0" w:color="000000"/>
              <w:bottom w:val="single" w:sz="4" w:space="0" w:color="000000"/>
              <w:right w:val="single" w:sz="4" w:space="0" w:color="000000"/>
            </w:tcBorders>
            <w:vAlign w:val="center"/>
            <w:hideMark/>
          </w:tcPr>
          <w:p w14:paraId="5612DDE8" w14:textId="77777777" w:rsidR="00D02E9A" w:rsidRPr="00437A10" w:rsidRDefault="00D02E9A" w:rsidP="00D02E9A">
            <w:pPr>
              <w:rPr>
                <w:rFonts w:ascii="Arial" w:hAnsi="Arial" w:cs="Arial"/>
                <w:sz w:val="18"/>
                <w:szCs w:val="18"/>
                <w:lang w:val="es-BO" w:eastAsia="es-BO"/>
              </w:rPr>
            </w:pPr>
          </w:p>
        </w:tc>
        <w:tc>
          <w:tcPr>
            <w:tcW w:w="1210" w:type="dxa"/>
            <w:tcBorders>
              <w:top w:val="nil"/>
              <w:left w:val="nil"/>
              <w:bottom w:val="single" w:sz="4" w:space="0" w:color="000000"/>
              <w:right w:val="single" w:sz="4" w:space="0" w:color="000000"/>
            </w:tcBorders>
            <w:shd w:val="clear" w:color="auto" w:fill="auto"/>
            <w:vAlign w:val="bottom"/>
            <w:hideMark/>
          </w:tcPr>
          <w:p w14:paraId="2CD7F6EE" w14:textId="32332D14" w:rsidR="00D02E9A" w:rsidRPr="00437A10" w:rsidRDefault="00D02E9A" w:rsidP="00D02E9A">
            <w:pPr>
              <w:jc w:val="center"/>
              <w:rPr>
                <w:rFonts w:ascii="Arial" w:hAnsi="Arial" w:cs="Arial"/>
                <w:sz w:val="18"/>
                <w:szCs w:val="18"/>
                <w:lang w:val="es-BO" w:eastAsia="es-BO"/>
              </w:rPr>
            </w:pPr>
            <w:r w:rsidRPr="00437A10">
              <w:rPr>
                <w:rFonts w:ascii="Arial" w:hAnsi="Arial" w:cs="Arial"/>
                <w:sz w:val="18"/>
                <w:szCs w:val="18"/>
                <w:lang w:val="es-BO" w:eastAsia="es-BO"/>
              </w:rPr>
              <w:t>Cantidad de viviendas</w:t>
            </w:r>
          </w:p>
        </w:tc>
        <w:tc>
          <w:tcPr>
            <w:tcW w:w="591" w:type="dxa"/>
            <w:tcBorders>
              <w:top w:val="nil"/>
              <w:left w:val="nil"/>
              <w:bottom w:val="single" w:sz="4" w:space="0" w:color="000000"/>
              <w:right w:val="single" w:sz="4" w:space="0" w:color="000000"/>
            </w:tcBorders>
            <w:shd w:val="clear" w:color="auto" w:fill="auto"/>
            <w:vAlign w:val="bottom"/>
            <w:hideMark/>
          </w:tcPr>
          <w:p w14:paraId="7428E6A5" w14:textId="52652B6B" w:rsidR="00D02E9A" w:rsidRPr="00437A10" w:rsidRDefault="00D02E9A" w:rsidP="00D02E9A">
            <w:pPr>
              <w:jc w:val="center"/>
              <w:rPr>
                <w:rFonts w:ascii="Arial" w:hAnsi="Arial" w:cs="Arial"/>
                <w:sz w:val="18"/>
                <w:szCs w:val="18"/>
                <w:lang w:val="es-BO" w:eastAsia="es-BO"/>
              </w:rPr>
            </w:pPr>
            <w:r w:rsidRPr="00437A10">
              <w:rPr>
                <w:rFonts w:ascii="Arial" w:hAnsi="Arial" w:cs="Arial"/>
                <w:sz w:val="18"/>
                <w:szCs w:val="18"/>
                <w:lang w:val="es-BO" w:eastAsia="es-BO"/>
              </w:rPr>
              <w:t>%</w:t>
            </w:r>
          </w:p>
        </w:tc>
        <w:tc>
          <w:tcPr>
            <w:tcW w:w="1134" w:type="dxa"/>
            <w:tcBorders>
              <w:top w:val="nil"/>
              <w:left w:val="nil"/>
              <w:bottom w:val="single" w:sz="4" w:space="0" w:color="000000"/>
              <w:right w:val="single" w:sz="4" w:space="0" w:color="000000"/>
            </w:tcBorders>
            <w:shd w:val="clear" w:color="auto" w:fill="auto"/>
            <w:vAlign w:val="bottom"/>
          </w:tcPr>
          <w:p w14:paraId="60252E24" w14:textId="029CE861" w:rsidR="00D02E9A" w:rsidRPr="00437A10" w:rsidRDefault="00D02E9A" w:rsidP="00D02E9A">
            <w:pPr>
              <w:jc w:val="center"/>
              <w:rPr>
                <w:rFonts w:ascii="Arial" w:hAnsi="Arial" w:cs="Arial"/>
                <w:sz w:val="18"/>
                <w:szCs w:val="18"/>
                <w:lang w:val="es-BO" w:eastAsia="es-BO"/>
              </w:rPr>
            </w:pPr>
            <w:r w:rsidRPr="00437A10">
              <w:rPr>
                <w:rFonts w:ascii="Arial" w:hAnsi="Arial" w:cs="Arial"/>
                <w:sz w:val="18"/>
                <w:szCs w:val="18"/>
                <w:lang w:val="es-BO" w:eastAsia="es-BO"/>
              </w:rPr>
              <w:t>Cantidad de viviendas</w:t>
            </w:r>
          </w:p>
        </w:tc>
        <w:tc>
          <w:tcPr>
            <w:tcW w:w="709" w:type="dxa"/>
            <w:tcBorders>
              <w:top w:val="nil"/>
              <w:left w:val="nil"/>
              <w:bottom w:val="single" w:sz="4" w:space="0" w:color="000000"/>
              <w:right w:val="single" w:sz="4" w:space="0" w:color="000000"/>
            </w:tcBorders>
            <w:shd w:val="clear" w:color="auto" w:fill="auto"/>
            <w:vAlign w:val="bottom"/>
          </w:tcPr>
          <w:p w14:paraId="0D6811FE" w14:textId="588B957F" w:rsidR="00D02E9A" w:rsidRPr="00437A10" w:rsidRDefault="00D02E9A" w:rsidP="00D02E9A">
            <w:pPr>
              <w:jc w:val="center"/>
              <w:rPr>
                <w:rFonts w:ascii="Arial" w:hAnsi="Arial" w:cs="Arial"/>
                <w:sz w:val="18"/>
                <w:szCs w:val="18"/>
                <w:lang w:val="es-BO" w:eastAsia="es-BO"/>
              </w:rPr>
            </w:pPr>
            <w:r w:rsidRPr="00437A10">
              <w:rPr>
                <w:rFonts w:ascii="Arial" w:hAnsi="Arial" w:cs="Arial"/>
                <w:sz w:val="18"/>
                <w:szCs w:val="18"/>
                <w:lang w:val="es-BO" w:eastAsia="es-BO"/>
              </w:rPr>
              <w:t>%</w:t>
            </w:r>
          </w:p>
        </w:tc>
        <w:tc>
          <w:tcPr>
            <w:tcW w:w="1119" w:type="dxa"/>
            <w:tcBorders>
              <w:top w:val="nil"/>
              <w:left w:val="nil"/>
              <w:bottom w:val="single" w:sz="4" w:space="0" w:color="000000"/>
              <w:right w:val="single" w:sz="4" w:space="0" w:color="000000"/>
            </w:tcBorders>
            <w:shd w:val="clear" w:color="auto" w:fill="auto"/>
            <w:vAlign w:val="bottom"/>
          </w:tcPr>
          <w:p w14:paraId="6C86FADD" w14:textId="39B6E799" w:rsidR="00D02E9A" w:rsidRPr="00437A10" w:rsidRDefault="00D02E9A" w:rsidP="00D02E9A">
            <w:pPr>
              <w:jc w:val="center"/>
              <w:rPr>
                <w:rFonts w:ascii="Arial" w:hAnsi="Arial" w:cs="Arial"/>
                <w:sz w:val="18"/>
                <w:szCs w:val="18"/>
                <w:lang w:val="es-BO" w:eastAsia="es-BO"/>
              </w:rPr>
            </w:pPr>
            <w:r w:rsidRPr="00437A10">
              <w:rPr>
                <w:rFonts w:ascii="Arial" w:hAnsi="Arial" w:cs="Arial"/>
                <w:sz w:val="18"/>
                <w:szCs w:val="18"/>
                <w:lang w:val="es-BO" w:eastAsia="es-BO"/>
              </w:rPr>
              <w:t>Cantidad de viviendas</w:t>
            </w:r>
          </w:p>
        </w:tc>
        <w:tc>
          <w:tcPr>
            <w:tcW w:w="674" w:type="dxa"/>
            <w:tcBorders>
              <w:top w:val="nil"/>
              <w:left w:val="nil"/>
              <w:bottom w:val="single" w:sz="4" w:space="0" w:color="000000"/>
              <w:right w:val="single" w:sz="4" w:space="0" w:color="000000"/>
            </w:tcBorders>
            <w:shd w:val="clear" w:color="auto" w:fill="auto"/>
            <w:vAlign w:val="bottom"/>
          </w:tcPr>
          <w:p w14:paraId="1152D5F7" w14:textId="38DFBDD0" w:rsidR="00D02E9A" w:rsidRPr="00437A10" w:rsidRDefault="00D02E9A" w:rsidP="00D02E9A">
            <w:pPr>
              <w:jc w:val="center"/>
              <w:rPr>
                <w:rFonts w:ascii="Arial" w:hAnsi="Arial" w:cs="Arial"/>
                <w:sz w:val="18"/>
                <w:szCs w:val="18"/>
                <w:lang w:val="es-BO" w:eastAsia="es-BO"/>
              </w:rPr>
            </w:pPr>
            <w:r w:rsidRPr="00437A10">
              <w:rPr>
                <w:rFonts w:ascii="Arial" w:hAnsi="Arial" w:cs="Arial"/>
                <w:sz w:val="18"/>
                <w:szCs w:val="18"/>
                <w:lang w:val="es-BO" w:eastAsia="es-BO"/>
              </w:rPr>
              <w:t>%</w:t>
            </w:r>
          </w:p>
        </w:tc>
        <w:tc>
          <w:tcPr>
            <w:tcW w:w="1200" w:type="dxa"/>
            <w:tcBorders>
              <w:top w:val="nil"/>
              <w:left w:val="nil"/>
              <w:bottom w:val="single" w:sz="4" w:space="0" w:color="000000"/>
              <w:right w:val="single" w:sz="4" w:space="0" w:color="000000"/>
            </w:tcBorders>
            <w:shd w:val="clear" w:color="auto" w:fill="auto"/>
            <w:vAlign w:val="bottom"/>
          </w:tcPr>
          <w:p w14:paraId="31E72AF1" w14:textId="39D31B84" w:rsidR="00D02E9A" w:rsidRPr="00437A10" w:rsidRDefault="00D02E9A" w:rsidP="00D02E9A">
            <w:pPr>
              <w:jc w:val="center"/>
              <w:rPr>
                <w:rFonts w:ascii="Arial" w:hAnsi="Arial" w:cs="Arial"/>
                <w:sz w:val="18"/>
                <w:szCs w:val="18"/>
                <w:lang w:val="es-BO" w:eastAsia="es-BO"/>
              </w:rPr>
            </w:pPr>
            <w:r w:rsidRPr="00437A10">
              <w:rPr>
                <w:rFonts w:ascii="Arial" w:hAnsi="Arial" w:cs="Arial"/>
                <w:sz w:val="18"/>
                <w:szCs w:val="18"/>
                <w:lang w:val="es-BO" w:eastAsia="es-BO"/>
              </w:rPr>
              <w:t>Cantidad de viviendas</w:t>
            </w:r>
          </w:p>
        </w:tc>
        <w:tc>
          <w:tcPr>
            <w:tcW w:w="652" w:type="dxa"/>
            <w:tcBorders>
              <w:top w:val="nil"/>
              <w:left w:val="nil"/>
              <w:bottom w:val="single" w:sz="4" w:space="0" w:color="000000"/>
              <w:right w:val="single" w:sz="4" w:space="0" w:color="000000"/>
            </w:tcBorders>
            <w:shd w:val="clear" w:color="auto" w:fill="auto"/>
            <w:vAlign w:val="bottom"/>
          </w:tcPr>
          <w:p w14:paraId="0C671A99" w14:textId="72D37B5B" w:rsidR="00D02E9A" w:rsidRPr="00437A10" w:rsidRDefault="00D02E9A" w:rsidP="00D02E9A">
            <w:pPr>
              <w:jc w:val="center"/>
              <w:rPr>
                <w:rFonts w:ascii="Arial" w:hAnsi="Arial" w:cs="Arial"/>
                <w:sz w:val="18"/>
                <w:szCs w:val="18"/>
                <w:lang w:val="es-BO" w:eastAsia="es-BO"/>
              </w:rPr>
            </w:pPr>
            <w:r w:rsidRPr="00437A10">
              <w:rPr>
                <w:rFonts w:ascii="Arial" w:hAnsi="Arial" w:cs="Arial"/>
                <w:sz w:val="18"/>
                <w:szCs w:val="18"/>
                <w:lang w:val="es-BO" w:eastAsia="es-BO"/>
              </w:rPr>
              <w:t>%</w:t>
            </w:r>
          </w:p>
        </w:tc>
      </w:tr>
      <w:tr w:rsidR="00D02E9A" w:rsidRPr="00437A10" w14:paraId="3CD92CFB" w14:textId="77777777" w:rsidTr="00D02E9A">
        <w:trPr>
          <w:trHeight w:val="495"/>
        </w:trPr>
        <w:tc>
          <w:tcPr>
            <w:tcW w:w="1191" w:type="dxa"/>
            <w:tcBorders>
              <w:top w:val="nil"/>
              <w:left w:val="single" w:sz="4" w:space="0" w:color="000000"/>
              <w:bottom w:val="single" w:sz="4" w:space="0" w:color="000000"/>
              <w:right w:val="single" w:sz="4" w:space="0" w:color="000000"/>
            </w:tcBorders>
            <w:shd w:val="clear" w:color="auto" w:fill="auto"/>
            <w:hideMark/>
          </w:tcPr>
          <w:p w14:paraId="02CF6F55" w14:textId="77777777" w:rsidR="00D02E9A" w:rsidRPr="00437A10" w:rsidRDefault="00D02E9A" w:rsidP="00D02E9A">
            <w:pP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210" w:type="dxa"/>
            <w:tcBorders>
              <w:top w:val="nil"/>
              <w:left w:val="nil"/>
              <w:bottom w:val="single" w:sz="4" w:space="0" w:color="000000"/>
              <w:right w:val="single" w:sz="4" w:space="0" w:color="000000"/>
            </w:tcBorders>
            <w:shd w:val="clear" w:color="auto" w:fill="auto"/>
            <w:noWrap/>
            <w:vAlign w:val="center"/>
            <w:hideMark/>
          </w:tcPr>
          <w:p w14:paraId="6AEEB737"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2431430</w:t>
            </w:r>
          </w:p>
        </w:tc>
        <w:tc>
          <w:tcPr>
            <w:tcW w:w="591" w:type="dxa"/>
            <w:tcBorders>
              <w:top w:val="nil"/>
              <w:left w:val="nil"/>
              <w:bottom w:val="single" w:sz="4" w:space="0" w:color="000000"/>
              <w:right w:val="single" w:sz="4" w:space="0" w:color="000000"/>
            </w:tcBorders>
            <w:shd w:val="clear" w:color="auto" w:fill="auto"/>
            <w:noWrap/>
            <w:vAlign w:val="center"/>
            <w:hideMark/>
          </w:tcPr>
          <w:p w14:paraId="62F7A0AF"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88,3</w:t>
            </w:r>
          </w:p>
        </w:tc>
        <w:tc>
          <w:tcPr>
            <w:tcW w:w="1134" w:type="dxa"/>
            <w:tcBorders>
              <w:top w:val="nil"/>
              <w:left w:val="nil"/>
              <w:bottom w:val="single" w:sz="4" w:space="0" w:color="000000"/>
              <w:right w:val="single" w:sz="4" w:space="0" w:color="000000"/>
            </w:tcBorders>
            <w:shd w:val="clear" w:color="auto" w:fill="auto"/>
            <w:noWrap/>
            <w:vAlign w:val="center"/>
            <w:hideMark/>
          </w:tcPr>
          <w:p w14:paraId="50DC331D"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2068035</w:t>
            </w:r>
          </w:p>
        </w:tc>
        <w:tc>
          <w:tcPr>
            <w:tcW w:w="709" w:type="dxa"/>
            <w:tcBorders>
              <w:top w:val="nil"/>
              <w:left w:val="nil"/>
              <w:bottom w:val="single" w:sz="4" w:space="0" w:color="000000"/>
              <w:right w:val="single" w:sz="4" w:space="0" w:color="000000"/>
            </w:tcBorders>
            <w:shd w:val="clear" w:color="auto" w:fill="auto"/>
            <w:noWrap/>
            <w:vAlign w:val="center"/>
            <w:hideMark/>
          </w:tcPr>
          <w:p w14:paraId="2AA1BBB3"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82,2</w:t>
            </w:r>
          </w:p>
        </w:tc>
        <w:tc>
          <w:tcPr>
            <w:tcW w:w="1119" w:type="dxa"/>
            <w:tcBorders>
              <w:top w:val="nil"/>
              <w:left w:val="nil"/>
              <w:bottom w:val="single" w:sz="4" w:space="0" w:color="000000"/>
              <w:right w:val="single" w:sz="4" w:space="0" w:color="000000"/>
            </w:tcBorders>
            <w:shd w:val="clear" w:color="auto" w:fill="auto"/>
            <w:noWrap/>
            <w:vAlign w:val="center"/>
            <w:hideMark/>
          </w:tcPr>
          <w:p w14:paraId="19AA858A"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2591678</w:t>
            </w:r>
          </w:p>
        </w:tc>
        <w:tc>
          <w:tcPr>
            <w:tcW w:w="674" w:type="dxa"/>
            <w:tcBorders>
              <w:top w:val="nil"/>
              <w:left w:val="nil"/>
              <w:bottom w:val="single" w:sz="4" w:space="0" w:color="000000"/>
              <w:right w:val="single" w:sz="4" w:space="0" w:color="000000"/>
            </w:tcBorders>
            <w:shd w:val="clear" w:color="auto" w:fill="auto"/>
            <w:noWrap/>
            <w:vAlign w:val="center"/>
            <w:hideMark/>
          </w:tcPr>
          <w:p w14:paraId="3DD1CBDC"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94,1</w:t>
            </w:r>
          </w:p>
        </w:tc>
        <w:tc>
          <w:tcPr>
            <w:tcW w:w="1200" w:type="dxa"/>
            <w:tcBorders>
              <w:top w:val="nil"/>
              <w:left w:val="nil"/>
              <w:bottom w:val="single" w:sz="4" w:space="0" w:color="000000"/>
              <w:right w:val="single" w:sz="4" w:space="0" w:color="000000"/>
            </w:tcBorders>
            <w:shd w:val="clear" w:color="auto" w:fill="auto"/>
            <w:noWrap/>
            <w:vAlign w:val="center"/>
            <w:hideMark/>
          </w:tcPr>
          <w:p w14:paraId="348690C3"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1011909</w:t>
            </w:r>
          </w:p>
        </w:tc>
        <w:tc>
          <w:tcPr>
            <w:tcW w:w="652" w:type="dxa"/>
            <w:tcBorders>
              <w:top w:val="nil"/>
              <w:left w:val="nil"/>
              <w:bottom w:val="single" w:sz="4" w:space="0" w:color="000000"/>
              <w:right w:val="single" w:sz="4" w:space="0" w:color="000000"/>
            </w:tcBorders>
            <w:shd w:val="clear" w:color="auto" w:fill="auto"/>
            <w:noWrap/>
            <w:vAlign w:val="center"/>
            <w:hideMark/>
          </w:tcPr>
          <w:p w14:paraId="296C5A83"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90,2</w:t>
            </w:r>
          </w:p>
        </w:tc>
      </w:tr>
      <w:tr w:rsidR="00D02E9A" w:rsidRPr="00437A10" w14:paraId="614B379A" w14:textId="77777777" w:rsidTr="00D02E9A">
        <w:trPr>
          <w:trHeight w:val="480"/>
        </w:trPr>
        <w:tc>
          <w:tcPr>
            <w:tcW w:w="1191" w:type="dxa"/>
            <w:tcBorders>
              <w:top w:val="nil"/>
              <w:left w:val="single" w:sz="4" w:space="0" w:color="000000"/>
              <w:bottom w:val="single" w:sz="4" w:space="0" w:color="000000"/>
              <w:right w:val="single" w:sz="4" w:space="0" w:color="000000"/>
            </w:tcBorders>
            <w:shd w:val="clear" w:color="auto" w:fill="auto"/>
            <w:hideMark/>
          </w:tcPr>
          <w:p w14:paraId="729F6768" w14:textId="77777777" w:rsidR="00D02E9A" w:rsidRPr="00437A10" w:rsidRDefault="00D02E9A" w:rsidP="00D02E9A">
            <w:pP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1210" w:type="dxa"/>
            <w:tcBorders>
              <w:top w:val="nil"/>
              <w:left w:val="nil"/>
              <w:bottom w:val="single" w:sz="4" w:space="0" w:color="000000"/>
              <w:right w:val="single" w:sz="4" w:space="0" w:color="000000"/>
            </w:tcBorders>
            <w:shd w:val="clear" w:color="auto" w:fill="auto"/>
            <w:noWrap/>
            <w:vAlign w:val="center"/>
            <w:hideMark/>
          </w:tcPr>
          <w:p w14:paraId="684EF2E5"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321997</w:t>
            </w:r>
          </w:p>
        </w:tc>
        <w:tc>
          <w:tcPr>
            <w:tcW w:w="591" w:type="dxa"/>
            <w:tcBorders>
              <w:top w:val="nil"/>
              <w:left w:val="nil"/>
              <w:bottom w:val="single" w:sz="4" w:space="0" w:color="000000"/>
              <w:right w:val="single" w:sz="4" w:space="0" w:color="000000"/>
            </w:tcBorders>
            <w:shd w:val="clear" w:color="auto" w:fill="auto"/>
            <w:noWrap/>
            <w:vAlign w:val="center"/>
            <w:hideMark/>
          </w:tcPr>
          <w:p w14:paraId="37C92D9C"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11,7</w:t>
            </w:r>
          </w:p>
        </w:tc>
        <w:tc>
          <w:tcPr>
            <w:tcW w:w="1134" w:type="dxa"/>
            <w:tcBorders>
              <w:top w:val="nil"/>
              <w:left w:val="nil"/>
              <w:bottom w:val="single" w:sz="4" w:space="0" w:color="000000"/>
              <w:right w:val="single" w:sz="4" w:space="0" w:color="000000"/>
            </w:tcBorders>
            <w:shd w:val="clear" w:color="auto" w:fill="auto"/>
            <w:noWrap/>
            <w:vAlign w:val="center"/>
            <w:hideMark/>
          </w:tcPr>
          <w:p w14:paraId="3BE77B29"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447284</w:t>
            </w:r>
          </w:p>
        </w:tc>
        <w:tc>
          <w:tcPr>
            <w:tcW w:w="709" w:type="dxa"/>
            <w:tcBorders>
              <w:top w:val="nil"/>
              <w:left w:val="nil"/>
              <w:bottom w:val="single" w:sz="4" w:space="0" w:color="000000"/>
              <w:right w:val="single" w:sz="4" w:space="0" w:color="000000"/>
            </w:tcBorders>
            <w:shd w:val="clear" w:color="auto" w:fill="auto"/>
            <w:noWrap/>
            <w:vAlign w:val="center"/>
            <w:hideMark/>
          </w:tcPr>
          <w:p w14:paraId="3A6CA44B"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17,8</w:t>
            </w:r>
          </w:p>
        </w:tc>
        <w:tc>
          <w:tcPr>
            <w:tcW w:w="1119" w:type="dxa"/>
            <w:tcBorders>
              <w:top w:val="nil"/>
              <w:left w:val="nil"/>
              <w:bottom w:val="single" w:sz="4" w:space="0" w:color="000000"/>
              <w:right w:val="single" w:sz="4" w:space="0" w:color="000000"/>
            </w:tcBorders>
            <w:shd w:val="clear" w:color="auto" w:fill="auto"/>
            <w:noWrap/>
            <w:vAlign w:val="center"/>
            <w:hideMark/>
          </w:tcPr>
          <w:p w14:paraId="74E7A743"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161749</w:t>
            </w:r>
          </w:p>
        </w:tc>
        <w:tc>
          <w:tcPr>
            <w:tcW w:w="674" w:type="dxa"/>
            <w:tcBorders>
              <w:top w:val="nil"/>
              <w:left w:val="nil"/>
              <w:bottom w:val="single" w:sz="4" w:space="0" w:color="000000"/>
              <w:right w:val="single" w:sz="4" w:space="0" w:color="000000"/>
            </w:tcBorders>
            <w:shd w:val="clear" w:color="auto" w:fill="auto"/>
            <w:noWrap/>
            <w:vAlign w:val="center"/>
            <w:hideMark/>
          </w:tcPr>
          <w:p w14:paraId="7608A342"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5,9</w:t>
            </w:r>
          </w:p>
        </w:tc>
        <w:tc>
          <w:tcPr>
            <w:tcW w:w="1200" w:type="dxa"/>
            <w:tcBorders>
              <w:top w:val="nil"/>
              <w:left w:val="nil"/>
              <w:bottom w:val="single" w:sz="4" w:space="0" w:color="000000"/>
              <w:right w:val="single" w:sz="4" w:space="0" w:color="000000"/>
            </w:tcBorders>
            <w:shd w:val="clear" w:color="auto" w:fill="auto"/>
            <w:noWrap/>
            <w:vAlign w:val="center"/>
            <w:hideMark/>
          </w:tcPr>
          <w:p w14:paraId="446C06CC"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110232</w:t>
            </w:r>
          </w:p>
        </w:tc>
        <w:tc>
          <w:tcPr>
            <w:tcW w:w="652" w:type="dxa"/>
            <w:tcBorders>
              <w:top w:val="nil"/>
              <w:left w:val="nil"/>
              <w:bottom w:val="single" w:sz="4" w:space="0" w:color="000000"/>
              <w:right w:val="single" w:sz="4" w:space="0" w:color="000000"/>
            </w:tcBorders>
            <w:shd w:val="clear" w:color="auto" w:fill="auto"/>
            <w:noWrap/>
            <w:vAlign w:val="center"/>
            <w:hideMark/>
          </w:tcPr>
          <w:p w14:paraId="7F4DA8A1"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9,8</w:t>
            </w:r>
          </w:p>
        </w:tc>
      </w:tr>
      <w:tr w:rsidR="00D02E9A" w:rsidRPr="00437A10" w14:paraId="00CB74F7" w14:textId="77777777" w:rsidTr="00D02E9A">
        <w:trPr>
          <w:trHeight w:val="315"/>
        </w:trPr>
        <w:tc>
          <w:tcPr>
            <w:tcW w:w="1191" w:type="dxa"/>
            <w:tcBorders>
              <w:top w:val="nil"/>
              <w:left w:val="single" w:sz="4" w:space="0" w:color="000000"/>
              <w:bottom w:val="single" w:sz="4" w:space="0" w:color="000000"/>
              <w:right w:val="single" w:sz="4" w:space="0" w:color="000000"/>
            </w:tcBorders>
            <w:shd w:val="clear" w:color="auto" w:fill="auto"/>
            <w:hideMark/>
          </w:tcPr>
          <w:p w14:paraId="1DA0E664" w14:textId="77777777" w:rsidR="00D02E9A" w:rsidRPr="00437A10" w:rsidRDefault="00D02E9A" w:rsidP="00D02E9A">
            <w:pPr>
              <w:rPr>
                <w:rFonts w:ascii="Arial" w:hAnsi="Arial" w:cs="Arial"/>
                <w:sz w:val="18"/>
                <w:szCs w:val="18"/>
                <w:lang w:val="es-BO" w:eastAsia="es-BO"/>
              </w:rPr>
            </w:pPr>
            <w:r w:rsidRPr="00437A10">
              <w:rPr>
                <w:rFonts w:ascii="Arial" w:hAnsi="Arial" w:cs="Arial"/>
                <w:sz w:val="18"/>
                <w:szCs w:val="18"/>
                <w:lang w:val="es-BO" w:eastAsia="es-BO"/>
              </w:rPr>
              <w:t>Total</w:t>
            </w:r>
          </w:p>
        </w:tc>
        <w:tc>
          <w:tcPr>
            <w:tcW w:w="1210" w:type="dxa"/>
            <w:tcBorders>
              <w:top w:val="nil"/>
              <w:left w:val="nil"/>
              <w:bottom w:val="single" w:sz="4" w:space="0" w:color="000000"/>
              <w:right w:val="single" w:sz="4" w:space="0" w:color="000000"/>
            </w:tcBorders>
            <w:shd w:val="clear" w:color="auto" w:fill="auto"/>
            <w:noWrap/>
            <w:vAlign w:val="center"/>
            <w:hideMark/>
          </w:tcPr>
          <w:p w14:paraId="40B33CD5"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2753427</w:t>
            </w:r>
          </w:p>
        </w:tc>
        <w:tc>
          <w:tcPr>
            <w:tcW w:w="591" w:type="dxa"/>
            <w:tcBorders>
              <w:top w:val="nil"/>
              <w:left w:val="nil"/>
              <w:bottom w:val="single" w:sz="4" w:space="0" w:color="000000"/>
              <w:right w:val="single" w:sz="4" w:space="0" w:color="000000"/>
            </w:tcBorders>
            <w:shd w:val="clear" w:color="auto" w:fill="auto"/>
            <w:noWrap/>
            <w:vAlign w:val="center"/>
            <w:hideMark/>
          </w:tcPr>
          <w:p w14:paraId="37317B31"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004FC90B"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2515320</w:t>
            </w:r>
          </w:p>
        </w:tc>
        <w:tc>
          <w:tcPr>
            <w:tcW w:w="709" w:type="dxa"/>
            <w:tcBorders>
              <w:top w:val="nil"/>
              <w:left w:val="nil"/>
              <w:bottom w:val="single" w:sz="4" w:space="0" w:color="000000"/>
              <w:right w:val="single" w:sz="4" w:space="0" w:color="000000"/>
            </w:tcBorders>
            <w:shd w:val="clear" w:color="auto" w:fill="auto"/>
            <w:noWrap/>
            <w:vAlign w:val="center"/>
            <w:hideMark/>
          </w:tcPr>
          <w:p w14:paraId="0FE04DFE"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100,0</w:t>
            </w:r>
          </w:p>
        </w:tc>
        <w:tc>
          <w:tcPr>
            <w:tcW w:w="1119" w:type="dxa"/>
            <w:tcBorders>
              <w:top w:val="nil"/>
              <w:left w:val="nil"/>
              <w:bottom w:val="single" w:sz="4" w:space="0" w:color="000000"/>
              <w:right w:val="single" w:sz="4" w:space="0" w:color="000000"/>
            </w:tcBorders>
            <w:shd w:val="clear" w:color="auto" w:fill="auto"/>
            <w:noWrap/>
            <w:vAlign w:val="center"/>
            <w:hideMark/>
          </w:tcPr>
          <w:p w14:paraId="2B1CB615"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2753427</w:t>
            </w:r>
          </w:p>
        </w:tc>
        <w:tc>
          <w:tcPr>
            <w:tcW w:w="674" w:type="dxa"/>
            <w:tcBorders>
              <w:top w:val="nil"/>
              <w:left w:val="nil"/>
              <w:bottom w:val="single" w:sz="4" w:space="0" w:color="000000"/>
              <w:right w:val="single" w:sz="4" w:space="0" w:color="000000"/>
            </w:tcBorders>
            <w:shd w:val="clear" w:color="auto" w:fill="auto"/>
            <w:noWrap/>
            <w:vAlign w:val="center"/>
            <w:hideMark/>
          </w:tcPr>
          <w:p w14:paraId="07821D4E"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100,0</w:t>
            </w:r>
          </w:p>
        </w:tc>
        <w:tc>
          <w:tcPr>
            <w:tcW w:w="1200" w:type="dxa"/>
            <w:tcBorders>
              <w:top w:val="nil"/>
              <w:left w:val="nil"/>
              <w:bottom w:val="single" w:sz="4" w:space="0" w:color="000000"/>
              <w:right w:val="single" w:sz="4" w:space="0" w:color="000000"/>
            </w:tcBorders>
            <w:shd w:val="clear" w:color="auto" w:fill="auto"/>
            <w:noWrap/>
            <w:vAlign w:val="center"/>
            <w:hideMark/>
          </w:tcPr>
          <w:p w14:paraId="25AADE94"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1122142</w:t>
            </w:r>
          </w:p>
        </w:tc>
        <w:tc>
          <w:tcPr>
            <w:tcW w:w="652" w:type="dxa"/>
            <w:tcBorders>
              <w:top w:val="nil"/>
              <w:left w:val="nil"/>
              <w:bottom w:val="single" w:sz="4" w:space="0" w:color="000000"/>
              <w:right w:val="single" w:sz="4" w:space="0" w:color="000000"/>
            </w:tcBorders>
            <w:shd w:val="clear" w:color="auto" w:fill="auto"/>
            <w:noWrap/>
            <w:vAlign w:val="center"/>
            <w:hideMark/>
          </w:tcPr>
          <w:p w14:paraId="272991CF" w14:textId="77777777" w:rsidR="00D02E9A" w:rsidRPr="00437A10" w:rsidRDefault="00D02E9A" w:rsidP="00D02E9A">
            <w:pPr>
              <w:jc w:val="right"/>
              <w:rPr>
                <w:rFonts w:ascii="Arial" w:hAnsi="Arial" w:cs="Arial"/>
                <w:sz w:val="18"/>
                <w:szCs w:val="18"/>
                <w:lang w:val="es-BO" w:eastAsia="es-BO"/>
              </w:rPr>
            </w:pPr>
            <w:r w:rsidRPr="00437A10">
              <w:rPr>
                <w:rFonts w:ascii="Arial" w:hAnsi="Arial" w:cs="Arial"/>
                <w:sz w:val="18"/>
                <w:szCs w:val="18"/>
                <w:lang w:val="es-BO" w:eastAsia="es-BO"/>
              </w:rPr>
              <w:t>100,0</w:t>
            </w:r>
          </w:p>
        </w:tc>
      </w:tr>
    </w:tbl>
    <w:p w14:paraId="612AD35C" w14:textId="5D7E2929" w:rsidR="00BD1083" w:rsidRPr="00437A10" w:rsidRDefault="00BD1083" w:rsidP="00BD1083">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Fuente: Con base en Instituto Nacional de Estadística, Quillaguamán, 2023.</w:t>
      </w:r>
    </w:p>
    <w:p w14:paraId="4BFDEC33" w14:textId="4124261A" w:rsidR="00BD1083" w:rsidRPr="00437A10" w:rsidRDefault="00BD1083" w:rsidP="00BD1083">
      <w:pPr>
        <w:spacing w:after="160" w:line="259" w:lineRule="auto"/>
        <w:contextualSpacing/>
        <w:jc w:val="center"/>
        <w:rPr>
          <w:rFonts w:ascii="Arial" w:eastAsia="Calibri" w:hAnsi="Arial" w:cs="Arial"/>
          <w:sz w:val="22"/>
          <w:szCs w:val="22"/>
        </w:rPr>
      </w:pPr>
    </w:p>
    <w:p w14:paraId="22D69C7F" w14:textId="22ABDB3A" w:rsidR="00BD1083" w:rsidRPr="00437A10" w:rsidRDefault="00BD1083" w:rsidP="00BD1083">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En el área urbana de Bolivia</w:t>
      </w:r>
      <w:r w:rsidR="00A211E9" w:rsidRPr="00437A10">
        <w:rPr>
          <w:rFonts w:ascii="Arial" w:eastAsia="Calibri" w:hAnsi="Arial" w:cs="Arial"/>
          <w:sz w:val="22"/>
          <w:szCs w:val="22"/>
        </w:rPr>
        <w:t xml:space="preserve"> (cuadro 5.2), se observa que entre los años 2011 y 2021, el incremento de vi</w:t>
      </w:r>
      <w:r w:rsidR="00BF2D6F" w:rsidRPr="00437A10">
        <w:rPr>
          <w:rFonts w:ascii="Arial" w:eastAsia="Calibri" w:hAnsi="Arial" w:cs="Arial"/>
          <w:sz w:val="22"/>
          <w:szCs w:val="22"/>
        </w:rPr>
        <w:t>viendas inasequibles se presentó</w:t>
      </w:r>
      <w:r w:rsidR="00A211E9" w:rsidRPr="00437A10">
        <w:rPr>
          <w:rFonts w:ascii="Arial" w:eastAsia="Calibri" w:hAnsi="Arial" w:cs="Arial"/>
          <w:sz w:val="22"/>
          <w:szCs w:val="22"/>
        </w:rPr>
        <w:t xml:space="preserve"> en todos los departamentos excepto en Potosí; sin embargo, este último, respecto al total de vivi</w:t>
      </w:r>
      <w:r w:rsidR="00BF2D6F" w:rsidRPr="00437A10">
        <w:rPr>
          <w:rFonts w:ascii="Arial" w:eastAsia="Calibri" w:hAnsi="Arial" w:cs="Arial"/>
          <w:sz w:val="22"/>
          <w:szCs w:val="22"/>
        </w:rPr>
        <w:t>endas de ese departamento, tenía</w:t>
      </w:r>
      <w:r w:rsidR="00A211E9" w:rsidRPr="00437A10">
        <w:rPr>
          <w:rFonts w:ascii="Arial" w:eastAsia="Calibri" w:hAnsi="Arial" w:cs="Arial"/>
          <w:sz w:val="22"/>
          <w:szCs w:val="22"/>
        </w:rPr>
        <w:t xml:space="preserve"> el porcentaje más alto de viviendas inasequibles.</w:t>
      </w:r>
      <w:r w:rsidR="00B659AA" w:rsidRPr="00437A10">
        <w:rPr>
          <w:rFonts w:ascii="Arial" w:eastAsia="Calibri" w:hAnsi="Arial" w:cs="Arial"/>
          <w:sz w:val="22"/>
          <w:szCs w:val="22"/>
        </w:rPr>
        <w:t xml:space="preserve"> Los departamentos con mayor diferencia en puntos porcentuales son Tarija y Santa Cruz.</w:t>
      </w:r>
    </w:p>
    <w:p w14:paraId="01B17FF1" w14:textId="77777777" w:rsidR="00A211E9" w:rsidRPr="00437A10" w:rsidRDefault="00A211E9" w:rsidP="00BD1083">
      <w:pPr>
        <w:spacing w:after="160" w:line="259" w:lineRule="auto"/>
        <w:contextualSpacing/>
        <w:jc w:val="both"/>
        <w:rPr>
          <w:rFonts w:ascii="Arial" w:eastAsia="Calibri" w:hAnsi="Arial" w:cs="Arial"/>
          <w:sz w:val="22"/>
          <w:szCs w:val="22"/>
        </w:rPr>
      </w:pPr>
    </w:p>
    <w:p w14:paraId="7AD7B750" w14:textId="3CD699EA" w:rsidR="00F80DC0" w:rsidRPr="00437A10" w:rsidRDefault="00BD1083" w:rsidP="00BD1083">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Cuadro 5.2. Área urbana de Bolivia: Porcentaje de viviendas por asequibilidad según departamento, 2011 y 2021</w:t>
      </w:r>
    </w:p>
    <w:tbl>
      <w:tblPr>
        <w:tblW w:w="7655" w:type="dxa"/>
        <w:jc w:val="center"/>
        <w:tblCellMar>
          <w:left w:w="70" w:type="dxa"/>
          <w:right w:w="70" w:type="dxa"/>
        </w:tblCellMar>
        <w:tblLook w:val="04A0" w:firstRow="1" w:lastRow="0" w:firstColumn="1" w:lastColumn="0" w:noHBand="0" w:noVBand="1"/>
      </w:tblPr>
      <w:tblGrid>
        <w:gridCol w:w="1281"/>
        <w:gridCol w:w="1129"/>
        <w:gridCol w:w="1200"/>
        <w:gridCol w:w="785"/>
        <w:gridCol w:w="1275"/>
        <w:gridCol w:w="1200"/>
        <w:gridCol w:w="785"/>
      </w:tblGrid>
      <w:tr w:rsidR="00BD1083" w:rsidRPr="00437A10" w14:paraId="56231CDC" w14:textId="77777777" w:rsidTr="009A0327">
        <w:trPr>
          <w:trHeight w:val="315"/>
          <w:jc w:val="center"/>
        </w:trPr>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FE101E" w14:textId="77777777" w:rsidR="00BD1083" w:rsidRPr="00437A10" w:rsidRDefault="00BD1083" w:rsidP="00BD1083">
            <w:pPr>
              <w:jc w:val="center"/>
              <w:rPr>
                <w:rFonts w:ascii="Arial" w:hAnsi="Arial" w:cs="Arial"/>
                <w:sz w:val="18"/>
                <w:szCs w:val="18"/>
                <w:lang w:val="es-BO" w:eastAsia="es-BO"/>
              </w:rPr>
            </w:pPr>
            <w:r w:rsidRPr="00437A10">
              <w:rPr>
                <w:rFonts w:ascii="Arial" w:hAnsi="Arial" w:cs="Arial"/>
                <w:sz w:val="18"/>
                <w:szCs w:val="18"/>
                <w:lang w:val="es-BO" w:eastAsia="es-BO"/>
              </w:rPr>
              <w:t>Departamento</w:t>
            </w:r>
          </w:p>
        </w:tc>
        <w:tc>
          <w:tcPr>
            <w:tcW w:w="3114" w:type="dxa"/>
            <w:gridSpan w:val="3"/>
            <w:tcBorders>
              <w:top w:val="single" w:sz="4" w:space="0" w:color="000000"/>
              <w:left w:val="nil"/>
              <w:bottom w:val="single" w:sz="4" w:space="0" w:color="000000"/>
              <w:right w:val="single" w:sz="4" w:space="0" w:color="000000"/>
            </w:tcBorders>
            <w:shd w:val="clear" w:color="auto" w:fill="auto"/>
            <w:vAlign w:val="bottom"/>
            <w:hideMark/>
          </w:tcPr>
          <w:p w14:paraId="59BD04B2" w14:textId="77777777" w:rsidR="00BD1083" w:rsidRPr="00437A10" w:rsidRDefault="00BD1083" w:rsidP="00BD1083">
            <w:pPr>
              <w:jc w:val="center"/>
              <w:rPr>
                <w:rFonts w:ascii="Arial" w:hAnsi="Arial" w:cs="Arial"/>
                <w:sz w:val="18"/>
                <w:szCs w:val="18"/>
                <w:lang w:val="es-BO" w:eastAsia="es-BO"/>
              </w:rPr>
            </w:pPr>
            <w:r w:rsidRPr="00437A10">
              <w:rPr>
                <w:rFonts w:ascii="Arial" w:hAnsi="Arial" w:cs="Arial"/>
                <w:sz w:val="18"/>
                <w:szCs w:val="18"/>
                <w:lang w:val="es-BO" w:eastAsia="es-BO"/>
              </w:rPr>
              <w:t>2011</w:t>
            </w:r>
          </w:p>
        </w:tc>
        <w:tc>
          <w:tcPr>
            <w:tcW w:w="3260" w:type="dxa"/>
            <w:gridSpan w:val="3"/>
            <w:tcBorders>
              <w:top w:val="single" w:sz="4" w:space="0" w:color="000000"/>
              <w:left w:val="nil"/>
              <w:bottom w:val="single" w:sz="4" w:space="0" w:color="000000"/>
              <w:right w:val="single" w:sz="4" w:space="0" w:color="000000"/>
            </w:tcBorders>
            <w:shd w:val="clear" w:color="auto" w:fill="auto"/>
            <w:vAlign w:val="bottom"/>
            <w:hideMark/>
          </w:tcPr>
          <w:p w14:paraId="436A0A8A" w14:textId="77777777" w:rsidR="00BD1083" w:rsidRPr="00437A10" w:rsidRDefault="00BD1083" w:rsidP="00BD1083">
            <w:pPr>
              <w:jc w:val="center"/>
              <w:rPr>
                <w:rFonts w:ascii="Arial" w:hAnsi="Arial" w:cs="Arial"/>
                <w:sz w:val="18"/>
                <w:szCs w:val="18"/>
                <w:lang w:val="es-BO" w:eastAsia="es-BO"/>
              </w:rPr>
            </w:pPr>
            <w:r w:rsidRPr="00437A10">
              <w:rPr>
                <w:rFonts w:ascii="Arial" w:hAnsi="Arial" w:cs="Arial"/>
                <w:sz w:val="18"/>
                <w:szCs w:val="18"/>
                <w:lang w:val="es-BO" w:eastAsia="es-BO"/>
              </w:rPr>
              <w:t>2021</w:t>
            </w:r>
          </w:p>
        </w:tc>
      </w:tr>
      <w:tr w:rsidR="00BD1083" w:rsidRPr="00437A10" w14:paraId="7BDAA9A7" w14:textId="77777777" w:rsidTr="009A0327">
        <w:trPr>
          <w:trHeight w:val="510"/>
          <w:jc w:val="center"/>
        </w:trPr>
        <w:tc>
          <w:tcPr>
            <w:tcW w:w="1281" w:type="dxa"/>
            <w:vMerge/>
            <w:tcBorders>
              <w:top w:val="single" w:sz="4" w:space="0" w:color="000000"/>
              <w:left w:val="single" w:sz="4" w:space="0" w:color="000000"/>
              <w:bottom w:val="single" w:sz="4" w:space="0" w:color="000000"/>
              <w:right w:val="single" w:sz="4" w:space="0" w:color="000000"/>
            </w:tcBorders>
            <w:vAlign w:val="center"/>
            <w:hideMark/>
          </w:tcPr>
          <w:p w14:paraId="1C16FDC3" w14:textId="77777777" w:rsidR="00BD1083" w:rsidRPr="00437A10" w:rsidRDefault="00BD1083" w:rsidP="00BD1083">
            <w:pPr>
              <w:rPr>
                <w:rFonts w:ascii="Arial" w:hAnsi="Arial" w:cs="Arial"/>
                <w:sz w:val="18"/>
                <w:szCs w:val="18"/>
                <w:lang w:val="es-BO" w:eastAsia="es-BO"/>
              </w:rPr>
            </w:pPr>
          </w:p>
        </w:tc>
        <w:tc>
          <w:tcPr>
            <w:tcW w:w="1129" w:type="dxa"/>
            <w:tcBorders>
              <w:top w:val="nil"/>
              <w:left w:val="nil"/>
              <w:bottom w:val="single" w:sz="4" w:space="0" w:color="000000"/>
              <w:right w:val="single" w:sz="4" w:space="0" w:color="000000"/>
            </w:tcBorders>
            <w:shd w:val="clear" w:color="auto" w:fill="auto"/>
            <w:vAlign w:val="bottom"/>
            <w:hideMark/>
          </w:tcPr>
          <w:p w14:paraId="3911F383" w14:textId="77777777" w:rsidR="00BD1083" w:rsidRPr="00437A10" w:rsidRDefault="00BD1083" w:rsidP="00BD1083">
            <w:pPr>
              <w:jc w:val="cente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200" w:type="dxa"/>
            <w:tcBorders>
              <w:top w:val="nil"/>
              <w:left w:val="nil"/>
              <w:bottom w:val="single" w:sz="4" w:space="0" w:color="000000"/>
              <w:right w:val="single" w:sz="4" w:space="0" w:color="000000"/>
            </w:tcBorders>
            <w:shd w:val="clear" w:color="auto" w:fill="auto"/>
            <w:vAlign w:val="bottom"/>
            <w:hideMark/>
          </w:tcPr>
          <w:p w14:paraId="00B7C1FC" w14:textId="77777777" w:rsidR="00BD1083" w:rsidRPr="00437A10" w:rsidRDefault="00BD1083" w:rsidP="00BD1083">
            <w:pPr>
              <w:jc w:val="cente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785" w:type="dxa"/>
            <w:tcBorders>
              <w:top w:val="nil"/>
              <w:left w:val="nil"/>
              <w:bottom w:val="single" w:sz="4" w:space="0" w:color="000000"/>
              <w:right w:val="single" w:sz="4" w:space="0" w:color="000000"/>
            </w:tcBorders>
            <w:shd w:val="clear" w:color="auto" w:fill="auto"/>
            <w:vAlign w:val="bottom"/>
            <w:hideMark/>
          </w:tcPr>
          <w:p w14:paraId="24998869" w14:textId="77777777" w:rsidR="00BD1083" w:rsidRPr="00437A10" w:rsidRDefault="00BD1083" w:rsidP="00BD1083">
            <w:pPr>
              <w:rPr>
                <w:rFonts w:ascii="Arial" w:hAnsi="Arial" w:cs="Arial"/>
                <w:sz w:val="18"/>
                <w:szCs w:val="18"/>
                <w:lang w:val="es-BO" w:eastAsia="es-BO"/>
              </w:rPr>
            </w:pPr>
            <w:r w:rsidRPr="00437A10">
              <w:rPr>
                <w:rFonts w:ascii="Arial" w:hAnsi="Arial" w:cs="Arial"/>
                <w:sz w:val="18"/>
                <w:szCs w:val="18"/>
                <w:lang w:val="es-BO" w:eastAsia="es-BO"/>
              </w:rPr>
              <w:t>Total</w:t>
            </w:r>
          </w:p>
        </w:tc>
        <w:tc>
          <w:tcPr>
            <w:tcW w:w="1275" w:type="dxa"/>
            <w:tcBorders>
              <w:top w:val="nil"/>
              <w:left w:val="nil"/>
              <w:bottom w:val="single" w:sz="4" w:space="0" w:color="000000"/>
              <w:right w:val="single" w:sz="4" w:space="0" w:color="000000"/>
            </w:tcBorders>
            <w:shd w:val="clear" w:color="auto" w:fill="auto"/>
            <w:vAlign w:val="bottom"/>
            <w:hideMark/>
          </w:tcPr>
          <w:p w14:paraId="3112EFE6" w14:textId="77777777" w:rsidR="00BD1083" w:rsidRPr="00437A10" w:rsidRDefault="00BD1083" w:rsidP="00BD1083">
            <w:pPr>
              <w:jc w:val="cente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200" w:type="dxa"/>
            <w:tcBorders>
              <w:top w:val="nil"/>
              <w:left w:val="nil"/>
              <w:bottom w:val="single" w:sz="4" w:space="0" w:color="000000"/>
              <w:right w:val="single" w:sz="4" w:space="0" w:color="000000"/>
            </w:tcBorders>
            <w:shd w:val="clear" w:color="auto" w:fill="auto"/>
            <w:vAlign w:val="bottom"/>
            <w:hideMark/>
          </w:tcPr>
          <w:p w14:paraId="3E8A2209" w14:textId="77777777" w:rsidR="00BD1083" w:rsidRPr="00437A10" w:rsidRDefault="00BD1083" w:rsidP="00BD1083">
            <w:pPr>
              <w:jc w:val="cente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785" w:type="dxa"/>
            <w:tcBorders>
              <w:top w:val="nil"/>
              <w:left w:val="nil"/>
              <w:bottom w:val="single" w:sz="4" w:space="0" w:color="000000"/>
              <w:right w:val="single" w:sz="4" w:space="0" w:color="000000"/>
            </w:tcBorders>
            <w:shd w:val="clear" w:color="auto" w:fill="auto"/>
            <w:vAlign w:val="bottom"/>
            <w:hideMark/>
          </w:tcPr>
          <w:p w14:paraId="54487C70" w14:textId="77777777" w:rsidR="00BD1083" w:rsidRPr="00437A10" w:rsidRDefault="00BD1083" w:rsidP="00BD1083">
            <w:pPr>
              <w:rPr>
                <w:rFonts w:ascii="Arial" w:hAnsi="Arial" w:cs="Arial"/>
                <w:sz w:val="18"/>
                <w:szCs w:val="18"/>
                <w:lang w:val="es-BO" w:eastAsia="es-BO"/>
              </w:rPr>
            </w:pPr>
            <w:r w:rsidRPr="00437A10">
              <w:rPr>
                <w:rFonts w:ascii="Arial" w:hAnsi="Arial" w:cs="Arial"/>
                <w:sz w:val="18"/>
                <w:szCs w:val="18"/>
                <w:lang w:val="es-BO" w:eastAsia="es-BO"/>
              </w:rPr>
              <w:t>Total</w:t>
            </w:r>
          </w:p>
        </w:tc>
      </w:tr>
      <w:tr w:rsidR="00BD1083" w:rsidRPr="00437A10" w14:paraId="2A8E26E7" w14:textId="77777777" w:rsidTr="009A0327">
        <w:trPr>
          <w:trHeight w:val="315"/>
          <w:jc w:val="center"/>
        </w:trPr>
        <w:tc>
          <w:tcPr>
            <w:tcW w:w="1281" w:type="dxa"/>
            <w:tcBorders>
              <w:top w:val="nil"/>
              <w:left w:val="single" w:sz="4" w:space="0" w:color="000000"/>
              <w:bottom w:val="single" w:sz="4" w:space="0" w:color="000000"/>
              <w:right w:val="single" w:sz="4" w:space="0" w:color="000000"/>
            </w:tcBorders>
            <w:shd w:val="clear" w:color="auto" w:fill="auto"/>
            <w:hideMark/>
          </w:tcPr>
          <w:p w14:paraId="0EAB6B20" w14:textId="77777777" w:rsidR="00BD1083" w:rsidRPr="00437A10" w:rsidRDefault="00BD1083" w:rsidP="00BD1083">
            <w:pPr>
              <w:rPr>
                <w:rFonts w:ascii="Arial" w:hAnsi="Arial" w:cs="Arial"/>
                <w:sz w:val="18"/>
                <w:szCs w:val="18"/>
                <w:lang w:val="es-BO" w:eastAsia="es-BO"/>
              </w:rPr>
            </w:pPr>
            <w:r w:rsidRPr="00437A10">
              <w:rPr>
                <w:rFonts w:ascii="Arial" w:hAnsi="Arial" w:cs="Arial"/>
                <w:sz w:val="18"/>
                <w:szCs w:val="18"/>
                <w:lang w:val="es-BO" w:eastAsia="es-BO"/>
              </w:rPr>
              <w:t>Chuquisaca</w:t>
            </w:r>
          </w:p>
        </w:tc>
        <w:tc>
          <w:tcPr>
            <w:tcW w:w="1129" w:type="dxa"/>
            <w:tcBorders>
              <w:top w:val="nil"/>
              <w:left w:val="nil"/>
              <w:bottom w:val="single" w:sz="4" w:space="0" w:color="000000"/>
              <w:right w:val="single" w:sz="4" w:space="0" w:color="000000"/>
            </w:tcBorders>
            <w:shd w:val="clear" w:color="auto" w:fill="auto"/>
            <w:noWrap/>
            <w:vAlign w:val="center"/>
            <w:hideMark/>
          </w:tcPr>
          <w:p w14:paraId="61395D0D"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83</w:t>
            </w:r>
          </w:p>
        </w:tc>
        <w:tc>
          <w:tcPr>
            <w:tcW w:w="1200" w:type="dxa"/>
            <w:tcBorders>
              <w:top w:val="nil"/>
              <w:left w:val="nil"/>
              <w:bottom w:val="single" w:sz="4" w:space="0" w:color="000000"/>
              <w:right w:val="single" w:sz="4" w:space="0" w:color="000000"/>
            </w:tcBorders>
            <w:shd w:val="clear" w:color="auto" w:fill="auto"/>
            <w:noWrap/>
            <w:vAlign w:val="center"/>
            <w:hideMark/>
          </w:tcPr>
          <w:p w14:paraId="70B39EED"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17</w:t>
            </w:r>
          </w:p>
        </w:tc>
        <w:tc>
          <w:tcPr>
            <w:tcW w:w="785" w:type="dxa"/>
            <w:tcBorders>
              <w:top w:val="nil"/>
              <w:left w:val="nil"/>
              <w:bottom w:val="single" w:sz="4" w:space="0" w:color="000000"/>
              <w:right w:val="single" w:sz="4" w:space="0" w:color="000000"/>
            </w:tcBorders>
            <w:shd w:val="clear" w:color="auto" w:fill="auto"/>
            <w:noWrap/>
            <w:vAlign w:val="center"/>
            <w:hideMark/>
          </w:tcPr>
          <w:p w14:paraId="35E4D6D2"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75" w:type="dxa"/>
            <w:tcBorders>
              <w:top w:val="nil"/>
              <w:left w:val="nil"/>
              <w:bottom w:val="single" w:sz="4" w:space="0" w:color="000000"/>
              <w:right w:val="single" w:sz="4" w:space="0" w:color="000000"/>
            </w:tcBorders>
            <w:shd w:val="clear" w:color="auto" w:fill="auto"/>
            <w:noWrap/>
            <w:vAlign w:val="center"/>
            <w:hideMark/>
          </w:tcPr>
          <w:p w14:paraId="2711FF59"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77</w:t>
            </w:r>
          </w:p>
        </w:tc>
        <w:tc>
          <w:tcPr>
            <w:tcW w:w="1200" w:type="dxa"/>
            <w:tcBorders>
              <w:top w:val="nil"/>
              <w:left w:val="nil"/>
              <w:bottom w:val="single" w:sz="4" w:space="0" w:color="000000"/>
              <w:right w:val="single" w:sz="4" w:space="0" w:color="000000"/>
            </w:tcBorders>
            <w:shd w:val="clear" w:color="000000" w:fill="D0CECE"/>
            <w:noWrap/>
            <w:vAlign w:val="center"/>
            <w:hideMark/>
          </w:tcPr>
          <w:p w14:paraId="787DB0A0"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23</w:t>
            </w:r>
          </w:p>
        </w:tc>
        <w:tc>
          <w:tcPr>
            <w:tcW w:w="785" w:type="dxa"/>
            <w:tcBorders>
              <w:top w:val="nil"/>
              <w:left w:val="nil"/>
              <w:bottom w:val="single" w:sz="4" w:space="0" w:color="000000"/>
              <w:right w:val="single" w:sz="4" w:space="0" w:color="000000"/>
            </w:tcBorders>
            <w:shd w:val="clear" w:color="auto" w:fill="auto"/>
            <w:noWrap/>
            <w:vAlign w:val="center"/>
            <w:hideMark/>
          </w:tcPr>
          <w:p w14:paraId="08EDEC47"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BD1083" w:rsidRPr="00437A10" w14:paraId="0EB749DA" w14:textId="77777777" w:rsidTr="009A0327">
        <w:trPr>
          <w:trHeight w:val="300"/>
          <w:jc w:val="center"/>
        </w:trPr>
        <w:tc>
          <w:tcPr>
            <w:tcW w:w="1281" w:type="dxa"/>
            <w:tcBorders>
              <w:top w:val="nil"/>
              <w:left w:val="single" w:sz="4" w:space="0" w:color="000000"/>
              <w:bottom w:val="single" w:sz="4" w:space="0" w:color="000000"/>
              <w:right w:val="single" w:sz="4" w:space="0" w:color="000000"/>
            </w:tcBorders>
            <w:shd w:val="clear" w:color="auto" w:fill="auto"/>
            <w:hideMark/>
          </w:tcPr>
          <w:p w14:paraId="2A772DDB" w14:textId="77777777" w:rsidR="00BD1083" w:rsidRPr="00437A10" w:rsidRDefault="00BD1083" w:rsidP="00BD1083">
            <w:pPr>
              <w:rPr>
                <w:rFonts w:ascii="Arial" w:hAnsi="Arial" w:cs="Arial"/>
                <w:sz w:val="18"/>
                <w:szCs w:val="18"/>
                <w:lang w:val="es-BO" w:eastAsia="es-BO"/>
              </w:rPr>
            </w:pPr>
            <w:r w:rsidRPr="00437A10">
              <w:rPr>
                <w:rFonts w:ascii="Arial" w:hAnsi="Arial" w:cs="Arial"/>
                <w:sz w:val="18"/>
                <w:szCs w:val="18"/>
                <w:lang w:val="es-BO" w:eastAsia="es-BO"/>
              </w:rPr>
              <w:t>La Paz</w:t>
            </w:r>
          </w:p>
        </w:tc>
        <w:tc>
          <w:tcPr>
            <w:tcW w:w="1129" w:type="dxa"/>
            <w:tcBorders>
              <w:top w:val="nil"/>
              <w:left w:val="nil"/>
              <w:bottom w:val="single" w:sz="4" w:space="0" w:color="000000"/>
              <w:right w:val="single" w:sz="4" w:space="0" w:color="000000"/>
            </w:tcBorders>
            <w:shd w:val="clear" w:color="auto" w:fill="auto"/>
            <w:noWrap/>
            <w:vAlign w:val="center"/>
            <w:hideMark/>
          </w:tcPr>
          <w:p w14:paraId="3926FE67"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88</w:t>
            </w:r>
          </w:p>
        </w:tc>
        <w:tc>
          <w:tcPr>
            <w:tcW w:w="1200" w:type="dxa"/>
            <w:tcBorders>
              <w:top w:val="nil"/>
              <w:left w:val="nil"/>
              <w:bottom w:val="single" w:sz="4" w:space="0" w:color="000000"/>
              <w:right w:val="single" w:sz="4" w:space="0" w:color="000000"/>
            </w:tcBorders>
            <w:shd w:val="clear" w:color="auto" w:fill="auto"/>
            <w:noWrap/>
            <w:vAlign w:val="center"/>
            <w:hideMark/>
          </w:tcPr>
          <w:p w14:paraId="27FA9913"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12</w:t>
            </w:r>
          </w:p>
        </w:tc>
        <w:tc>
          <w:tcPr>
            <w:tcW w:w="785" w:type="dxa"/>
            <w:tcBorders>
              <w:top w:val="nil"/>
              <w:left w:val="nil"/>
              <w:bottom w:val="single" w:sz="4" w:space="0" w:color="000000"/>
              <w:right w:val="single" w:sz="4" w:space="0" w:color="000000"/>
            </w:tcBorders>
            <w:shd w:val="clear" w:color="auto" w:fill="auto"/>
            <w:noWrap/>
            <w:vAlign w:val="center"/>
            <w:hideMark/>
          </w:tcPr>
          <w:p w14:paraId="53CF37B5"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75" w:type="dxa"/>
            <w:tcBorders>
              <w:top w:val="nil"/>
              <w:left w:val="nil"/>
              <w:bottom w:val="single" w:sz="4" w:space="0" w:color="000000"/>
              <w:right w:val="single" w:sz="4" w:space="0" w:color="000000"/>
            </w:tcBorders>
            <w:shd w:val="clear" w:color="auto" w:fill="auto"/>
            <w:noWrap/>
            <w:vAlign w:val="center"/>
            <w:hideMark/>
          </w:tcPr>
          <w:p w14:paraId="4F98F15F"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79</w:t>
            </w:r>
          </w:p>
        </w:tc>
        <w:tc>
          <w:tcPr>
            <w:tcW w:w="1200" w:type="dxa"/>
            <w:tcBorders>
              <w:top w:val="nil"/>
              <w:left w:val="nil"/>
              <w:bottom w:val="single" w:sz="4" w:space="0" w:color="000000"/>
              <w:right w:val="single" w:sz="4" w:space="0" w:color="000000"/>
            </w:tcBorders>
            <w:shd w:val="clear" w:color="000000" w:fill="D0CECE"/>
            <w:noWrap/>
            <w:vAlign w:val="center"/>
            <w:hideMark/>
          </w:tcPr>
          <w:p w14:paraId="3970A274"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21</w:t>
            </w:r>
          </w:p>
        </w:tc>
        <w:tc>
          <w:tcPr>
            <w:tcW w:w="785" w:type="dxa"/>
            <w:tcBorders>
              <w:top w:val="nil"/>
              <w:left w:val="nil"/>
              <w:bottom w:val="single" w:sz="4" w:space="0" w:color="000000"/>
              <w:right w:val="single" w:sz="4" w:space="0" w:color="000000"/>
            </w:tcBorders>
            <w:shd w:val="clear" w:color="auto" w:fill="auto"/>
            <w:noWrap/>
            <w:vAlign w:val="center"/>
            <w:hideMark/>
          </w:tcPr>
          <w:p w14:paraId="311506EC"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BD1083" w:rsidRPr="00437A10" w14:paraId="53EC8CAD" w14:textId="77777777" w:rsidTr="009A0327">
        <w:trPr>
          <w:trHeight w:val="297"/>
          <w:jc w:val="center"/>
        </w:trPr>
        <w:tc>
          <w:tcPr>
            <w:tcW w:w="1281" w:type="dxa"/>
            <w:tcBorders>
              <w:top w:val="nil"/>
              <w:left w:val="single" w:sz="4" w:space="0" w:color="000000"/>
              <w:bottom w:val="single" w:sz="4" w:space="0" w:color="000000"/>
              <w:right w:val="single" w:sz="4" w:space="0" w:color="000000"/>
            </w:tcBorders>
            <w:shd w:val="clear" w:color="auto" w:fill="auto"/>
            <w:hideMark/>
          </w:tcPr>
          <w:p w14:paraId="2898F9ED" w14:textId="77777777" w:rsidR="00BD1083" w:rsidRPr="00437A10" w:rsidRDefault="00BD1083" w:rsidP="00BD1083">
            <w:pPr>
              <w:rPr>
                <w:rFonts w:ascii="Arial" w:hAnsi="Arial" w:cs="Arial"/>
                <w:sz w:val="18"/>
                <w:szCs w:val="18"/>
                <w:lang w:val="es-BO" w:eastAsia="es-BO"/>
              </w:rPr>
            </w:pPr>
            <w:r w:rsidRPr="00437A10">
              <w:rPr>
                <w:rFonts w:ascii="Arial" w:hAnsi="Arial" w:cs="Arial"/>
                <w:sz w:val="18"/>
                <w:szCs w:val="18"/>
                <w:lang w:val="es-BO" w:eastAsia="es-BO"/>
              </w:rPr>
              <w:t>Cochabamba</w:t>
            </w:r>
          </w:p>
        </w:tc>
        <w:tc>
          <w:tcPr>
            <w:tcW w:w="1129" w:type="dxa"/>
            <w:tcBorders>
              <w:top w:val="nil"/>
              <w:left w:val="nil"/>
              <w:bottom w:val="single" w:sz="4" w:space="0" w:color="000000"/>
              <w:right w:val="single" w:sz="4" w:space="0" w:color="000000"/>
            </w:tcBorders>
            <w:shd w:val="clear" w:color="auto" w:fill="auto"/>
            <w:noWrap/>
            <w:vAlign w:val="center"/>
            <w:hideMark/>
          </w:tcPr>
          <w:p w14:paraId="0FB8C8C0"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90</w:t>
            </w:r>
          </w:p>
        </w:tc>
        <w:tc>
          <w:tcPr>
            <w:tcW w:w="1200" w:type="dxa"/>
            <w:tcBorders>
              <w:top w:val="nil"/>
              <w:left w:val="nil"/>
              <w:bottom w:val="single" w:sz="4" w:space="0" w:color="000000"/>
              <w:right w:val="single" w:sz="4" w:space="0" w:color="000000"/>
            </w:tcBorders>
            <w:shd w:val="clear" w:color="auto" w:fill="auto"/>
            <w:noWrap/>
            <w:vAlign w:val="center"/>
            <w:hideMark/>
          </w:tcPr>
          <w:p w14:paraId="3EFA2473"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10</w:t>
            </w:r>
          </w:p>
        </w:tc>
        <w:tc>
          <w:tcPr>
            <w:tcW w:w="785" w:type="dxa"/>
            <w:tcBorders>
              <w:top w:val="nil"/>
              <w:left w:val="nil"/>
              <w:bottom w:val="single" w:sz="4" w:space="0" w:color="000000"/>
              <w:right w:val="single" w:sz="4" w:space="0" w:color="000000"/>
            </w:tcBorders>
            <w:shd w:val="clear" w:color="auto" w:fill="auto"/>
            <w:noWrap/>
            <w:vAlign w:val="center"/>
            <w:hideMark/>
          </w:tcPr>
          <w:p w14:paraId="1D551A2F"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75" w:type="dxa"/>
            <w:tcBorders>
              <w:top w:val="nil"/>
              <w:left w:val="nil"/>
              <w:bottom w:val="single" w:sz="4" w:space="0" w:color="000000"/>
              <w:right w:val="single" w:sz="4" w:space="0" w:color="000000"/>
            </w:tcBorders>
            <w:shd w:val="clear" w:color="auto" w:fill="auto"/>
            <w:noWrap/>
            <w:vAlign w:val="center"/>
            <w:hideMark/>
          </w:tcPr>
          <w:p w14:paraId="64DA3EB6"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85</w:t>
            </w:r>
          </w:p>
        </w:tc>
        <w:tc>
          <w:tcPr>
            <w:tcW w:w="1200" w:type="dxa"/>
            <w:tcBorders>
              <w:top w:val="nil"/>
              <w:left w:val="nil"/>
              <w:bottom w:val="single" w:sz="4" w:space="0" w:color="000000"/>
              <w:right w:val="single" w:sz="4" w:space="0" w:color="000000"/>
            </w:tcBorders>
            <w:shd w:val="clear" w:color="000000" w:fill="D0CECE"/>
            <w:noWrap/>
            <w:vAlign w:val="center"/>
            <w:hideMark/>
          </w:tcPr>
          <w:p w14:paraId="23A4AA74"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15</w:t>
            </w:r>
          </w:p>
        </w:tc>
        <w:tc>
          <w:tcPr>
            <w:tcW w:w="785" w:type="dxa"/>
            <w:tcBorders>
              <w:top w:val="nil"/>
              <w:left w:val="nil"/>
              <w:bottom w:val="single" w:sz="4" w:space="0" w:color="000000"/>
              <w:right w:val="single" w:sz="4" w:space="0" w:color="000000"/>
            </w:tcBorders>
            <w:shd w:val="clear" w:color="auto" w:fill="auto"/>
            <w:noWrap/>
            <w:vAlign w:val="center"/>
            <w:hideMark/>
          </w:tcPr>
          <w:p w14:paraId="7F2BF1EA"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BD1083" w:rsidRPr="00437A10" w14:paraId="6C43749D" w14:textId="77777777" w:rsidTr="009A0327">
        <w:trPr>
          <w:trHeight w:val="300"/>
          <w:jc w:val="center"/>
        </w:trPr>
        <w:tc>
          <w:tcPr>
            <w:tcW w:w="1281" w:type="dxa"/>
            <w:tcBorders>
              <w:top w:val="nil"/>
              <w:left w:val="single" w:sz="4" w:space="0" w:color="000000"/>
              <w:bottom w:val="single" w:sz="4" w:space="0" w:color="000000"/>
              <w:right w:val="single" w:sz="4" w:space="0" w:color="000000"/>
            </w:tcBorders>
            <w:shd w:val="clear" w:color="auto" w:fill="auto"/>
            <w:hideMark/>
          </w:tcPr>
          <w:p w14:paraId="34DDADA1" w14:textId="77777777" w:rsidR="00BD1083" w:rsidRPr="00437A10" w:rsidRDefault="00BD1083" w:rsidP="00BD1083">
            <w:pPr>
              <w:rPr>
                <w:rFonts w:ascii="Arial" w:hAnsi="Arial" w:cs="Arial"/>
                <w:sz w:val="18"/>
                <w:szCs w:val="18"/>
                <w:lang w:val="es-BO" w:eastAsia="es-BO"/>
              </w:rPr>
            </w:pPr>
            <w:r w:rsidRPr="00437A10">
              <w:rPr>
                <w:rFonts w:ascii="Arial" w:hAnsi="Arial" w:cs="Arial"/>
                <w:sz w:val="18"/>
                <w:szCs w:val="18"/>
                <w:lang w:val="es-BO" w:eastAsia="es-BO"/>
              </w:rPr>
              <w:t>Oruro</w:t>
            </w:r>
          </w:p>
        </w:tc>
        <w:tc>
          <w:tcPr>
            <w:tcW w:w="1129" w:type="dxa"/>
            <w:tcBorders>
              <w:top w:val="nil"/>
              <w:left w:val="nil"/>
              <w:bottom w:val="single" w:sz="4" w:space="0" w:color="000000"/>
              <w:right w:val="single" w:sz="4" w:space="0" w:color="000000"/>
            </w:tcBorders>
            <w:shd w:val="clear" w:color="auto" w:fill="auto"/>
            <w:noWrap/>
            <w:vAlign w:val="center"/>
            <w:hideMark/>
          </w:tcPr>
          <w:p w14:paraId="375AB8BB"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87</w:t>
            </w:r>
          </w:p>
        </w:tc>
        <w:tc>
          <w:tcPr>
            <w:tcW w:w="1200" w:type="dxa"/>
            <w:tcBorders>
              <w:top w:val="nil"/>
              <w:left w:val="nil"/>
              <w:bottom w:val="single" w:sz="4" w:space="0" w:color="000000"/>
              <w:right w:val="single" w:sz="4" w:space="0" w:color="000000"/>
            </w:tcBorders>
            <w:shd w:val="clear" w:color="auto" w:fill="auto"/>
            <w:noWrap/>
            <w:vAlign w:val="center"/>
            <w:hideMark/>
          </w:tcPr>
          <w:p w14:paraId="2E6D9D19"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13</w:t>
            </w:r>
          </w:p>
        </w:tc>
        <w:tc>
          <w:tcPr>
            <w:tcW w:w="785" w:type="dxa"/>
            <w:tcBorders>
              <w:top w:val="nil"/>
              <w:left w:val="nil"/>
              <w:bottom w:val="single" w:sz="4" w:space="0" w:color="000000"/>
              <w:right w:val="single" w:sz="4" w:space="0" w:color="000000"/>
            </w:tcBorders>
            <w:shd w:val="clear" w:color="auto" w:fill="auto"/>
            <w:noWrap/>
            <w:vAlign w:val="center"/>
            <w:hideMark/>
          </w:tcPr>
          <w:p w14:paraId="3E30A6A4"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75" w:type="dxa"/>
            <w:tcBorders>
              <w:top w:val="nil"/>
              <w:left w:val="nil"/>
              <w:bottom w:val="single" w:sz="4" w:space="0" w:color="000000"/>
              <w:right w:val="single" w:sz="4" w:space="0" w:color="000000"/>
            </w:tcBorders>
            <w:shd w:val="clear" w:color="auto" w:fill="auto"/>
            <w:noWrap/>
            <w:vAlign w:val="center"/>
            <w:hideMark/>
          </w:tcPr>
          <w:p w14:paraId="6B75C442"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79</w:t>
            </w:r>
          </w:p>
        </w:tc>
        <w:tc>
          <w:tcPr>
            <w:tcW w:w="1200" w:type="dxa"/>
            <w:tcBorders>
              <w:top w:val="nil"/>
              <w:left w:val="nil"/>
              <w:bottom w:val="single" w:sz="4" w:space="0" w:color="000000"/>
              <w:right w:val="single" w:sz="4" w:space="0" w:color="000000"/>
            </w:tcBorders>
            <w:shd w:val="clear" w:color="000000" w:fill="D0CECE"/>
            <w:noWrap/>
            <w:vAlign w:val="center"/>
            <w:hideMark/>
          </w:tcPr>
          <w:p w14:paraId="1FF6FA49"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21</w:t>
            </w:r>
          </w:p>
        </w:tc>
        <w:tc>
          <w:tcPr>
            <w:tcW w:w="785" w:type="dxa"/>
            <w:tcBorders>
              <w:top w:val="nil"/>
              <w:left w:val="nil"/>
              <w:bottom w:val="single" w:sz="4" w:space="0" w:color="000000"/>
              <w:right w:val="single" w:sz="4" w:space="0" w:color="000000"/>
            </w:tcBorders>
            <w:shd w:val="clear" w:color="auto" w:fill="auto"/>
            <w:noWrap/>
            <w:vAlign w:val="center"/>
            <w:hideMark/>
          </w:tcPr>
          <w:p w14:paraId="60EC81FB"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BD1083" w:rsidRPr="00437A10" w14:paraId="6CB32950" w14:textId="77777777" w:rsidTr="009A0327">
        <w:trPr>
          <w:trHeight w:val="300"/>
          <w:jc w:val="center"/>
        </w:trPr>
        <w:tc>
          <w:tcPr>
            <w:tcW w:w="1281" w:type="dxa"/>
            <w:tcBorders>
              <w:top w:val="nil"/>
              <w:left w:val="single" w:sz="4" w:space="0" w:color="000000"/>
              <w:bottom w:val="single" w:sz="4" w:space="0" w:color="000000"/>
              <w:right w:val="single" w:sz="4" w:space="0" w:color="000000"/>
            </w:tcBorders>
            <w:shd w:val="clear" w:color="auto" w:fill="auto"/>
            <w:hideMark/>
          </w:tcPr>
          <w:p w14:paraId="72DDA398" w14:textId="77777777" w:rsidR="00BD1083" w:rsidRPr="00437A10" w:rsidRDefault="00BD1083" w:rsidP="00BD1083">
            <w:pPr>
              <w:rPr>
                <w:rFonts w:ascii="Arial" w:hAnsi="Arial" w:cs="Arial"/>
                <w:sz w:val="18"/>
                <w:szCs w:val="18"/>
                <w:lang w:val="es-BO" w:eastAsia="es-BO"/>
              </w:rPr>
            </w:pPr>
            <w:r w:rsidRPr="00437A10">
              <w:rPr>
                <w:rFonts w:ascii="Arial" w:hAnsi="Arial" w:cs="Arial"/>
                <w:sz w:val="18"/>
                <w:szCs w:val="18"/>
                <w:lang w:val="es-BO" w:eastAsia="es-BO"/>
              </w:rPr>
              <w:t>Potosi</w:t>
            </w:r>
          </w:p>
        </w:tc>
        <w:tc>
          <w:tcPr>
            <w:tcW w:w="1129" w:type="dxa"/>
            <w:tcBorders>
              <w:top w:val="nil"/>
              <w:left w:val="nil"/>
              <w:bottom w:val="single" w:sz="4" w:space="0" w:color="000000"/>
              <w:right w:val="single" w:sz="4" w:space="0" w:color="000000"/>
            </w:tcBorders>
            <w:shd w:val="clear" w:color="auto" w:fill="auto"/>
            <w:noWrap/>
            <w:vAlign w:val="center"/>
            <w:hideMark/>
          </w:tcPr>
          <w:p w14:paraId="3BD9E219"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66</w:t>
            </w:r>
          </w:p>
        </w:tc>
        <w:tc>
          <w:tcPr>
            <w:tcW w:w="1200" w:type="dxa"/>
            <w:tcBorders>
              <w:top w:val="nil"/>
              <w:left w:val="nil"/>
              <w:bottom w:val="single" w:sz="4" w:space="0" w:color="000000"/>
              <w:right w:val="single" w:sz="4" w:space="0" w:color="000000"/>
            </w:tcBorders>
            <w:shd w:val="clear" w:color="auto" w:fill="auto"/>
            <w:noWrap/>
            <w:vAlign w:val="center"/>
            <w:hideMark/>
          </w:tcPr>
          <w:p w14:paraId="30C3B7DE"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34</w:t>
            </w:r>
          </w:p>
        </w:tc>
        <w:tc>
          <w:tcPr>
            <w:tcW w:w="785" w:type="dxa"/>
            <w:tcBorders>
              <w:top w:val="nil"/>
              <w:left w:val="nil"/>
              <w:bottom w:val="single" w:sz="4" w:space="0" w:color="000000"/>
              <w:right w:val="single" w:sz="4" w:space="0" w:color="000000"/>
            </w:tcBorders>
            <w:shd w:val="clear" w:color="auto" w:fill="auto"/>
            <w:noWrap/>
            <w:vAlign w:val="center"/>
            <w:hideMark/>
          </w:tcPr>
          <w:p w14:paraId="5F7190DE"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75" w:type="dxa"/>
            <w:tcBorders>
              <w:top w:val="nil"/>
              <w:left w:val="nil"/>
              <w:bottom w:val="single" w:sz="4" w:space="0" w:color="000000"/>
              <w:right w:val="single" w:sz="4" w:space="0" w:color="000000"/>
            </w:tcBorders>
            <w:shd w:val="clear" w:color="auto" w:fill="auto"/>
            <w:noWrap/>
            <w:vAlign w:val="center"/>
            <w:hideMark/>
          </w:tcPr>
          <w:p w14:paraId="22CF90F5"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77</w:t>
            </w:r>
          </w:p>
        </w:tc>
        <w:tc>
          <w:tcPr>
            <w:tcW w:w="1200" w:type="dxa"/>
            <w:tcBorders>
              <w:top w:val="nil"/>
              <w:left w:val="nil"/>
              <w:bottom w:val="single" w:sz="4" w:space="0" w:color="000000"/>
              <w:right w:val="single" w:sz="4" w:space="0" w:color="000000"/>
            </w:tcBorders>
            <w:shd w:val="clear" w:color="auto" w:fill="auto"/>
            <w:noWrap/>
            <w:vAlign w:val="center"/>
            <w:hideMark/>
          </w:tcPr>
          <w:p w14:paraId="0FF8C798"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23</w:t>
            </w:r>
          </w:p>
        </w:tc>
        <w:tc>
          <w:tcPr>
            <w:tcW w:w="785" w:type="dxa"/>
            <w:tcBorders>
              <w:top w:val="nil"/>
              <w:left w:val="nil"/>
              <w:bottom w:val="single" w:sz="4" w:space="0" w:color="000000"/>
              <w:right w:val="single" w:sz="4" w:space="0" w:color="000000"/>
            </w:tcBorders>
            <w:shd w:val="clear" w:color="auto" w:fill="auto"/>
            <w:noWrap/>
            <w:vAlign w:val="center"/>
            <w:hideMark/>
          </w:tcPr>
          <w:p w14:paraId="560DDBB9"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BD1083" w:rsidRPr="00437A10" w14:paraId="6FE12083" w14:textId="77777777" w:rsidTr="009A0327">
        <w:trPr>
          <w:trHeight w:val="300"/>
          <w:jc w:val="center"/>
        </w:trPr>
        <w:tc>
          <w:tcPr>
            <w:tcW w:w="1281" w:type="dxa"/>
            <w:tcBorders>
              <w:top w:val="nil"/>
              <w:left w:val="single" w:sz="4" w:space="0" w:color="000000"/>
              <w:bottom w:val="single" w:sz="4" w:space="0" w:color="000000"/>
              <w:right w:val="single" w:sz="4" w:space="0" w:color="000000"/>
            </w:tcBorders>
            <w:shd w:val="clear" w:color="auto" w:fill="auto"/>
            <w:hideMark/>
          </w:tcPr>
          <w:p w14:paraId="3044CB7D" w14:textId="77777777" w:rsidR="00BD1083" w:rsidRPr="00437A10" w:rsidRDefault="00BD1083" w:rsidP="00BD1083">
            <w:pPr>
              <w:rPr>
                <w:rFonts w:ascii="Arial" w:hAnsi="Arial" w:cs="Arial"/>
                <w:sz w:val="18"/>
                <w:szCs w:val="18"/>
                <w:lang w:val="es-BO" w:eastAsia="es-BO"/>
              </w:rPr>
            </w:pPr>
            <w:r w:rsidRPr="00437A10">
              <w:rPr>
                <w:rFonts w:ascii="Arial" w:hAnsi="Arial" w:cs="Arial"/>
                <w:sz w:val="18"/>
                <w:szCs w:val="18"/>
                <w:lang w:val="es-BO" w:eastAsia="es-BO"/>
              </w:rPr>
              <w:t>Tarija</w:t>
            </w:r>
          </w:p>
        </w:tc>
        <w:tc>
          <w:tcPr>
            <w:tcW w:w="1129" w:type="dxa"/>
            <w:tcBorders>
              <w:top w:val="nil"/>
              <w:left w:val="nil"/>
              <w:bottom w:val="single" w:sz="4" w:space="0" w:color="000000"/>
              <w:right w:val="single" w:sz="4" w:space="0" w:color="000000"/>
            </w:tcBorders>
            <w:shd w:val="clear" w:color="auto" w:fill="auto"/>
            <w:noWrap/>
            <w:vAlign w:val="center"/>
            <w:hideMark/>
          </w:tcPr>
          <w:p w14:paraId="5A3F43C4"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92</w:t>
            </w:r>
          </w:p>
        </w:tc>
        <w:tc>
          <w:tcPr>
            <w:tcW w:w="1200" w:type="dxa"/>
            <w:tcBorders>
              <w:top w:val="nil"/>
              <w:left w:val="nil"/>
              <w:bottom w:val="single" w:sz="4" w:space="0" w:color="000000"/>
              <w:right w:val="single" w:sz="4" w:space="0" w:color="000000"/>
            </w:tcBorders>
            <w:shd w:val="clear" w:color="auto" w:fill="auto"/>
            <w:noWrap/>
            <w:vAlign w:val="center"/>
            <w:hideMark/>
          </w:tcPr>
          <w:p w14:paraId="48178960"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8</w:t>
            </w:r>
          </w:p>
        </w:tc>
        <w:tc>
          <w:tcPr>
            <w:tcW w:w="785" w:type="dxa"/>
            <w:tcBorders>
              <w:top w:val="nil"/>
              <w:left w:val="nil"/>
              <w:bottom w:val="single" w:sz="4" w:space="0" w:color="000000"/>
              <w:right w:val="single" w:sz="4" w:space="0" w:color="000000"/>
            </w:tcBorders>
            <w:shd w:val="clear" w:color="auto" w:fill="auto"/>
            <w:noWrap/>
            <w:vAlign w:val="center"/>
            <w:hideMark/>
          </w:tcPr>
          <w:p w14:paraId="49FDF32D"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75" w:type="dxa"/>
            <w:tcBorders>
              <w:top w:val="nil"/>
              <w:left w:val="nil"/>
              <w:bottom w:val="single" w:sz="4" w:space="0" w:color="000000"/>
              <w:right w:val="single" w:sz="4" w:space="0" w:color="000000"/>
            </w:tcBorders>
            <w:shd w:val="clear" w:color="auto" w:fill="auto"/>
            <w:noWrap/>
            <w:vAlign w:val="center"/>
            <w:hideMark/>
          </w:tcPr>
          <w:p w14:paraId="2E66F43E"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82</w:t>
            </w:r>
          </w:p>
        </w:tc>
        <w:tc>
          <w:tcPr>
            <w:tcW w:w="1200" w:type="dxa"/>
            <w:tcBorders>
              <w:top w:val="nil"/>
              <w:left w:val="nil"/>
              <w:bottom w:val="single" w:sz="4" w:space="0" w:color="000000"/>
              <w:right w:val="single" w:sz="4" w:space="0" w:color="000000"/>
            </w:tcBorders>
            <w:shd w:val="clear" w:color="000000" w:fill="D0CECE"/>
            <w:noWrap/>
            <w:vAlign w:val="center"/>
            <w:hideMark/>
          </w:tcPr>
          <w:p w14:paraId="3EB4C1C5"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18</w:t>
            </w:r>
          </w:p>
        </w:tc>
        <w:tc>
          <w:tcPr>
            <w:tcW w:w="785" w:type="dxa"/>
            <w:tcBorders>
              <w:top w:val="nil"/>
              <w:left w:val="nil"/>
              <w:bottom w:val="single" w:sz="4" w:space="0" w:color="000000"/>
              <w:right w:val="single" w:sz="4" w:space="0" w:color="000000"/>
            </w:tcBorders>
            <w:shd w:val="clear" w:color="auto" w:fill="auto"/>
            <w:noWrap/>
            <w:vAlign w:val="center"/>
            <w:hideMark/>
          </w:tcPr>
          <w:p w14:paraId="377A74D7"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BD1083" w:rsidRPr="00437A10" w14:paraId="278B2798" w14:textId="77777777" w:rsidTr="009A0327">
        <w:trPr>
          <w:trHeight w:val="300"/>
          <w:jc w:val="center"/>
        </w:trPr>
        <w:tc>
          <w:tcPr>
            <w:tcW w:w="1281" w:type="dxa"/>
            <w:tcBorders>
              <w:top w:val="nil"/>
              <w:left w:val="single" w:sz="4" w:space="0" w:color="000000"/>
              <w:bottom w:val="single" w:sz="4" w:space="0" w:color="000000"/>
              <w:right w:val="single" w:sz="4" w:space="0" w:color="000000"/>
            </w:tcBorders>
            <w:shd w:val="clear" w:color="auto" w:fill="auto"/>
            <w:hideMark/>
          </w:tcPr>
          <w:p w14:paraId="2AA93B93" w14:textId="77777777" w:rsidR="00BD1083" w:rsidRPr="00437A10" w:rsidRDefault="00BD1083" w:rsidP="00BD1083">
            <w:pPr>
              <w:rPr>
                <w:rFonts w:ascii="Arial" w:hAnsi="Arial" w:cs="Arial"/>
                <w:sz w:val="18"/>
                <w:szCs w:val="18"/>
                <w:lang w:val="es-BO" w:eastAsia="es-BO"/>
              </w:rPr>
            </w:pPr>
            <w:r w:rsidRPr="00437A10">
              <w:rPr>
                <w:rFonts w:ascii="Arial" w:hAnsi="Arial" w:cs="Arial"/>
                <w:sz w:val="18"/>
                <w:szCs w:val="18"/>
                <w:lang w:val="es-BO" w:eastAsia="es-BO"/>
              </w:rPr>
              <w:t>Santa Cruz</w:t>
            </w:r>
          </w:p>
        </w:tc>
        <w:tc>
          <w:tcPr>
            <w:tcW w:w="1129" w:type="dxa"/>
            <w:tcBorders>
              <w:top w:val="nil"/>
              <w:left w:val="nil"/>
              <w:bottom w:val="single" w:sz="4" w:space="0" w:color="000000"/>
              <w:right w:val="single" w:sz="4" w:space="0" w:color="000000"/>
            </w:tcBorders>
            <w:shd w:val="clear" w:color="auto" w:fill="auto"/>
            <w:noWrap/>
            <w:vAlign w:val="center"/>
            <w:hideMark/>
          </w:tcPr>
          <w:p w14:paraId="395F4527"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95</w:t>
            </w:r>
          </w:p>
        </w:tc>
        <w:tc>
          <w:tcPr>
            <w:tcW w:w="1200" w:type="dxa"/>
            <w:tcBorders>
              <w:top w:val="nil"/>
              <w:left w:val="nil"/>
              <w:bottom w:val="single" w:sz="4" w:space="0" w:color="000000"/>
              <w:right w:val="single" w:sz="4" w:space="0" w:color="000000"/>
            </w:tcBorders>
            <w:shd w:val="clear" w:color="auto" w:fill="auto"/>
            <w:noWrap/>
            <w:vAlign w:val="center"/>
            <w:hideMark/>
          </w:tcPr>
          <w:p w14:paraId="16ECBF57"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5</w:t>
            </w:r>
          </w:p>
        </w:tc>
        <w:tc>
          <w:tcPr>
            <w:tcW w:w="785" w:type="dxa"/>
            <w:tcBorders>
              <w:top w:val="nil"/>
              <w:left w:val="nil"/>
              <w:bottom w:val="single" w:sz="4" w:space="0" w:color="000000"/>
              <w:right w:val="single" w:sz="4" w:space="0" w:color="000000"/>
            </w:tcBorders>
            <w:shd w:val="clear" w:color="auto" w:fill="auto"/>
            <w:noWrap/>
            <w:vAlign w:val="center"/>
            <w:hideMark/>
          </w:tcPr>
          <w:p w14:paraId="13751BBD"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75" w:type="dxa"/>
            <w:tcBorders>
              <w:top w:val="nil"/>
              <w:left w:val="nil"/>
              <w:bottom w:val="single" w:sz="4" w:space="0" w:color="000000"/>
              <w:right w:val="single" w:sz="4" w:space="0" w:color="000000"/>
            </w:tcBorders>
            <w:shd w:val="clear" w:color="auto" w:fill="auto"/>
            <w:noWrap/>
            <w:vAlign w:val="center"/>
            <w:hideMark/>
          </w:tcPr>
          <w:p w14:paraId="0EB5DECE"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84</w:t>
            </w:r>
          </w:p>
        </w:tc>
        <w:tc>
          <w:tcPr>
            <w:tcW w:w="1200" w:type="dxa"/>
            <w:tcBorders>
              <w:top w:val="nil"/>
              <w:left w:val="nil"/>
              <w:bottom w:val="single" w:sz="4" w:space="0" w:color="000000"/>
              <w:right w:val="single" w:sz="4" w:space="0" w:color="000000"/>
            </w:tcBorders>
            <w:shd w:val="clear" w:color="000000" w:fill="D0CECE"/>
            <w:noWrap/>
            <w:vAlign w:val="center"/>
            <w:hideMark/>
          </w:tcPr>
          <w:p w14:paraId="723140B3"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16</w:t>
            </w:r>
          </w:p>
        </w:tc>
        <w:tc>
          <w:tcPr>
            <w:tcW w:w="785" w:type="dxa"/>
            <w:tcBorders>
              <w:top w:val="nil"/>
              <w:left w:val="nil"/>
              <w:bottom w:val="single" w:sz="4" w:space="0" w:color="000000"/>
              <w:right w:val="single" w:sz="4" w:space="0" w:color="000000"/>
            </w:tcBorders>
            <w:shd w:val="clear" w:color="auto" w:fill="auto"/>
            <w:noWrap/>
            <w:vAlign w:val="center"/>
            <w:hideMark/>
          </w:tcPr>
          <w:p w14:paraId="668C183F"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BD1083" w:rsidRPr="00437A10" w14:paraId="61F80FEE" w14:textId="77777777" w:rsidTr="009A0327">
        <w:trPr>
          <w:trHeight w:val="300"/>
          <w:jc w:val="center"/>
        </w:trPr>
        <w:tc>
          <w:tcPr>
            <w:tcW w:w="1281" w:type="dxa"/>
            <w:tcBorders>
              <w:top w:val="nil"/>
              <w:left w:val="single" w:sz="4" w:space="0" w:color="000000"/>
              <w:bottom w:val="single" w:sz="4" w:space="0" w:color="000000"/>
              <w:right w:val="single" w:sz="4" w:space="0" w:color="000000"/>
            </w:tcBorders>
            <w:shd w:val="clear" w:color="auto" w:fill="auto"/>
            <w:hideMark/>
          </w:tcPr>
          <w:p w14:paraId="207AAB9E" w14:textId="77777777" w:rsidR="00BD1083" w:rsidRPr="00437A10" w:rsidRDefault="00BD1083" w:rsidP="00BD1083">
            <w:pPr>
              <w:rPr>
                <w:rFonts w:ascii="Arial" w:hAnsi="Arial" w:cs="Arial"/>
                <w:sz w:val="18"/>
                <w:szCs w:val="18"/>
                <w:lang w:val="es-BO" w:eastAsia="es-BO"/>
              </w:rPr>
            </w:pPr>
            <w:r w:rsidRPr="00437A10">
              <w:rPr>
                <w:rFonts w:ascii="Arial" w:hAnsi="Arial" w:cs="Arial"/>
                <w:sz w:val="18"/>
                <w:szCs w:val="18"/>
                <w:lang w:val="es-BO" w:eastAsia="es-BO"/>
              </w:rPr>
              <w:t>Beni</w:t>
            </w:r>
          </w:p>
        </w:tc>
        <w:tc>
          <w:tcPr>
            <w:tcW w:w="1129" w:type="dxa"/>
            <w:tcBorders>
              <w:top w:val="nil"/>
              <w:left w:val="nil"/>
              <w:bottom w:val="single" w:sz="4" w:space="0" w:color="000000"/>
              <w:right w:val="single" w:sz="4" w:space="0" w:color="000000"/>
            </w:tcBorders>
            <w:shd w:val="clear" w:color="auto" w:fill="auto"/>
            <w:noWrap/>
            <w:vAlign w:val="center"/>
            <w:hideMark/>
          </w:tcPr>
          <w:p w14:paraId="1D16851F"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89</w:t>
            </w:r>
          </w:p>
        </w:tc>
        <w:tc>
          <w:tcPr>
            <w:tcW w:w="1200" w:type="dxa"/>
            <w:tcBorders>
              <w:top w:val="nil"/>
              <w:left w:val="nil"/>
              <w:bottom w:val="single" w:sz="4" w:space="0" w:color="000000"/>
              <w:right w:val="single" w:sz="4" w:space="0" w:color="000000"/>
            </w:tcBorders>
            <w:shd w:val="clear" w:color="auto" w:fill="auto"/>
            <w:noWrap/>
            <w:vAlign w:val="center"/>
            <w:hideMark/>
          </w:tcPr>
          <w:p w14:paraId="03FDBCFF"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11</w:t>
            </w:r>
          </w:p>
        </w:tc>
        <w:tc>
          <w:tcPr>
            <w:tcW w:w="785" w:type="dxa"/>
            <w:tcBorders>
              <w:top w:val="nil"/>
              <w:left w:val="nil"/>
              <w:bottom w:val="single" w:sz="4" w:space="0" w:color="000000"/>
              <w:right w:val="single" w:sz="4" w:space="0" w:color="000000"/>
            </w:tcBorders>
            <w:shd w:val="clear" w:color="auto" w:fill="auto"/>
            <w:noWrap/>
            <w:vAlign w:val="center"/>
            <w:hideMark/>
          </w:tcPr>
          <w:p w14:paraId="38484819"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75" w:type="dxa"/>
            <w:tcBorders>
              <w:top w:val="nil"/>
              <w:left w:val="nil"/>
              <w:bottom w:val="single" w:sz="4" w:space="0" w:color="000000"/>
              <w:right w:val="single" w:sz="4" w:space="0" w:color="000000"/>
            </w:tcBorders>
            <w:shd w:val="clear" w:color="auto" w:fill="auto"/>
            <w:noWrap/>
            <w:vAlign w:val="center"/>
            <w:hideMark/>
          </w:tcPr>
          <w:p w14:paraId="4802A92B"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83</w:t>
            </w:r>
          </w:p>
        </w:tc>
        <w:tc>
          <w:tcPr>
            <w:tcW w:w="1200" w:type="dxa"/>
            <w:tcBorders>
              <w:top w:val="nil"/>
              <w:left w:val="nil"/>
              <w:bottom w:val="single" w:sz="4" w:space="0" w:color="000000"/>
              <w:right w:val="single" w:sz="4" w:space="0" w:color="000000"/>
            </w:tcBorders>
            <w:shd w:val="clear" w:color="000000" w:fill="D0CECE"/>
            <w:noWrap/>
            <w:vAlign w:val="center"/>
            <w:hideMark/>
          </w:tcPr>
          <w:p w14:paraId="2920B867"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17</w:t>
            </w:r>
          </w:p>
        </w:tc>
        <w:tc>
          <w:tcPr>
            <w:tcW w:w="785" w:type="dxa"/>
            <w:tcBorders>
              <w:top w:val="nil"/>
              <w:left w:val="nil"/>
              <w:bottom w:val="single" w:sz="4" w:space="0" w:color="000000"/>
              <w:right w:val="single" w:sz="4" w:space="0" w:color="000000"/>
            </w:tcBorders>
            <w:shd w:val="clear" w:color="auto" w:fill="auto"/>
            <w:noWrap/>
            <w:vAlign w:val="center"/>
            <w:hideMark/>
          </w:tcPr>
          <w:p w14:paraId="674F22D4"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BD1083" w:rsidRPr="00437A10" w14:paraId="7A6B5BAA" w14:textId="77777777" w:rsidTr="009A0327">
        <w:trPr>
          <w:trHeight w:val="300"/>
          <w:jc w:val="center"/>
        </w:trPr>
        <w:tc>
          <w:tcPr>
            <w:tcW w:w="1281" w:type="dxa"/>
            <w:tcBorders>
              <w:top w:val="nil"/>
              <w:left w:val="single" w:sz="4" w:space="0" w:color="000000"/>
              <w:bottom w:val="single" w:sz="4" w:space="0" w:color="000000"/>
              <w:right w:val="single" w:sz="4" w:space="0" w:color="000000"/>
            </w:tcBorders>
            <w:shd w:val="clear" w:color="auto" w:fill="auto"/>
            <w:hideMark/>
          </w:tcPr>
          <w:p w14:paraId="04881367" w14:textId="77777777" w:rsidR="00BD1083" w:rsidRPr="00437A10" w:rsidRDefault="00BD1083" w:rsidP="00BD1083">
            <w:pPr>
              <w:rPr>
                <w:rFonts w:ascii="Arial" w:hAnsi="Arial" w:cs="Arial"/>
                <w:sz w:val="18"/>
                <w:szCs w:val="18"/>
                <w:lang w:val="es-BO" w:eastAsia="es-BO"/>
              </w:rPr>
            </w:pPr>
            <w:r w:rsidRPr="00437A10">
              <w:rPr>
                <w:rFonts w:ascii="Arial" w:hAnsi="Arial" w:cs="Arial"/>
                <w:sz w:val="18"/>
                <w:szCs w:val="18"/>
                <w:lang w:val="es-BO" w:eastAsia="es-BO"/>
              </w:rPr>
              <w:t>Pando</w:t>
            </w:r>
          </w:p>
        </w:tc>
        <w:tc>
          <w:tcPr>
            <w:tcW w:w="1129" w:type="dxa"/>
            <w:tcBorders>
              <w:top w:val="nil"/>
              <w:left w:val="nil"/>
              <w:bottom w:val="single" w:sz="4" w:space="0" w:color="000000"/>
              <w:right w:val="single" w:sz="4" w:space="0" w:color="000000"/>
            </w:tcBorders>
            <w:shd w:val="clear" w:color="auto" w:fill="auto"/>
            <w:noWrap/>
            <w:vAlign w:val="center"/>
            <w:hideMark/>
          </w:tcPr>
          <w:p w14:paraId="735D0625"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89</w:t>
            </w:r>
          </w:p>
        </w:tc>
        <w:tc>
          <w:tcPr>
            <w:tcW w:w="1200" w:type="dxa"/>
            <w:tcBorders>
              <w:top w:val="nil"/>
              <w:left w:val="nil"/>
              <w:bottom w:val="single" w:sz="4" w:space="0" w:color="000000"/>
              <w:right w:val="single" w:sz="4" w:space="0" w:color="000000"/>
            </w:tcBorders>
            <w:shd w:val="clear" w:color="auto" w:fill="auto"/>
            <w:noWrap/>
            <w:vAlign w:val="center"/>
            <w:hideMark/>
          </w:tcPr>
          <w:p w14:paraId="52C1AE54"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11</w:t>
            </w:r>
          </w:p>
        </w:tc>
        <w:tc>
          <w:tcPr>
            <w:tcW w:w="785" w:type="dxa"/>
            <w:tcBorders>
              <w:top w:val="nil"/>
              <w:left w:val="nil"/>
              <w:bottom w:val="single" w:sz="4" w:space="0" w:color="000000"/>
              <w:right w:val="single" w:sz="4" w:space="0" w:color="000000"/>
            </w:tcBorders>
            <w:shd w:val="clear" w:color="auto" w:fill="auto"/>
            <w:noWrap/>
            <w:vAlign w:val="center"/>
            <w:hideMark/>
          </w:tcPr>
          <w:p w14:paraId="6B49B424"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75" w:type="dxa"/>
            <w:tcBorders>
              <w:top w:val="nil"/>
              <w:left w:val="nil"/>
              <w:bottom w:val="single" w:sz="4" w:space="0" w:color="000000"/>
              <w:right w:val="single" w:sz="4" w:space="0" w:color="000000"/>
            </w:tcBorders>
            <w:shd w:val="clear" w:color="auto" w:fill="auto"/>
            <w:noWrap/>
            <w:vAlign w:val="center"/>
            <w:hideMark/>
          </w:tcPr>
          <w:p w14:paraId="0590AAF0"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85</w:t>
            </w:r>
          </w:p>
        </w:tc>
        <w:tc>
          <w:tcPr>
            <w:tcW w:w="1200" w:type="dxa"/>
            <w:tcBorders>
              <w:top w:val="nil"/>
              <w:left w:val="nil"/>
              <w:bottom w:val="single" w:sz="4" w:space="0" w:color="000000"/>
              <w:right w:val="single" w:sz="4" w:space="0" w:color="000000"/>
            </w:tcBorders>
            <w:shd w:val="clear" w:color="000000" w:fill="D0CECE"/>
            <w:noWrap/>
            <w:vAlign w:val="center"/>
            <w:hideMark/>
          </w:tcPr>
          <w:p w14:paraId="19FA755C"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15</w:t>
            </w:r>
          </w:p>
        </w:tc>
        <w:tc>
          <w:tcPr>
            <w:tcW w:w="785" w:type="dxa"/>
            <w:tcBorders>
              <w:top w:val="nil"/>
              <w:left w:val="nil"/>
              <w:bottom w:val="single" w:sz="4" w:space="0" w:color="000000"/>
              <w:right w:val="single" w:sz="4" w:space="0" w:color="000000"/>
            </w:tcBorders>
            <w:shd w:val="clear" w:color="auto" w:fill="auto"/>
            <w:noWrap/>
            <w:vAlign w:val="center"/>
            <w:hideMark/>
          </w:tcPr>
          <w:p w14:paraId="3874F86E"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BD1083" w:rsidRPr="00437A10" w14:paraId="14F53E04" w14:textId="77777777" w:rsidTr="009A0327">
        <w:trPr>
          <w:trHeight w:val="315"/>
          <w:jc w:val="center"/>
        </w:trPr>
        <w:tc>
          <w:tcPr>
            <w:tcW w:w="1281" w:type="dxa"/>
            <w:tcBorders>
              <w:top w:val="nil"/>
              <w:left w:val="single" w:sz="4" w:space="0" w:color="000000"/>
              <w:bottom w:val="single" w:sz="4" w:space="0" w:color="000000"/>
              <w:right w:val="single" w:sz="4" w:space="0" w:color="000000"/>
            </w:tcBorders>
            <w:shd w:val="clear" w:color="auto" w:fill="auto"/>
            <w:hideMark/>
          </w:tcPr>
          <w:p w14:paraId="03A88272" w14:textId="77777777" w:rsidR="00BD1083" w:rsidRPr="00437A10" w:rsidRDefault="00BD1083" w:rsidP="00BD1083">
            <w:pPr>
              <w:rPr>
                <w:rFonts w:ascii="Arial" w:hAnsi="Arial" w:cs="Arial"/>
                <w:sz w:val="18"/>
                <w:szCs w:val="18"/>
                <w:lang w:val="es-BO" w:eastAsia="es-BO"/>
              </w:rPr>
            </w:pPr>
            <w:r w:rsidRPr="00437A10">
              <w:rPr>
                <w:rFonts w:ascii="Arial" w:hAnsi="Arial" w:cs="Arial"/>
                <w:sz w:val="18"/>
                <w:szCs w:val="18"/>
                <w:lang w:val="es-BO" w:eastAsia="es-BO"/>
              </w:rPr>
              <w:t>Total</w:t>
            </w:r>
          </w:p>
        </w:tc>
        <w:tc>
          <w:tcPr>
            <w:tcW w:w="1129" w:type="dxa"/>
            <w:tcBorders>
              <w:top w:val="nil"/>
              <w:left w:val="nil"/>
              <w:bottom w:val="single" w:sz="4" w:space="0" w:color="000000"/>
              <w:right w:val="single" w:sz="4" w:space="0" w:color="000000"/>
            </w:tcBorders>
            <w:shd w:val="clear" w:color="auto" w:fill="auto"/>
            <w:noWrap/>
            <w:vAlign w:val="center"/>
            <w:hideMark/>
          </w:tcPr>
          <w:p w14:paraId="72A1024A"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88</w:t>
            </w:r>
          </w:p>
        </w:tc>
        <w:tc>
          <w:tcPr>
            <w:tcW w:w="1200" w:type="dxa"/>
            <w:tcBorders>
              <w:top w:val="nil"/>
              <w:left w:val="nil"/>
              <w:bottom w:val="single" w:sz="4" w:space="0" w:color="000000"/>
              <w:right w:val="single" w:sz="4" w:space="0" w:color="000000"/>
            </w:tcBorders>
            <w:shd w:val="clear" w:color="auto" w:fill="auto"/>
            <w:noWrap/>
            <w:vAlign w:val="center"/>
            <w:hideMark/>
          </w:tcPr>
          <w:p w14:paraId="25E1B789"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12</w:t>
            </w:r>
          </w:p>
        </w:tc>
        <w:tc>
          <w:tcPr>
            <w:tcW w:w="785" w:type="dxa"/>
            <w:tcBorders>
              <w:top w:val="nil"/>
              <w:left w:val="nil"/>
              <w:bottom w:val="single" w:sz="4" w:space="0" w:color="000000"/>
              <w:right w:val="single" w:sz="4" w:space="0" w:color="000000"/>
            </w:tcBorders>
            <w:shd w:val="clear" w:color="auto" w:fill="auto"/>
            <w:noWrap/>
            <w:vAlign w:val="center"/>
            <w:hideMark/>
          </w:tcPr>
          <w:p w14:paraId="5F4AD6EA"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75" w:type="dxa"/>
            <w:tcBorders>
              <w:top w:val="nil"/>
              <w:left w:val="nil"/>
              <w:bottom w:val="single" w:sz="4" w:space="0" w:color="000000"/>
              <w:right w:val="single" w:sz="4" w:space="0" w:color="000000"/>
            </w:tcBorders>
            <w:shd w:val="clear" w:color="auto" w:fill="auto"/>
            <w:noWrap/>
            <w:vAlign w:val="center"/>
            <w:hideMark/>
          </w:tcPr>
          <w:p w14:paraId="5523A82C"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82</w:t>
            </w:r>
          </w:p>
        </w:tc>
        <w:tc>
          <w:tcPr>
            <w:tcW w:w="1200" w:type="dxa"/>
            <w:tcBorders>
              <w:top w:val="nil"/>
              <w:left w:val="nil"/>
              <w:bottom w:val="single" w:sz="4" w:space="0" w:color="000000"/>
              <w:right w:val="single" w:sz="4" w:space="0" w:color="000000"/>
            </w:tcBorders>
            <w:shd w:val="clear" w:color="auto" w:fill="auto"/>
            <w:noWrap/>
            <w:vAlign w:val="center"/>
            <w:hideMark/>
          </w:tcPr>
          <w:p w14:paraId="53F77FAB"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18</w:t>
            </w:r>
          </w:p>
        </w:tc>
        <w:tc>
          <w:tcPr>
            <w:tcW w:w="785" w:type="dxa"/>
            <w:tcBorders>
              <w:top w:val="nil"/>
              <w:left w:val="nil"/>
              <w:bottom w:val="single" w:sz="4" w:space="0" w:color="000000"/>
              <w:right w:val="single" w:sz="4" w:space="0" w:color="000000"/>
            </w:tcBorders>
            <w:shd w:val="clear" w:color="auto" w:fill="auto"/>
            <w:noWrap/>
            <w:vAlign w:val="center"/>
            <w:hideMark/>
          </w:tcPr>
          <w:p w14:paraId="58E99B3C" w14:textId="77777777" w:rsidR="00BD1083" w:rsidRPr="00437A10" w:rsidRDefault="00BD1083" w:rsidP="00BD1083">
            <w:pPr>
              <w:jc w:val="right"/>
              <w:rPr>
                <w:rFonts w:ascii="Arial" w:hAnsi="Arial" w:cs="Arial"/>
                <w:sz w:val="18"/>
                <w:szCs w:val="18"/>
                <w:lang w:val="es-BO" w:eastAsia="es-BO"/>
              </w:rPr>
            </w:pPr>
            <w:r w:rsidRPr="00437A10">
              <w:rPr>
                <w:rFonts w:ascii="Arial" w:hAnsi="Arial" w:cs="Arial"/>
                <w:sz w:val="18"/>
                <w:szCs w:val="18"/>
                <w:lang w:val="es-BO" w:eastAsia="es-BO"/>
              </w:rPr>
              <w:t>100</w:t>
            </w:r>
          </w:p>
        </w:tc>
      </w:tr>
    </w:tbl>
    <w:p w14:paraId="7D5BD008" w14:textId="51D5291E" w:rsidR="00BD1083" w:rsidRPr="00437A10" w:rsidRDefault="00BD1083" w:rsidP="00BD1083">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Fuente: Con base en Instituto Nacional de Estadística, Quillaguamán, 2023.</w:t>
      </w:r>
    </w:p>
    <w:p w14:paraId="79973711" w14:textId="2A532F0E" w:rsidR="00A211E9" w:rsidRPr="00437A10" w:rsidRDefault="00A211E9" w:rsidP="00A211E9">
      <w:pPr>
        <w:spacing w:after="160" w:line="259" w:lineRule="auto"/>
        <w:contextualSpacing/>
        <w:jc w:val="both"/>
        <w:rPr>
          <w:rFonts w:ascii="Arial" w:eastAsia="Calibri" w:hAnsi="Arial" w:cs="Arial"/>
          <w:sz w:val="22"/>
          <w:szCs w:val="22"/>
        </w:rPr>
      </w:pPr>
    </w:p>
    <w:p w14:paraId="5440FA89" w14:textId="76EC6FC1" w:rsidR="00A211E9" w:rsidRPr="00437A10" w:rsidRDefault="00A211E9" w:rsidP="00A211E9">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Según el cuadro 5.3, en el período 2011-2021, el porcentaje de viviendas inasequibles en el área rural incrementó en Chuquisaca, Cochabamba, Tarija y Pando.</w:t>
      </w:r>
      <w:r w:rsidR="00B659AA" w:rsidRPr="00437A10">
        <w:rPr>
          <w:rFonts w:ascii="Arial" w:eastAsia="Calibri" w:hAnsi="Arial" w:cs="Arial"/>
          <w:sz w:val="22"/>
          <w:szCs w:val="22"/>
        </w:rPr>
        <w:t xml:space="preserve"> Los departamentos con mayor diferencia en puntos porcentuales son Chuquisaca y Pando.</w:t>
      </w:r>
    </w:p>
    <w:p w14:paraId="1F2CF417" w14:textId="77777777" w:rsidR="00A211E9" w:rsidRPr="00437A10" w:rsidRDefault="00A211E9" w:rsidP="00A211E9">
      <w:pPr>
        <w:spacing w:after="160" w:line="259" w:lineRule="auto"/>
        <w:contextualSpacing/>
        <w:jc w:val="both"/>
        <w:rPr>
          <w:rFonts w:ascii="Arial" w:eastAsia="Calibri" w:hAnsi="Arial" w:cs="Arial"/>
          <w:sz w:val="22"/>
          <w:szCs w:val="22"/>
        </w:rPr>
      </w:pPr>
    </w:p>
    <w:p w14:paraId="0CE5BE7B" w14:textId="1DB2584B" w:rsidR="00A211E9" w:rsidRPr="00437A10" w:rsidRDefault="00A211E9" w:rsidP="00A211E9">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Cuadro 5.3. Área rural de Bolivia: Porcentaje de viviendas por asequibilidad según departamento, 2011 y 2021</w:t>
      </w:r>
    </w:p>
    <w:tbl>
      <w:tblPr>
        <w:tblW w:w="7655" w:type="dxa"/>
        <w:jc w:val="center"/>
        <w:tblCellMar>
          <w:left w:w="70" w:type="dxa"/>
          <w:right w:w="70" w:type="dxa"/>
        </w:tblCellMar>
        <w:tblLook w:val="04A0" w:firstRow="1" w:lastRow="0" w:firstColumn="1" w:lastColumn="0" w:noHBand="0" w:noVBand="1"/>
      </w:tblPr>
      <w:tblGrid>
        <w:gridCol w:w="1281"/>
        <w:gridCol w:w="1129"/>
        <w:gridCol w:w="1200"/>
        <w:gridCol w:w="926"/>
        <w:gridCol w:w="1134"/>
        <w:gridCol w:w="1200"/>
        <w:gridCol w:w="785"/>
      </w:tblGrid>
      <w:tr w:rsidR="00A211E9" w:rsidRPr="00437A10" w14:paraId="54C80AED" w14:textId="77777777" w:rsidTr="00A211E9">
        <w:trPr>
          <w:trHeight w:val="315"/>
          <w:jc w:val="center"/>
        </w:trPr>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C1468FF" w14:textId="77777777" w:rsidR="00A211E9" w:rsidRPr="00437A10" w:rsidRDefault="00A211E9" w:rsidP="009A0327">
            <w:pPr>
              <w:jc w:val="center"/>
              <w:rPr>
                <w:rFonts w:ascii="Arial" w:hAnsi="Arial" w:cs="Arial"/>
                <w:sz w:val="18"/>
                <w:szCs w:val="18"/>
                <w:lang w:val="es-BO" w:eastAsia="es-BO"/>
              </w:rPr>
            </w:pPr>
            <w:r w:rsidRPr="00437A10">
              <w:rPr>
                <w:rFonts w:ascii="Arial" w:hAnsi="Arial" w:cs="Arial"/>
                <w:sz w:val="18"/>
                <w:szCs w:val="18"/>
                <w:lang w:val="es-BO" w:eastAsia="es-BO"/>
              </w:rPr>
              <w:t>Departamento</w:t>
            </w:r>
          </w:p>
        </w:tc>
        <w:tc>
          <w:tcPr>
            <w:tcW w:w="3255" w:type="dxa"/>
            <w:gridSpan w:val="3"/>
            <w:tcBorders>
              <w:top w:val="single" w:sz="4" w:space="0" w:color="000000"/>
              <w:left w:val="nil"/>
              <w:bottom w:val="single" w:sz="4" w:space="0" w:color="000000"/>
              <w:right w:val="single" w:sz="4" w:space="0" w:color="000000"/>
            </w:tcBorders>
            <w:shd w:val="clear" w:color="auto" w:fill="auto"/>
            <w:vAlign w:val="bottom"/>
            <w:hideMark/>
          </w:tcPr>
          <w:p w14:paraId="160CF673" w14:textId="77777777" w:rsidR="00A211E9" w:rsidRPr="00437A10" w:rsidRDefault="00A211E9" w:rsidP="009A0327">
            <w:pPr>
              <w:jc w:val="center"/>
              <w:rPr>
                <w:rFonts w:ascii="Arial" w:hAnsi="Arial" w:cs="Arial"/>
                <w:sz w:val="18"/>
                <w:szCs w:val="18"/>
                <w:lang w:val="es-BO" w:eastAsia="es-BO"/>
              </w:rPr>
            </w:pPr>
            <w:r w:rsidRPr="00437A10">
              <w:rPr>
                <w:rFonts w:ascii="Arial" w:hAnsi="Arial" w:cs="Arial"/>
                <w:sz w:val="18"/>
                <w:szCs w:val="18"/>
                <w:lang w:val="es-BO" w:eastAsia="es-BO"/>
              </w:rPr>
              <w:t>2011</w:t>
            </w:r>
          </w:p>
        </w:tc>
        <w:tc>
          <w:tcPr>
            <w:tcW w:w="3119" w:type="dxa"/>
            <w:gridSpan w:val="3"/>
            <w:tcBorders>
              <w:top w:val="single" w:sz="4" w:space="0" w:color="000000"/>
              <w:left w:val="nil"/>
              <w:bottom w:val="single" w:sz="4" w:space="0" w:color="000000"/>
              <w:right w:val="single" w:sz="4" w:space="0" w:color="000000"/>
            </w:tcBorders>
            <w:shd w:val="clear" w:color="auto" w:fill="auto"/>
            <w:vAlign w:val="bottom"/>
            <w:hideMark/>
          </w:tcPr>
          <w:p w14:paraId="0A575E44" w14:textId="77777777" w:rsidR="00A211E9" w:rsidRPr="00437A10" w:rsidRDefault="00A211E9" w:rsidP="009A0327">
            <w:pPr>
              <w:jc w:val="center"/>
              <w:rPr>
                <w:rFonts w:ascii="Arial" w:hAnsi="Arial" w:cs="Arial"/>
                <w:sz w:val="18"/>
                <w:szCs w:val="18"/>
                <w:lang w:val="es-BO" w:eastAsia="es-BO"/>
              </w:rPr>
            </w:pPr>
            <w:r w:rsidRPr="00437A10">
              <w:rPr>
                <w:rFonts w:ascii="Arial" w:hAnsi="Arial" w:cs="Arial"/>
                <w:sz w:val="18"/>
                <w:szCs w:val="18"/>
                <w:lang w:val="es-BO" w:eastAsia="es-BO"/>
              </w:rPr>
              <w:t>2021</w:t>
            </w:r>
          </w:p>
        </w:tc>
      </w:tr>
      <w:tr w:rsidR="00A211E9" w:rsidRPr="00437A10" w14:paraId="1B5B458A" w14:textId="77777777" w:rsidTr="00A211E9">
        <w:trPr>
          <w:trHeight w:val="510"/>
          <w:jc w:val="center"/>
        </w:trPr>
        <w:tc>
          <w:tcPr>
            <w:tcW w:w="1281" w:type="dxa"/>
            <w:vMerge/>
            <w:tcBorders>
              <w:top w:val="single" w:sz="4" w:space="0" w:color="000000"/>
              <w:left w:val="single" w:sz="4" w:space="0" w:color="000000"/>
              <w:bottom w:val="single" w:sz="4" w:space="0" w:color="000000"/>
              <w:right w:val="single" w:sz="4" w:space="0" w:color="000000"/>
            </w:tcBorders>
            <w:vAlign w:val="center"/>
            <w:hideMark/>
          </w:tcPr>
          <w:p w14:paraId="19581718" w14:textId="77777777" w:rsidR="00A211E9" w:rsidRPr="00437A10" w:rsidRDefault="00A211E9" w:rsidP="009A0327">
            <w:pPr>
              <w:jc w:val="center"/>
              <w:rPr>
                <w:rFonts w:ascii="Arial" w:hAnsi="Arial" w:cs="Arial"/>
                <w:sz w:val="18"/>
                <w:szCs w:val="18"/>
                <w:lang w:val="es-BO" w:eastAsia="es-BO"/>
              </w:rPr>
            </w:pPr>
          </w:p>
        </w:tc>
        <w:tc>
          <w:tcPr>
            <w:tcW w:w="1129" w:type="dxa"/>
            <w:tcBorders>
              <w:top w:val="nil"/>
              <w:left w:val="nil"/>
              <w:bottom w:val="single" w:sz="4" w:space="0" w:color="000000"/>
              <w:right w:val="single" w:sz="4" w:space="0" w:color="000000"/>
            </w:tcBorders>
            <w:shd w:val="clear" w:color="auto" w:fill="auto"/>
            <w:vAlign w:val="bottom"/>
            <w:hideMark/>
          </w:tcPr>
          <w:p w14:paraId="637AA3E5" w14:textId="77777777" w:rsidR="00A211E9" w:rsidRPr="00437A10" w:rsidRDefault="00A211E9" w:rsidP="009A0327">
            <w:pPr>
              <w:jc w:val="cente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200" w:type="dxa"/>
            <w:tcBorders>
              <w:top w:val="nil"/>
              <w:left w:val="nil"/>
              <w:bottom w:val="single" w:sz="4" w:space="0" w:color="000000"/>
              <w:right w:val="single" w:sz="4" w:space="0" w:color="000000"/>
            </w:tcBorders>
            <w:shd w:val="clear" w:color="auto" w:fill="auto"/>
            <w:vAlign w:val="bottom"/>
            <w:hideMark/>
          </w:tcPr>
          <w:p w14:paraId="72EE8086" w14:textId="77777777" w:rsidR="00A211E9" w:rsidRPr="00437A10" w:rsidRDefault="00A211E9" w:rsidP="009A0327">
            <w:pPr>
              <w:jc w:val="cente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926" w:type="dxa"/>
            <w:tcBorders>
              <w:top w:val="nil"/>
              <w:left w:val="nil"/>
              <w:bottom w:val="single" w:sz="4" w:space="0" w:color="000000"/>
              <w:right w:val="single" w:sz="4" w:space="0" w:color="000000"/>
            </w:tcBorders>
            <w:shd w:val="clear" w:color="auto" w:fill="auto"/>
            <w:vAlign w:val="bottom"/>
            <w:hideMark/>
          </w:tcPr>
          <w:p w14:paraId="42C589F1" w14:textId="77777777" w:rsidR="00A211E9" w:rsidRPr="00437A10" w:rsidRDefault="00A211E9" w:rsidP="009A0327">
            <w:pPr>
              <w:jc w:val="center"/>
              <w:rPr>
                <w:rFonts w:ascii="Arial" w:hAnsi="Arial" w:cs="Arial"/>
                <w:sz w:val="18"/>
                <w:szCs w:val="18"/>
                <w:lang w:val="es-BO" w:eastAsia="es-BO"/>
              </w:rPr>
            </w:pPr>
            <w:r w:rsidRPr="00437A10">
              <w:rPr>
                <w:rFonts w:ascii="Arial" w:hAnsi="Arial" w:cs="Arial"/>
                <w:sz w:val="18"/>
                <w:szCs w:val="18"/>
                <w:lang w:val="es-BO" w:eastAsia="es-BO"/>
              </w:rPr>
              <w:t>Total</w:t>
            </w:r>
          </w:p>
        </w:tc>
        <w:tc>
          <w:tcPr>
            <w:tcW w:w="1134" w:type="dxa"/>
            <w:tcBorders>
              <w:top w:val="nil"/>
              <w:left w:val="nil"/>
              <w:bottom w:val="single" w:sz="4" w:space="0" w:color="000000"/>
              <w:right w:val="single" w:sz="4" w:space="0" w:color="000000"/>
            </w:tcBorders>
            <w:shd w:val="clear" w:color="auto" w:fill="auto"/>
            <w:vAlign w:val="bottom"/>
            <w:hideMark/>
          </w:tcPr>
          <w:p w14:paraId="2F49C6BB" w14:textId="77777777" w:rsidR="00A211E9" w:rsidRPr="00437A10" w:rsidRDefault="00A211E9" w:rsidP="009A0327">
            <w:pPr>
              <w:jc w:val="cente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200" w:type="dxa"/>
            <w:tcBorders>
              <w:top w:val="nil"/>
              <w:left w:val="nil"/>
              <w:bottom w:val="single" w:sz="4" w:space="0" w:color="000000"/>
              <w:right w:val="single" w:sz="4" w:space="0" w:color="000000"/>
            </w:tcBorders>
            <w:shd w:val="clear" w:color="auto" w:fill="auto"/>
            <w:vAlign w:val="bottom"/>
            <w:hideMark/>
          </w:tcPr>
          <w:p w14:paraId="3C59C827" w14:textId="77777777" w:rsidR="00A211E9" w:rsidRPr="00437A10" w:rsidRDefault="00A211E9" w:rsidP="009A0327">
            <w:pPr>
              <w:jc w:val="cente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785" w:type="dxa"/>
            <w:tcBorders>
              <w:top w:val="nil"/>
              <w:left w:val="nil"/>
              <w:bottom w:val="single" w:sz="4" w:space="0" w:color="000000"/>
              <w:right w:val="single" w:sz="4" w:space="0" w:color="000000"/>
            </w:tcBorders>
            <w:shd w:val="clear" w:color="auto" w:fill="auto"/>
            <w:vAlign w:val="bottom"/>
            <w:hideMark/>
          </w:tcPr>
          <w:p w14:paraId="5B60604D" w14:textId="77777777" w:rsidR="00A211E9" w:rsidRPr="00437A10" w:rsidRDefault="00A211E9" w:rsidP="009A0327">
            <w:pPr>
              <w:jc w:val="center"/>
              <w:rPr>
                <w:rFonts w:ascii="Arial" w:hAnsi="Arial" w:cs="Arial"/>
                <w:sz w:val="18"/>
                <w:szCs w:val="18"/>
                <w:lang w:val="es-BO" w:eastAsia="es-BO"/>
              </w:rPr>
            </w:pPr>
            <w:r w:rsidRPr="00437A10">
              <w:rPr>
                <w:rFonts w:ascii="Arial" w:hAnsi="Arial" w:cs="Arial"/>
                <w:sz w:val="18"/>
                <w:szCs w:val="18"/>
                <w:lang w:val="es-BO" w:eastAsia="es-BO"/>
              </w:rPr>
              <w:t>Total</w:t>
            </w:r>
          </w:p>
        </w:tc>
      </w:tr>
      <w:tr w:rsidR="00A211E9" w:rsidRPr="00437A10" w14:paraId="17508F97" w14:textId="77777777" w:rsidTr="00A211E9">
        <w:trPr>
          <w:trHeight w:val="315"/>
          <w:jc w:val="center"/>
        </w:trPr>
        <w:tc>
          <w:tcPr>
            <w:tcW w:w="1281" w:type="dxa"/>
            <w:tcBorders>
              <w:top w:val="nil"/>
              <w:left w:val="single" w:sz="4" w:space="0" w:color="000000"/>
              <w:bottom w:val="single" w:sz="4" w:space="0" w:color="000000"/>
              <w:right w:val="single" w:sz="4" w:space="0" w:color="000000"/>
            </w:tcBorders>
            <w:shd w:val="clear" w:color="auto" w:fill="auto"/>
            <w:hideMark/>
          </w:tcPr>
          <w:p w14:paraId="17877143" w14:textId="77777777" w:rsidR="00A211E9" w:rsidRPr="00437A10" w:rsidRDefault="00A211E9" w:rsidP="00A211E9">
            <w:pPr>
              <w:rPr>
                <w:rFonts w:ascii="Arial" w:hAnsi="Arial" w:cs="Arial"/>
                <w:sz w:val="18"/>
                <w:szCs w:val="18"/>
                <w:lang w:val="es-BO" w:eastAsia="es-BO"/>
              </w:rPr>
            </w:pPr>
            <w:r w:rsidRPr="00437A10">
              <w:rPr>
                <w:rFonts w:ascii="Arial" w:hAnsi="Arial" w:cs="Arial"/>
                <w:sz w:val="18"/>
                <w:szCs w:val="18"/>
                <w:lang w:val="es-BO" w:eastAsia="es-BO"/>
              </w:rPr>
              <w:t>Chuquisaca</w:t>
            </w:r>
          </w:p>
        </w:tc>
        <w:tc>
          <w:tcPr>
            <w:tcW w:w="1129" w:type="dxa"/>
            <w:tcBorders>
              <w:top w:val="nil"/>
              <w:left w:val="nil"/>
              <w:bottom w:val="single" w:sz="4" w:space="0" w:color="000000"/>
              <w:right w:val="single" w:sz="4" w:space="0" w:color="000000"/>
            </w:tcBorders>
            <w:shd w:val="clear" w:color="auto" w:fill="auto"/>
            <w:noWrap/>
            <w:vAlign w:val="center"/>
            <w:hideMark/>
          </w:tcPr>
          <w:p w14:paraId="4210DEAC"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90</w:t>
            </w:r>
          </w:p>
        </w:tc>
        <w:tc>
          <w:tcPr>
            <w:tcW w:w="1200" w:type="dxa"/>
            <w:tcBorders>
              <w:top w:val="nil"/>
              <w:left w:val="nil"/>
              <w:bottom w:val="single" w:sz="4" w:space="0" w:color="000000"/>
              <w:right w:val="single" w:sz="4" w:space="0" w:color="000000"/>
            </w:tcBorders>
            <w:shd w:val="clear" w:color="auto" w:fill="auto"/>
            <w:noWrap/>
            <w:vAlign w:val="center"/>
            <w:hideMark/>
          </w:tcPr>
          <w:p w14:paraId="1C3B4354"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w:t>
            </w:r>
          </w:p>
        </w:tc>
        <w:tc>
          <w:tcPr>
            <w:tcW w:w="926" w:type="dxa"/>
            <w:tcBorders>
              <w:top w:val="nil"/>
              <w:left w:val="nil"/>
              <w:bottom w:val="single" w:sz="4" w:space="0" w:color="000000"/>
              <w:right w:val="single" w:sz="4" w:space="0" w:color="000000"/>
            </w:tcBorders>
            <w:shd w:val="clear" w:color="auto" w:fill="auto"/>
            <w:noWrap/>
            <w:vAlign w:val="center"/>
            <w:hideMark/>
          </w:tcPr>
          <w:p w14:paraId="2892B500"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1F367F6B"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74</w:t>
            </w:r>
          </w:p>
        </w:tc>
        <w:tc>
          <w:tcPr>
            <w:tcW w:w="1200" w:type="dxa"/>
            <w:tcBorders>
              <w:top w:val="nil"/>
              <w:left w:val="nil"/>
              <w:bottom w:val="single" w:sz="4" w:space="0" w:color="000000"/>
              <w:right w:val="single" w:sz="4" w:space="0" w:color="000000"/>
            </w:tcBorders>
            <w:shd w:val="clear" w:color="000000" w:fill="D0CECE"/>
            <w:noWrap/>
            <w:vAlign w:val="center"/>
            <w:hideMark/>
          </w:tcPr>
          <w:p w14:paraId="08C2EB1D"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26</w:t>
            </w:r>
          </w:p>
        </w:tc>
        <w:tc>
          <w:tcPr>
            <w:tcW w:w="785" w:type="dxa"/>
            <w:tcBorders>
              <w:top w:val="nil"/>
              <w:left w:val="nil"/>
              <w:bottom w:val="single" w:sz="4" w:space="0" w:color="000000"/>
              <w:right w:val="single" w:sz="4" w:space="0" w:color="000000"/>
            </w:tcBorders>
            <w:shd w:val="clear" w:color="auto" w:fill="auto"/>
            <w:noWrap/>
            <w:vAlign w:val="center"/>
            <w:hideMark/>
          </w:tcPr>
          <w:p w14:paraId="38C276B3"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A211E9" w:rsidRPr="00437A10" w14:paraId="34E7F74E" w14:textId="77777777" w:rsidTr="00A211E9">
        <w:trPr>
          <w:trHeight w:val="300"/>
          <w:jc w:val="center"/>
        </w:trPr>
        <w:tc>
          <w:tcPr>
            <w:tcW w:w="1281" w:type="dxa"/>
            <w:tcBorders>
              <w:top w:val="nil"/>
              <w:left w:val="single" w:sz="4" w:space="0" w:color="000000"/>
              <w:bottom w:val="single" w:sz="4" w:space="0" w:color="000000"/>
              <w:right w:val="single" w:sz="4" w:space="0" w:color="000000"/>
            </w:tcBorders>
            <w:shd w:val="clear" w:color="auto" w:fill="auto"/>
            <w:hideMark/>
          </w:tcPr>
          <w:p w14:paraId="08A1502D" w14:textId="77777777" w:rsidR="00A211E9" w:rsidRPr="00437A10" w:rsidRDefault="00A211E9" w:rsidP="00A211E9">
            <w:pPr>
              <w:rPr>
                <w:rFonts w:ascii="Arial" w:hAnsi="Arial" w:cs="Arial"/>
                <w:sz w:val="18"/>
                <w:szCs w:val="18"/>
                <w:lang w:val="es-BO" w:eastAsia="es-BO"/>
              </w:rPr>
            </w:pPr>
            <w:r w:rsidRPr="00437A10">
              <w:rPr>
                <w:rFonts w:ascii="Arial" w:hAnsi="Arial" w:cs="Arial"/>
                <w:sz w:val="18"/>
                <w:szCs w:val="18"/>
                <w:lang w:val="es-BO" w:eastAsia="es-BO"/>
              </w:rPr>
              <w:t>La Paz</w:t>
            </w:r>
          </w:p>
        </w:tc>
        <w:tc>
          <w:tcPr>
            <w:tcW w:w="1129" w:type="dxa"/>
            <w:tcBorders>
              <w:top w:val="nil"/>
              <w:left w:val="nil"/>
              <w:bottom w:val="single" w:sz="4" w:space="0" w:color="000000"/>
              <w:right w:val="single" w:sz="4" w:space="0" w:color="000000"/>
            </w:tcBorders>
            <w:shd w:val="clear" w:color="auto" w:fill="auto"/>
            <w:noWrap/>
            <w:vAlign w:val="center"/>
            <w:hideMark/>
          </w:tcPr>
          <w:p w14:paraId="2F8D8A4B"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95</w:t>
            </w:r>
          </w:p>
        </w:tc>
        <w:tc>
          <w:tcPr>
            <w:tcW w:w="1200" w:type="dxa"/>
            <w:tcBorders>
              <w:top w:val="nil"/>
              <w:left w:val="nil"/>
              <w:bottom w:val="single" w:sz="4" w:space="0" w:color="000000"/>
              <w:right w:val="single" w:sz="4" w:space="0" w:color="000000"/>
            </w:tcBorders>
            <w:shd w:val="clear" w:color="auto" w:fill="auto"/>
            <w:noWrap/>
            <w:vAlign w:val="center"/>
            <w:hideMark/>
          </w:tcPr>
          <w:p w14:paraId="63FF1EB5"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5</w:t>
            </w:r>
          </w:p>
        </w:tc>
        <w:tc>
          <w:tcPr>
            <w:tcW w:w="926" w:type="dxa"/>
            <w:tcBorders>
              <w:top w:val="nil"/>
              <w:left w:val="nil"/>
              <w:bottom w:val="single" w:sz="4" w:space="0" w:color="000000"/>
              <w:right w:val="single" w:sz="4" w:space="0" w:color="000000"/>
            </w:tcBorders>
            <w:shd w:val="clear" w:color="auto" w:fill="auto"/>
            <w:noWrap/>
            <w:vAlign w:val="center"/>
            <w:hideMark/>
          </w:tcPr>
          <w:p w14:paraId="4D4A0030"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2AF603A3"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96</w:t>
            </w:r>
          </w:p>
        </w:tc>
        <w:tc>
          <w:tcPr>
            <w:tcW w:w="1200" w:type="dxa"/>
            <w:tcBorders>
              <w:top w:val="nil"/>
              <w:left w:val="nil"/>
              <w:bottom w:val="single" w:sz="4" w:space="0" w:color="000000"/>
              <w:right w:val="single" w:sz="4" w:space="0" w:color="000000"/>
            </w:tcBorders>
            <w:shd w:val="clear" w:color="auto" w:fill="auto"/>
            <w:noWrap/>
            <w:vAlign w:val="center"/>
            <w:hideMark/>
          </w:tcPr>
          <w:p w14:paraId="3AF641A8"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4</w:t>
            </w:r>
          </w:p>
        </w:tc>
        <w:tc>
          <w:tcPr>
            <w:tcW w:w="785" w:type="dxa"/>
            <w:tcBorders>
              <w:top w:val="nil"/>
              <w:left w:val="nil"/>
              <w:bottom w:val="single" w:sz="4" w:space="0" w:color="000000"/>
              <w:right w:val="single" w:sz="4" w:space="0" w:color="000000"/>
            </w:tcBorders>
            <w:shd w:val="clear" w:color="auto" w:fill="auto"/>
            <w:noWrap/>
            <w:vAlign w:val="center"/>
            <w:hideMark/>
          </w:tcPr>
          <w:p w14:paraId="1441A1C6"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A211E9" w:rsidRPr="00437A10" w14:paraId="38426340" w14:textId="77777777" w:rsidTr="009A0327">
        <w:trPr>
          <w:trHeight w:val="324"/>
          <w:jc w:val="center"/>
        </w:trPr>
        <w:tc>
          <w:tcPr>
            <w:tcW w:w="1281" w:type="dxa"/>
            <w:tcBorders>
              <w:top w:val="nil"/>
              <w:left w:val="single" w:sz="4" w:space="0" w:color="000000"/>
              <w:bottom w:val="single" w:sz="4" w:space="0" w:color="000000"/>
              <w:right w:val="single" w:sz="4" w:space="0" w:color="000000"/>
            </w:tcBorders>
            <w:shd w:val="clear" w:color="auto" w:fill="auto"/>
            <w:hideMark/>
          </w:tcPr>
          <w:p w14:paraId="42074506" w14:textId="77777777" w:rsidR="00A211E9" w:rsidRPr="00437A10" w:rsidRDefault="00A211E9" w:rsidP="00A211E9">
            <w:pPr>
              <w:rPr>
                <w:rFonts w:ascii="Arial" w:hAnsi="Arial" w:cs="Arial"/>
                <w:sz w:val="18"/>
                <w:szCs w:val="18"/>
                <w:lang w:val="es-BO" w:eastAsia="es-BO"/>
              </w:rPr>
            </w:pPr>
            <w:r w:rsidRPr="00437A10">
              <w:rPr>
                <w:rFonts w:ascii="Arial" w:hAnsi="Arial" w:cs="Arial"/>
                <w:sz w:val="18"/>
                <w:szCs w:val="18"/>
                <w:lang w:val="es-BO" w:eastAsia="es-BO"/>
              </w:rPr>
              <w:t>Cochabamba</w:t>
            </w:r>
          </w:p>
        </w:tc>
        <w:tc>
          <w:tcPr>
            <w:tcW w:w="1129" w:type="dxa"/>
            <w:tcBorders>
              <w:top w:val="nil"/>
              <w:left w:val="nil"/>
              <w:bottom w:val="single" w:sz="4" w:space="0" w:color="000000"/>
              <w:right w:val="single" w:sz="4" w:space="0" w:color="000000"/>
            </w:tcBorders>
            <w:shd w:val="clear" w:color="auto" w:fill="auto"/>
            <w:noWrap/>
            <w:vAlign w:val="center"/>
            <w:hideMark/>
          </w:tcPr>
          <w:p w14:paraId="2BEFE148"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95</w:t>
            </w:r>
          </w:p>
        </w:tc>
        <w:tc>
          <w:tcPr>
            <w:tcW w:w="1200" w:type="dxa"/>
            <w:tcBorders>
              <w:top w:val="nil"/>
              <w:left w:val="nil"/>
              <w:bottom w:val="single" w:sz="4" w:space="0" w:color="000000"/>
              <w:right w:val="single" w:sz="4" w:space="0" w:color="000000"/>
            </w:tcBorders>
            <w:shd w:val="clear" w:color="auto" w:fill="auto"/>
            <w:noWrap/>
            <w:vAlign w:val="center"/>
            <w:hideMark/>
          </w:tcPr>
          <w:p w14:paraId="2CA2426D"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5</w:t>
            </w:r>
          </w:p>
        </w:tc>
        <w:tc>
          <w:tcPr>
            <w:tcW w:w="926" w:type="dxa"/>
            <w:tcBorders>
              <w:top w:val="nil"/>
              <w:left w:val="nil"/>
              <w:bottom w:val="single" w:sz="4" w:space="0" w:color="000000"/>
              <w:right w:val="single" w:sz="4" w:space="0" w:color="000000"/>
            </w:tcBorders>
            <w:shd w:val="clear" w:color="auto" w:fill="auto"/>
            <w:noWrap/>
            <w:vAlign w:val="center"/>
            <w:hideMark/>
          </w:tcPr>
          <w:p w14:paraId="67DB1D12"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5BF734B2"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91</w:t>
            </w:r>
          </w:p>
        </w:tc>
        <w:tc>
          <w:tcPr>
            <w:tcW w:w="1200" w:type="dxa"/>
            <w:tcBorders>
              <w:top w:val="nil"/>
              <w:left w:val="nil"/>
              <w:bottom w:val="single" w:sz="4" w:space="0" w:color="000000"/>
              <w:right w:val="single" w:sz="4" w:space="0" w:color="000000"/>
            </w:tcBorders>
            <w:shd w:val="clear" w:color="000000" w:fill="D0CECE"/>
            <w:noWrap/>
            <w:vAlign w:val="center"/>
            <w:hideMark/>
          </w:tcPr>
          <w:p w14:paraId="35AD85DA"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9</w:t>
            </w:r>
          </w:p>
        </w:tc>
        <w:tc>
          <w:tcPr>
            <w:tcW w:w="785" w:type="dxa"/>
            <w:tcBorders>
              <w:top w:val="nil"/>
              <w:left w:val="nil"/>
              <w:bottom w:val="single" w:sz="4" w:space="0" w:color="000000"/>
              <w:right w:val="single" w:sz="4" w:space="0" w:color="000000"/>
            </w:tcBorders>
            <w:shd w:val="clear" w:color="auto" w:fill="auto"/>
            <w:noWrap/>
            <w:vAlign w:val="center"/>
            <w:hideMark/>
          </w:tcPr>
          <w:p w14:paraId="5CF4D954"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A211E9" w:rsidRPr="00437A10" w14:paraId="42F0BDE1" w14:textId="77777777" w:rsidTr="00A211E9">
        <w:trPr>
          <w:trHeight w:val="300"/>
          <w:jc w:val="center"/>
        </w:trPr>
        <w:tc>
          <w:tcPr>
            <w:tcW w:w="1281" w:type="dxa"/>
            <w:tcBorders>
              <w:top w:val="nil"/>
              <w:left w:val="single" w:sz="4" w:space="0" w:color="000000"/>
              <w:bottom w:val="single" w:sz="4" w:space="0" w:color="000000"/>
              <w:right w:val="single" w:sz="4" w:space="0" w:color="000000"/>
            </w:tcBorders>
            <w:shd w:val="clear" w:color="auto" w:fill="auto"/>
            <w:hideMark/>
          </w:tcPr>
          <w:p w14:paraId="65E67221" w14:textId="77777777" w:rsidR="00A211E9" w:rsidRPr="00437A10" w:rsidRDefault="00A211E9" w:rsidP="00A211E9">
            <w:pPr>
              <w:rPr>
                <w:rFonts w:ascii="Arial" w:hAnsi="Arial" w:cs="Arial"/>
                <w:sz w:val="18"/>
                <w:szCs w:val="18"/>
                <w:lang w:val="es-BO" w:eastAsia="es-BO"/>
              </w:rPr>
            </w:pPr>
            <w:r w:rsidRPr="00437A10">
              <w:rPr>
                <w:rFonts w:ascii="Arial" w:hAnsi="Arial" w:cs="Arial"/>
                <w:sz w:val="18"/>
                <w:szCs w:val="18"/>
                <w:lang w:val="es-BO" w:eastAsia="es-BO"/>
              </w:rPr>
              <w:t>Oruro</w:t>
            </w:r>
          </w:p>
        </w:tc>
        <w:tc>
          <w:tcPr>
            <w:tcW w:w="1129" w:type="dxa"/>
            <w:tcBorders>
              <w:top w:val="nil"/>
              <w:left w:val="nil"/>
              <w:bottom w:val="single" w:sz="4" w:space="0" w:color="000000"/>
              <w:right w:val="single" w:sz="4" w:space="0" w:color="000000"/>
            </w:tcBorders>
            <w:shd w:val="clear" w:color="auto" w:fill="auto"/>
            <w:noWrap/>
            <w:vAlign w:val="center"/>
            <w:hideMark/>
          </w:tcPr>
          <w:p w14:paraId="54B53AB2"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92</w:t>
            </w:r>
          </w:p>
        </w:tc>
        <w:tc>
          <w:tcPr>
            <w:tcW w:w="1200" w:type="dxa"/>
            <w:tcBorders>
              <w:top w:val="nil"/>
              <w:left w:val="nil"/>
              <w:bottom w:val="single" w:sz="4" w:space="0" w:color="000000"/>
              <w:right w:val="single" w:sz="4" w:space="0" w:color="000000"/>
            </w:tcBorders>
            <w:shd w:val="clear" w:color="auto" w:fill="auto"/>
            <w:noWrap/>
            <w:vAlign w:val="center"/>
            <w:hideMark/>
          </w:tcPr>
          <w:p w14:paraId="4799AF48"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8</w:t>
            </w:r>
          </w:p>
        </w:tc>
        <w:tc>
          <w:tcPr>
            <w:tcW w:w="926" w:type="dxa"/>
            <w:tcBorders>
              <w:top w:val="nil"/>
              <w:left w:val="nil"/>
              <w:bottom w:val="single" w:sz="4" w:space="0" w:color="000000"/>
              <w:right w:val="single" w:sz="4" w:space="0" w:color="000000"/>
            </w:tcBorders>
            <w:shd w:val="clear" w:color="auto" w:fill="auto"/>
            <w:noWrap/>
            <w:vAlign w:val="center"/>
            <w:hideMark/>
          </w:tcPr>
          <w:p w14:paraId="6DE63738"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33E145EC"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95</w:t>
            </w:r>
          </w:p>
        </w:tc>
        <w:tc>
          <w:tcPr>
            <w:tcW w:w="1200" w:type="dxa"/>
            <w:tcBorders>
              <w:top w:val="nil"/>
              <w:left w:val="nil"/>
              <w:bottom w:val="single" w:sz="4" w:space="0" w:color="000000"/>
              <w:right w:val="single" w:sz="4" w:space="0" w:color="000000"/>
            </w:tcBorders>
            <w:shd w:val="clear" w:color="auto" w:fill="auto"/>
            <w:noWrap/>
            <w:vAlign w:val="center"/>
            <w:hideMark/>
          </w:tcPr>
          <w:p w14:paraId="64443BD5"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5</w:t>
            </w:r>
          </w:p>
        </w:tc>
        <w:tc>
          <w:tcPr>
            <w:tcW w:w="785" w:type="dxa"/>
            <w:tcBorders>
              <w:top w:val="nil"/>
              <w:left w:val="nil"/>
              <w:bottom w:val="single" w:sz="4" w:space="0" w:color="000000"/>
              <w:right w:val="single" w:sz="4" w:space="0" w:color="000000"/>
            </w:tcBorders>
            <w:shd w:val="clear" w:color="auto" w:fill="auto"/>
            <w:noWrap/>
            <w:vAlign w:val="center"/>
            <w:hideMark/>
          </w:tcPr>
          <w:p w14:paraId="28B85710"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A211E9" w:rsidRPr="00437A10" w14:paraId="71B77D15" w14:textId="77777777" w:rsidTr="00A211E9">
        <w:trPr>
          <w:trHeight w:val="300"/>
          <w:jc w:val="center"/>
        </w:trPr>
        <w:tc>
          <w:tcPr>
            <w:tcW w:w="1281" w:type="dxa"/>
            <w:tcBorders>
              <w:top w:val="nil"/>
              <w:left w:val="single" w:sz="4" w:space="0" w:color="000000"/>
              <w:bottom w:val="single" w:sz="4" w:space="0" w:color="000000"/>
              <w:right w:val="single" w:sz="4" w:space="0" w:color="000000"/>
            </w:tcBorders>
            <w:shd w:val="clear" w:color="auto" w:fill="auto"/>
            <w:hideMark/>
          </w:tcPr>
          <w:p w14:paraId="28B13C01" w14:textId="77777777" w:rsidR="00A211E9" w:rsidRPr="00437A10" w:rsidRDefault="00A211E9" w:rsidP="00A211E9">
            <w:pPr>
              <w:rPr>
                <w:rFonts w:ascii="Arial" w:hAnsi="Arial" w:cs="Arial"/>
                <w:sz w:val="18"/>
                <w:szCs w:val="18"/>
                <w:lang w:val="es-BO" w:eastAsia="es-BO"/>
              </w:rPr>
            </w:pPr>
            <w:r w:rsidRPr="00437A10">
              <w:rPr>
                <w:rFonts w:ascii="Arial" w:hAnsi="Arial" w:cs="Arial"/>
                <w:sz w:val="18"/>
                <w:szCs w:val="18"/>
                <w:lang w:val="es-BO" w:eastAsia="es-BO"/>
              </w:rPr>
              <w:t>Potosi</w:t>
            </w:r>
          </w:p>
        </w:tc>
        <w:tc>
          <w:tcPr>
            <w:tcW w:w="1129" w:type="dxa"/>
            <w:tcBorders>
              <w:top w:val="nil"/>
              <w:left w:val="nil"/>
              <w:bottom w:val="single" w:sz="4" w:space="0" w:color="000000"/>
              <w:right w:val="single" w:sz="4" w:space="0" w:color="000000"/>
            </w:tcBorders>
            <w:shd w:val="clear" w:color="auto" w:fill="auto"/>
            <w:noWrap/>
            <w:vAlign w:val="center"/>
            <w:hideMark/>
          </w:tcPr>
          <w:p w14:paraId="3257AEFB"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74</w:t>
            </w:r>
          </w:p>
        </w:tc>
        <w:tc>
          <w:tcPr>
            <w:tcW w:w="1200" w:type="dxa"/>
            <w:tcBorders>
              <w:top w:val="nil"/>
              <w:left w:val="nil"/>
              <w:bottom w:val="single" w:sz="4" w:space="0" w:color="000000"/>
              <w:right w:val="single" w:sz="4" w:space="0" w:color="000000"/>
            </w:tcBorders>
            <w:shd w:val="clear" w:color="auto" w:fill="auto"/>
            <w:noWrap/>
            <w:vAlign w:val="center"/>
            <w:hideMark/>
          </w:tcPr>
          <w:p w14:paraId="68E0AAFF"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26</w:t>
            </w:r>
          </w:p>
        </w:tc>
        <w:tc>
          <w:tcPr>
            <w:tcW w:w="926" w:type="dxa"/>
            <w:tcBorders>
              <w:top w:val="nil"/>
              <w:left w:val="nil"/>
              <w:bottom w:val="single" w:sz="4" w:space="0" w:color="000000"/>
              <w:right w:val="single" w:sz="4" w:space="0" w:color="000000"/>
            </w:tcBorders>
            <w:shd w:val="clear" w:color="auto" w:fill="auto"/>
            <w:noWrap/>
            <w:vAlign w:val="center"/>
            <w:hideMark/>
          </w:tcPr>
          <w:p w14:paraId="0E0CF459"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2206A98A"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77</w:t>
            </w:r>
          </w:p>
        </w:tc>
        <w:tc>
          <w:tcPr>
            <w:tcW w:w="1200" w:type="dxa"/>
            <w:tcBorders>
              <w:top w:val="nil"/>
              <w:left w:val="nil"/>
              <w:bottom w:val="single" w:sz="4" w:space="0" w:color="000000"/>
              <w:right w:val="single" w:sz="4" w:space="0" w:color="000000"/>
            </w:tcBorders>
            <w:shd w:val="clear" w:color="auto" w:fill="auto"/>
            <w:noWrap/>
            <w:vAlign w:val="center"/>
            <w:hideMark/>
          </w:tcPr>
          <w:p w14:paraId="74A2D73D"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23</w:t>
            </w:r>
          </w:p>
        </w:tc>
        <w:tc>
          <w:tcPr>
            <w:tcW w:w="785" w:type="dxa"/>
            <w:tcBorders>
              <w:top w:val="nil"/>
              <w:left w:val="nil"/>
              <w:bottom w:val="single" w:sz="4" w:space="0" w:color="000000"/>
              <w:right w:val="single" w:sz="4" w:space="0" w:color="000000"/>
            </w:tcBorders>
            <w:shd w:val="clear" w:color="auto" w:fill="auto"/>
            <w:noWrap/>
            <w:vAlign w:val="center"/>
            <w:hideMark/>
          </w:tcPr>
          <w:p w14:paraId="262843A3"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A211E9" w:rsidRPr="00437A10" w14:paraId="1B3D847F" w14:textId="77777777" w:rsidTr="00A211E9">
        <w:trPr>
          <w:trHeight w:val="300"/>
          <w:jc w:val="center"/>
        </w:trPr>
        <w:tc>
          <w:tcPr>
            <w:tcW w:w="1281" w:type="dxa"/>
            <w:tcBorders>
              <w:top w:val="nil"/>
              <w:left w:val="single" w:sz="4" w:space="0" w:color="000000"/>
              <w:bottom w:val="single" w:sz="4" w:space="0" w:color="000000"/>
              <w:right w:val="single" w:sz="4" w:space="0" w:color="000000"/>
            </w:tcBorders>
            <w:shd w:val="clear" w:color="auto" w:fill="auto"/>
            <w:hideMark/>
          </w:tcPr>
          <w:p w14:paraId="274689AA" w14:textId="77777777" w:rsidR="00A211E9" w:rsidRPr="00437A10" w:rsidRDefault="00A211E9" w:rsidP="00A211E9">
            <w:pPr>
              <w:rPr>
                <w:rFonts w:ascii="Arial" w:hAnsi="Arial" w:cs="Arial"/>
                <w:sz w:val="18"/>
                <w:szCs w:val="18"/>
                <w:lang w:val="es-BO" w:eastAsia="es-BO"/>
              </w:rPr>
            </w:pPr>
            <w:r w:rsidRPr="00437A10">
              <w:rPr>
                <w:rFonts w:ascii="Arial" w:hAnsi="Arial" w:cs="Arial"/>
                <w:sz w:val="18"/>
                <w:szCs w:val="18"/>
                <w:lang w:val="es-BO" w:eastAsia="es-BO"/>
              </w:rPr>
              <w:t>Tarija</w:t>
            </w:r>
          </w:p>
        </w:tc>
        <w:tc>
          <w:tcPr>
            <w:tcW w:w="1129" w:type="dxa"/>
            <w:tcBorders>
              <w:top w:val="nil"/>
              <w:left w:val="nil"/>
              <w:bottom w:val="single" w:sz="4" w:space="0" w:color="000000"/>
              <w:right w:val="single" w:sz="4" w:space="0" w:color="000000"/>
            </w:tcBorders>
            <w:shd w:val="clear" w:color="auto" w:fill="auto"/>
            <w:noWrap/>
            <w:vAlign w:val="center"/>
            <w:hideMark/>
          </w:tcPr>
          <w:p w14:paraId="581BFC1F"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97</w:t>
            </w:r>
          </w:p>
        </w:tc>
        <w:tc>
          <w:tcPr>
            <w:tcW w:w="1200" w:type="dxa"/>
            <w:tcBorders>
              <w:top w:val="nil"/>
              <w:left w:val="nil"/>
              <w:bottom w:val="single" w:sz="4" w:space="0" w:color="000000"/>
              <w:right w:val="single" w:sz="4" w:space="0" w:color="000000"/>
            </w:tcBorders>
            <w:shd w:val="clear" w:color="auto" w:fill="auto"/>
            <w:noWrap/>
            <w:vAlign w:val="center"/>
            <w:hideMark/>
          </w:tcPr>
          <w:p w14:paraId="44A42866"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3</w:t>
            </w:r>
          </w:p>
        </w:tc>
        <w:tc>
          <w:tcPr>
            <w:tcW w:w="926" w:type="dxa"/>
            <w:tcBorders>
              <w:top w:val="nil"/>
              <w:left w:val="nil"/>
              <w:bottom w:val="single" w:sz="4" w:space="0" w:color="000000"/>
              <w:right w:val="single" w:sz="4" w:space="0" w:color="000000"/>
            </w:tcBorders>
            <w:shd w:val="clear" w:color="auto" w:fill="auto"/>
            <w:noWrap/>
            <w:vAlign w:val="center"/>
            <w:hideMark/>
          </w:tcPr>
          <w:p w14:paraId="68AEA38C"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0EC5318A"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88</w:t>
            </w:r>
          </w:p>
        </w:tc>
        <w:tc>
          <w:tcPr>
            <w:tcW w:w="1200" w:type="dxa"/>
            <w:tcBorders>
              <w:top w:val="nil"/>
              <w:left w:val="nil"/>
              <w:bottom w:val="single" w:sz="4" w:space="0" w:color="000000"/>
              <w:right w:val="single" w:sz="4" w:space="0" w:color="000000"/>
            </w:tcBorders>
            <w:shd w:val="clear" w:color="000000" w:fill="D0CECE"/>
            <w:noWrap/>
            <w:vAlign w:val="center"/>
            <w:hideMark/>
          </w:tcPr>
          <w:p w14:paraId="3E0A4264"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12</w:t>
            </w:r>
          </w:p>
        </w:tc>
        <w:tc>
          <w:tcPr>
            <w:tcW w:w="785" w:type="dxa"/>
            <w:tcBorders>
              <w:top w:val="nil"/>
              <w:left w:val="nil"/>
              <w:bottom w:val="single" w:sz="4" w:space="0" w:color="000000"/>
              <w:right w:val="single" w:sz="4" w:space="0" w:color="000000"/>
            </w:tcBorders>
            <w:shd w:val="clear" w:color="auto" w:fill="auto"/>
            <w:noWrap/>
            <w:vAlign w:val="center"/>
            <w:hideMark/>
          </w:tcPr>
          <w:p w14:paraId="2AA1C634"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A211E9" w:rsidRPr="00437A10" w14:paraId="0070C8F7" w14:textId="77777777" w:rsidTr="00A211E9">
        <w:trPr>
          <w:trHeight w:val="300"/>
          <w:jc w:val="center"/>
        </w:trPr>
        <w:tc>
          <w:tcPr>
            <w:tcW w:w="1281" w:type="dxa"/>
            <w:tcBorders>
              <w:top w:val="nil"/>
              <w:left w:val="single" w:sz="4" w:space="0" w:color="000000"/>
              <w:bottom w:val="single" w:sz="4" w:space="0" w:color="000000"/>
              <w:right w:val="single" w:sz="4" w:space="0" w:color="000000"/>
            </w:tcBorders>
            <w:shd w:val="clear" w:color="auto" w:fill="auto"/>
            <w:hideMark/>
          </w:tcPr>
          <w:p w14:paraId="2210BA2E" w14:textId="77777777" w:rsidR="00A211E9" w:rsidRPr="00437A10" w:rsidRDefault="00A211E9" w:rsidP="00A211E9">
            <w:pPr>
              <w:rPr>
                <w:rFonts w:ascii="Arial" w:hAnsi="Arial" w:cs="Arial"/>
                <w:sz w:val="18"/>
                <w:szCs w:val="18"/>
                <w:lang w:val="es-BO" w:eastAsia="es-BO"/>
              </w:rPr>
            </w:pPr>
            <w:r w:rsidRPr="00437A10">
              <w:rPr>
                <w:rFonts w:ascii="Arial" w:hAnsi="Arial" w:cs="Arial"/>
                <w:sz w:val="18"/>
                <w:szCs w:val="18"/>
                <w:lang w:val="es-BO" w:eastAsia="es-BO"/>
              </w:rPr>
              <w:t>Santa Cruz</w:t>
            </w:r>
          </w:p>
        </w:tc>
        <w:tc>
          <w:tcPr>
            <w:tcW w:w="1129" w:type="dxa"/>
            <w:tcBorders>
              <w:top w:val="nil"/>
              <w:left w:val="nil"/>
              <w:bottom w:val="single" w:sz="4" w:space="0" w:color="000000"/>
              <w:right w:val="single" w:sz="4" w:space="0" w:color="000000"/>
            </w:tcBorders>
            <w:shd w:val="clear" w:color="auto" w:fill="auto"/>
            <w:noWrap/>
            <w:vAlign w:val="center"/>
            <w:hideMark/>
          </w:tcPr>
          <w:p w14:paraId="76C33978"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99</w:t>
            </w:r>
          </w:p>
        </w:tc>
        <w:tc>
          <w:tcPr>
            <w:tcW w:w="1200" w:type="dxa"/>
            <w:tcBorders>
              <w:top w:val="nil"/>
              <w:left w:val="nil"/>
              <w:bottom w:val="single" w:sz="4" w:space="0" w:color="000000"/>
              <w:right w:val="single" w:sz="4" w:space="0" w:color="000000"/>
            </w:tcBorders>
            <w:shd w:val="clear" w:color="auto" w:fill="auto"/>
            <w:noWrap/>
            <w:vAlign w:val="center"/>
            <w:hideMark/>
          </w:tcPr>
          <w:p w14:paraId="3A80AABA"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w:t>
            </w:r>
          </w:p>
        </w:tc>
        <w:tc>
          <w:tcPr>
            <w:tcW w:w="926" w:type="dxa"/>
            <w:tcBorders>
              <w:top w:val="nil"/>
              <w:left w:val="nil"/>
              <w:bottom w:val="single" w:sz="4" w:space="0" w:color="000000"/>
              <w:right w:val="single" w:sz="4" w:space="0" w:color="000000"/>
            </w:tcBorders>
            <w:shd w:val="clear" w:color="auto" w:fill="auto"/>
            <w:noWrap/>
            <w:vAlign w:val="center"/>
            <w:hideMark/>
          </w:tcPr>
          <w:p w14:paraId="75227E67"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475837A5"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00" w:type="dxa"/>
            <w:tcBorders>
              <w:top w:val="nil"/>
              <w:left w:val="nil"/>
              <w:bottom w:val="single" w:sz="4" w:space="0" w:color="000000"/>
              <w:right w:val="single" w:sz="4" w:space="0" w:color="000000"/>
            </w:tcBorders>
            <w:shd w:val="clear" w:color="auto" w:fill="auto"/>
            <w:noWrap/>
            <w:vAlign w:val="center"/>
            <w:hideMark/>
          </w:tcPr>
          <w:p w14:paraId="1E5B8318"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0</w:t>
            </w:r>
          </w:p>
        </w:tc>
        <w:tc>
          <w:tcPr>
            <w:tcW w:w="785" w:type="dxa"/>
            <w:tcBorders>
              <w:top w:val="nil"/>
              <w:left w:val="nil"/>
              <w:bottom w:val="single" w:sz="4" w:space="0" w:color="000000"/>
              <w:right w:val="single" w:sz="4" w:space="0" w:color="000000"/>
            </w:tcBorders>
            <w:shd w:val="clear" w:color="auto" w:fill="auto"/>
            <w:noWrap/>
            <w:vAlign w:val="center"/>
            <w:hideMark/>
          </w:tcPr>
          <w:p w14:paraId="37C0F481"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A211E9" w:rsidRPr="00437A10" w14:paraId="48F725AA" w14:textId="77777777" w:rsidTr="00A211E9">
        <w:trPr>
          <w:trHeight w:val="300"/>
          <w:jc w:val="center"/>
        </w:trPr>
        <w:tc>
          <w:tcPr>
            <w:tcW w:w="1281" w:type="dxa"/>
            <w:tcBorders>
              <w:top w:val="nil"/>
              <w:left w:val="single" w:sz="4" w:space="0" w:color="000000"/>
              <w:bottom w:val="single" w:sz="4" w:space="0" w:color="000000"/>
              <w:right w:val="single" w:sz="4" w:space="0" w:color="000000"/>
            </w:tcBorders>
            <w:shd w:val="clear" w:color="auto" w:fill="auto"/>
            <w:hideMark/>
          </w:tcPr>
          <w:p w14:paraId="01DA65E1" w14:textId="77777777" w:rsidR="00A211E9" w:rsidRPr="00437A10" w:rsidRDefault="00A211E9" w:rsidP="00A211E9">
            <w:pPr>
              <w:rPr>
                <w:rFonts w:ascii="Arial" w:hAnsi="Arial" w:cs="Arial"/>
                <w:sz w:val="18"/>
                <w:szCs w:val="18"/>
                <w:lang w:val="es-BO" w:eastAsia="es-BO"/>
              </w:rPr>
            </w:pPr>
            <w:r w:rsidRPr="00437A10">
              <w:rPr>
                <w:rFonts w:ascii="Arial" w:hAnsi="Arial" w:cs="Arial"/>
                <w:sz w:val="18"/>
                <w:szCs w:val="18"/>
                <w:lang w:val="es-BO" w:eastAsia="es-BO"/>
              </w:rPr>
              <w:t>Beni</w:t>
            </w:r>
          </w:p>
        </w:tc>
        <w:tc>
          <w:tcPr>
            <w:tcW w:w="1129" w:type="dxa"/>
            <w:tcBorders>
              <w:top w:val="nil"/>
              <w:left w:val="nil"/>
              <w:bottom w:val="single" w:sz="4" w:space="0" w:color="000000"/>
              <w:right w:val="single" w:sz="4" w:space="0" w:color="000000"/>
            </w:tcBorders>
            <w:shd w:val="clear" w:color="auto" w:fill="auto"/>
            <w:noWrap/>
            <w:vAlign w:val="center"/>
            <w:hideMark/>
          </w:tcPr>
          <w:p w14:paraId="32831A6B"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96</w:t>
            </w:r>
          </w:p>
        </w:tc>
        <w:tc>
          <w:tcPr>
            <w:tcW w:w="1200" w:type="dxa"/>
            <w:tcBorders>
              <w:top w:val="nil"/>
              <w:left w:val="nil"/>
              <w:bottom w:val="single" w:sz="4" w:space="0" w:color="000000"/>
              <w:right w:val="single" w:sz="4" w:space="0" w:color="000000"/>
            </w:tcBorders>
            <w:shd w:val="clear" w:color="auto" w:fill="auto"/>
            <w:noWrap/>
            <w:vAlign w:val="center"/>
            <w:hideMark/>
          </w:tcPr>
          <w:p w14:paraId="6A994A41"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4</w:t>
            </w:r>
          </w:p>
        </w:tc>
        <w:tc>
          <w:tcPr>
            <w:tcW w:w="926" w:type="dxa"/>
            <w:tcBorders>
              <w:top w:val="nil"/>
              <w:left w:val="nil"/>
              <w:bottom w:val="single" w:sz="4" w:space="0" w:color="000000"/>
              <w:right w:val="single" w:sz="4" w:space="0" w:color="000000"/>
            </w:tcBorders>
            <w:shd w:val="clear" w:color="auto" w:fill="auto"/>
            <w:noWrap/>
            <w:vAlign w:val="center"/>
            <w:hideMark/>
          </w:tcPr>
          <w:p w14:paraId="15C286D4"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62BB41B0"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97</w:t>
            </w:r>
          </w:p>
        </w:tc>
        <w:tc>
          <w:tcPr>
            <w:tcW w:w="1200" w:type="dxa"/>
            <w:tcBorders>
              <w:top w:val="nil"/>
              <w:left w:val="nil"/>
              <w:bottom w:val="single" w:sz="4" w:space="0" w:color="000000"/>
              <w:right w:val="single" w:sz="4" w:space="0" w:color="000000"/>
            </w:tcBorders>
            <w:shd w:val="clear" w:color="auto" w:fill="auto"/>
            <w:noWrap/>
            <w:vAlign w:val="center"/>
            <w:hideMark/>
          </w:tcPr>
          <w:p w14:paraId="44D3F280"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3</w:t>
            </w:r>
          </w:p>
        </w:tc>
        <w:tc>
          <w:tcPr>
            <w:tcW w:w="785" w:type="dxa"/>
            <w:tcBorders>
              <w:top w:val="nil"/>
              <w:left w:val="nil"/>
              <w:bottom w:val="single" w:sz="4" w:space="0" w:color="000000"/>
              <w:right w:val="single" w:sz="4" w:space="0" w:color="000000"/>
            </w:tcBorders>
            <w:shd w:val="clear" w:color="auto" w:fill="auto"/>
            <w:noWrap/>
            <w:vAlign w:val="center"/>
            <w:hideMark/>
          </w:tcPr>
          <w:p w14:paraId="120AF21E"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A211E9" w:rsidRPr="00437A10" w14:paraId="1BC3EBBC" w14:textId="77777777" w:rsidTr="00A211E9">
        <w:trPr>
          <w:trHeight w:val="300"/>
          <w:jc w:val="center"/>
        </w:trPr>
        <w:tc>
          <w:tcPr>
            <w:tcW w:w="1281" w:type="dxa"/>
            <w:tcBorders>
              <w:top w:val="nil"/>
              <w:left w:val="single" w:sz="4" w:space="0" w:color="000000"/>
              <w:bottom w:val="single" w:sz="4" w:space="0" w:color="000000"/>
              <w:right w:val="single" w:sz="4" w:space="0" w:color="000000"/>
            </w:tcBorders>
            <w:shd w:val="clear" w:color="auto" w:fill="auto"/>
            <w:hideMark/>
          </w:tcPr>
          <w:p w14:paraId="4C6CD083" w14:textId="77777777" w:rsidR="00A211E9" w:rsidRPr="00437A10" w:rsidRDefault="00A211E9" w:rsidP="00A211E9">
            <w:pPr>
              <w:rPr>
                <w:rFonts w:ascii="Arial" w:hAnsi="Arial" w:cs="Arial"/>
                <w:sz w:val="18"/>
                <w:szCs w:val="18"/>
                <w:lang w:val="es-BO" w:eastAsia="es-BO"/>
              </w:rPr>
            </w:pPr>
            <w:r w:rsidRPr="00437A10">
              <w:rPr>
                <w:rFonts w:ascii="Arial" w:hAnsi="Arial" w:cs="Arial"/>
                <w:sz w:val="18"/>
                <w:szCs w:val="18"/>
                <w:lang w:val="es-BO" w:eastAsia="es-BO"/>
              </w:rPr>
              <w:t>Pando</w:t>
            </w:r>
          </w:p>
        </w:tc>
        <w:tc>
          <w:tcPr>
            <w:tcW w:w="1129" w:type="dxa"/>
            <w:tcBorders>
              <w:top w:val="nil"/>
              <w:left w:val="nil"/>
              <w:bottom w:val="single" w:sz="4" w:space="0" w:color="000000"/>
              <w:right w:val="single" w:sz="4" w:space="0" w:color="000000"/>
            </w:tcBorders>
            <w:shd w:val="clear" w:color="auto" w:fill="auto"/>
            <w:noWrap/>
            <w:vAlign w:val="center"/>
            <w:hideMark/>
          </w:tcPr>
          <w:p w14:paraId="0587FEB2"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95</w:t>
            </w:r>
          </w:p>
        </w:tc>
        <w:tc>
          <w:tcPr>
            <w:tcW w:w="1200" w:type="dxa"/>
            <w:tcBorders>
              <w:top w:val="nil"/>
              <w:left w:val="nil"/>
              <w:bottom w:val="single" w:sz="4" w:space="0" w:color="000000"/>
              <w:right w:val="single" w:sz="4" w:space="0" w:color="000000"/>
            </w:tcBorders>
            <w:shd w:val="clear" w:color="auto" w:fill="auto"/>
            <w:noWrap/>
            <w:vAlign w:val="center"/>
            <w:hideMark/>
          </w:tcPr>
          <w:p w14:paraId="4D42A29E"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5</w:t>
            </w:r>
          </w:p>
        </w:tc>
        <w:tc>
          <w:tcPr>
            <w:tcW w:w="926" w:type="dxa"/>
            <w:tcBorders>
              <w:top w:val="nil"/>
              <w:left w:val="nil"/>
              <w:bottom w:val="single" w:sz="4" w:space="0" w:color="000000"/>
              <w:right w:val="single" w:sz="4" w:space="0" w:color="000000"/>
            </w:tcBorders>
            <w:shd w:val="clear" w:color="auto" w:fill="auto"/>
            <w:noWrap/>
            <w:vAlign w:val="center"/>
            <w:hideMark/>
          </w:tcPr>
          <w:p w14:paraId="10656AD5"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1DC02248"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80</w:t>
            </w:r>
          </w:p>
        </w:tc>
        <w:tc>
          <w:tcPr>
            <w:tcW w:w="1200" w:type="dxa"/>
            <w:tcBorders>
              <w:top w:val="nil"/>
              <w:left w:val="nil"/>
              <w:bottom w:val="single" w:sz="4" w:space="0" w:color="000000"/>
              <w:right w:val="single" w:sz="4" w:space="0" w:color="000000"/>
            </w:tcBorders>
            <w:shd w:val="clear" w:color="000000" w:fill="D0CECE"/>
            <w:noWrap/>
            <w:vAlign w:val="center"/>
            <w:hideMark/>
          </w:tcPr>
          <w:p w14:paraId="6EEFE0C5"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20</w:t>
            </w:r>
          </w:p>
        </w:tc>
        <w:tc>
          <w:tcPr>
            <w:tcW w:w="785" w:type="dxa"/>
            <w:tcBorders>
              <w:top w:val="nil"/>
              <w:left w:val="nil"/>
              <w:bottom w:val="single" w:sz="4" w:space="0" w:color="000000"/>
              <w:right w:val="single" w:sz="4" w:space="0" w:color="000000"/>
            </w:tcBorders>
            <w:shd w:val="clear" w:color="auto" w:fill="auto"/>
            <w:noWrap/>
            <w:vAlign w:val="center"/>
            <w:hideMark/>
          </w:tcPr>
          <w:p w14:paraId="038EE3C0"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A211E9" w:rsidRPr="00437A10" w14:paraId="0B5CCCE8" w14:textId="77777777" w:rsidTr="00A211E9">
        <w:trPr>
          <w:trHeight w:val="315"/>
          <w:jc w:val="center"/>
        </w:trPr>
        <w:tc>
          <w:tcPr>
            <w:tcW w:w="1281" w:type="dxa"/>
            <w:tcBorders>
              <w:top w:val="nil"/>
              <w:left w:val="single" w:sz="4" w:space="0" w:color="000000"/>
              <w:bottom w:val="single" w:sz="4" w:space="0" w:color="000000"/>
              <w:right w:val="single" w:sz="4" w:space="0" w:color="000000"/>
            </w:tcBorders>
            <w:shd w:val="clear" w:color="auto" w:fill="auto"/>
            <w:hideMark/>
          </w:tcPr>
          <w:p w14:paraId="46373A80" w14:textId="77777777" w:rsidR="00A211E9" w:rsidRPr="00437A10" w:rsidRDefault="00A211E9" w:rsidP="00A211E9">
            <w:pPr>
              <w:rPr>
                <w:rFonts w:ascii="Arial" w:hAnsi="Arial" w:cs="Arial"/>
                <w:sz w:val="18"/>
                <w:szCs w:val="18"/>
                <w:lang w:val="es-BO" w:eastAsia="es-BO"/>
              </w:rPr>
            </w:pPr>
            <w:r w:rsidRPr="00437A10">
              <w:rPr>
                <w:rFonts w:ascii="Arial" w:hAnsi="Arial" w:cs="Arial"/>
                <w:sz w:val="18"/>
                <w:szCs w:val="18"/>
                <w:lang w:val="es-BO" w:eastAsia="es-BO"/>
              </w:rPr>
              <w:t>Total</w:t>
            </w:r>
          </w:p>
        </w:tc>
        <w:tc>
          <w:tcPr>
            <w:tcW w:w="1129" w:type="dxa"/>
            <w:tcBorders>
              <w:top w:val="nil"/>
              <w:left w:val="nil"/>
              <w:bottom w:val="single" w:sz="4" w:space="0" w:color="000000"/>
              <w:right w:val="single" w:sz="4" w:space="0" w:color="000000"/>
            </w:tcBorders>
            <w:shd w:val="clear" w:color="auto" w:fill="auto"/>
            <w:noWrap/>
            <w:vAlign w:val="center"/>
            <w:hideMark/>
          </w:tcPr>
          <w:p w14:paraId="4FCC2AF9"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94</w:t>
            </w:r>
          </w:p>
        </w:tc>
        <w:tc>
          <w:tcPr>
            <w:tcW w:w="1200" w:type="dxa"/>
            <w:tcBorders>
              <w:top w:val="nil"/>
              <w:left w:val="nil"/>
              <w:bottom w:val="single" w:sz="4" w:space="0" w:color="000000"/>
              <w:right w:val="single" w:sz="4" w:space="0" w:color="000000"/>
            </w:tcBorders>
            <w:shd w:val="clear" w:color="auto" w:fill="auto"/>
            <w:noWrap/>
            <w:vAlign w:val="center"/>
            <w:hideMark/>
          </w:tcPr>
          <w:p w14:paraId="66997091"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6</w:t>
            </w:r>
          </w:p>
        </w:tc>
        <w:tc>
          <w:tcPr>
            <w:tcW w:w="926" w:type="dxa"/>
            <w:tcBorders>
              <w:top w:val="nil"/>
              <w:left w:val="nil"/>
              <w:bottom w:val="single" w:sz="4" w:space="0" w:color="000000"/>
              <w:right w:val="single" w:sz="4" w:space="0" w:color="000000"/>
            </w:tcBorders>
            <w:shd w:val="clear" w:color="auto" w:fill="auto"/>
            <w:noWrap/>
            <w:vAlign w:val="center"/>
            <w:hideMark/>
          </w:tcPr>
          <w:p w14:paraId="278049E9"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7FA0444F"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90</w:t>
            </w:r>
          </w:p>
        </w:tc>
        <w:tc>
          <w:tcPr>
            <w:tcW w:w="1200" w:type="dxa"/>
            <w:tcBorders>
              <w:top w:val="nil"/>
              <w:left w:val="nil"/>
              <w:bottom w:val="single" w:sz="4" w:space="0" w:color="000000"/>
              <w:right w:val="single" w:sz="4" w:space="0" w:color="000000"/>
            </w:tcBorders>
            <w:shd w:val="clear" w:color="auto" w:fill="auto"/>
            <w:noWrap/>
            <w:vAlign w:val="center"/>
            <w:hideMark/>
          </w:tcPr>
          <w:p w14:paraId="426994A4"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w:t>
            </w:r>
          </w:p>
        </w:tc>
        <w:tc>
          <w:tcPr>
            <w:tcW w:w="785" w:type="dxa"/>
            <w:tcBorders>
              <w:top w:val="nil"/>
              <w:left w:val="nil"/>
              <w:bottom w:val="single" w:sz="4" w:space="0" w:color="000000"/>
              <w:right w:val="single" w:sz="4" w:space="0" w:color="000000"/>
            </w:tcBorders>
            <w:shd w:val="clear" w:color="auto" w:fill="auto"/>
            <w:noWrap/>
            <w:vAlign w:val="center"/>
            <w:hideMark/>
          </w:tcPr>
          <w:p w14:paraId="677840DA" w14:textId="77777777" w:rsidR="00A211E9" w:rsidRPr="00437A10" w:rsidRDefault="00A211E9" w:rsidP="00A211E9">
            <w:pPr>
              <w:jc w:val="right"/>
              <w:rPr>
                <w:rFonts w:ascii="Arial" w:hAnsi="Arial" w:cs="Arial"/>
                <w:sz w:val="18"/>
                <w:szCs w:val="18"/>
                <w:lang w:val="es-BO" w:eastAsia="es-BO"/>
              </w:rPr>
            </w:pPr>
            <w:r w:rsidRPr="00437A10">
              <w:rPr>
                <w:rFonts w:ascii="Arial" w:hAnsi="Arial" w:cs="Arial"/>
                <w:sz w:val="18"/>
                <w:szCs w:val="18"/>
                <w:lang w:val="es-BO" w:eastAsia="es-BO"/>
              </w:rPr>
              <w:t>100</w:t>
            </w:r>
          </w:p>
        </w:tc>
      </w:tr>
    </w:tbl>
    <w:p w14:paraId="0BA407CA" w14:textId="77777777" w:rsidR="00B659AA" w:rsidRPr="00437A10" w:rsidRDefault="00B659AA" w:rsidP="00B659AA">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Fuente: Con base en Instituto Nacional de Estadística, Quillaguamán, 2023.</w:t>
      </w:r>
    </w:p>
    <w:p w14:paraId="2ECB9A0A" w14:textId="77777777" w:rsidR="00B659AA" w:rsidRPr="00437A10" w:rsidRDefault="00B659AA" w:rsidP="00B659AA">
      <w:pPr>
        <w:spacing w:after="160" w:line="259" w:lineRule="auto"/>
        <w:contextualSpacing/>
        <w:jc w:val="both"/>
        <w:rPr>
          <w:rFonts w:ascii="Arial" w:eastAsia="Calibri" w:hAnsi="Arial" w:cs="Arial"/>
          <w:sz w:val="22"/>
          <w:szCs w:val="22"/>
        </w:rPr>
      </w:pPr>
    </w:p>
    <w:p w14:paraId="23FF2FA5" w14:textId="10260D77" w:rsidR="00A83B64" w:rsidRPr="00437A10" w:rsidRDefault="00A83B64" w:rsidP="00A83B64">
      <w:pPr>
        <w:numPr>
          <w:ilvl w:val="0"/>
          <w:numId w:val="1"/>
        </w:num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Describa qué hogares, personas o grupos corren un riesgo particular de verse expuestos a la asequibilidad de la vivienda en su país, región o ciudad.</w:t>
      </w:r>
    </w:p>
    <w:p w14:paraId="139A1164" w14:textId="36AD8F39" w:rsidR="00561FB1" w:rsidRPr="00437A10" w:rsidRDefault="00A83B64" w:rsidP="00621F91">
      <w:pPr>
        <w:spacing w:line="259" w:lineRule="auto"/>
        <w:ind w:left="720"/>
        <w:contextualSpacing/>
        <w:jc w:val="both"/>
        <w:rPr>
          <w:rFonts w:ascii="Arial" w:eastAsia="Calibri" w:hAnsi="Arial" w:cs="Arial"/>
          <w:sz w:val="22"/>
          <w:szCs w:val="22"/>
        </w:rPr>
      </w:pPr>
      <w:r w:rsidRPr="00437A10">
        <w:rPr>
          <w:rFonts w:ascii="Arial" w:eastAsia="Calibri" w:hAnsi="Arial" w:cs="Arial"/>
          <w:sz w:val="22"/>
          <w:szCs w:val="22"/>
        </w:rPr>
        <w:t>(Proporcione datos sobre la asequibilidad de la vivienda desglosados según el tamaño del hogar, la forma de tenencia (viviendo en una vivienda propia, de alquiler, otra), el tipo y la calidad de la vivienda (por ejemplo, viviendo en una vivienda formal o informal); ubicación (región, urbano, rural), tipo de hogar (con o sin hijos, hogares monoparentales), ingresos, situación laboral, género, discapacidad, edad, nacionalidad, etnia, afiliación religiosa o estatus migratorio).</w:t>
      </w:r>
    </w:p>
    <w:p w14:paraId="3B5C4AA9" w14:textId="77777777" w:rsidR="00D0163F" w:rsidRPr="00437A10" w:rsidRDefault="00D0163F" w:rsidP="00561FB1">
      <w:pPr>
        <w:spacing w:after="160" w:line="259" w:lineRule="auto"/>
        <w:ind w:left="720"/>
        <w:contextualSpacing/>
        <w:jc w:val="both"/>
        <w:rPr>
          <w:rFonts w:ascii="Arial" w:eastAsia="Calibri" w:hAnsi="Arial" w:cs="Arial"/>
          <w:sz w:val="22"/>
          <w:szCs w:val="22"/>
        </w:rPr>
      </w:pPr>
    </w:p>
    <w:p w14:paraId="57D3408F" w14:textId="5513496D" w:rsidR="00D0163F" w:rsidRPr="00437A10" w:rsidRDefault="0041623A" w:rsidP="00D0163F">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Los siguientes resultados han</w:t>
      </w:r>
      <w:r w:rsidR="005306D6" w:rsidRPr="00437A10">
        <w:rPr>
          <w:rFonts w:ascii="Arial" w:eastAsia="Calibri" w:hAnsi="Arial" w:cs="Arial"/>
          <w:sz w:val="22"/>
          <w:szCs w:val="22"/>
        </w:rPr>
        <w:t xml:space="preserve"> sido obtenidos</w:t>
      </w:r>
      <w:r w:rsidR="00D0163F" w:rsidRPr="00437A10">
        <w:rPr>
          <w:rFonts w:ascii="Arial" w:eastAsia="Calibri" w:hAnsi="Arial" w:cs="Arial"/>
          <w:sz w:val="22"/>
          <w:szCs w:val="22"/>
        </w:rPr>
        <w:t xml:space="preserve"> para este informe de</w:t>
      </w:r>
      <w:r w:rsidR="000B5E16" w:rsidRPr="00437A10">
        <w:rPr>
          <w:rFonts w:ascii="Arial" w:eastAsia="Calibri" w:hAnsi="Arial" w:cs="Arial"/>
          <w:sz w:val="22"/>
          <w:szCs w:val="22"/>
        </w:rPr>
        <w:t xml:space="preserve"> la </w:t>
      </w:r>
      <w:r w:rsidR="00714A27" w:rsidRPr="00437A10">
        <w:rPr>
          <w:rFonts w:ascii="Arial" w:eastAsia="Calibri" w:hAnsi="Arial" w:cs="Arial"/>
          <w:sz w:val="22"/>
          <w:szCs w:val="22"/>
        </w:rPr>
        <w:t xml:space="preserve">base de datos de la </w:t>
      </w:r>
      <w:r w:rsidR="000B5E16" w:rsidRPr="00437A10">
        <w:rPr>
          <w:rFonts w:ascii="Arial" w:eastAsia="Calibri" w:hAnsi="Arial" w:cs="Arial"/>
          <w:sz w:val="22"/>
          <w:szCs w:val="22"/>
        </w:rPr>
        <w:t>Encuesta de Hogares 2021</w:t>
      </w:r>
      <w:r w:rsidR="009A0327" w:rsidRPr="00437A10">
        <w:rPr>
          <w:rFonts w:ascii="Arial" w:eastAsia="Calibri" w:hAnsi="Arial" w:cs="Arial"/>
          <w:sz w:val="22"/>
          <w:szCs w:val="22"/>
        </w:rPr>
        <w:t xml:space="preserve"> proporcionada por el Instituto Nacional de Estadística</w:t>
      </w:r>
      <w:r w:rsidR="000B5E16" w:rsidRPr="00437A10">
        <w:rPr>
          <w:rFonts w:ascii="Arial" w:eastAsia="Calibri" w:hAnsi="Arial" w:cs="Arial"/>
          <w:sz w:val="22"/>
          <w:szCs w:val="22"/>
        </w:rPr>
        <w:t xml:space="preserve"> y de</w:t>
      </w:r>
      <w:r w:rsidR="00D0163F" w:rsidRPr="00437A10">
        <w:rPr>
          <w:rFonts w:ascii="Arial" w:eastAsia="Calibri" w:hAnsi="Arial" w:cs="Arial"/>
          <w:sz w:val="22"/>
          <w:szCs w:val="22"/>
        </w:rPr>
        <w:t xml:space="preserve"> acuerdo al indicad</w:t>
      </w:r>
      <w:r w:rsidR="004A0079" w:rsidRPr="00437A10">
        <w:rPr>
          <w:rFonts w:ascii="Arial" w:eastAsia="Calibri" w:hAnsi="Arial" w:cs="Arial"/>
          <w:sz w:val="22"/>
          <w:szCs w:val="22"/>
        </w:rPr>
        <w:t xml:space="preserve">or explicitado en la pregunta 4; sin embargo, es importante indicar que una vivienda asequible no necesariamente corresponde a una vivienda adecuada. </w:t>
      </w:r>
      <w:r w:rsidR="002A6E53" w:rsidRPr="00437A10">
        <w:rPr>
          <w:rFonts w:ascii="Arial" w:eastAsia="Calibri" w:hAnsi="Arial" w:cs="Arial"/>
          <w:sz w:val="22"/>
          <w:szCs w:val="22"/>
        </w:rPr>
        <w:t>Un estudio realizado en viviendas en alquiler estima que el 63.8% de los hogares que destinan menos del 30% de los ingresos del hogar en el pago de alquiler, habita una vivienda inadecuada</w:t>
      </w:r>
      <w:r w:rsidR="00714A27" w:rsidRPr="00437A10">
        <w:rPr>
          <w:rFonts w:ascii="Arial" w:eastAsia="Calibri" w:hAnsi="Arial" w:cs="Arial"/>
          <w:sz w:val="22"/>
          <w:szCs w:val="22"/>
        </w:rPr>
        <w:t>; poniendo en riesgo así, la salud de los residentes</w:t>
      </w:r>
      <w:r w:rsidR="002A6E53" w:rsidRPr="00437A10">
        <w:rPr>
          <w:rFonts w:ascii="Arial" w:eastAsia="Calibri" w:hAnsi="Arial" w:cs="Arial"/>
          <w:sz w:val="22"/>
          <w:szCs w:val="22"/>
        </w:rPr>
        <w:t xml:space="preserve"> (Quillaguamán, 2022</w:t>
      </w:r>
      <w:r w:rsidR="006D322D" w:rsidRPr="00437A10">
        <w:rPr>
          <w:rFonts w:ascii="Arial" w:eastAsia="Calibri" w:hAnsi="Arial" w:cs="Arial"/>
          <w:sz w:val="22"/>
          <w:szCs w:val="22"/>
        </w:rPr>
        <w:t>b</w:t>
      </w:r>
      <w:r w:rsidR="002A6E53" w:rsidRPr="00437A10">
        <w:rPr>
          <w:rFonts w:ascii="Arial" w:eastAsia="Calibri" w:hAnsi="Arial" w:cs="Arial"/>
          <w:sz w:val="22"/>
          <w:szCs w:val="22"/>
        </w:rPr>
        <w:t>).</w:t>
      </w:r>
    </w:p>
    <w:p w14:paraId="65487D7B" w14:textId="77777777" w:rsidR="004A0079" w:rsidRPr="00437A10" w:rsidRDefault="004A0079" w:rsidP="00D0163F">
      <w:pPr>
        <w:spacing w:after="160" w:line="259" w:lineRule="auto"/>
        <w:contextualSpacing/>
        <w:jc w:val="both"/>
        <w:rPr>
          <w:rFonts w:ascii="Arial" w:eastAsia="Calibri" w:hAnsi="Arial" w:cs="Arial"/>
          <w:sz w:val="22"/>
          <w:szCs w:val="22"/>
        </w:rPr>
      </w:pPr>
    </w:p>
    <w:p w14:paraId="42517770" w14:textId="3B0F9586" w:rsidR="0041623A" w:rsidRPr="00437A10" w:rsidRDefault="005306D6" w:rsidP="00D0163F">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En el cuad</w:t>
      </w:r>
      <w:r w:rsidR="000B5E16" w:rsidRPr="00437A10">
        <w:rPr>
          <w:rFonts w:ascii="Arial" w:eastAsia="Calibri" w:hAnsi="Arial" w:cs="Arial"/>
          <w:sz w:val="22"/>
          <w:szCs w:val="22"/>
        </w:rPr>
        <w:t>r</w:t>
      </w:r>
      <w:r w:rsidRPr="00437A10">
        <w:rPr>
          <w:rFonts w:ascii="Arial" w:eastAsia="Calibri" w:hAnsi="Arial" w:cs="Arial"/>
          <w:sz w:val="22"/>
          <w:szCs w:val="22"/>
        </w:rPr>
        <w:t>o 6.1 se observa que, en el área urbana de Bolivia,</w:t>
      </w:r>
      <w:r w:rsidR="00932E82" w:rsidRPr="00437A10">
        <w:rPr>
          <w:rFonts w:ascii="Arial" w:eastAsia="Calibri" w:hAnsi="Arial" w:cs="Arial"/>
          <w:sz w:val="22"/>
          <w:szCs w:val="22"/>
        </w:rPr>
        <w:t xml:space="preserve"> aproximadamente</w:t>
      </w:r>
      <w:r w:rsidRPr="00437A10">
        <w:rPr>
          <w:rFonts w:ascii="Arial" w:eastAsia="Calibri" w:hAnsi="Arial" w:cs="Arial"/>
          <w:sz w:val="22"/>
          <w:szCs w:val="22"/>
        </w:rPr>
        <w:t xml:space="preserve"> 2 de cada 10 </w:t>
      </w:r>
      <w:r w:rsidR="00932E82" w:rsidRPr="00437A10">
        <w:rPr>
          <w:rFonts w:ascii="Arial" w:eastAsia="Calibri" w:hAnsi="Arial" w:cs="Arial"/>
          <w:sz w:val="22"/>
          <w:szCs w:val="22"/>
        </w:rPr>
        <w:t xml:space="preserve">viviendas </w:t>
      </w:r>
      <w:r w:rsidR="00BF2D6F" w:rsidRPr="00437A10">
        <w:rPr>
          <w:rFonts w:ascii="Arial" w:eastAsia="Calibri" w:hAnsi="Arial" w:cs="Arial"/>
          <w:sz w:val="22"/>
          <w:szCs w:val="22"/>
        </w:rPr>
        <w:t>es</w:t>
      </w:r>
      <w:r w:rsidRPr="00437A10">
        <w:rPr>
          <w:rFonts w:ascii="Arial" w:eastAsia="Calibri" w:hAnsi="Arial" w:cs="Arial"/>
          <w:sz w:val="22"/>
          <w:szCs w:val="22"/>
        </w:rPr>
        <w:t xml:space="preserve"> inasequible. Esta condición afecta a </w:t>
      </w:r>
      <w:r w:rsidR="002A6E53" w:rsidRPr="00437A10">
        <w:rPr>
          <w:rFonts w:ascii="Arial" w:eastAsia="Calibri" w:hAnsi="Arial" w:cs="Arial"/>
          <w:sz w:val="22"/>
          <w:szCs w:val="22"/>
        </w:rPr>
        <w:t>una mayor cantidad de</w:t>
      </w:r>
      <w:r w:rsidRPr="00437A10">
        <w:rPr>
          <w:rFonts w:ascii="Arial" w:eastAsia="Calibri" w:hAnsi="Arial" w:cs="Arial"/>
          <w:sz w:val="22"/>
          <w:szCs w:val="22"/>
        </w:rPr>
        <w:t xml:space="preserve"> hogares mientras mayor sea su tamaño. Se estima que</w:t>
      </w:r>
      <w:r w:rsidR="002A6E53" w:rsidRPr="00437A10">
        <w:rPr>
          <w:rFonts w:ascii="Arial" w:eastAsia="Calibri" w:hAnsi="Arial" w:cs="Arial"/>
          <w:sz w:val="22"/>
          <w:szCs w:val="22"/>
        </w:rPr>
        <w:t>,</w:t>
      </w:r>
      <w:r w:rsidRPr="00437A10">
        <w:rPr>
          <w:rFonts w:ascii="Arial" w:eastAsia="Calibri" w:hAnsi="Arial" w:cs="Arial"/>
          <w:sz w:val="22"/>
          <w:szCs w:val="22"/>
        </w:rPr>
        <w:t xml:space="preserve"> a partir de </w:t>
      </w:r>
      <w:r w:rsidR="0041623A" w:rsidRPr="00437A10">
        <w:rPr>
          <w:rFonts w:ascii="Arial" w:eastAsia="Calibri" w:hAnsi="Arial" w:cs="Arial"/>
          <w:sz w:val="22"/>
          <w:szCs w:val="22"/>
        </w:rPr>
        <w:t xml:space="preserve">una cantidad de 5 miembros </w:t>
      </w:r>
      <w:r w:rsidR="002A6E53" w:rsidRPr="00437A10">
        <w:rPr>
          <w:rFonts w:ascii="Arial" w:eastAsia="Calibri" w:hAnsi="Arial" w:cs="Arial"/>
          <w:sz w:val="22"/>
          <w:szCs w:val="22"/>
        </w:rPr>
        <w:t>por</w:t>
      </w:r>
      <w:r w:rsidR="0041623A" w:rsidRPr="00437A10">
        <w:rPr>
          <w:rFonts w:ascii="Arial" w:eastAsia="Calibri" w:hAnsi="Arial" w:cs="Arial"/>
          <w:sz w:val="22"/>
          <w:szCs w:val="22"/>
        </w:rPr>
        <w:t xml:space="preserve"> hogar, 3 o más hogares de cada 10 serían afectados por la inasequibilidad de la vivienda.</w:t>
      </w:r>
      <w:r w:rsidR="002A6E53" w:rsidRPr="00437A10">
        <w:rPr>
          <w:rFonts w:ascii="Arial" w:eastAsia="Calibri" w:hAnsi="Arial" w:cs="Arial"/>
          <w:sz w:val="22"/>
          <w:szCs w:val="22"/>
        </w:rPr>
        <w:t xml:space="preserve"> Por otra parte, e</w:t>
      </w:r>
      <w:r w:rsidR="0041623A" w:rsidRPr="00437A10">
        <w:rPr>
          <w:rFonts w:ascii="Arial" w:eastAsia="Calibri" w:hAnsi="Arial" w:cs="Arial"/>
          <w:sz w:val="22"/>
          <w:szCs w:val="22"/>
        </w:rPr>
        <w:t xml:space="preserve">n el área rural, </w:t>
      </w:r>
      <w:r w:rsidR="00BF2D6F" w:rsidRPr="00437A10">
        <w:rPr>
          <w:rFonts w:ascii="Arial" w:eastAsia="Calibri" w:hAnsi="Arial" w:cs="Arial"/>
          <w:sz w:val="22"/>
          <w:szCs w:val="22"/>
        </w:rPr>
        <w:t>una de cada 10 viviendas era</w:t>
      </w:r>
      <w:r w:rsidR="0041623A" w:rsidRPr="00437A10">
        <w:rPr>
          <w:rFonts w:ascii="Arial" w:eastAsia="Calibri" w:hAnsi="Arial" w:cs="Arial"/>
          <w:sz w:val="22"/>
          <w:szCs w:val="22"/>
        </w:rPr>
        <w:t xml:space="preserve"> inasequible</w:t>
      </w:r>
      <w:r w:rsidR="002A6E53" w:rsidRPr="00437A10">
        <w:rPr>
          <w:rFonts w:ascii="Arial" w:eastAsia="Calibri" w:hAnsi="Arial" w:cs="Arial"/>
          <w:sz w:val="22"/>
          <w:szCs w:val="22"/>
        </w:rPr>
        <w:t xml:space="preserve"> </w:t>
      </w:r>
      <w:r w:rsidR="0041623A" w:rsidRPr="00437A10">
        <w:rPr>
          <w:rFonts w:ascii="Arial" w:eastAsia="Calibri" w:hAnsi="Arial" w:cs="Arial"/>
          <w:sz w:val="22"/>
          <w:szCs w:val="22"/>
        </w:rPr>
        <w:t>y</w:t>
      </w:r>
      <w:r w:rsidR="002A6E53" w:rsidRPr="00437A10">
        <w:rPr>
          <w:rFonts w:ascii="Arial" w:eastAsia="Calibri" w:hAnsi="Arial" w:cs="Arial"/>
          <w:sz w:val="22"/>
          <w:szCs w:val="22"/>
        </w:rPr>
        <w:t>,</w:t>
      </w:r>
      <w:r w:rsidR="0041623A" w:rsidRPr="00437A10">
        <w:rPr>
          <w:rFonts w:ascii="Arial" w:eastAsia="Calibri" w:hAnsi="Arial" w:cs="Arial"/>
          <w:sz w:val="22"/>
          <w:szCs w:val="22"/>
        </w:rPr>
        <w:t xml:space="preserve"> al igual que en el área urbana, </w:t>
      </w:r>
      <w:r w:rsidR="002A6E53" w:rsidRPr="00437A10">
        <w:rPr>
          <w:rFonts w:ascii="Arial" w:eastAsia="Calibri" w:hAnsi="Arial" w:cs="Arial"/>
          <w:sz w:val="22"/>
          <w:szCs w:val="22"/>
        </w:rPr>
        <w:t>la inasequibilidad se presenta en más hogares,</w:t>
      </w:r>
      <w:r w:rsidR="0041623A" w:rsidRPr="00437A10">
        <w:rPr>
          <w:rFonts w:ascii="Arial" w:eastAsia="Calibri" w:hAnsi="Arial" w:cs="Arial"/>
          <w:sz w:val="22"/>
          <w:szCs w:val="22"/>
        </w:rPr>
        <w:t xml:space="preserve"> cuando existen 5 o más miembros por hogar.</w:t>
      </w:r>
    </w:p>
    <w:p w14:paraId="51CBC8DE" w14:textId="5280ACDF" w:rsidR="00561FB1" w:rsidRPr="00437A10" w:rsidRDefault="00561FB1" w:rsidP="00561FB1">
      <w:pPr>
        <w:spacing w:after="160" w:line="259" w:lineRule="auto"/>
        <w:contextualSpacing/>
        <w:jc w:val="both"/>
        <w:rPr>
          <w:rFonts w:ascii="Arial" w:eastAsia="Calibri" w:hAnsi="Arial" w:cs="Arial"/>
          <w:sz w:val="22"/>
          <w:szCs w:val="22"/>
        </w:rPr>
      </w:pPr>
    </w:p>
    <w:p w14:paraId="2A0B350E" w14:textId="2C1D57A8" w:rsidR="0032038E" w:rsidRPr="00437A10" w:rsidRDefault="00561FB1" w:rsidP="0032038E">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 xml:space="preserve">Cuadro </w:t>
      </w:r>
      <w:r w:rsidR="005306D6" w:rsidRPr="00437A10">
        <w:rPr>
          <w:rFonts w:ascii="Arial" w:eastAsia="Calibri" w:hAnsi="Arial" w:cs="Arial"/>
          <w:sz w:val="22"/>
          <w:szCs w:val="22"/>
        </w:rPr>
        <w:t>6.</w:t>
      </w:r>
      <w:r w:rsidRPr="00437A10">
        <w:rPr>
          <w:rFonts w:ascii="Arial" w:eastAsia="Calibri" w:hAnsi="Arial" w:cs="Arial"/>
          <w:sz w:val="22"/>
          <w:szCs w:val="22"/>
        </w:rPr>
        <w:t>1. Bolivia: Porcentaje de hogares por asequibilidad de la vivienda, según el tamaño del hogar</w:t>
      </w:r>
      <w:r w:rsidR="0032038E" w:rsidRPr="00437A10">
        <w:rPr>
          <w:rFonts w:ascii="Arial" w:eastAsia="Calibri" w:hAnsi="Arial" w:cs="Arial"/>
          <w:sz w:val="22"/>
          <w:szCs w:val="22"/>
        </w:rPr>
        <w:t xml:space="preserve"> y área geográfica</w:t>
      </w:r>
      <w:r w:rsidRPr="00437A10">
        <w:rPr>
          <w:rFonts w:ascii="Arial" w:eastAsia="Calibri" w:hAnsi="Arial" w:cs="Arial"/>
          <w:sz w:val="22"/>
          <w:szCs w:val="22"/>
        </w:rPr>
        <w:t>, 2021</w:t>
      </w:r>
    </w:p>
    <w:tbl>
      <w:tblPr>
        <w:tblW w:w="7793" w:type="dxa"/>
        <w:jc w:val="center"/>
        <w:tblCellMar>
          <w:left w:w="70" w:type="dxa"/>
          <w:right w:w="70" w:type="dxa"/>
        </w:tblCellMar>
        <w:tblLook w:val="04A0" w:firstRow="1" w:lastRow="0" w:firstColumn="1" w:lastColumn="0" w:noHBand="0" w:noVBand="1"/>
      </w:tblPr>
      <w:tblGrid>
        <w:gridCol w:w="1200"/>
        <w:gridCol w:w="1372"/>
        <w:gridCol w:w="1051"/>
        <w:gridCol w:w="913"/>
        <w:gridCol w:w="1414"/>
        <w:gridCol w:w="1051"/>
        <w:gridCol w:w="7"/>
        <w:gridCol w:w="785"/>
      </w:tblGrid>
      <w:tr w:rsidR="00932E82" w:rsidRPr="00437A10" w14:paraId="2FB4D002" w14:textId="77777777" w:rsidTr="00932E82">
        <w:trPr>
          <w:trHeight w:val="315"/>
          <w:jc w:val="center"/>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0CFFCAC" w14:textId="77777777" w:rsidR="00932E82" w:rsidRPr="00437A10" w:rsidRDefault="00932E82" w:rsidP="00932E82">
            <w:pPr>
              <w:jc w:val="center"/>
              <w:rPr>
                <w:rFonts w:ascii="Arial" w:hAnsi="Arial" w:cs="Arial"/>
                <w:sz w:val="18"/>
                <w:szCs w:val="18"/>
                <w:lang w:val="es-BO" w:eastAsia="es-BO"/>
              </w:rPr>
            </w:pPr>
            <w:r w:rsidRPr="00437A10">
              <w:rPr>
                <w:rFonts w:ascii="Arial" w:hAnsi="Arial" w:cs="Arial"/>
                <w:sz w:val="18"/>
                <w:szCs w:val="18"/>
                <w:lang w:val="es-BO" w:eastAsia="es-BO"/>
              </w:rPr>
              <w:t>Total de personas por vivienda</w:t>
            </w:r>
          </w:p>
        </w:tc>
        <w:tc>
          <w:tcPr>
            <w:tcW w:w="2423" w:type="dxa"/>
            <w:gridSpan w:val="2"/>
            <w:tcBorders>
              <w:top w:val="single" w:sz="4" w:space="0" w:color="000000"/>
              <w:left w:val="nil"/>
              <w:bottom w:val="single" w:sz="4" w:space="0" w:color="000000"/>
              <w:right w:val="single" w:sz="4" w:space="0" w:color="000000"/>
            </w:tcBorders>
            <w:shd w:val="clear" w:color="auto" w:fill="auto"/>
            <w:vAlign w:val="bottom"/>
            <w:hideMark/>
          </w:tcPr>
          <w:p w14:paraId="261D3CE2" w14:textId="77777777" w:rsidR="00932E82" w:rsidRPr="00437A10" w:rsidRDefault="00932E82" w:rsidP="00932E82">
            <w:pPr>
              <w:jc w:val="center"/>
              <w:rPr>
                <w:rFonts w:ascii="Arial" w:hAnsi="Arial" w:cs="Arial"/>
                <w:sz w:val="18"/>
                <w:szCs w:val="18"/>
                <w:lang w:val="es-BO" w:eastAsia="es-BO"/>
              </w:rPr>
            </w:pPr>
            <w:r w:rsidRPr="00437A10">
              <w:rPr>
                <w:rFonts w:ascii="Arial" w:hAnsi="Arial" w:cs="Arial"/>
                <w:sz w:val="18"/>
                <w:szCs w:val="18"/>
                <w:lang w:val="es-BO" w:eastAsia="es-BO"/>
              </w:rPr>
              <w:t>Área urbana</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AB5813E" w14:textId="77777777" w:rsidR="00932E82" w:rsidRPr="00437A10" w:rsidRDefault="00932E82" w:rsidP="00932E82">
            <w:pPr>
              <w:jc w:val="center"/>
              <w:rPr>
                <w:rFonts w:ascii="Arial" w:hAnsi="Arial" w:cs="Arial"/>
                <w:sz w:val="18"/>
                <w:szCs w:val="18"/>
                <w:lang w:val="es-BO" w:eastAsia="es-BO"/>
              </w:rPr>
            </w:pPr>
            <w:r w:rsidRPr="00437A10">
              <w:rPr>
                <w:rFonts w:ascii="Arial" w:hAnsi="Arial" w:cs="Arial"/>
                <w:sz w:val="18"/>
                <w:szCs w:val="18"/>
                <w:lang w:val="es-BO" w:eastAsia="es-BO"/>
              </w:rPr>
              <w:t>Total</w:t>
            </w:r>
          </w:p>
        </w:tc>
        <w:tc>
          <w:tcPr>
            <w:tcW w:w="2472" w:type="dxa"/>
            <w:gridSpan w:val="3"/>
            <w:tcBorders>
              <w:top w:val="single" w:sz="4" w:space="0" w:color="000000"/>
              <w:left w:val="nil"/>
              <w:bottom w:val="single" w:sz="4" w:space="0" w:color="000000"/>
              <w:right w:val="single" w:sz="4" w:space="0" w:color="000000"/>
            </w:tcBorders>
            <w:shd w:val="clear" w:color="auto" w:fill="auto"/>
            <w:vAlign w:val="bottom"/>
            <w:hideMark/>
          </w:tcPr>
          <w:p w14:paraId="302C0AE1" w14:textId="77777777" w:rsidR="00932E82" w:rsidRPr="00437A10" w:rsidRDefault="00932E82" w:rsidP="00932E82">
            <w:pPr>
              <w:jc w:val="center"/>
              <w:rPr>
                <w:rFonts w:ascii="Arial" w:hAnsi="Arial" w:cs="Arial"/>
                <w:sz w:val="18"/>
                <w:szCs w:val="18"/>
                <w:lang w:val="es-BO" w:eastAsia="es-BO"/>
              </w:rPr>
            </w:pPr>
            <w:r w:rsidRPr="00437A10">
              <w:rPr>
                <w:rFonts w:ascii="Arial" w:hAnsi="Arial" w:cs="Arial"/>
                <w:sz w:val="18"/>
                <w:szCs w:val="18"/>
                <w:lang w:val="es-BO" w:eastAsia="es-BO"/>
              </w:rPr>
              <w:t>Área rural</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4AA2E09" w14:textId="77777777" w:rsidR="00932E82" w:rsidRPr="00437A10" w:rsidRDefault="00932E82" w:rsidP="00932E82">
            <w:pPr>
              <w:jc w:val="center"/>
              <w:rPr>
                <w:rFonts w:ascii="Arial" w:hAnsi="Arial" w:cs="Arial"/>
                <w:sz w:val="18"/>
                <w:szCs w:val="18"/>
                <w:lang w:val="es-BO" w:eastAsia="es-BO"/>
              </w:rPr>
            </w:pPr>
            <w:r w:rsidRPr="00437A10">
              <w:rPr>
                <w:rFonts w:ascii="Arial" w:hAnsi="Arial" w:cs="Arial"/>
                <w:sz w:val="18"/>
                <w:szCs w:val="18"/>
                <w:lang w:val="es-BO" w:eastAsia="es-BO"/>
              </w:rPr>
              <w:t>Total</w:t>
            </w:r>
          </w:p>
        </w:tc>
      </w:tr>
      <w:tr w:rsidR="00932E82" w:rsidRPr="00437A10" w14:paraId="241EC10F" w14:textId="77777777" w:rsidTr="00932E82">
        <w:trPr>
          <w:trHeight w:val="510"/>
          <w:jc w:val="center"/>
        </w:trPr>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469CB42B" w14:textId="77777777" w:rsidR="00932E82" w:rsidRPr="00437A10" w:rsidRDefault="00932E82" w:rsidP="00932E82">
            <w:pPr>
              <w:rPr>
                <w:rFonts w:ascii="Arial" w:hAnsi="Arial" w:cs="Arial"/>
                <w:sz w:val="18"/>
                <w:szCs w:val="18"/>
                <w:lang w:val="es-BO" w:eastAsia="es-BO"/>
              </w:rPr>
            </w:pPr>
          </w:p>
        </w:tc>
        <w:tc>
          <w:tcPr>
            <w:tcW w:w="1372" w:type="dxa"/>
            <w:tcBorders>
              <w:top w:val="nil"/>
              <w:left w:val="nil"/>
              <w:bottom w:val="single" w:sz="4" w:space="0" w:color="000000"/>
              <w:right w:val="single" w:sz="4" w:space="0" w:color="000000"/>
            </w:tcBorders>
            <w:shd w:val="clear" w:color="auto" w:fill="auto"/>
            <w:noWrap/>
            <w:vAlign w:val="bottom"/>
            <w:hideMark/>
          </w:tcPr>
          <w:p w14:paraId="04B8AE7D" w14:textId="77777777" w:rsidR="00932E82" w:rsidRPr="00437A10" w:rsidRDefault="00932E82" w:rsidP="00932E82">
            <w:pPr>
              <w:jc w:val="cente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051" w:type="dxa"/>
            <w:tcBorders>
              <w:top w:val="nil"/>
              <w:left w:val="nil"/>
              <w:bottom w:val="single" w:sz="4" w:space="0" w:color="000000"/>
              <w:right w:val="single" w:sz="4" w:space="0" w:color="000000"/>
            </w:tcBorders>
            <w:shd w:val="clear" w:color="auto" w:fill="auto"/>
            <w:noWrap/>
            <w:vAlign w:val="bottom"/>
            <w:hideMark/>
          </w:tcPr>
          <w:p w14:paraId="3C0AB539" w14:textId="77777777" w:rsidR="00932E82" w:rsidRPr="00437A10" w:rsidRDefault="00932E82" w:rsidP="00932E82">
            <w:pPr>
              <w:jc w:val="cente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913" w:type="dxa"/>
            <w:tcBorders>
              <w:top w:val="single" w:sz="4" w:space="0" w:color="000000"/>
              <w:left w:val="single" w:sz="4" w:space="0" w:color="000000"/>
              <w:bottom w:val="single" w:sz="4" w:space="0" w:color="000000"/>
              <w:right w:val="single" w:sz="4" w:space="0" w:color="000000"/>
            </w:tcBorders>
            <w:vAlign w:val="center"/>
            <w:hideMark/>
          </w:tcPr>
          <w:p w14:paraId="01D70DF3" w14:textId="77777777" w:rsidR="00932E82" w:rsidRPr="00437A10" w:rsidRDefault="00932E82" w:rsidP="00932E82">
            <w:pPr>
              <w:rPr>
                <w:rFonts w:ascii="Arial" w:hAnsi="Arial" w:cs="Arial"/>
                <w:sz w:val="18"/>
                <w:szCs w:val="18"/>
                <w:lang w:val="es-BO" w:eastAsia="es-BO"/>
              </w:rPr>
            </w:pPr>
          </w:p>
        </w:tc>
        <w:tc>
          <w:tcPr>
            <w:tcW w:w="1414" w:type="dxa"/>
            <w:tcBorders>
              <w:top w:val="nil"/>
              <w:left w:val="nil"/>
              <w:bottom w:val="single" w:sz="4" w:space="0" w:color="000000"/>
              <w:right w:val="single" w:sz="4" w:space="0" w:color="000000"/>
            </w:tcBorders>
            <w:shd w:val="clear" w:color="auto" w:fill="auto"/>
            <w:noWrap/>
            <w:vAlign w:val="bottom"/>
            <w:hideMark/>
          </w:tcPr>
          <w:p w14:paraId="323EC645" w14:textId="77777777" w:rsidR="00932E82" w:rsidRPr="00437A10" w:rsidRDefault="00932E82" w:rsidP="00932E82">
            <w:pPr>
              <w:jc w:val="cente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051" w:type="dxa"/>
            <w:tcBorders>
              <w:top w:val="nil"/>
              <w:left w:val="nil"/>
              <w:bottom w:val="single" w:sz="4" w:space="0" w:color="000000"/>
              <w:right w:val="single" w:sz="4" w:space="0" w:color="000000"/>
            </w:tcBorders>
            <w:shd w:val="clear" w:color="auto" w:fill="auto"/>
            <w:noWrap/>
            <w:vAlign w:val="bottom"/>
            <w:hideMark/>
          </w:tcPr>
          <w:p w14:paraId="2D49183E" w14:textId="77777777" w:rsidR="00932E82" w:rsidRPr="00437A10" w:rsidRDefault="00932E82" w:rsidP="00932E82">
            <w:pPr>
              <w:jc w:val="cente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792" w:type="dxa"/>
            <w:gridSpan w:val="2"/>
            <w:tcBorders>
              <w:top w:val="single" w:sz="4" w:space="0" w:color="000000"/>
              <w:left w:val="single" w:sz="4" w:space="0" w:color="000000"/>
              <w:bottom w:val="single" w:sz="4" w:space="0" w:color="000000"/>
              <w:right w:val="single" w:sz="4" w:space="0" w:color="000000"/>
            </w:tcBorders>
            <w:vAlign w:val="center"/>
            <w:hideMark/>
          </w:tcPr>
          <w:p w14:paraId="6833BE77" w14:textId="77777777" w:rsidR="00932E82" w:rsidRPr="00437A10" w:rsidRDefault="00932E82" w:rsidP="00932E82">
            <w:pPr>
              <w:rPr>
                <w:rFonts w:ascii="Arial" w:hAnsi="Arial" w:cs="Arial"/>
                <w:sz w:val="18"/>
                <w:szCs w:val="18"/>
                <w:lang w:val="es-BO" w:eastAsia="es-BO"/>
              </w:rPr>
            </w:pPr>
          </w:p>
        </w:tc>
      </w:tr>
      <w:tr w:rsidR="00932E82" w:rsidRPr="00437A10" w14:paraId="46004854" w14:textId="77777777" w:rsidTr="00932E82">
        <w:trPr>
          <w:trHeight w:val="315"/>
          <w:jc w:val="center"/>
        </w:trPr>
        <w:tc>
          <w:tcPr>
            <w:tcW w:w="1200" w:type="dxa"/>
            <w:tcBorders>
              <w:top w:val="nil"/>
              <w:left w:val="single" w:sz="4" w:space="0" w:color="000000"/>
              <w:bottom w:val="single" w:sz="4" w:space="0" w:color="000000"/>
              <w:right w:val="single" w:sz="4" w:space="0" w:color="000000"/>
            </w:tcBorders>
            <w:shd w:val="clear" w:color="auto" w:fill="auto"/>
            <w:noWrap/>
            <w:hideMark/>
          </w:tcPr>
          <w:p w14:paraId="4AE13085" w14:textId="77777777" w:rsidR="00932E82" w:rsidRPr="00437A10" w:rsidRDefault="00932E82" w:rsidP="00932E82">
            <w:pPr>
              <w:jc w:val="center"/>
              <w:rPr>
                <w:rFonts w:ascii="Arial" w:hAnsi="Arial" w:cs="Arial"/>
                <w:sz w:val="18"/>
                <w:szCs w:val="18"/>
                <w:lang w:val="es-BO" w:eastAsia="es-BO"/>
              </w:rPr>
            </w:pPr>
            <w:r w:rsidRPr="00437A10">
              <w:rPr>
                <w:rFonts w:ascii="Arial" w:hAnsi="Arial" w:cs="Arial"/>
                <w:sz w:val="18"/>
                <w:szCs w:val="18"/>
                <w:lang w:val="es-BO" w:eastAsia="es-BO"/>
              </w:rPr>
              <w:t>1</w:t>
            </w:r>
          </w:p>
        </w:tc>
        <w:tc>
          <w:tcPr>
            <w:tcW w:w="1372" w:type="dxa"/>
            <w:tcBorders>
              <w:top w:val="nil"/>
              <w:left w:val="nil"/>
              <w:bottom w:val="single" w:sz="4" w:space="0" w:color="000000"/>
              <w:right w:val="single" w:sz="4" w:space="0" w:color="000000"/>
            </w:tcBorders>
            <w:shd w:val="clear" w:color="auto" w:fill="auto"/>
            <w:noWrap/>
            <w:vAlign w:val="center"/>
            <w:hideMark/>
          </w:tcPr>
          <w:p w14:paraId="3C0F3083"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91</w:t>
            </w:r>
          </w:p>
        </w:tc>
        <w:tc>
          <w:tcPr>
            <w:tcW w:w="1051" w:type="dxa"/>
            <w:tcBorders>
              <w:top w:val="nil"/>
              <w:left w:val="nil"/>
              <w:bottom w:val="single" w:sz="4" w:space="0" w:color="000000"/>
              <w:right w:val="single" w:sz="4" w:space="0" w:color="000000"/>
            </w:tcBorders>
            <w:shd w:val="clear" w:color="auto" w:fill="auto"/>
            <w:noWrap/>
            <w:vAlign w:val="center"/>
            <w:hideMark/>
          </w:tcPr>
          <w:p w14:paraId="2DC4F565"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9</w:t>
            </w:r>
          </w:p>
        </w:tc>
        <w:tc>
          <w:tcPr>
            <w:tcW w:w="913" w:type="dxa"/>
            <w:tcBorders>
              <w:top w:val="nil"/>
              <w:left w:val="nil"/>
              <w:bottom w:val="single" w:sz="4" w:space="0" w:color="000000"/>
              <w:right w:val="single" w:sz="4" w:space="0" w:color="000000"/>
            </w:tcBorders>
            <w:shd w:val="clear" w:color="auto" w:fill="auto"/>
            <w:noWrap/>
            <w:vAlign w:val="center"/>
            <w:hideMark/>
          </w:tcPr>
          <w:p w14:paraId="7806FB6E"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414" w:type="dxa"/>
            <w:tcBorders>
              <w:top w:val="nil"/>
              <w:left w:val="nil"/>
              <w:bottom w:val="single" w:sz="4" w:space="0" w:color="000000"/>
              <w:right w:val="single" w:sz="4" w:space="0" w:color="000000"/>
            </w:tcBorders>
            <w:shd w:val="clear" w:color="auto" w:fill="auto"/>
            <w:noWrap/>
            <w:vAlign w:val="center"/>
            <w:hideMark/>
          </w:tcPr>
          <w:p w14:paraId="3EE89FB3"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97</w:t>
            </w:r>
          </w:p>
        </w:tc>
        <w:tc>
          <w:tcPr>
            <w:tcW w:w="1051" w:type="dxa"/>
            <w:tcBorders>
              <w:top w:val="nil"/>
              <w:left w:val="nil"/>
              <w:bottom w:val="single" w:sz="4" w:space="0" w:color="000000"/>
              <w:right w:val="single" w:sz="4" w:space="0" w:color="000000"/>
            </w:tcBorders>
            <w:shd w:val="clear" w:color="auto" w:fill="auto"/>
            <w:noWrap/>
            <w:vAlign w:val="center"/>
            <w:hideMark/>
          </w:tcPr>
          <w:p w14:paraId="7D436FDD"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3</w:t>
            </w:r>
          </w:p>
        </w:tc>
        <w:tc>
          <w:tcPr>
            <w:tcW w:w="792" w:type="dxa"/>
            <w:gridSpan w:val="2"/>
            <w:tcBorders>
              <w:top w:val="nil"/>
              <w:left w:val="nil"/>
              <w:bottom w:val="single" w:sz="4" w:space="0" w:color="000000"/>
              <w:right w:val="single" w:sz="4" w:space="0" w:color="000000"/>
            </w:tcBorders>
            <w:shd w:val="clear" w:color="auto" w:fill="auto"/>
            <w:noWrap/>
            <w:vAlign w:val="center"/>
            <w:hideMark/>
          </w:tcPr>
          <w:p w14:paraId="1F276953"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932E82" w:rsidRPr="00437A10" w14:paraId="0F08925C" w14:textId="77777777" w:rsidTr="00932E82">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noWrap/>
            <w:hideMark/>
          </w:tcPr>
          <w:p w14:paraId="13E39AAE" w14:textId="77777777" w:rsidR="00932E82" w:rsidRPr="00437A10" w:rsidRDefault="00932E82" w:rsidP="00932E82">
            <w:pPr>
              <w:jc w:val="center"/>
              <w:rPr>
                <w:rFonts w:ascii="Arial" w:hAnsi="Arial" w:cs="Arial"/>
                <w:sz w:val="18"/>
                <w:szCs w:val="18"/>
                <w:lang w:val="es-BO" w:eastAsia="es-BO"/>
              </w:rPr>
            </w:pPr>
            <w:r w:rsidRPr="00437A10">
              <w:rPr>
                <w:rFonts w:ascii="Arial" w:hAnsi="Arial" w:cs="Arial"/>
                <w:sz w:val="18"/>
                <w:szCs w:val="18"/>
                <w:lang w:val="es-BO" w:eastAsia="es-BO"/>
              </w:rPr>
              <w:t>2</w:t>
            </w:r>
          </w:p>
        </w:tc>
        <w:tc>
          <w:tcPr>
            <w:tcW w:w="1372" w:type="dxa"/>
            <w:tcBorders>
              <w:top w:val="nil"/>
              <w:left w:val="nil"/>
              <w:bottom w:val="single" w:sz="4" w:space="0" w:color="000000"/>
              <w:right w:val="single" w:sz="4" w:space="0" w:color="000000"/>
            </w:tcBorders>
            <w:shd w:val="clear" w:color="auto" w:fill="auto"/>
            <w:noWrap/>
            <w:vAlign w:val="center"/>
            <w:hideMark/>
          </w:tcPr>
          <w:p w14:paraId="1DB1C8B9"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90</w:t>
            </w:r>
          </w:p>
        </w:tc>
        <w:tc>
          <w:tcPr>
            <w:tcW w:w="1051" w:type="dxa"/>
            <w:tcBorders>
              <w:top w:val="nil"/>
              <w:left w:val="nil"/>
              <w:bottom w:val="single" w:sz="4" w:space="0" w:color="000000"/>
              <w:right w:val="single" w:sz="4" w:space="0" w:color="000000"/>
            </w:tcBorders>
            <w:shd w:val="clear" w:color="auto" w:fill="auto"/>
            <w:noWrap/>
            <w:vAlign w:val="center"/>
            <w:hideMark/>
          </w:tcPr>
          <w:p w14:paraId="486E2DEF"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10</w:t>
            </w:r>
          </w:p>
        </w:tc>
        <w:tc>
          <w:tcPr>
            <w:tcW w:w="913" w:type="dxa"/>
            <w:tcBorders>
              <w:top w:val="nil"/>
              <w:left w:val="nil"/>
              <w:bottom w:val="single" w:sz="4" w:space="0" w:color="000000"/>
              <w:right w:val="single" w:sz="4" w:space="0" w:color="000000"/>
            </w:tcBorders>
            <w:shd w:val="clear" w:color="auto" w:fill="auto"/>
            <w:noWrap/>
            <w:vAlign w:val="center"/>
            <w:hideMark/>
          </w:tcPr>
          <w:p w14:paraId="45E503AA"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414" w:type="dxa"/>
            <w:tcBorders>
              <w:top w:val="nil"/>
              <w:left w:val="nil"/>
              <w:bottom w:val="single" w:sz="4" w:space="0" w:color="000000"/>
              <w:right w:val="single" w:sz="4" w:space="0" w:color="000000"/>
            </w:tcBorders>
            <w:shd w:val="clear" w:color="auto" w:fill="auto"/>
            <w:noWrap/>
            <w:vAlign w:val="center"/>
            <w:hideMark/>
          </w:tcPr>
          <w:p w14:paraId="7DCA626D"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96</w:t>
            </w:r>
          </w:p>
        </w:tc>
        <w:tc>
          <w:tcPr>
            <w:tcW w:w="1051" w:type="dxa"/>
            <w:tcBorders>
              <w:top w:val="nil"/>
              <w:left w:val="nil"/>
              <w:bottom w:val="single" w:sz="4" w:space="0" w:color="000000"/>
              <w:right w:val="single" w:sz="4" w:space="0" w:color="000000"/>
            </w:tcBorders>
            <w:shd w:val="clear" w:color="auto" w:fill="auto"/>
            <w:noWrap/>
            <w:vAlign w:val="center"/>
            <w:hideMark/>
          </w:tcPr>
          <w:p w14:paraId="582EEF59"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4</w:t>
            </w:r>
          </w:p>
        </w:tc>
        <w:tc>
          <w:tcPr>
            <w:tcW w:w="792" w:type="dxa"/>
            <w:gridSpan w:val="2"/>
            <w:tcBorders>
              <w:top w:val="nil"/>
              <w:left w:val="nil"/>
              <w:bottom w:val="single" w:sz="4" w:space="0" w:color="000000"/>
              <w:right w:val="single" w:sz="4" w:space="0" w:color="000000"/>
            </w:tcBorders>
            <w:shd w:val="clear" w:color="auto" w:fill="auto"/>
            <w:noWrap/>
            <w:vAlign w:val="center"/>
            <w:hideMark/>
          </w:tcPr>
          <w:p w14:paraId="1BA11DFF"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932E82" w:rsidRPr="00437A10" w14:paraId="4183CABA" w14:textId="77777777" w:rsidTr="00932E82">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noWrap/>
            <w:hideMark/>
          </w:tcPr>
          <w:p w14:paraId="56E39B47" w14:textId="77777777" w:rsidR="00932E82" w:rsidRPr="00437A10" w:rsidRDefault="00932E82" w:rsidP="00932E82">
            <w:pPr>
              <w:jc w:val="center"/>
              <w:rPr>
                <w:rFonts w:ascii="Arial" w:hAnsi="Arial" w:cs="Arial"/>
                <w:sz w:val="18"/>
                <w:szCs w:val="18"/>
                <w:lang w:val="es-BO" w:eastAsia="es-BO"/>
              </w:rPr>
            </w:pPr>
            <w:r w:rsidRPr="00437A10">
              <w:rPr>
                <w:rFonts w:ascii="Arial" w:hAnsi="Arial" w:cs="Arial"/>
                <w:sz w:val="18"/>
                <w:szCs w:val="18"/>
                <w:lang w:val="es-BO" w:eastAsia="es-BO"/>
              </w:rPr>
              <w:t>3</w:t>
            </w:r>
          </w:p>
        </w:tc>
        <w:tc>
          <w:tcPr>
            <w:tcW w:w="1372" w:type="dxa"/>
            <w:tcBorders>
              <w:top w:val="nil"/>
              <w:left w:val="nil"/>
              <w:bottom w:val="single" w:sz="4" w:space="0" w:color="000000"/>
              <w:right w:val="single" w:sz="4" w:space="0" w:color="000000"/>
            </w:tcBorders>
            <w:shd w:val="clear" w:color="auto" w:fill="auto"/>
            <w:noWrap/>
            <w:vAlign w:val="center"/>
            <w:hideMark/>
          </w:tcPr>
          <w:p w14:paraId="74C8D40C"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88</w:t>
            </w:r>
          </w:p>
        </w:tc>
        <w:tc>
          <w:tcPr>
            <w:tcW w:w="1051" w:type="dxa"/>
            <w:tcBorders>
              <w:top w:val="nil"/>
              <w:left w:val="nil"/>
              <w:bottom w:val="single" w:sz="4" w:space="0" w:color="000000"/>
              <w:right w:val="single" w:sz="4" w:space="0" w:color="000000"/>
            </w:tcBorders>
            <w:shd w:val="clear" w:color="auto" w:fill="auto"/>
            <w:noWrap/>
            <w:vAlign w:val="center"/>
            <w:hideMark/>
          </w:tcPr>
          <w:p w14:paraId="577BC7B8"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12</w:t>
            </w:r>
          </w:p>
        </w:tc>
        <w:tc>
          <w:tcPr>
            <w:tcW w:w="913" w:type="dxa"/>
            <w:tcBorders>
              <w:top w:val="nil"/>
              <w:left w:val="nil"/>
              <w:bottom w:val="single" w:sz="4" w:space="0" w:color="000000"/>
              <w:right w:val="single" w:sz="4" w:space="0" w:color="000000"/>
            </w:tcBorders>
            <w:shd w:val="clear" w:color="auto" w:fill="auto"/>
            <w:noWrap/>
            <w:vAlign w:val="center"/>
            <w:hideMark/>
          </w:tcPr>
          <w:p w14:paraId="42A9C552"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414" w:type="dxa"/>
            <w:tcBorders>
              <w:top w:val="nil"/>
              <w:left w:val="nil"/>
              <w:bottom w:val="single" w:sz="4" w:space="0" w:color="000000"/>
              <w:right w:val="single" w:sz="4" w:space="0" w:color="000000"/>
            </w:tcBorders>
            <w:shd w:val="clear" w:color="auto" w:fill="auto"/>
            <w:noWrap/>
            <w:vAlign w:val="center"/>
            <w:hideMark/>
          </w:tcPr>
          <w:p w14:paraId="0603AEB6"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91</w:t>
            </w:r>
          </w:p>
        </w:tc>
        <w:tc>
          <w:tcPr>
            <w:tcW w:w="1051" w:type="dxa"/>
            <w:tcBorders>
              <w:top w:val="nil"/>
              <w:left w:val="nil"/>
              <w:bottom w:val="single" w:sz="4" w:space="0" w:color="000000"/>
              <w:right w:val="single" w:sz="4" w:space="0" w:color="000000"/>
            </w:tcBorders>
            <w:shd w:val="clear" w:color="auto" w:fill="auto"/>
            <w:noWrap/>
            <w:vAlign w:val="center"/>
            <w:hideMark/>
          </w:tcPr>
          <w:p w14:paraId="56524060"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9</w:t>
            </w:r>
          </w:p>
        </w:tc>
        <w:tc>
          <w:tcPr>
            <w:tcW w:w="792" w:type="dxa"/>
            <w:gridSpan w:val="2"/>
            <w:tcBorders>
              <w:top w:val="nil"/>
              <w:left w:val="nil"/>
              <w:bottom w:val="single" w:sz="4" w:space="0" w:color="000000"/>
              <w:right w:val="single" w:sz="4" w:space="0" w:color="000000"/>
            </w:tcBorders>
            <w:shd w:val="clear" w:color="auto" w:fill="auto"/>
            <w:noWrap/>
            <w:vAlign w:val="center"/>
            <w:hideMark/>
          </w:tcPr>
          <w:p w14:paraId="2C7C8EEC"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932E82" w:rsidRPr="00437A10" w14:paraId="3F4DCDED" w14:textId="77777777" w:rsidTr="00932E82">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noWrap/>
            <w:hideMark/>
          </w:tcPr>
          <w:p w14:paraId="780516FC" w14:textId="77777777" w:rsidR="00932E82" w:rsidRPr="00437A10" w:rsidRDefault="00932E82" w:rsidP="00932E82">
            <w:pPr>
              <w:jc w:val="center"/>
              <w:rPr>
                <w:rFonts w:ascii="Arial" w:hAnsi="Arial" w:cs="Arial"/>
                <w:sz w:val="18"/>
                <w:szCs w:val="18"/>
                <w:lang w:val="es-BO" w:eastAsia="es-BO"/>
              </w:rPr>
            </w:pPr>
            <w:r w:rsidRPr="00437A10">
              <w:rPr>
                <w:rFonts w:ascii="Arial" w:hAnsi="Arial" w:cs="Arial"/>
                <w:sz w:val="18"/>
                <w:szCs w:val="18"/>
                <w:lang w:val="es-BO" w:eastAsia="es-BO"/>
              </w:rPr>
              <w:t>4</w:t>
            </w:r>
          </w:p>
        </w:tc>
        <w:tc>
          <w:tcPr>
            <w:tcW w:w="1372" w:type="dxa"/>
            <w:tcBorders>
              <w:top w:val="nil"/>
              <w:left w:val="nil"/>
              <w:bottom w:val="single" w:sz="4" w:space="0" w:color="000000"/>
              <w:right w:val="single" w:sz="4" w:space="0" w:color="000000"/>
            </w:tcBorders>
            <w:shd w:val="clear" w:color="auto" w:fill="auto"/>
            <w:noWrap/>
            <w:vAlign w:val="center"/>
            <w:hideMark/>
          </w:tcPr>
          <w:p w14:paraId="764FC472"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80</w:t>
            </w:r>
          </w:p>
        </w:tc>
        <w:tc>
          <w:tcPr>
            <w:tcW w:w="1051" w:type="dxa"/>
            <w:tcBorders>
              <w:top w:val="nil"/>
              <w:left w:val="nil"/>
              <w:bottom w:val="single" w:sz="4" w:space="0" w:color="000000"/>
              <w:right w:val="single" w:sz="4" w:space="0" w:color="000000"/>
            </w:tcBorders>
            <w:shd w:val="clear" w:color="auto" w:fill="auto"/>
            <w:noWrap/>
            <w:vAlign w:val="center"/>
            <w:hideMark/>
          </w:tcPr>
          <w:p w14:paraId="6D302FD7"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20</w:t>
            </w:r>
          </w:p>
        </w:tc>
        <w:tc>
          <w:tcPr>
            <w:tcW w:w="913" w:type="dxa"/>
            <w:tcBorders>
              <w:top w:val="nil"/>
              <w:left w:val="nil"/>
              <w:bottom w:val="single" w:sz="4" w:space="0" w:color="000000"/>
              <w:right w:val="single" w:sz="4" w:space="0" w:color="000000"/>
            </w:tcBorders>
            <w:shd w:val="clear" w:color="auto" w:fill="auto"/>
            <w:noWrap/>
            <w:vAlign w:val="center"/>
            <w:hideMark/>
          </w:tcPr>
          <w:p w14:paraId="6CA830A2"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414" w:type="dxa"/>
            <w:tcBorders>
              <w:top w:val="nil"/>
              <w:left w:val="nil"/>
              <w:bottom w:val="single" w:sz="4" w:space="0" w:color="000000"/>
              <w:right w:val="single" w:sz="4" w:space="0" w:color="000000"/>
            </w:tcBorders>
            <w:shd w:val="clear" w:color="auto" w:fill="auto"/>
            <w:noWrap/>
            <w:vAlign w:val="center"/>
            <w:hideMark/>
          </w:tcPr>
          <w:p w14:paraId="0B5E957D"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88</w:t>
            </w:r>
          </w:p>
        </w:tc>
        <w:tc>
          <w:tcPr>
            <w:tcW w:w="1051" w:type="dxa"/>
            <w:tcBorders>
              <w:top w:val="nil"/>
              <w:left w:val="nil"/>
              <w:bottom w:val="single" w:sz="4" w:space="0" w:color="000000"/>
              <w:right w:val="single" w:sz="4" w:space="0" w:color="000000"/>
            </w:tcBorders>
            <w:shd w:val="clear" w:color="auto" w:fill="auto"/>
            <w:noWrap/>
            <w:vAlign w:val="center"/>
            <w:hideMark/>
          </w:tcPr>
          <w:p w14:paraId="46999FC5"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12</w:t>
            </w:r>
          </w:p>
        </w:tc>
        <w:tc>
          <w:tcPr>
            <w:tcW w:w="792" w:type="dxa"/>
            <w:gridSpan w:val="2"/>
            <w:tcBorders>
              <w:top w:val="nil"/>
              <w:left w:val="nil"/>
              <w:bottom w:val="single" w:sz="4" w:space="0" w:color="000000"/>
              <w:right w:val="single" w:sz="4" w:space="0" w:color="000000"/>
            </w:tcBorders>
            <w:shd w:val="clear" w:color="auto" w:fill="auto"/>
            <w:noWrap/>
            <w:vAlign w:val="center"/>
            <w:hideMark/>
          </w:tcPr>
          <w:p w14:paraId="0E932DB9"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932E82" w:rsidRPr="00437A10" w14:paraId="3F845D1D" w14:textId="77777777" w:rsidTr="00932E82">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noWrap/>
            <w:hideMark/>
          </w:tcPr>
          <w:p w14:paraId="26E1CE06" w14:textId="77777777" w:rsidR="00932E82" w:rsidRPr="00437A10" w:rsidRDefault="00932E82" w:rsidP="00932E82">
            <w:pPr>
              <w:jc w:val="center"/>
              <w:rPr>
                <w:rFonts w:ascii="Arial" w:hAnsi="Arial" w:cs="Arial"/>
                <w:sz w:val="18"/>
                <w:szCs w:val="18"/>
                <w:lang w:val="es-BO" w:eastAsia="es-BO"/>
              </w:rPr>
            </w:pPr>
            <w:r w:rsidRPr="00437A10">
              <w:rPr>
                <w:rFonts w:ascii="Arial" w:hAnsi="Arial" w:cs="Arial"/>
                <w:sz w:val="18"/>
                <w:szCs w:val="18"/>
                <w:lang w:val="es-BO" w:eastAsia="es-BO"/>
              </w:rPr>
              <w:t>5</w:t>
            </w:r>
          </w:p>
        </w:tc>
        <w:tc>
          <w:tcPr>
            <w:tcW w:w="1372" w:type="dxa"/>
            <w:tcBorders>
              <w:top w:val="nil"/>
              <w:left w:val="nil"/>
              <w:bottom w:val="single" w:sz="4" w:space="0" w:color="000000"/>
              <w:right w:val="single" w:sz="4" w:space="0" w:color="000000"/>
            </w:tcBorders>
            <w:shd w:val="clear" w:color="auto" w:fill="auto"/>
            <w:noWrap/>
            <w:vAlign w:val="center"/>
            <w:hideMark/>
          </w:tcPr>
          <w:p w14:paraId="3FA97640"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71</w:t>
            </w:r>
          </w:p>
        </w:tc>
        <w:tc>
          <w:tcPr>
            <w:tcW w:w="1051"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632A4652"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29</w:t>
            </w:r>
          </w:p>
        </w:tc>
        <w:tc>
          <w:tcPr>
            <w:tcW w:w="913" w:type="dxa"/>
            <w:tcBorders>
              <w:top w:val="nil"/>
              <w:left w:val="nil"/>
              <w:bottom w:val="single" w:sz="4" w:space="0" w:color="000000"/>
              <w:right w:val="single" w:sz="4" w:space="0" w:color="000000"/>
            </w:tcBorders>
            <w:shd w:val="clear" w:color="auto" w:fill="auto"/>
            <w:noWrap/>
            <w:vAlign w:val="center"/>
            <w:hideMark/>
          </w:tcPr>
          <w:p w14:paraId="67D8A628"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414" w:type="dxa"/>
            <w:tcBorders>
              <w:top w:val="nil"/>
              <w:left w:val="nil"/>
              <w:bottom w:val="single" w:sz="4" w:space="0" w:color="000000"/>
              <w:right w:val="single" w:sz="4" w:space="0" w:color="000000"/>
            </w:tcBorders>
            <w:shd w:val="clear" w:color="auto" w:fill="auto"/>
            <w:noWrap/>
            <w:vAlign w:val="center"/>
            <w:hideMark/>
          </w:tcPr>
          <w:p w14:paraId="7D6B3BB9"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84</w:t>
            </w:r>
          </w:p>
        </w:tc>
        <w:tc>
          <w:tcPr>
            <w:tcW w:w="1051"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15DF1754"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16</w:t>
            </w:r>
          </w:p>
        </w:tc>
        <w:tc>
          <w:tcPr>
            <w:tcW w:w="792" w:type="dxa"/>
            <w:gridSpan w:val="2"/>
            <w:tcBorders>
              <w:top w:val="nil"/>
              <w:left w:val="nil"/>
              <w:bottom w:val="single" w:sz="4" w:space="0" w:color="000000"/>
              <w:right w:val="single" w:sz="4" w:space="0" w:color="000000"/>
            </w:tcBorders>
            <w:shd w:val="clear" w:color="auto" w:fill="auto"/>
            <w:noWrap/>
            <w:vAlign w:val="center"/>
            <w:hideMark/>
          </w:tcPr>
          <w:p w14:paraId="2A8EB361"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932E82" w:rsidRPr="00437A10" w14:paraId="532CBB21" w14:textId="77777777" w:rsidTr="00932E82">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noWrap/>
            <w:hideMark/>
          </w:tcPr>
          <w:p w14:paraId="53F5094F" w14:textId="77777777" w:rsidR="00932E82" w:rsidRPr="00437A10" w:rsidRDefault="00932E82" w:rsidP="00932E82">
            <w:pPr>
              <w:jc w:val="center"/>
              <w:rPr>
                <w:rFonts w:ascii="Arial" w:hAnsi="Arial" w:cs="Arial"/>
                <w:sz w:val="18"/>
                <w:szCs w:val="18"/>
                <w:lang w:val="es-BO" w:eastAsia="es-BO"/>
              </w:rPr>
            </w:pPr>
            <w:r w:rsidRPr="00437A10">
              <w:rPr>
                <w:rFonts w:ascii="Arial" w:hAnsi="Arial" w:cs="Arial"/>
                <w:sz w:val="18"/>
                <w:szCs w:val="18"/>
                <w:lang w:val="es-BO" w:eastAsia="es-BO"/>
              </w:rPr>
              <w:t>6</w:t>
            </w:r>
          </w:p>
        </w:tc>
        <w:tc>
          <w:tcPr>
            <w:tcW w:w="1372" w:type="dxa"/>
            <w:tcBorders>
              <w:top w:val="nil"/>
              <w:left w:val="nil"/>
              <w:bottom w:val="single" w:sz="4" w:space="0" w:color="000000"/>
              <w:right w:val="single" w:sz="4" w:space="0" w:color="000000"/>
            </w:tcBorders>
            <w:shd w:val="clear" w:color="auto" w:fill="auto"/>
            <w:noWrap/>
            <w:vAlign w:val="center"/>
            <w:hideMark/>
          </w:tcPr>
          <w:p w14:paraId="7A730B7D"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64</w:t>
            </w:r>
          </w:p>
        </w:tc>
        <w:tc>
          <w:tcPr>
            <w:tcW w:w="1051"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2A8CBAEA"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36</w:t>
            </w:r>
          </w:p>
        </w:tc>
        <w:tc>
          <w:tcPr>
            <w:tcW w:w="913" w:type="dxa"/>
            <w:tcBorders>
              <w:top w:val="nil"/>
              <w:left w:val="nil"/>
              <w:bottom w:val="single" w:sz="4" w:space="0" w:color="000000"/>
              <w:right w:val="single" w:sz="4" w:space="0" w:color="000000"/>
            </w:tcBorders>
            <w:shd w:val="clear" w:color="auto" w:fill="auto"/>
            <w:noWrap/>
            <w:vAlign w:val="center"/>
            <w:hideMark/>
          </w:tcPr>
          <w:p w14:paraId="73EB6A43"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414" w:type="dxa"/>
            <w:tcBorders>
              <w:top w:val="nil"/>
              <w:left w:val="nil"/>
              <w:bottom w:val="single" w:sz="4" w:space="0" w:color="000000"/>
              <w:right w:val="single" w:sz="4" w:space="0" w:color="000000"/>
            </w:tcBorders>
            <w:shd w:val="clear" w:color="auto" w:fill="auto"/>
            <w:noWrap/>
            <w:vAlign w:val="center"/>
            <w:hideMark/>
          </w:tcPr>
          <w:p w14:paraId="29588294"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75</w:t>
            </w:r>
          </w:p>
        </w:tc>
        <w:tc>
          <w:tcPr>
            <w:tcW w:w="1051"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43963385"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25</w:t>
            </w:r>
          </w:p>
        </w:tc>
        <w:tc>
          <w:tcPr>
            <w:tcW w:w="792" w:type="dxa"/>
            <w:gridSpan w:val="2"/>
            <w:tcBorders>
              <w:top w:val="nil"/>
              <w:left w:val="nil"/>
              <w:bottom w:val="single" w:sz="4" w:space="0" w:color="000000"/>
              <w:right w:val="single" w:sz="4" w:space="0" w:color="000000"/>
            </w:tcBorders>
            <w:shd w:val="clear" w:color="auto" w:fill="auto"/>
            <w:noWrap/>
            <w:vAlign w:val="center"/>
            <w:hideMark/>
          </w:tcPr>
          <w:p w14:paraId="7443414A"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932E82" w:rsidRPr="00437A10" w14:paraId="01D9CBC1" w14:textId="77777777" w:rsidTr="00932E82">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noWrap/>
            <w:hideMark/>
          </w:tcPr>
          <w:p w14:paraId="7613B594" w14:textId="77777777" w:rsidR="00932E82" w:rsidRPr="00437A10" w:rsidRDefault="00932E82" w:rsidP="00932E82">
            <w:pPr>
              <w:jc w:val="center"/>
              <w:rPr>
                <w:rFonts w:ascii="Arial" w:hAnsi="Arial" w:cs="Arial"/>
                <w:sz w:val="18"/>
                <w:szCs w:val="18"/>
                <w:lang w:val="es-BO" w:eastAsia="es-BO"/>
              </w:rPr>
            </w:pPr>
            <w:r w:rsidRPr="00437A10">
              <w:rPr>
                <w:rFonts w:ascii="Arial" w:hAnsi="Arial" w:cs="Arial"/>
                <w:sz w:val="18"/>
                <w:szCs w:val="18"/>
                <w:lang w:val="es-BO" w:eastAsia="es-BO"/>
              </w:rPr>
              <w:t>De 7 a 14</w:t>
            </w:r>
          </w:p>
        </w:tc>
        <w:tc>
          <w:tcPr>
            <w:tcW w:w="1372" w:type="dxa"/>
            <w:tcBorders>
              <w:top w:val="nil"/>
              <w:left w:val="nil"/>
              <w:bottom w:val="single" w:sz="4" w:space="0" w:color="000000"/>
              <w:right w:val="single" w:sz="4" w:space="0" w:color="000000"/>
            </w:tcBorders>
            <w:shd w:val="clear" w:color="auto" w:fill="auto"/>
            <w:noWrap/>
            <w:vAlign w:val="center"/>
            <w:hideMark/>
          </w:tcPr>
          <w:p w14:paraId="6D29F1BD"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56</w:t>
            </w:r>
          </w:p>
        </w:tc>
        <w:tc>
          <w:tcPr>
            <w:tcW w:w="1051"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7D2BCCFA"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44</w:t>
            </w:r>
          </w:p>
        </w:tc>
        <w:tc>
          <w:tcPr>
            <w:tcW w:w="913" w:type="dxa"/>
            <w:tcBorders>
              <w:top w:val="nil"/>
              <w:left w:val="nil"/>
              <w:bottom w:val="single" w:sz="4" w:space="0" w:color="000000"/>
              <w:right w:val="single" w:sz="4" w:space="0" w:color="000000"/>
            </w:tcBorders>
            <w:shd w:val="clear" w:color="auto" w:fill="auto"/>
            <w:noWrap/>
            <w:vAlign w:val="center"/>
            <w:hideMark/>
          </w:tcPr>
          <w:p w14:paraId="146393A0"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414" w:type="dxa"/>
            <w:tcBorders>
              <w:top w:val="nil"/>
              <w:left w:val="nil"/>
              <w:bottom w:val="single" w:sz="4" w:space="0" w:color="000000"/>
              <w:right w:val="single" w:sz="4" w:space="0" w:color="000000"/>
            </w:tcBorders>
            <w:shd w:val="clear" w:color="auto" w:fill="auto"/>
            <w:noWrap/>
            <w:vAlign w:val="center"/>
            <w:hideMark/>
          </w:tcPr>
          <w:p w14:paraId="4B231DE4"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65</w:t>
            </w:r>
          </w:p>
        </w:tc>
        <w:tc>
          <w:tcPr>
            <w:tcW w:w="1051"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1D3E9995"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35</w:t>
            </w:r>
          </w:p>
        </w:tc>
        <w:tc>
          <w:tcPr>
            <w:tcW w:w="792" w:type="dxa"/>
            <w:gridSpan w:val="2"/>
            <w:tcBorders>
              <w:top w:val="nil"/>
              <w:left w:val="nil"/>
              <w:bottom w:val="single" w:sz="4" w:space="0" w:color="000000"/>
              <w:right w:val="single" w:sz="4" w:space="0" w:color="000000"/>
            </w:tcBorders>
            <w:shd w:val="clear" w:color="auto" w:fill="auto"/>
            <w:noWrap/>
            <w:vAlign w:val="center"/>
            <w:hideMark/>
          </w:tcPr>
          <w:p w14:paraId="0596B63C"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932E82" w:rsidRPr="00437A10" w14:paraId="41D33B3A" w14:textId="77777777" w:rsidTr="00932E82">
        <w:trPr>
          <w:trHeight w:val="315"/>
          <w:jc w:val="center"/>
        </w:trPr>
        <w:tc>
          <w:tcPr>
            <w:tcW w:w="1200" w:type="dxa"/>
            <w:tcBorders>
              <w:top w:val="nil"/>
              <w:left w:val="single" w:sz="4" w:space="0" w:color="000000"/>
              <w:bottom w:val="single" w:sz="4" w:space="0" w:color="000000"/>
              <w:right w:val="single" w:sz="4" w:space="0" w:color="000000"/>
            </w:tcBorders>
            <w:shd w:val="clear" w:color="auto" w:fill="auto"/>
            <w:hideMark/>
          </w:tcPr>
          <w:p w14:paraId="1B6A682F" w14:textId="77777777" w:rsidR="00932E82" w:rsidRPr="00437A10" w:rsidRDefault="00932E82" w:rsidP="00932E82">
            <w:pPr>
              <w:jc w:val="center"/>
              <w:rPr>
                <w:rFonts w:ascii="Arial" w:hAnsi="Arial" w:cs="Arial"/>
                <w:sz w:val="18"/>
                <w:szCs w:val="18"/>
                <w:lang w:val="es-BO" w:eastAsia="es-BO"/>
              </w:rPr>
            </w:pPr>
            <w:r w:rsidRPr="00437A10">
              <w:rPr>
                <w:rFonts w:ascii="Arial" w:hAnsi="Arial" w:cs="Arial"/>
                <w:sz w:val="18"/>
                <w:szCs w:val="18"/>
                <w:lang w:val="es-BO" w:eastAsia="es-BO"/>
              </w:rPr>
              <w:t>Total</w:t>
            </w:r>
          </w:p>
        </w:tc>
        <w:tc>
          <w:tcPr>
            <w:tcW w:w="1372" w:type="dxa"/>
            <w:tcBorders>
              <w:top w:val="nil"/>
              <w:left w:val="nil"/>
              <w:bottom w:val="single" w:sz="4" w:space="0" w:color="000000"/>
              <w:right w:val="single" w:sz="4" w:space="0" w:color="000000"/>
            </w:tcBorders>
            <w:shd w:val="clear" w:color="auto" w:fill="auto"/>
            <w:noWrap/>
            <w:vAlign w:val="center"/>
            <w:hideMark/>
          </w:tcPr>
          <w:p w14:paraId="5C2B87F9"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82</w:t>
            </w:r>
          </w:p>
        </w:tc>
        <w:tc>
          <w:tcPr>
            <w:tcW w:w="1051" w:type="dxa"/>
            <w:tcBorders>
              <w:top w:val="nil"/>
              <w:left w:val="nil"/>
              <w:bottom w:val="single" w:sz="4" w:space="0" w:color="000000"/>
              <w:right w:val="single" w:sz="4" w:space="0" w:color="000000"/>
            </w:tcBorders>
            <w:shd w:val="clear" w:color="auto" w:fill="auto"/>
            <w:noWrap/>
            <w:vAlign w:val="center"/>
            <w:hideMark/>
          </w:tcPr>
          <w:p w14:paraId="0D0C5572"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18</w:t>
            </w:r>
          </w:p>
        </w:tc>
        <w:tc>
          <w:tcPr>
            <w:tcW w:w="913" w:type="dxa"/>
            <w:tcBorders>
              <w:top w:val="nil"/>
              <w:left w:val="nil"/>
              <w:bottom w:val="single" w:sz="4" w:space="0" w:color="000000"/>
              <w:right w:val="single" w:sz="4" w:space="0" w:color="000000"/>
            </w:tcBorders>
            <w:shd w:val="clear" w:color="auto" w:fill="auto"/>
            <w:noWrap/>
            <w:vAlign w:val="center"/>
            <w:hideMark/>
          </w:tcPr>
          <w:p w14:paraId="2D369ECD"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414" w:type="dxa"/>
            <w:tcBorders>
              <w:top w:val="nil"/>
              <w:left w:val="nil"/>
              <w:bottom w:val="single" w:sz="4" w:space="0" w:color="000000"/>
              <w:right w:val="single" w:sz="4" w:space="0" w:color="000000"/>
            </w:tcBorders>
            <w:shd w:val="clear" w:color="auto" w:fill="auto"/>
            <w:noWrap/>
            <w:vAlign w:val="center"/>
            <w:hideMark/>
          </w:tcPr>
          <w:p w14:paraId="2376F4A4"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90</w:t>
            </w:r>
          </w:p>
        </w:tc>
        <w:tc>
          <w:tcPr>
            <w:tcW w:w="1051" w:type="dxa"/>
            <w:tcBorders>
              <w:top w:val="nil"/>
              <w:left w:val="nil"/>
              <w:bottom w:val="single" w:sz="4" w:space="0" w:color="000000"/>
              <w:right w:val="single" w:sz="4" w:space="0" w:color="000000"/>
            </w:tcBorders>
            <w:shd w:val="clear" w:color="auto" w:fill="auto"/>
            <w:noWrap/>
            <w:vAlign w:val="center"/>
            <w:hideMark/>
          </w:tcPr>
          <w:p w14:paraId="25940D13"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10</w:t>
            </w:r>
          </w:p>
        </w:tc>
        <w:tc>
          <w:tcPr>
            <w:tcW w:w="792" w:type="dxa"/>
            <w:gridSpan w:val="2"/>
            <w:tcBorders>
              <w:top w:val="nil"/>
              <w:left w:val="nil"/>
              <w:bottom w:val="single" w:sz="4" w:space="0" w:color="000000"/>
              <w:right w:val="single" w:sz="4" w:space="0" w:color="000000"/>
            </w:tcBorders>
            <w:shd w:val="clear" w:color="auto" w:fill="auto"/>
            <w:noWrap/>
            <w:vAlign w:val="center"/>
            <w:hideMark/>
          </w:tcPr>
          <w:p w14:paraId="3BC64F0B" w14:textId="77777777" w:rsidR="00932E82" w:rsidRPr="00437A10" w:rsidRDefault="00932E82" w:rsidP="00932E82">
            <w:pPr>
              <w:jc w:val="right"/>
              <w:rPr>
                <w:rFonts w:ascii="Arial" w:hAnsi="Arial" w:cs="Arial"/>
                <w:sz w:val="18"/>
                <w:szCs w:val="18"/>
                <w:lang w:val="es-BO" w:eastAsia="es-BO"/>
              </w:rPr>
            </w:pPr>
            <w:r w:rsidRPr="00437A10">
              <w:rPr>
                <w:rFonts w:ascii="Arial" w:hAnsi="Arial" w:cs="Arial"/>
                <w:sz w:val="18"/>
                <w:szCs w:val="18"/>
                <w:lang w:val="es-BO" w:eastAsia="es-BO"/>
              </w:rPr>
              <w:t>100</w:t>
            </w:r>
          </w:p>
        </w:tc>
      </w:tr>
    </w:tbl>
    <w:p w14:paraId="62DDFB6C" w14:textId="77777777" w:rsidR="00932E82" w:rsidRPr="00437A10" w:rsidRDefault="00932E82" w:rsidP="00932E82">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Fuente: Con base en Instituto Nacional de Estadística, Quillaguamán, 2023.</w:t>
      </w:r>
    </w:p>
    <w:p w14:paraId="5249C819" w14:textId="77777777" w:rsidR="00932E82" w:rsidRPr="00437A10" w:rsidRDefault="00932E82" w:rsidP="00561FB1">
      <w:pPr>
        <w:spacing w:after="160" w:line="259" w:lineRule="auto"/>
        <w:contextualSpacing/>
        <w:jc w:val="center"/>
        <w:rPr>
          <w:rFonts w:ascii="Arial" w:eastAsia="Calibri" w:hAnsi="Arial" w:cs="Arial"/>
          <w:sz w:val="22"/>
          <w:szCs w:val="22"/>
        </w:rPr>
      </w:pPr>
    </w:p>
    <w:p w14:paraId="674FD5B5" w14:textId="27993AE1" w:rsidR="00060A1F" w:rsidRPr="00437A10" w:rsidRDefault="0041623A" w:rsidP="0041623A">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Según la tenencia, el cuadro 6.2 muestra que la vivienda en a</w:t>
      </w:r>
      <w:r w:rsidR="00060A1F" w:rsidRPr="00437A10">
        <w:rPr>
          <w:rFonts w:ascii="Arial" w:eastAsia="Calibri" w:hAnsi="Arial" w:cs="Arial"/>
          <w:sz w:val="22"/>
          <w:szCs w:val="22"/>
        </w:rPr>
        <w:t xml:space="preserve">lquiler, </w:t>
      </w:r>
      <w:r w:rsidRPr="00437A10">
        <w:rPr>
          <w:rFonts w:ascii="Arial" w:eastAsia="Calibri" w:hAnsi="Arial" w:cs="Arial"/>
          <w:sz w:val="22"/>
          <w:szCs w:val="22"/>
        </w:rPr>
        <w:t>la vivien</w:t>
      </w:r>
      <w:r w:rsidR="00714A27" w:rsidRPr="00437A10">
        <w:rPr>
          <w:rFonts w:ascii="Arial" w:eastAsia="Calibri" w:hAnsi="Arial" w:cs="Arial"/>
          <w:sz w:val="22"/>
          <w:szCs w:val="22"/>
        </w:rPr>
        <w:t>da prestada y la categoría “O</w:t>
      </w:r>
      <w:r w:rsidR="008D55DD" w:rsidRPr="00437A10">
        <w:rPr>
          <w:rFonts w:ascii="Arial" w:eastAsia="Calibri" w:hAnsi="Arial" w:cs="Arial"/>
          <w:sz w:val="22"/>
          <w:szCs w:val="22"/>
        </w:rPr>
        <w:t>tra</w:t>
      </w:r>
      <w:r w:rsidRPr="00437A10">
        <w:rPr>
          <w:rFonts w:ascii="Arial" w:eastAsia="Calibri" w:hAnsi="Arial" w:cs="Arial"/>
          <w:sz w:val="22"/>
          <w:szCs w:val="22"/>
        </w:rPr>
        <w:t xml:space="preserve">” (cf. </w:t>
      </w:r>
      <w:r w:rsidRPr="00437A10">
        <w:rPr>
          <w:rFonts w:ascii="Arial" w:eastAsia="Calibri" w:hAnsi="Arial" w:cs="Arial"/>
          <w:i/>
          <w:sz w:val="22"/>
          <w:szCs w:val="22"/>
        </w:rPr>
        <w:t>infra</w:t>
      </w:r>
      <w:r w:rsidRPr="00437A10">
        <w:rPr>
          <w:rFonts w:ascii="Arial" w:eastAsia="Calibri" w:hAnsi="Arial" w:cs="Arial"/>
          <w:sz w:val="22"/>
          <w:szCs w:val="22"/>
        </w:rPr>
        <w:t>)</w:t>
      </w:r>
      <w:r w:rsidR="00DA0BC4" w:rsidRPr="00437A10">
        <w:rPr>
          <w:rFonts w:ascii="Arial" w:eastAsia="Calibri" w:hAnsi="Arial" w:cs="Arial"/>
          <w:sz w:val="22"/>
          <w:szCs w:val="22"/>
        </w:rPr>
        <w:t>,</w:t>
      </w:r>
      <w:r w:rsidRPr="00437A10">
        <w:rPr>
          <w:rFonts w:ascii="Arial" w:eastAsia="Calibri" w:hAnsi="Arial" w:cs="Arial"/>
          <w:sz w:val="22"/>
          <w:szCs w:val="22"/>
        </w:rPr>
        <w:t xml:space="preserve"> son en las que mayormente se presenta la inasequibilidad</w:t>
      </w:r>
      <w:r w:rsidR="00060A1F" w:rsidRPr="00437A10">
        <w:rPr>
          <w:rFonts w:ascii="Arial" w:eastAsia="Calibri" w:hAnsi="Arial" w:cs="Arial"/>
          <w:sz w:val="22"/>
          <w:szCs w:val="22"/>
        </w:rPr>
        <w:t xml:space="preserve">; en cambio, en el área rural, el mayor porcentaje de hogares que habita una vivienda inasequible corresponde a aquellos que cuentan con una vivienda propia, puesto que es poco común observar otro tipo de tenencia en </w:t>
      </w:r>
      <w:r w:rsidR="008D55DD" w:rsidRPr="00437A10">
        <w:rPr>
          <w:rFonts w:ascii="Arial" w:eastAsia="Calibri" w:hAnsi="Arial" w:cs="Arial"/>
          <w:sz w:val="22"/>
          <w:szCs w:val="22"/>
        </w:rPr>
        <w:t>dicha área</w:t>
      </w:r>
      <w:r w:rsidR="00060A1F" w:rsidRPr="00437A10">
        <w:rPr>
          <w:rFonts w:ascii="Arial" w:eastAsia="Calibri" w:hAnsi="Arial" w:cs="Arial"/>
          <w:sz w:val="22"/>
          <w:szCs w:val="22"/>
        </w:rPr>
        <w:t>.</w:t>
      </w:r>
    </w:p>
    <w:p w14:paraId="652BC71C" w14:textId="77777777" w:rsidR="00060A1F" w:rsidRPr="00437A10" w:rsidRDefault="00060A1F" w:rsidP="0041623A">
      <w:pPr>
        <w:spacing w:after="160" w:line="259" w:lineRule="auto"/>
        <w:contextualSpacing/>
        <w:jc w:val="both"/>
        <w:rPr>
          <w:rFonts w:ascii="Arial" w:eastAsia="Calibri" w:hAnsi="Arial" w:cs="Arial"/>
          <w:sz w:val="22"/>
          <w:szCs w:val="22"/>
        </w:rPr>
      </w:pPr>
    </w:p>
    <w:p w14:paraId="6214C0A4" w14:textId="642D481C" w:rsidR="00D0163F" w:rsidRPr="00437A10" w:rsidRDefault="00D0163F" w:rsidP="004C6A9F">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 xml:space="preserve">Cuadro </w:t>
      </w:r>
      <w:r w:rsidR="0041623A" w:rsidRPr="00437A10">
        <w:rPr>
          <w:rFonts w:ascii="Arial" w:eastAsia="Calibri" w:hAnsi="Arial" w:cs="Arial"/>
          <w:sz w:val="22"/>
          <w:szCs w:val="22"/>
        </w:rPr>
        <w:t>6.2</w:t>
      </w:r>
      <w:r w:rsidRPr="00437A10">
        <w:rPr>
          <w:rFonts w:ascii="Arial" w:eastAsia="Calibri" w:hAnsi="Arial" w:cs="Arial"/>
          <w:sz w:val="22"/>
          <w:szCs w:val="22"/>
        </w:rPr>
        <w:t>. Bolivia: Porcentaje de hogares por asequibilidad de la vivienda, según tenencia de la vivienda</w:t>
      </w:r>
      <w:r w:rsidR="004C6A9F" w:rsidRPr="00437A10">
        <w:rPr>
          <w:rFonts w:ascii="Arial" w:eastAsia="Calibri" w:hAnsi="Arial" w:cs="Arial"/>
          <w:sz w:val="22"/>
          <w:szCs w:val="22"/>
        </w:rPr>
        <w:t xml:space="preserve"> y área geográfica</w:t>
      </w:r>
      <w:r w:rsidRPr="00437A10">
        <w:rPr>
          <w:rFonts w:ascii="Arial" w:eastAsia="Calibri" w:hAnsi="Arial" w:cs="Arial"/>
          <w:sz w:val="22"/>
          <w:szCs w:val="22"/>
        </w:rPr>
        <w:t>, 2021</w:t>
      </w:r>
    </w:p>
    <w:tbl>
      <w:tblPr>
        <w:tblW w:w="8389" w:type="dxa"/>
        <w:tblInd w:w="-5" w:type="dxa"/>
        <w:tblCellMar>
          <w:left w:w="70" w:type="dxa"/>
          <w:right w:w="70" w:type="dxa"/>
        </w:tblCellMar>
        <w:tblLook w:val="04A0" w:firstRow="1" w:lastRow="0" w:firstColumn="1" w:lastColumn="0" w:noHBand="0" w:noVBand="1"/>
      </w:tblPr>
      <w:tblGrid>
        <w:gridCol w:w="2552"/>
        <w:gridCol w:w="992"/>
        <w:gridCol w:w="1134"/>
        <w:gridCol w:w="651"/>
        <w:gridCol w:w="1134"/>
        <w:gridCol w:w="1134"/>
        <w:gridCol w:w="792"/>
      </w:tblGrid>
      <w:tr w:rsidR="008D55DD" w:rsidRPr="00437A10" w14:paraId="5A8646A5" w14:textId="77777777" w:rsidTr="008D55DD">
        <w:trPr>
          <w:trHeight w:val="315"/>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744DA2F" w14:textId="77777777" w:rsidR="008D55DD" w:rsidRPr="00437A10" w:rsidRDefault="008D55DD" w:rsidP="008D55DD">
            <w:pPr>
              <w:jc w:val="center"/>
              <w:rPr>
                <w:rFonts w:ascii="Arial" w:hAnsi="Arial" w:cs="Arial"/>
                <w:sz w:val="18"/>
                <w:szCs w:val="18"/>
                <w:lang w:val="es-BO" w:eastAsia="es-BO"/>
              </w:rPr>
            </w:pPr>
            <w:r w:rsidRPr="00437A10">
              <w:rPr>
                <w:rFonts w:ascii="Arial" w:hAnsi="Arial" w:cs="Arial"/>
                <w:sz w:val="18"/>
                <w:szCs w:val="18"/>
                <w:lang w:val="es-BO" w:eastAsia="es-BO"/>
              </w:rPr>
              <w:t>La vivienda que ocupa el hogar es:</w:t>
            </w:r>
          </w:p>
        </w:tc>
        <w:tc>
          <w:tcPr>
            <w:tcW w:w="2126" w:type="dxa"/>
            <w:gridSpan w:val="2"/>
            <w:tcBorders>
              <w:top w:val="single" w:sz="4" w:space="0" w:color="000000"/>
              <w:left w:val="nil"/>
              <w:bottom w:val="single" w:sz="4" w:space="0" w:color="000000"/>
              <w:right w:val="single" w:sz="4" w:space="0" w:color="000000"/>
            </w:tcBorders>
            <w:shd w:val="clear" w:color="auto" w:fill="auto"/>
            <w:vAlign w:val="bottom"/>
            <w:hideMark/>
          </w:tcPr>
          <w:p w14:paraId="07731FD5" w14:textId="77777777" w:rsidR="008D55DD" w:rsidRPr="00437A10" w:rsidRDefault="008D55DD" w:rsidP="008D55DD">
            <w:pPr>
              <w:jc w:val="center"/>
              <w:rPr>
                <w:rFonts w:ascii="Arial" w:hAnsi="Arial" w:cs="Arial"/>
                <w:sz w:val="18"/>
                <w:szCs w:val="18"/>
                <w:lang w:val="es-BO" w:eastAsia="es-BO"/>
              </w:rPr>
            </w:pPr>
            <w:r w:rsidRPr="00437A10">
              <w:rPr>
                <w:rFonts w:ascii="Arial" w:hAnsi="Arial" w:cs="Arial"/>
                <w:sz w:val="18"/>
                <w:szCs w:val="18"/>
                <w:lang w:val="es-BO" w:eastAsia="es-BO"/>
              </w:rPr>
              <w:t>Área urbana</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698F14A" w14:textId="77777777" w:rsidR="008D55DD" w:rsidRPr="00437A10" w:rsidRDefault="008D55DD" w:rsidP="008D55DD">
            <w:pPr>
              <w:jc w:val="center"/>
              <w:rPr>
                <w:rFonts w:ascii="Arial" w:hAnsi="Arial" w:cs="Arial"/>
                <w:sz w:val="18"/>
                <w:szCs w:val="18"/>
                <w:lang w:val="es-BO" w:eastAsia="es-BO"/>
              </w:rPr>
            </w:pPr>
            <w:r w:rsidRPr="00437A10">
              <w:rPr>
                <w:rFonts w:ascii="Arial" w:hAnsi="Arial" w:cs="Arial"/>
                <w:sz w:val="18"/>
                <w:szCs w:val="18"/>
                <w:lang w:val="es-BO" w:eastAsia="es-BO"/>
              </w:rPr>
              <w:t>Total</w:t>
            </w:r>
          </w:p>
        </w:tc>
        <w:tc>
          <w:tcPr>
            <w:tcW w:w="2268" w:type="dxa"/>
            <w:gridSpan w:val="2"/>
            <w:tcBorders>
              <w:top w:val="single" w:sz="4" w:space="0" w:color="000000"/>
              <w:left w:val="nil"/>
              <w:bottom w:val="single" w:sz="4" w:space="0" w:color="000000"/>
              <w:right w:val="single" w:sz="4" w:space="0" w:color="000000"/>
            </w:tcBorders>
            <w:shd w:val="clear" w:color="auto" w:fill="auto"/>
            <w:vAlign w:val="bottom"/>
            <w:hideMark/>
          </w:tcPr>
          <w:p w14:paraId="146D8598" w14:textId="77777777" w:rsidR="008D55DD" w:rsidRPr="00437A10" w:rsidRDefault="008D55DD" w:rsidP="008D55DD">
            <w:pPr>
              <w:jc w:val="center"/>
              <w:rPr>
                <w:rFonts w:ascii="Arial" w:hAnsi="Arial" w:cs="Arial"/>
                <w:sz w:val="18"/>
                <w:szCs w:val="18"/>
                <w:lang w:val="es-BO" w:eastAsia="es-BO"/>
              </w:rPr>
            </w:pPr>
            <w:r w:rsidRPr="00437A10">
              <w:rPr>
                <w:rFonts w:ascii="Arial" w:hAnsi="Arial" w:cs="Arial"/>
                <w:sz w:val="18"/>
                <w:szCs w:val="18"/>
                <w:lang w:val="es-BO" w:eastAsia="es-BO"/>
              </w:rPr>
              <w:t>Área rural</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8AAC64D" w14:textId="77777777" w:rsidR="008D55DD" w:rsidRPr="00437A10" w:rsidRDefault="008D55DD" w:rsidP="008D55DD">
            <w:pPr>
              <w:jc w:val="center"/>
              <w:rPr>
                <w:rFonts w:ascii="Arial" w:hAnsi="Arial" w:cs="Arial"/>
                <w:sz w:val="18"/>
                <w:szCs w:val="18"/>
                <w:lang w:val="es-BO" w:eastAsia="es-BO"/>
              </w:rPr>
            </w:pPr>
            <w:r w:rsidRPr="00437A10">
              <w:rPr>
                <w:rFonts w:ascii="Arial" w:hAnsi="Arial" w:cs="Arial"/>
                <w:sz w:val="18"/>
                <w:szCs w:val="18"/>
                <w:lang w:val="es-BO" w:eastAsia="es-BO"/>
              </w:rPr>
              <w:t>Total</w:t>
            </w:r>
          </w:p>
        </w:tc>
      </w:tr>
      <w:tr w:rsidR="008D55DD" w:rsidRPr="00437A10" w14:paraId="2B6ACFBB" w14:textId="77777777" w:rsidTr="008D55DD">
        <w:trPr>
          <w:trHeight w:val="51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6C511D80" w14:textId="77777777" w:rsidR="008D55DD" w:rsidRPr="00437A10" w:rsidRDefault="008D55DD" w:rsidP="008D55DD">
            <w:pPr>
              <w:rPr>
                <w:rFonts w:ascii="Arial" w:hAnsi="Arial" w:cs="Arial"/>
                <w:sz w:val="18"/>
                <w:szCs w:val="18"/>
                <w:lang w:val="es-BO" w:eastAsia="es-BO"/>
              </w:rPr>
            </w:pPr>
          </w:p>
        </w:tc>
        <w:tc>
          <w:tcPr>
            <w:tcW w:w="992" w:type="dxa"/>
            <w:tcBorders>
              <w:top w:val="nil"/>
              <w:left w:val="nil"/>
              <w:bottom w:val="single" w:sz="4" w:space="0" w:color="000000"/>
              <w:right w:val="single" w:sz="4" w:space="0" w:color="000000"/>
            </w:tcBorders>
            <w:shd w:val="clear" w:color="auto" w:fill="auto"/>
            <w:noWrap/>
            <w:vAlign w:val="bottom"/>
            <w:hideMark/>
          </w:tcPr>
          <w:p w14:paraId="7EE5B779" w14:textId="77777777" w:rsidR="008D55DD" w:rsidRPr="00437A10" w:rsidRDefault="008D55DD" w:rsidP="008D55DD">
            <w:pPr>
              <w:jc w:val="cente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134" w:type="dxa"/>
            <w:tcBorders>
              <w:top w:val="nil"/>
              <w:left w:val="nil"/>
              <w:bottom w:val="single" w:sz="4" w:space="0" w:color="000000"/>
              <w:right w:val="single" w:sz="4" w:space="0" w:color="000000"/>
            </w:tcBorders>
            <w:shd w:val="clear" w:color="auto" w:fill="auto"/>
            <w:noWrap/>
            <w:vAlign w:val="bottom"/>
            <w:hideMark/>
          </w:tcPr>
          <w:p w14:paraId="4DBCA673" w14:textId="77777777" w:rsidR="008D55DD" w:rsidRPr="00437A10" w:rsidRDefault="008D55DD" w:rsidP="008D55DD">
            <w:pPr>
              <w:jc w:val="cente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651" w:type="dxa"/>
            <w:tcBorders>
              <w:top w:val="single" w:sz="4" w:space="0" w:color="000000"/>
              <w:left w:val="single" w:sz="4" w:space="0" w:color="000000"/>
              <w:bottom w:val="single" w:sz="4" w:space="0" w:color="000000"/>
              <w:right w:val="single" w:sz="4" w:space="0" w:color="000000"/>
            </w:tcBorders>
            <w:vAlign w:val="center"/>
            <w:hideMark/>
          </w:tcPr>
          <w:p w14:paraId="594A6F9B" w14:textId="77777777" w:rsidR="008D55DD" w:rsidRPr="00437A10" w:rsidRDefault="008D55DD" w:rsidP="008D55DD">
            <w:pPr>
              <w:rPr>
                <w:rFonts w:ascii="Arial" w:hAnsi="Arial" w:cs="Arial"/>
                <w:sz w:val="18"/>
                <w:szCs w:val="18"/>
                <w:lang w:val="es-BO" w:eastAsia="es-BO"/>
              </w:rPr>
            </w:pPr>
          </w:p>
        </w:tc>
        <w:tc>
          <w:tcPr>
            <w:tcW w:w="1134" w:type="dxa"/>
            <w:tcBorders>
              <w:top w:val="nil"/>
              <w:left w:val="nil"/>
              <w:bottom w:val="single" w:sz="4" w:space="0" w:color="000000"/>
              <w:right w:val="single" w:sz="4" w:space="0" w:color="000000"/>
            </w:tcBorders>
            <w:shd w:val="clear" w:color="auto" w:fill="auto"/>
            <w:noWrap/>
            <w:vAlign w:val="bottom"/>
            <w:hideMark/>
          </w:tcPr>
          <w:p w14:paraId="17A86162" w14:textId="77777777" w:rsidR="008D55DD" w:rsidRPr="00437A10" w:rsidRDefault="008D55DD" w:rsidP="008D55DD">
            <w:pPr>
              <w:jc w:val="cente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134" w:type="dxa"/>
            <w:tcBorders>
              <w:top w:val="nil"/>
              <w:left w:val="nil"/>
              <w:bottom w:val="single" w:sz="4" w:space="0" w:color="000000"/>
              <w:right w:val="single" w:sz="4" w:space="0" w:color="000000"/>
            </w:tcBorders>
            <w:shd w:val="clear" w:color="auto" w:fill="auto"/>
            <w:noWrap/>
            <w:vAlign w:val="bottom"/>
            <w:hideMark/>
          </w:tcPr>
          <w:p w14:paraId="31AC9870" w14:textId="77777777" w:rsidR="008D55DD" w:rsidRPr="00437A10" w:rsidRDefault="008D55DD" w:rsidP="008D55DD">
            <w:pPr>
              <w:jc w:val="cente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4560BE21" w14:textId="77777777" w:rsidR="008D55DD" w:rsidRPr="00437A10" w:rsidRDefault="008D55DD" w:rsidP="008D55DD">
            <w:pPr>
              <w:rPr>
                <w:rFonts w:ascii="Arial" w:hAnsi="Arial" w:cs="Arial"/>
                <w:sz w:val="18"/>
                <w:szCs w:val="18"/>
                <w:lang w:val="es-BO" w:eastAsia="es-BO"/>
              </w:rPr>
            </w:pPr>
          </w:p>
        </w:tc>
      </w:tr>
      <w:tr w:rsidR="008D55DD" w:rsidRPr="00437A10" w14:paraId="51CE786A" w14:textId="77777777" w:rsidTr="008D55DD">
        <w:trPr>
          <w:trHeight w:val="423"/>
        </w:trPr>
        <w:tc>
          <w:tcPr>
            <w:tcW w:w="2552" w:type="dxa"/>
            <w:tcBorders>
              <w:top w:val="nil"/>
              <w:left w:val="single" w:sz="4" w:space="0" w:color="000000"/>
              <w:bottom w:val="single" w:sz="4" w:space="0" w:color="000000"/>
              <w:right w:val="single" w:sz="4" w:space="0" w:color="000000"/>
            </w:tcBorders>
            <w:shd w:val="clear" w:color="auto" w:fill="auto"/>
            <w:hideMark/>
          </w:tcPr>
          <w:p w14:paraId="3BB0074F" w14:textId="77777777" w:rsidR="008D55DD" w:rsidRPr="00437A10" w:rsidRDefault="008D55DD" w:rsidP="008D55DD">
            <w:pPr>
              <w:rPr>
                <w:rFonts w:ascii="Arial" w:hAnsi="Arial" w:cs="Arial"/>
                <w:sz w:val="18"/>
                <w:szCs w:val="18"/>
                <w:lang w:val="es-BO" w:eastAsia="es-BO"/>
              </w:rPr>
            </w:pPr>
            <w:r w:rsidRPr="00437A10">
              <w:rPr>
                <w:rFonts w:ascii="Arial" w:hAnsi="Arial" w:cs="Arial"/>
                <w:sz w:val="18"/>
                <w:szCs w:val="18"/>
                <w:lang w:val="es-BO" w:eastAsia="es-BO"/>
              </w:rPr>
              <w:t>1.¿Propia y totalmente pagada?</w:t>
            </w:r>
          </w:p>
        </w:tc>
        <w:tc>
          <w:tcPr>
            <w:tcW w:w="992" w:type="dxa"/>
            <w:tcBorders>
              <w:top w:val="nil"/>
              <w:left w:val="nil"/>
              <w:bottom w:val="single" w:sz="4" w:space="0" w:color="000000"/>
              <w:right w:val="single" w:sz="4" w:space="0" w:color="000000"/>
            </w:tcBorders>
            <w:shd w:val="clear" w:color="auto" w:fill="auto"/>
            <w:noWrap/>
            <w:vAlign w:val="center"/>
            <w:hideMark/>
          </w:tcPr>
          <w:p w14:paraId="6B153B63"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84,2</w:t>
            </w:r>
          </w:p>
        </w:tc>
        <w:tc>
          <w:tcPr>
            <w:tcW w:w="1134" w:type="dxa"/>
            <w:tcBorders>
              <w:top w:val="nil"/>
              <w:left w:val="nil"/>
              <w:bottom w:val="single" w:sz="4" w:space="0" w:color="000000"/>
              <w:right w:val="single" w:sz="4" w:space="0" w:color="000000"/>
            </w:tcBorders>
            <w:shd w:val="clear" w:color="auto" w:fill="auto"/>
            <w:noWrap/>
            <w:vAlign w:val="center"/>
            <w:hideMark/>
          </w:tcPr>
          <w:p w14:paraId="28942F11"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15,8</w:t>
            </w:r>
          </w:p>
        </w:tc>
        <w:tc>
          <w:tcPr>
            <w:tcW w:w="651" w:type="dxa"/>
            <w:tcBorders>
              <w:top w:val="nil"/>
              <w:left w:val="nil"/>
              <w:bottom w:val="single" w:sz="4" w:space="0" w:color="000000"/>
              <w:right w:val="single" w:sz="4" w:space="0" w:color="000000"/>
            </w:tcBorders>
            <w:shd w:val="clear" w:color="auto" w:fill="auto"/>
            <w:noWrap/>
            <w:vAlign w:val="center"/>
            <w:hideMark/>
          </w:tcPr>
          <w:p w14:paraId="57DE5A71"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084094E5"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89,0</w:t>
            </w:r>
          </w:p>
        </w:tc>
        <w:tc>
          <w:tcPr>
            <w:tcW w:w="1134"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309CC1A0"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11,0</w:t>
            </w:r>
          </w:p>
        </w:tc>
        <w:tc>
          <w:tcPr>
            <w:tcW w:w="792" w:type="dxa"/>
            <w:tcBorders>
              <w:top w:val="nil"/>
              <w:left w:val="nil"/>
              <w:bottom w:val="single" w:sz="4" w:space="0" w:color="000000"/>
              <w:right w:val="single" w:sz="4" w:space="0" w:color="000000"/>
            </w:tcBorders>
            <w:shd w:val="clear" w:color="auto" w:fill="auto"/>
            <w:noWrap/>
            <w:vAlign w:val="center"/>
            <w:hideMark/>
          </w:tcPr>
          <w:p w14:paraId="08BCE5F4"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100,0</w:t>
            </w:r>
          </w:p>
        </w:tc>
      </w:tr>
      <w:tr w:rsidR="008D55DD" w:rsidRPr="00437A10" w14:paraId="657F7E4D" w14:textId="77777777" w:rsidTr="008D55DD">
        <w:trPr>
          <w:trHeight w:val="289"/>
        </w:trPr>
        <w:tc>
          <w:tcPr>
            <w:tcW w:w="2552" w:type="dxa"/>
            <w:tcBorders>
              <w:top w:val="nil"/>
              <w:left w:val="single" w:sz="4" w:space="0" w:color="000000"/>
              <w:bottom w:val="single" w:sz="4" w:space="0" w:color="000000"/>
              <w:right w:val="single" w:sz="4" w:space="0" w:color="000000"/>
            </w:tcBorders>
            <w:shd w:val="clear" w:color="auto" w:fill="auto"/>
            <w:hideMark/>
          </w:tcPr>
          <w:p w14:paraId="78EE4BE0" w14:textId="77777777" w:rsidR="008D55DD" w:rsidRPr="00437A10" w:rsidRDefault="008D55DD" w:rsidP="008D55DD">
            <w:pPr>
              <w:rPr>
                <w:rFonts w:ascii="Arial" w:hAnsi="Arial" w:cs="Arial"/>
                <w:sz w:val="18"/>
                <w:szCs w:val="18"/>
                <w:lang w:val="es-BO" w:eastAsia="es-BO"/>
              </w:rPr>
            </w:pPr>
            <w:r w:rsidRPr="00437A10">
              <w:rPr>
                <w:rFonts w:ascii="Arial" w:hAnsi="Arial" w:cs="Arial"/>
                <w:sz w:val="18"/>
                <w:szCs w:val="18"/>
                <w:lang w:val="es-BO" w:eastAsia="es-BO"/>
              </w:rPr>
              <w:t>2.¿Propia y están pagando?</w:t>
            </w:r>
          </w:p>
        </w:tc>
        <w:tc>
          <w:tcPr>
            <w:tcW w:w="992" w:type="dxa"/>
            <w:tcBorders>
              <w:top w:val="nil"/>
              <w:left w:val="nil"/>
              <w:bottom w:val="single" w:sz="4" w:space="0" w:color="000000"/>
              <w:right w:val="single" w:sz="4" w:space="0" w:color="000000"/>
            </w:tcBorders>
            <w:shd w:val="clear" w:color="auto" w:fill="auto"/>
            <w:noWrap/>
            <w:vAlign w:val="center"/>
            <w:hideMark/>
          </w:tcPr>
          <w:p w14:paraId="68E1DA9E"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84,2</w:t>
            </w:r>
          </w:p>
        </w:tc>
        <w:tc>
          <w:tcPr>
            <w:tcW w:w="1134" w:type="dxa"/>
            <w:tcBorders>
              <w:top w:val="nil"/>
              <w:left w:val="nil"/>
              <w:bottom w:val="single" w:sz="4" w:space="0" w:color="000000"/>
              <w:right w:val="single" w:sz="4" w:space="0" w:color="000000"/>
            </w:tcBorders>
            <w:shd w:val="clear" w:color="auto" w:fill="auto"/>
            <w:noWrap/>
            <w:vAlign w:val="center"/>
            <w:hideMark/>
          </w:tcPr>
          <w:p w14:paraId="3B8CBE2F"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15,8</w:t>
            </w:r>
          </w:p>
        </w:tc>
        <w:tc>
          <w:tcPr>
            <w:tcW w:w="651" w:type="dxa"/>
            <w:tcBorders>
              <w:top w:val="nil"/>
              <w:left w:val="nil"/>
              <w:bottom w:val="single" w:sz="4" w:space="0" w:color="000000"/>
              <w:right w:val="single" w:sz="4" w:space="0" w:color="000000"/>
            </w:tcBorders>
            <w:shd w:val="clear" w:color="auto" w:fill="auto"/>
            <w:noWrap/>
            <w:vAlign w:val="center"/>
            <w:hideMark/>
          </w:tcPr>
          <w:p w14:paraId="2168E24C"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4FBE538D"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87,2</w:t>
            </w:r>
          </w:p>
        </w:tc>
        <w:tc>
          <w:tcPr>
            <w:tcW w:w="1134"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53982F2C"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12,8</w:t>
            </w:r>
          </w:p>
        </w:tc>
        <w:tc>
          <w:tcPr>
            <w:tcW w:w="792" w:type="dxa"/>
            <w:tcBorders>
              <w:top w:val="nil"/>
              <w:left w:val="nil"/>
              <w:bottom w:val="single" w:sz="4" w:space="0" w:color="000000"/>
              <w:right w:val="single" w:sz="4" w:space="0" w:color="000000"/>
            </w:tcBorders>
            <w:shd w:val="clear" w:color="auto" w:fill="auto"/>
            <w:noWrap/>
            <w:vAlign w:val="center"/>
            <w:hideMark/>
          </w:tcPr>
          <w:p w14:paraId="10569ADB"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100,0</w:t>
            </w:r>
          </w:p>
        </w:tc>
      </w:tr>
      <w:tr w:rsidR="008D55DD" w:rsidRPr="00437A10" w14:paraId="03F84B7A" w14:textId="77777777" w:rsidTr="008D55DD">
        <w:trPr>
          <w:trHeight w:val="267"/>
        </w:trPr>
        <w:tc>
          <w:tcPr>
            <w:tcW w:w="2552" w:type="dxa"/>
            <w:tcBorders>
              <w:top w:val="nil"/>
              <w:left w:val="single" w:sz="4" w:space="0" w:color="000000"/>
              <w:bottom w:val="single" w:sz="4" w:space="0" w:color="000000"/>
              <w:right w:val="single" w:sz="4" w:space="0" w:color="000000"/>
            </w:tcBorders>
            <w:shd w:val="clear" w:color="auto" w:fill="auto"/>
            <w:hideMark/>
          </w:tcPr>
          <w:p w14:paraId="671D3965" w14:textId="77777777" w:rsidR="008D55DD" w:rsidRPr="00437A10" w:rsidRDefault="008D55DD" w:rsidP="008D55DD">
            <w:pPr>
              <w:rPr>
                <w:rFonts w:ascii="Arial" w:hAnsi="Arial" w:cs="Arial"/>
                <w:sz w:val="18"/>
                <w:szCs w:val="18"/>
                <w:lang w:val="es-BO" w:eastAsia="es-BO"/>
              </w:rPr>
            </w:pPr>
            <w:r w:rsidRPr="00437A10">
              <w:rPr>
                <w:rFonts w:ascii="Arial" w:hAnsi="Arial" w:cs="Arial"/>
                <w:sz w:val="18"/>
                <w:szCs w:val="18"/>
                <w:lang w:val="es-BO" w:eastAsia="es-BO"/>
              </w:rPr>
              <w:t>3.¿Alquilada?</w:t>
            </w:r>
          </w:p>
        </w:tc>
        <w:tc>
          <w:tcPr>
            <w:tcW w:w="992" w:type="dxa"/>
            <w:tcBorders>
              <w:top w:val="nil"/>
              <w:left w:val="nil"/>
              <w:bottom w:val="single" w:sz="4" w:space="0" w:color="000000"/>
              <w:right w:val="single" w:sz="4" w:space="0" w:color="000000"/>
            </w:tcBorders>
            <w:shd w:val="clear" w:color="auto" w:fill="auto"/>
            <w:noWrap/>
            <w:vAlign w:val="center"/>
            <w:hideMark/>
          </w:tcPr>
          <w:p w14:paraId="672FC755"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76,0</w:t>
            </w:r>
          </w:p>
        </w:tc>
        <w:tc>
          <w:tcPr>
            <w:tcW w:w="1134"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2EFEFA72"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24,0</w:t>
            </w:r>
          </w:p>
        </w:tc>
        <w:tc>
          <w:tcPr>
            <w:tcW w:w="651" w:type="dxa"/>
            <w:tcBorders>
              <w:top w:val="nil"/>
              <w:left w:val="nil"/>
              <w:bottom w:val="single" w:sz="4" w:space="0" w:color="000000"/>
              <w:right w:val="single" w:sz="4" w:space="0" w:color="000000"/>
            </w:tcBorders>
            <w:shd w:val="clear" w:color="auto" w:fill="auto"/>
            <w:noWrap/>
            <w:vAlign w:val="center"/>
            <w:hideMark/>
          </w:tcPr>
          <w:p w14:paraId="06DAB6D8"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0FA51E44"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95,7</w:t>
            </w:r>
          </w:p>
        </w:tc>
        <w:tc>
          <w:tcPr>
            <w:tcW w:w="1134" w:type="dxa"/>
            <w:tcBorders>
              <w:top w:val="nil"/>
              <w:left w:val="nil"/>
              <w:bottom w:val="single" w:sz="4" w:space="0" w:color="000000"/>
              <w:right w:val="single" w:sz="4" w:space="0" w:color="000000"/>
            </w:tcBorders>
            <w:shd w:val="clear" w:color="auto" w:fill="auto"/>
            <w:noWrap/>
            <w:vAlign w:val="center"/>
            <w:hideMark/>
          </w:tcPr>
          <w:p w14:paraId="4C86C71B"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4,3</w:t>
            </w:r>
          </w:p>
        </w:tc>
        <w:tc>
          <w:tcPr>
            <w:tcW w:w="792" w:type="dxa"/>
            <w:tcBorders>
              <w:top w:val="nil"/>
              <w:left w:val="nil"/>
              <w:bottom w:val="single" w:sz="4" w:space="0" w:color="000000"/>
              <w:right w:val="single" w:sz="4" w:space="0" w:color="000000"/>
            </w:tcBorders>
            <w:shd w:val="clear" w:color="auto" w:fill="auto"/>
            <w:noWrap/>
            <w:vAlign w:val="center"/>
            <w:hideMark/>
          </w:tcPr>
          <w:p w14:paraId="69913DAF"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100,0</w:t>
            </w:r>
          </w:p>
        </w:tc>
      </w:tr>
      <w:tr w:rsidR="008D55DD" w:rsidRPr="00437A10" w14:paraId="5E8D77D2" w14:textId="77777777" w:rsidTr="008D55DD">
        <w:trPr>
          <w:trHeight w:val="555"/>
        </w:trPr>
        <w:tc>
          <w:tcPr>
            <w:tcW w:w="2552" w:type="dxa"/>
            <w:tcBorders>
              <w:top w:val="nil"/>
              <w:left w:val="single" w:sz="4" w:space="0" w:color="000000"/>
              <w:bottom w:val="single" w:sz="4" w:space="0" w:color="000000"/>
              <w:right w:val="single" w:sz="4" w:space="0" w:color="000000"/>
            </w:tcBorders>
            <w:shd w:val="clear" w:color="auto" w:fill="auto"/>
            <w:hideMark/>
          </w:tcPr>
          <w:p w14:paraId="6774462F" w14:textId="5746B1A9" w:rsidR="008D55DD" w:rsidRPr="00437A10" w:rsidRDefault="008D55DD" w:rsidP="008D55DD">
            <w:pPr>
              <w:rPr>
                <w:rFonts w:ascii="Arial" w:hAnsi="Arial" w:cs="Arial"/>
                <w:sz w:val="18"/>
                <w:szCs w:val="18"/>
                <w:lang w:val="es-BO" w:eastAsia="es-BO"/>
              </w:rPr>
            </w:pPr>
            <w:r w:rsidRPr="00437A10">
              <w:rPr>
                <w:rFonts w:ascii="Arial" w:hAnsi="Arial" w:cs="Arial"/>
                <w:sz w:val="18"/>
                <w:szCs w:val="18"/>
                <w:lang w:val="es-BO" w:eastAsia="es-BO"/>
              </w:rPr>
              <w:t>4.¿En contrato Mixto (alquiler y anticrético)?</w:t>
            </w:r>
          </w:p>
        </w:tc>
        <w:tc>
          <w:tcPr>
            <w:tcW w:w="992" w:type="dxa"/>
            <w:tcBorders>
              <w:top w:val="nil"/>
              <w:left w:val="nil"/>
              <w:bottom w:val="single" w:sz="4" w:space="0" w:color="000000"/>
              <w:right w:val="single" w:sz="4" w:space="0" w:color="000000"/>
            </w:tcBorders>
            <w:shd w:val="clear" w:color="auto" w:fill="auto"/>
            <w:noWrap/>
            <w:vAlign w:val="center"/>
            <w:hideMark/>
          </w:tcPr>
          <w:p w14:paraId="72B5621F"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92,5</w:t>
            </w:r>
          </w:p>
        </w:tc>
        <w:tc>
          <w:tcPr>
            <w:tcW w:w="1134" w:type="dxa"/>
            <w:tcBorders>
              <w:top w:val="nil"/>
              <w:left w:val="nil"/>
              <w:bottom w:val="single" w:sz="4" w:space="0" w:color="000000"/>
              <w:right w:val="single" w:sz="4" w:space="0" w:color="000000"/>
            </w:tcBorders>
            <w:shd w:val="clear" w:color="auto" w:fill="auto"/>
            <w:noWrap/>
            <w:vAlign w:val="center"/>
            <w:hideMark/>
          </w:tcPr>
          <w:p w14:paraId="3382326D"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7,5</w:t>
            </w:r>
          </w:p>
        </w:tc>
        <w:tc>
          <w:tcPr>
            <w:tcW w:w="651" w:type="dxa"/>
            <w:tcBorders>
              <w:top w:val="nil"/>
              <w:left w:val="nil"/>
              <w:bottom w:val="single" w:sz="4" w:space="0" w:color="000000"/>
              <w:right w:val="single" w:sz="4" w:space="0" w:color="000000"/>
            </w:tcBorders>
            <w:shd w:val="clear" w:color="auto" w:fill="auto"/>
            <w:noWrap/>
            <w:vAlign w:val="center"/>
            <w:hideMark/>
          </w:tcPr>
          <w:p w14:paraId="24D5607B"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28E32334" w14:textId="77777777" w:rsidR="008D55DD" w:rsidRPr="00437A10" w:rsidRDefault="008D55DD" w:rsidP="008D55DD">
            <w:pPr>
              <w:rPr>
                <w:rFonts w:ascii="Arial" w:hAnsi="Arial" w:cs="Arial"/>
                <w:sz w:val="18"/>
                <w:szCs w:val="18"/>
                <w:lang w:val="es-BO" w:eastAsia="es-BO"/>
              </w:rPr>
            </w:pPr>
            <w:r w:rsidRPr="00437A10">
              <w:rPr>
                <w:rFonts w:ascii="Arial" w:hAnsi="Arial" w:cs="Arial"/>
                <w:sz w:val="18"/>
                <w:szCs w:val="18"/>
                <w:lang w:val="es-BO" w:eastAsia="es-BO"/>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2CCA5789" w14:textId="77777777" w:rsidR="008D55DD" w:rsidRPr="00437A10" w:rsidRDefault="008D55DD" w:rsidP="008D55DD">
            <w:pPr>
              <w:rPr>
                <w:rFonts w:ascii="Arial" w:hAnsi="Arial" w:cs="Arial"/>
                <w:sz w:val="18"/>
                <w:szCs w:val="18"/>
                <w:lang w:val="es-BO" w:eastAsia="es-BO"/>
              </w:rPr>
            </w:pPr>
            <w:r w:rsidRPr="00437A10">
              <w:rPr>
                <w:rFonts w:ascii="Arial" w:hAnsi="Arial" w:cs="Arial"/>
                <w:sz w:val="18"/>
                <w:szCs w:val="18"/>
                <w:lang w:val="es-BO" w:eastAsia="es-BO"/>
              </w:rPr>
              <w:t> </w:t>
            </w:r>
          </w:p>
        </w:tc>
        <w:tc>
          <w:tcPr>
            <w:tcW w:w="792" w:type="dxa"/>
            <w:tcBorders>
              <w:top w:val="nil"/>
              <w:left w:val="nil"/>
              <w:bottom w:val="single" w:sz="4" w:space="0" w:color="000000"/>
              <w:right w:val="single" w:sz="4" w:space="0" w:color="000000"/>
            </w:tcBorders>
            <w:shd w:val="clear" w:color="auto" w:fill="auto"/>
            <w:noWrap/>
            <w:vAlign w:val="center"/>
            <w:hideMark/>
          </w:tcPr>
          <w:p w14:paraId="698CEDD8" w14:textId="77777777" w:rsidR="008D55DD" w:rsidRPr="00437A10" w:rsidRDefault="008D55DD" w:rsidP="008D55DD">
            <w:pPr>
              <w:rPr>
                <w:rFonts w:ascii="Arial" w:hAnsi="Arial" w:cs="Arial"/>
                <w:sz w:val="18"/>
                <w:szCs w:val="18"/>
                <w:lang w:val="es-BO" w:eastAsia="es-BO"/>
              </w:rPr>
            </w:pPr>
            <w:r w:rsidRPr="00437A10">
              <w:rPr>
                <w:rFonts w:ascii="Arial" w:hAnsi="Arial" w:cs="Arial"/>
                <w:sz w:val="18"/>
                <w:szCs w:val="18"/>
                <w:lang w:val="es-BO" w:eastAsia="es-BO"/>
              </w:rPr>
              <w:t> </w:t>
            </w:r>
          </w:p>
        </w:tc>
      </w:tr>
      <w:tr w:rsidR="008D55DD" w:rsidRPr="00437A10" w14:paraId="3080D681" w14:textId="77777777" w:rsidTr="008D55DD">
        <w:trPr>
          <w:trHeight w:val="277"/>
        </w:trPr>
        <w:tc>
          <w:tcPr>
            <w:tcW w:w="2552" w:type="dxa"/>
            <w:tcBorders>
              <w:top w:val="nil"/>
              <w:left w:val="single" w:sz="4" w:space="0" w:color="000000"/>
              <w:bottom w:val="single" w:sz="4" w:space="0" w:color="000000"/>
              <w:right w:val="single" w:sz="4" w:space="0" w:color="000000"/>
            </w:tcBorders>
            <w:shd w:val="clear" w:color="auto" w:fill="auto"/>
            <w:hideMark/>
          </w:tcPr>
          <w:p w14:paraId="743A92E5" w14:textId="6A16C89F" w:rsidR="008D55DD" w:rsidRPr="00437A10" w:rsidRDefault="008D55DD" w:rsidP="008D55DD">
            <w:pPr>
              <w:rPr>
                <w:rFonts w:ascii="Arial" w:hAnsi="Arial" w:cs="Arial"/>
                <w:sz w:val="18"/>
                <w:szCs w:val="18"/>
                <w:lang w:val="es-BO" w:eastAsia="es-BO"/>
              </w:rPr>
            </w:pPr>
            <w:r w:rsidRPr="00437A10">
              <w:rPr>
                <w:rFonts w:ascii="Arial" w:hAnsi="Arial" w:cs="Arial"/>
                <w:sz w:val="18"/>
                <w:szCs w:val="18"/>
                <w:lang w:val="es-BO" w:eastAsia="es-BO"/>
              </w:rPr>
              <w:t>5.¿En contrato anticrético?</w:t>
            </w:r>
          </w:p>
        </w:tc>
        <w:tc>
          <w:tcPr>
            <w:tcW w:w="992" w:type="dxa"/>
            <w:tcBorders>
              <w:top w:val="nil"/>
              <w:left w:val="nil"/>
              <w:bottom w:val="single" w:sz="4" w:space="0" w:color="000000"/>
              <w:right w:val="single" w:sz="4" w:space="0" w:color="000000"/>
            </w:tcBorders>
            <w:shd w:val="clear" w:color="auto" w:fill="auto"/>
            <w:noWrap/>
            <w:vAlign w:val="center"/>
            <w:hideMark/>
          </w:tcPr>
          <w:p w14:paraId="062252B5"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89,6</w:t>
            </w:r>
          </w:p>
        </w:tc>
        <w:tc>
          <w:tcPr>
            <w:tcW w:w="1134" w:type="dxa"/>
            <w:tcBorders>
              <w:top w:val="nil"/>
              <w:left w:val="nil"/>
              <w:bottom w:val="single" w:sz="4" w:space="0" w:color="000000"/>
              <w:right w:val="single" w:sz="4" w:space="0" w:color="000000"/>
            </w:tcBorders>
            <w:shd w:val="clear" w:color="auto" w:fill="auto"/>
            <w:noWrap/>
            <w:vAlign w:val="center"/>
            <w:hideMark/>
          </w:tcPr>
          <w:p w14:paraId="6DCB9270"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10,4</w:t>
            </w:r>
          </w:p>
        </w:tc>
        <w:tc>
          <w:tcPr>
            <w:tcW w:w="651" w:type="dxa"/>
            <w:tcBorders>
              <w:top w:val="nil"/>
              <w:left w:val="nil"/>
              <w:bottom w:val="single" w:sz="4" w:space="0" w:color="000000"/>
              <w:right w:val="single" w:sz="4" w:space="0" w:color="000000"/>
            </w:tcBorders>
            <w:shd w:val="clear" w:color="auto" w:fill="auto"/>
            <w:noWrap/>
            <w:vAlign w:val="center"/>
            <w:hideMark/>
          </w:tcPr>
          <w:p w14:paraId="35BDC4BB"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4C30FF18"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0EB7084C"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0,0</w:t>
            </w:r>
          </w:p>
        </w:tc>
        <w:tc>
          <w:tcPr>
            <w:tcW w:w="792" w:type="dxa"/>
            <w:tcBorders>
              <w:top w:val="nil"/>
              <w:left w:val="nil"/>
              <w:bottom w:val="single" w:sz="4" w:space="0" w:color="000000"/>
              <w:right w:val="single" w:sz="4" w:space="0" w:color="000000"/>
            </w:tcBorders>
            <w:shd w:val="clear" w:color="auto" w:fill="auto"/>
            <w:noWrap/>
            <w:vAlign w:val="center"/>
            <w:hideMark/>
          </w:tcPr>
          <w:p w14:paraId="1EC61784"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100,0</w:t>
            </w:r>
          </w:p>
        </w:tc>
      </w:tr>
      <w:tr w:rsidR="008D55DD" w:rsidRPr="00437A10" w14:paraId="08DFBF4C" w14:textId="77777777" w:rsidTr="008D55DD">
        <w:trPr>
          <w:trHeight w:val="267"/>
        </w:trPr>
        <w:tc>
          <w:tcPr>
            <w:tcW w:w="2552" w:type="dxa"/>
            <w:tcBorders>
              <w:top w:val="nil"/>
              <w:left w:val="single" w:sz="4" w:space="0" w:color="000000"/>
              <w:bottom w:val="single" w:sz="4" w:space="0" w:color="000000"/>
              <w:right w:val="single" w:sz="4" w:space="0" w:color="000000"/>
            </w:tcBorders>
            <w:shd w:val="clear" w:color="auto" w:fill="auto"/>
            <w:hideMark/>
          </w:tcPr>
          <w:p w14:paraId="59B1EB81" w14:textId="77777777" w:rsidR="008D55DD" w:rsidRPr="00437A10" w:rsidRDefault="008D55DD" w:rsidP="008D55DD">
            <w:pPr>
              <w:rPr>
                <w:rFonts w:ascii="Arial" w:hAnsi="Arial" w:cs="Arial"/>
                <w:sz w:val="18"/>
                <w:szCs w:val="18"/>
                <w:lang w:val="es-BO" w:eastAsia="es-BO"/>
              </w:rPr>
            </w:pPr>
            <w:r w:rsidRPr="00437A10">
              <w:rPr>
                <w:rFonts w:ascii="Arial" w:hAnsi="Arial" w:cs="Arial"/>
                <w:sz w:val="18"/>
                <w:szCs w:val="18"/>
                <w:lang w:val="es-BO" w:eastAsia="es-BO"/>
              </w:rPr>
              <w:t>6.¿Cedida por servicios?</w:t>
            </w:r>
          </w:p>
        </w:tc>
        <w:tc>
          <w:tcPr>
            <w:tcW w:w="992" w:type="dxa"/>
            <w:tcBorders>
              <w:top w:val="nil"/>
              <w:left w:val="nil"/>
              <w:bottom w:val="single" w:sz="4" w:space="0" w:color="000000"/>
              <w:right w:val="single" w:sz="4" w:space="0" w:color="000000"/>
            </w:tcBorders>
            <w:shd w:val="clear" w:color="auto" w:fill="auto"/>
            <w:noWrap/>
            <w:vAlign w:val="center"/>
            <w:hideMark/>
          </w:tcPr>
          <w:p w14:paraId="19A48922"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83,4</w:t>
            </w:r>
          </w:p>
        </w:tc>
        <w:tc>
          <w:tcPr>
            <w:tcW w:w="1134" w:type="dxa"/>
            <w:tcBorders>
              <w:top w:val="nil"/>
              <w:left w:val="nil"/>
              <w:bottom w:val="single" w:sz="4" w:space="0" w:color="000000"/>
              <w:right w:val="single" w:sz="4" w:space="0" w:color="000000"/>
            </w:tcBorders>
            <w:shd w:val="clear" w:color="auto" w:fill="auto"/>
            <w:noWrap/>
            <w:vAlign w:val="center"/>
            <w:hideMark/>
          </w:tcPr>
          <w:p w14:paraId="582DABF3"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16,6</w:t>
            </w:r>
          </w:p>
        </w:tc>
        <w:tc>
          <w:tcPr>
            <w:tcW w:w="651" w:type="dxa"/>
            <w:tcBorders>
              <w:top w:val="nil"/>
              <w:left w:val="nil"/>
              <w:bottom w:val="single" w:sz="4" w:space="0" w:color="000000"/>
              <w:right w:val="single" w:sz="4" w:space="0" w:color="000000"/>
            </w:tcBorders>
            <w:shd w:val="clear" w:color="auto" w:fill="auto"/>
            <w:noWrap/>
            <w:vAlign w:val="center"/>
            <w:hideMark/>
          </w:tcPr>
          <w:p w14:paraId="6B2A77DF"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574583BF"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99,1</w:t>
            </w:r>
          </w:p>
        </w:tc>
        <w:tc>
          <w:tcPr>
            <w:tcW w:w="1134" w:type="dxa"/>
            <w:tcBorders>
              <w:top w:val="nil"/>
              <w:left w:val="nil"/>
              <w:bottom w:val="single" w:sz="4" w:space="0" w:color="000000"/>
              <w:right w:val="single" w:sz="4" w:space="0" w:color="000000"/>
            </w:tcBorders>
            <w:shd w:val="clear" w:color="auto" w:fill="auto"/>
            <w:noWrap/>
            <w:vAlign w:val="center"/>
            <w:hideMark/>
          </w:tcPr>
          <w:p w14:paraId="20DC1938"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0,9</w:t>
            </w:r>
          </w:p>
        </w:tc>
        <w:tc>
          <w:tcPr>
            <w:tcW w:w="792" w:type="dxa"/>
            <w:tcBorders>
              <w:top w:val="nil"/>
              <w:left w:val="nil"/>
              <w:bottom w:val="single" w:sz="4" w:space="0" w:color="000000"/>
              <w:right w:val="single" w:sz="4" w:space="0" w:color="000000"/>
            </w:tcBorders>
            <w:shd w:val="clear" w:color="auto" w:fill="auto"/>
            <w:noWrap/>
            <w:vAlign w:val="center"/>
            <w:hideMark/>
          </w:tcPr>
          <w:p w14:paraId="36C04339"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 </w:t>
            </w:r>
          </w:p>
        </w:tc>
      </w:tr>
      <w:tr w:rsidR="008D55DD" w:rsidRPr="00437A10" w14:paraId="32CEB95D" w14:textId="77777777" w:rsidTr="008D55DD">
        <w:trPr>
          <w:trHeight w:val="563"/>
        </w:trPr>
        <w:tc>
          <w:tcPr>
            <w:tcW w:w="2552" w:type="dxa"/>
            <w:tcBorders>
              <w:top w:val="nil"/>
              <w:left w:val="single" w:sz="4" w:space="0" w:color="000000"/>
              <w:bottom w:val="single" w:sz="4" w:space="0" w:color="000000"/>
              <w:right w:val="single" w:sz="4" w:space="0" w:color="000000"/>
            </w:tcBorders>
            <w:shd w:val="clear" w:color="auto" w:fill="auto"/>
            <w:hideMark/>
          </w:tcPr>
          <w:p w14:paraId="0ABA7512" w14:textId="77777777" w:rsidR="008D55DD" w:rsidRPr="00437A10" w:rsidRDefault="008D55DD" w:rsidP="008D55DD">
            <w:pPr>
              <w:rPr>
                <w:rFonts w:ascii="Arial" w:hAnsi="Arial" w:cs="Arial"/>
                <w:sz w:val="18"/>
                <w:szCs w:val="18"/>
                <w:lang w:val="es-BO" w:eastAsia="es-BO"/>
              </w:rPr>
            </w:pPr>
            <w:r w:rsidRPr="00437A10">
              <w:rPr>
                <w:rFonts w:ascii="Arial" w:hAnsi="Arial" w:cs="Arial"/>
                <w:sz w:val="18"/>
                <w:szCs w:val="18"/>
                <w:lang w:val="es-BO" w:eastAsia="es-BO"/>
              </w:rPr>
              <w:t>7.¿Prestada por parientes o amigos?</w:t>
            </w:r>
          </w:p>
        </w:tc>
        <w:tc>
          <w:tcPr>
            <w:tcW w:w="992" w:type="dxa"/>
            <w:tcBorders>
              <w:top w:val="nil"/>
              <w:left w:val="nil"/>
              <w:bottom w:val="single" w:sz="4" w:space="0" w:color="000000"/>
              <w:right w:val="single" w:sz="4" w:space="0" w:color="000000"/>
            </w:tcBorders>
            <w:shd w:val="clear" w:color="auto" w:fill="auto"/>
            <w:noWrap/>
            <w:vAlign w:val="center"/>
            <w:hideMark/>
          </w:tcPr>
          <w:p w14:paraId="2E29D855"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80,8</w:t>
            </w:r>
          </w:p>
        </w:tc>
        <w:tc>
          <w:tcPr>
            <w:tcW w:w="1134"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165CEF7A"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19,2</w:t>
            </w:r>
          </w:p>
        </w:tc>
        <w:tc>
          <w:tcPr>
            <w:tcW w:w="651" w:type="dxa"/>
            <w:tcBorders>
              <w:top w:val="nil"/>
              <w:left w:val="nil"/>
              <w:bottom w:val="single" w:sz="4" w:space="0" w:color="000000"/>
              <w:right w:val="single" w:sz="4" w:space="0" w:color="000000"/>
            </w:tcBorders>
            <w:shd w:val="clear" w:color="auto" w:fill="auto"/>
            <w:noWrap/>
            <w:vAlign w:val="center"/>
            <w:hideMark/>
          </w:tcPr>
          <w:p w14:paraId="065BD073"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0B5876F1"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94,0</w:t>
            </w:r>
          </w:p>
        </w:tc>
        <w:tc>
          <w:tcPr>
            <w:tcW w:w="1134" w:type="dxa"/>
            <w:tcBorders>
              <w:top w:val="nil"/>
              <w:left w:val="nil"/>
              <w:bottom w:val="single" w:sz="4" w:space="0" w:color="000000"/>
              <w:right w:val="single" w:sz="4" w:space="0" w:color="000000"/>
            </w:tcBorders>
            <w:shd w:val="clear" w:color="auto" w:fill="auto"/>
            <w:noWrap/>
            <w:vAlign w:val="center"/>
            <w:hideMark/>
          </w:tcPr>
          <w:p w14:paraId="5BD7A0A4"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6,0</w:t>
            </w:r>
          </w:p>
        </w:tc>
        <w:tc>
          <w:tcPr>
            <w:tcW w:w="792" w:type="dxa"/>
            <w:tcBorders>
              <w:top w:val="nil"/>
              <w:left w:val="nil"/>
              <w:bottom w:val="single" w:sz="4" w:space="0" w:color="000000"/>
              <w:right w:val="single" w:sz="4" w:space="0" w:color="000000"/>
            </w:tcBorders>
            <w:shd w:val="clear" w:color="auto" w:fill="auto"/>
            <w:noWrap/>
            <w:vAlign w:val="center"/>
            <w:hideMark/>
          </w:tcPr>
          <w:p w14:paraId="7A3A8A0B"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100,0</w:t>
            </w:r>
          </w:p>
        </w:tc>
      </w:tr>
      <w:tr w:rsidR="008D55DD" w:rsidRPr="00437A10" w14:paraId="1B937CD3" w14:textId="77777777" w:rsidTr="008D55DD">
        <w:trPr>
          <w:trHeight w:val="287"/>
        </w:trPr>
        <w:tc>
          <w:tcPr>
            <w:tcW w:w="2552" w:type="dxa"/>
            <w:tcBorders>
              <w:top w:val="nil"/>
              <w:left w:val="single" w:sz="4" w:space="0" w:color="000000"/>
              <w:bottom w:val="single" w:sz="4" w:space="0" w:color="000000"/>
              <w:right w:val="single" w:sz="4" w:space="0" w:color="000000"/>
            </w:tcBorders>
            <w:shd w:val="clear" w:color="auto" w:fill="auto"/>
            <w:hideMark/>
          </w:tcPr>
          <w:p w14:paraId="3FA9F7E2" w14:textId="77777777" w:rsidR="008D55DD" w:rsidRPr="00437A10" w:rsidRDefault="008D55DD" w:rsidP="008D55DD">
            <w:pPr>
              <w:rPr>
                <w:rFonts w:ascii="Arial" w:hAnsi="Arial" w:cs="Arial"/>
                <w:sz w:val="18"/>
                <w:szCs w:val="18"/>
                <w:lang w:val="es-BO" w:eastAsia="es-BO"/>
              </w:rPr>
            </w:pPr>
            <w:r w:rsidRPr="00437A10">
              <w:rPr>
                <w:rFonts w:ascii="Arial" w:hAnsi="Arial" w:cs="Arial"/>
                <w:sz w:val="18"/>
                <w:szCs w:val="18"/>
                <w:lang w:val="es-BO" w:eastAsia="es-BO"/>
              </w:rPr>
              <w:t>8.¿Otra?(Especifique)</w:t>
            </w:r>
          </w:p>
        </w:tc>
        <w:tc>
          <w:tcPr>
            <w:tcW w:w="992" w:type="dxa"/>
            <w:tcBorders>
              <w:top w:val="nil"/>
              <w:left w:val="nil"/>
              <w:bottom w:val="single" w:sz="4" w:space="0" w:color="000000"/>
              <w:right w:val="single" w:sz="4" w:space="0" w:color="000000"/>
            </w:tcBorders>
            <w:shd w:val="clear" w:color="auto" w:fill="auto"/>
            <w:noWrap/>
            <w:vAlign w:val="center"/>
            <w:hideMark/>
          </w:tcPr>
          <w:p w14:paraId="76975D6F"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79,8</w:t>
            </w:r>
          </w:p>
        </w:tc>
        <w:tc>
          <w:tcPr>
            <w:tcW w:w="1134"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27E85E57"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20,2</w:t>
            </w:r>
          </w:p>
        </w:tc>
        <w:tc>
          <w:tcPr>
            <w:tcW w:w="651" w:type="dxa"/>
            <w:tcBorders>
              <w:top w:val="nil"/>
              <w:left w:val="nil"/>
              <w:bottom w:val="single" w:sz="4" w:space="0" w:color="000000"/>
              <w:right w:val="single" w:sz="4" w:space="0" w:color="000000"/>
            </w:tcBorders>
            <w:shd w:val="clear" w:color="auto" w:fill="auto"/>
            <w:noWrap/>
            <w:vAlign w:val="center"/>
            <w:hideMark/>
          </w:tcPr>
          <w:p w14:paraId="1878028E"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4F06B7FC"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95,3</w:t>
            </w:r>
          </w:p>
        </w:tc>
        <w:tc>
          <w:tcPr>
            <w:tcW w:w="1134" w:type="dxa"/>
            <w:tcBorders>
              <w:top w:val="nil"/>
              <w:left w:val="nil"/>
              <w:bottom w:val="single" w:sz="4" w:space="0" w:color="000000"/>
              <w:right w:val="single" w:sz="4" w:space="0" w:color="000000"/>
            </w:tcBorders>
            <w:shd w:val="clear" w:color="auto" w:fill="auto"/>
            <w:noWrap/>
            <w:vAlign w:val="center"/>
            <w:hideMark/>
          </w:tcPr>
          <w:p w14:paraId="4FCD1371"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4,7</w:t>
            </w:r>
          </w:p>
        </w:tc>
        <w:tc>
          <w:tcPr>
            <w:tcW w:w="792" w:type="dxa"/>
            <w:tcBorders>
              <w:top w:val="nil"/>
              <w:left w:val="nil"/>
              <w:bottom w:val="single" w:sz="4" w:space="0" w:color="000000"/>
              <w:right w:val="single" w:sz="4" w:space="0" w:color="000000"/>
            </w:tcBorders>
            <w:shd w:val="clear" w:color="auto" w:fill="auto"/>
            <w:noWrap/>
            <w:vAlign w:val="center"/>
            <w:hideMark/>
          </w:tcPr>
          <w:p w14:paraId="096FA82D"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100,0</w:t>
            </w:r>
          </w:p>
        </w:tc>
      </w:tr>
      <w:tr w:rsidR="008D55DD" w:rsidRPr="00437A10" w14:paraId="470025D1" w14:textId="77777777" w:rsidTr="008D55DD">
        <w:trPr>
          <w:trHeight w:val="330"/>
        </w:trPr>
        <w:tc>
          <w:tcPr>
            <w:tcW w:w="2552" w:type="dxa"/>
            <w:tcBorders>
              <w:top w:val="nil"/>
              <w:left w:val="single" w:sz="4" w:space="0" w:color="000000"/>
              <w:bottom w:val="single" w:sz="4" w:space="0" w:color="000000"/>
              <w:right w:val="single" w:sz="4" w:space="0" w:color="000000"/>
            </w:tcBorders>
            <w:shd w:val="clear" w:color="auto" w:fill="auto"/>
            <w:hideMark/>
          </w:tcPr>
          <w:p w14:paraId="04286028" w14:textId="77777777" w:rsidR="008D55DD" w:rsidRPr="00437A10" w:rsidRDefault="008D55DD" w:rsidP="008D55DD">
            <w:pPr>
              <w:rPr>
                <w:rFonts w:ascii="Arial" w:hAnsi="Arial" w:cs="Arial"/>
                <w:sz w:val="18"/>
                <w:szCs w:val="18"/>
                <w:lang w:val="es-BO" w:eastAsia="es-BO"/>
              </w:rPr>
            </w:pPr>
            <w:r w:rsidRPr="00437A10">
              <w:rPr>
                <w:rFonts w:ascii="Arial" w:hAnsi="Arial" w:cs="Arial"/>
                <w:sz w:val="18"/>
                <w:szCs w:val="18"/>
                <w:lang w:val="es-BO" w:eastAsia="es-BO"/>
              </w:rPr>
              <w:t>Total</w:t>
            </w:r>
          </w:p>
        </w:tc>
        <w:tc>
          <w:tcPr>
            <w:tcW w:w="992" w:type="dxa"/>
            <w:tcBorders>
              <w:top w:val="nil"/>
              <w:left w:val="nil"/>
              <w:bottom w:val="single" w:sz="4" w:space="0" w:color="000000"/>
              <w:right w:val="single" w:sz="4" w:space="0" w:color="000000"/>
            </w:tcBorders>
            <w:shd w:val="clear" w:color="auto" w:fill="auto"/>
            <w:noWrap/>
            <w:vAlign w:val="center"/>
            <w:hideMark/>
          </w:tcPr>
          <w:p w14:paraId="1BFD862C"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82,2</w:t>
            </w:r>
          </w:p>
        </w:tc>
        <w:tc>
          <w:tcPr>
            <w:tcW w:w="1134" w:type="dxa"/>
            <w:tcBorders>
              <w:top w:val="nil"/>
              <w:left w:val="nil"/>
              <w:bottom w:val="single" w:sz="4" w:space="0" w:color="000000"/>
              <w:right w:val="single" w:sz="4" w:space="0" w:color="000000"/>
            </w:tcBorders>
            <w:shd w:val="clear" w:color="auto" w:fill="auto"/>
            <w:noWrap/>
            <w:vAlign w:val="center"/>
            <w:hideMark/>
          </w:tcPr>
          <w:p w14:paraId="6810FCD4"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17,8</w:t>
            </w:r>
          </w:p>
        </w:tc>
        <w:tc>
          <w:tcPr>
            <w:tcW w:w="651" w:type="dxa"/>
            <w:tcBorders>
              <w:top w:val="nil"/>
              <w:left w:val="nil"/>
              <w:bottom w:val="single" w:sz="4" w:space="0" w:color="000000"/>
              <w:right w:val="single" w:sz="4" w:space="0" w:color="000000"/>
            </w:tcBorders>
            <w:shd w:val="clear" w:color="auto" w:fill="auto"/>
            <w:noWrap/>
            <w:vAlign w:val="center"/>
            <w:hideMark/>
          </w:tcPr>
          <w:p w14:paraId="6EC04FB8"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62BF259A"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90,2</w:t>
            </w:r>
          </w:p>
        </w:tc>
        <w:tc>
          <w:tcPr>
            <w:tcW w:w="1134" w:type="dxa"/>
            <w:tcBorders>
              <w:top w:val="nil"/>
              <w:left w:val="nil"/>
              <w:bottom w:val="single" w:sz="4" w:space="0" w:color="000000"/>
              <w:right w:val="single" w:sz="4" w:space="0" w:color="000000"/>
            </w:tcBorders>
            <w:shd w:val="clear" w:color="auto" w:fill="auto"/>
            <w:noWrap/>
            <w:vAlign w:val="center"/>
            <w:hideMark/>
          </w:tcPr>
          <w:p w14:paraId="5A12642E"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9,8</w:t>
            </w:r>
          </w:p>
        </w:tc>
        <w:tc>
          <w:tcPr>
            <w:tcW w:w="792" w:type="dxa"/>
            <w:tcBorders>
              <w:top w:val="nil"/>
              <w:left w:val="nil"/>
              <w:bottom w:val="single" w:sz="4" w:space="0" w:color="000000"/>
              <w:right w:val="single" w:sz="4" w:space="0" w:color="000000"/>
            </w:tcBorders>
            <w:shd w:val="clear" w:color="auto" w:fill="auto"/>
            <w:noWrap/>
            <w:vAlign w:val="center"/>
            <w:hideMark/>
          </w:tcPr>
          <w:p w14:paraId="0E9A0D62" w14:textId="77777777" w:rsidR="008D55DD" w:rsidRPr="00437A10" w:rsidRDefault="008D55DD" w:rsidP="008D55DD">
            <w:pPr>
              <w:jc w:val="right"/>
              <w:rPr>
                <w:rFonts w:ascii="Arial" w:hAnsi="Arial" w:cs="Arial"/>
                <w:sz w:val="18"/>
                <w:szCs w:val="18"/>
                <w:lang w:val="es-BO" w:eastAsia="es-BO"/>
              </w:rPr>
            </w:pPr>
            <w:r w:rsidRPr="00437A10">
              <w:rPr>
                <w:rFonts w:ascii="Arial" w:hAnsi="Arial" w:cs="Arial"/>
                <w:sz w:val="18"/>
                <w:szCs w:val="18"/>
                <w:lang w:val="es-BO" w:eastAsia="es-BO"/>
              </w:rPr>
              <w:t>100,0</w:t>
            </w:r>
          </w:p>
        </w:tc>
      </w:tr>
    </w:tbl>
    <w:p w14:paraId="0EB03B86" w14:textId="77777777" w:rsidR="000B5E16" w:rsidRPr="00437A10" w:rsidRDefault="000B5E16" w:rsidP="000B5E16">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Fuente: Con base en Instituto Nacional de Estadística, Quillaguamán, 2023.</w:t>
      </w:r>
    </w:p>
    <w:p w14:paraId="554B0964" w14:textId="77777777" w:rsidR="004C6A9F" w:rsidRPr="00437A10" w:rsidRDefault="004C6A9F" w:rsidP="004C6A9F">
      <w:pPr>
        <w:spacing w:after="160" w:line="259" w:lineRule="auto"/>
        <w:contextualSpacing/>
        <w:jc w:val="center"/>
        <w:rPr>
          <w:rFonts w:ascii="Arial" w:eastAsia="Calibri" w:hAnsi="Arial" w:cs="Arial"/>
          <w:sz w:val="22"/>
          <w:szCs w:val="22"/>
        </w:rPr>
      </w:pPr>
    </w:p>
    <w:p w14:paraId="187806E9" w14:textId="7CB28EA1" w:rsidR="00060A1F" w:rsidRPr="00437A10" w:rsidRDefault="00060A1F" w:rsidP="00060A1F">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El cuadro 6.3 muestra el porcentaje de hogares por asequibilidad de la</w:t>
      </w:r>
      <w:r w:rsidR="00714A27" w:rsidRPr="00437A10">
        <w:rPr>
          <w:rFonts w:ascii="Arial" w:eastAsia="Calibri" w:hAnsi="Arial" w:cs="Arial"/>
          <w:sz w:val="22"/>
          <w:szCs w:val="22"/>
        </w:rPr>
        <w:t xml:space="preserve"> vivienda, según la categoría “O</w:t>
      </w:r>
      <w:r w:rsidRPr="00437A10">
        <w:rPr>
          <w:rFonts w:ascii="Arial" w:eastAsia="Calibri" w:hAnsi="Arial" w:cs="Arial"/>
          <w:sz w:val="22"/>
          <w:szCs w:val="22"/>
        </w:rPr>
        <w:t xml:space="preserve">tra” de la variable tenencia de la vivienda tanto </w:t>
      </w:r>
      <w:r w:rsidR="00067B97" w:rsidRPr="00437A10">
        <w:rPr>
          <w:rFonts w:ascii="Arial" w:eastAsia="Calibri" w:hAnsi="Arial" w:cs="Arial"/>
          <w:sz w:val="22"/>
          <w:szCs w:val="22"/>
        </w:rPr>
        <w:t>para</w:t>
      </w:r>
      <w:r w:rsidRPr="00437A10">
        <w:rPr>
          <w:rFonts w:ascii="Arial" w:eastAsia="Calibri" w:hAnsi="Arial" w:cs="Arial"/>
          <w:sz w:val="22"/>
          <w:szCs w:val="22"/>
        </w:rPr>
        <w:t xml:space="preserve"> el área urbana como rural. En el área urbana, de las viviendas declaradas como asentamientos y que no cuenta</w:t>
      </w:r>
      <w:r w:rsidR="00C24461" w:rsidRPr="00437A10">
        <w:rPr>
          <w:rFonts w:ascii="Arial" w:eastAsia="Calibri" w:hAnsi="Arial" w:cs="Arial"/>
          <w:sz w:val="22"/>
          <w:szCs w:val="22"/>
        </w:rPr>
        <w:t>n con documentación legal, el 18</w:t>
      </w:r>
      <w:r w:rsidRPr="00437A10">
        <w:rPr>
          <w:rFonts w:ascii="Arial" w:eastAsia="Calibri" w:hAnsi="Arial" w:cs="Arial"/>
          <w:sz w:val="22"/>
          <w:szCs w:val="22"/>
        </w:rPr>
        <w:t>% corresponde a una vivienda inasequible; asimismo, de aquellas viviendas que están en calidad de préstamo, el 53% son inasequibles.</w:t>
      </w:r>
    </w:p>
    <w:p w14:paraId="14D69107" w14:textId="77777777" w:rsidR="00DA0BC4" w:rsidRPr="00437A10" w:rsidRDefault="00DA0BC4" w:rsidP="00060A1F">
      <w:pPr>
        <w:spacing w:after="160" w:line="259" w:lineRule="auto"/>
        <w:contextualSpacing/>
        <w:jc w:val="both"/>
        <w:rPr>
          <w:rFonts w:ascii="Arial" w:eastAsia="Calibri" w:hAnsi="Arial" w:cs="Arial"/>
          <w:sz w:val="22"/>
          <w:szCs w:val="22"/>
        </w:rPr>
      </w:pPr>
    </w:p>
    <w:p w14:paraId="51E61C9E" w14:textId="37B4253B" w:rsidR="00060A1F" w:rsidRPr="00437A10" w:rsidRDefault="00DD7729" w:rsidP="00060A1F">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 xml:space="preserve">En el área rural, las viviendas inasequibles </w:t>
      </w:r>
      <w:r w:rsidR="00714A27" w:rsidRPr="00437A10">
        <w:rPr>
          <w:rFonts w:ascii="Arial" w:eastAsia="Calibri" w:hAnsi="Arial" w:cs="Arial"/>
          <w:sz w:val="22"/>
          <w:szCs w:val="22"/>
        </w:rPr>
        <w:t>declaradas en la categoría “O</w:t>
      </w:r>
      <w:r w:rsidR="00C24461" w:rsidRPr="00437A10">
        <w:rPr>
          <w:rFonts w:ascii="Arial" w:eastAsia="Calibri" w:hAnsi="Arial" w:cs="Arial"/>
          <w:sz w:val="22"/>
          <w:szCs w:val="22"/>
        </w:rPr>
        <w:t>tra</w:t>
      </w:r>
      <w:r w:rsidRPr="00437A10">
        <w:rPr>
          <w:rFonts w:ascii="Arial" w:eastAsia="Calibri" w:hAnsi="Arial" w:cs="Arial"/>
          <w:sz w:val="22"/>
          <w:szCs w:val="22"/>
        </w:rPr>
        <w:t xml:space="preserve">” de la variable tenencia, se presentan en </w:t>
      </w:r>
      <w:r w:rsidR="00C24461" w:rsidRPr="00437A10">
        <w:rPr>
          <w:rFonts w:ascii="Arial" w:eastAsia="Calibri" w:hAnsi="Arial" w:cs="Arial"/>
          <w:sz w:val="22"/>
          <w:szCs w:val="22"/>
        </w:rPr>
        <w:t>un 16</w:t>
      </w:r>
      <w:r w:rsidR="00DA0BC4" w:rsidRPr="00437A10">
        <w:rPr>
          <w:rFonts w:ascii="Arial" w:eastAsia="Calibri" w:hAnsi="Arial" w:cs="Arial"/>
          <w:sz w:val="22"/>
          <w:szCs w:val="22"/>
        </w:rPr>
        <w:t xml:space="preserve">% en </w:t>
      </w:r>
      <w:r w:rsidRPr="00437A10">
        <w:rPr>
          <w:rFonts w:ascii="Arial" w:eastAsia="Calibri" w:hAnsi="Arial" w:cs="Arial"/>
          <w:sz w:val="22"/>
          <w:szCs w:val="22"/>
        </w:rPr>
        <w:t>los asentamientos (</w:t>
      </w:r>
      <w:r w:rsidR="00714A27" w:rsidRPr="00437A10">
        <w:rPr>
          <w:rFonts w:ascii="Arial" w:eastAsia="Calibri" w:hAnsi="Arial" w:cs="Arial"/>
          <w:sz w:val="22"/>
          <w:szCs w:val="22"/>
        </w:rPr>
        <w:t>irregulares</w:t>
      </w:r>
      <w:r w:rsidRPr="00437A10">
        <w:rPr>
          <w:rFonts w:ascii="Arial" w:eastAsia="Calibri" w:hAnsi="Arial" w:cs="Arial"/>
          <w:sz w:val="22"/>
          <w:szCs w:val="22"/>
        </w:rPr>
        <w:t xml:space="preserve">) y en </w:t>
      </w:r>
      <w:r w:rsidR="00C24461" w:rsidRPr="00437A10">
        <w:rPr>
          <w:rFonts w:ascii="Arial" w:eastAsia="Calibri" w:hAnsi="Arial" w:cs="Arial"/>
          <w:sz w:val="22"/>
          <w:szCs w:val="22"/>
        </w:rPr>
        <w:t xml:space="preserve">un 15% en </w:t>
      </w:r>
      <w:r w:rsidRPr="00437A10">
        <w:rPr>
          <w:rFonts w:ascii="Arial" w:eastAsia="Calibri" w:hAnsi="Arial" w:cs="Arial"/>
          <w:sz w:val="22"/>
          <w:szCs w:val="22"/>
        </w:rPr>
        <w:t>las Tierras Comunitarias de Origen pertenecientes a pueblos indígenas.</w:t>
      </w:r>
    </w:p>
    <w:p w14:paraId="4963EAE1" w14:textId="77777777" w:rsidR="00DD7729" w:rsidRPr="00437A10" w:rsidRDefault="00DD7729" w:rsidP="00060A1F">
      <w:pPr>
        <w:spacing w:after="160" w:line="259" w:lineRule="auto"/>
        <w:contextualSpacing/>
        <w:jc w:val="both"/>
        <w:rPr>
          <w:rFonts w:ascii="Arial" w:eastAsia="Calibri" w:hAnsi="Arial" w:cs="Arial"/>
          <w:sz w:val="22"/>
          <w:szCs w:val="22"/>
        </w:rPr>
      </w:pPr>
    </w:p>
    <w:p w14:paraId="3396607C" w14:textId="5D193816" w:rsidR="00A71E3F" w:rsidRPr="00437A10" w:rsidRDefault="00A71E3F" w:rsidP="000E18AB">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 xml:space="preserve">Cuadro </w:t>
      </w:r>
      <w:r w:rsidR="00060A1F" w:rsidRPr="00437A10">
        <w:rPr>
          <w:rFonts w:ascii="Arial" w:eastAsia="Calibri" w:hAnsi="Arial" w:cs="Arial"/>
          <w:sz w:val="22"/>
          <w:szCs w:val="22"/>
        </w:rPr>
        <w:t>6.</w:t>
      </w:r>
      <w:r w:rsidRPr="00437A10">
        <w:rPr>
          <w:rFonts w:ascii="Arial" w:eastAsia="Calibri" w:hAnsi="Arial" w:cs="Arial"/>
          <w:sz w:val="22"/>
          <w:szCs w:val="22"/>
        </w:rPr>
        <w:t>3. Bolivia: Porcentaje de hogares por asequibilidad de la vivienda, según la categoría 8 “otra” de la variable tenencia de la vivienda</w:t>
      </w:r>
      <w:r w:rsidR="00AB5691" w:rsidRPr="00437A10">
        <w:rPr>
          <w:rFonts w:ascii="Arial" w:eastAsia="Calibri" w:hAnsi="Arial" w:cs="Arial"/>
          <w:sz w:val="22"/>
          <w:szCs w:val="22"/>
        </w:rPr>
        <w:t xml:space="preserve"> y área geográfica</w:t>
      </w:r>
      <w:r w:rsidRPr="00437A10">
        <w:rPr>
          <w:rFonts w:ascii="Arial" w:eastAsia="Calibri" w:hAnsi="Arial" w:cs="Arial"/>
          <w:sz w:val="22"/>
          <w:szCs w:val="22"/>
        </w:rPr>
        <w:t>, 2021</w:t>
      </w:r>
    </w:p>
    <w:tbl>
      <w:tblPr>
        <w:tblW w:w="8526" w:type="dxa"/>
        <w:tblInd w:w="-5" w:type="dxa"/>
        <w:tblCellMar>
          <w:left w:w="70" w:type="dxa"/>
          <w:right w:w="70" w:type="dxa"/>
        </w:tblCellMar>
        <w:tblLook w:val="04A0" w:firstRow="1" w:lastRow="0" w:firstColumn="1" w:lastColumn="0" w:noHBand="0" w:noVBand="1"/>
      </w:tblPr>
      <w:tblGrid>
        <w:gridCol w:w="1560"/>
        <w:gridCol w:w="869"/>
        <w:gridCol w:w="851"/>
        <w:gridCol w:w="1134"/>
        <w:gridCol w:w="689"/>
        <w:gridCol w:w="874"/>
        <w:gridCol w:w="846"/>
        <w:gridCol w:w="993"/>
        <w:gridCol w:w="710"/>
      </w:tblGrid>
      <w:tr w:rsidR="00C24461" w:rsidRPr="00437A10" w14:paraId="0BB0AC01" w14:textId="77777777" w:rsidTr="00C24461">
        <w:trPr>
          <w:trHeight w:val="31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DE84758" w14:textId="77777777" w:rsidR="00C24461" w:rsidRPr="00437A10" w:rsidRDefault="00C24461" w:rsidP="00C24461">
            <w:pPr>
              <w:jc w:val="center"/>
              <w:rPr>
                <w:rFonts w:ascii="Arial" w:hAnsi="Arial" w:cs="Arial"/>
                <w:sz w:val="16"/>
                <w:szCs w:val="16"/>
                <w:lang w:val="es-BO" w:eastAsia="es-BO"/>
              </w:rPr>
            </w:pPr>
            <w:r w:rsidRPr="00437A10">
              <w:rPr>
                <w:rFonts w:ascii="Arial" w:hAnsi="Arial" w:cs="Arial"/>
                <w:sz w:val="16"/>
                <w:szCs w:val="16"/>
                <w:lang w:val="es-BO" w:eastAsia="es-BO"/>
              </w:rPr>
              <w:t>Tenencia de la vivienda</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9E86F" w14:textId="5836D0EA" w:rsidR="00C24461" w:rsidRPr="00437A10" w:rsidRDefault="00C24461" w:rsidP="00C24461">
            <w:pPr>
              <w:jc w:val="center"/>
              <w:rPr>
                <w:rFonts w:ascii="Arial" w:hAnsi="Arial" w:cs="Arial"/>
                <w:sz w:val="16"/>
                <w:szCs w:val="16"/>
                <w:lang w:val="es-BO" w:eastAsia="es-BO"/>
              </w:rPr>
            </w:pPr>
            <w:r w:rsidRPr="00437A10">
              <w:rPr>
                <w:rFonts w:ascii="Arial" w:hAnsi="Arial" w:cs="Arial"/>
                <w:sz w:val="16"/>
                <w:szCs w:val="16"/>
                <w:lang w:val="es-BO" w:eastAsia="es-BO"/>
              </w:rPr>
              <w:t>Área urbana</w:t>
            </w:r>
          </w:p>
        </w:tc>
        <w:tc>
          <w:tcPr>
            <w:tcW w:w="3423" w:type="dxa"/>
            <w:gridSpan w:val="4"/>
            <w:tcBorders>
              <w:top w:val="single" w:sz="4" w:space="0" w:color="auto"/>
              <w:left w:val="nil"/>
              <w:bottom w:val="single" w:sz="4" w:space="0" w:color="auto"/>
              <w:right w:val="single" w:sz="4" w:space="0" w:color="auto"/>
            </w:tcBorders>
            <w:shd w:val="clear" w:color="auto" w:fill="auto"/>
            <w:noWrap/>
            <w:vAlign w:val="bottom"/>
            <w:hideMark/>
          </w:tcPr>
          <w:p w14:paraId="1FED462A" w14:textId="4C4DBADA" w:rsidR="00C24461" w:rsidRPr="00437A10" w:rsidRDefault="00C24461" w:rsidP="00C24461">
            <w:pPr>
              <w:jc w:val="center"/>
              <w:rPr>
                <w:rFonts w:ascii="Arial" w:hAnsi="Arial" w:cs="Arial"/>
                <w:sz w:val="16"/>
                <w:szCs w:val="16"/>
                <w:lang w:val="es-BO" w:eastAsia="es-BO"/>
              </w:rPr>
            </w:pPr>
            <w:r w:rsidRPr="00437A10">
              <w:rPr>
                <w:rFonts w:ascii="Arial" w:hAnsi="Arial" w:cs="Arial"/>
                <w:sz w:val="16"/>
                <w:szCs w:val="16"/>
                <w:lang w:val="es-BO" w:eastAsia="es-BO"/>
              </w:rPr>
              <w:t>Área rural</w:t>
            </w:r>
          </w:p>
          <w:p w14:paraId="6F4D833D" w14:textId="409EFB79" w:rsidR="00C24461" w:rsidRPr="00437A10" w:rsidRDefault="00C24461" w:rsidP="00C24461">
            <w:pPr>
              <w:jc w:val="center"/>
              <w:rPr>
                <w:rFonts w:ascii="Arial" w:hAnsi="Arial" w:cs="Arial"/>
                <w:sz w:val="16"/>
                <w:szCs w:val="16"/>
                <w:lang w:val="es-BO" w:eastAsia="es-BO"/>
              </w:rPr>
            </w:pPr>
          </w:p>
        </w:tc>
      </w:tr>
      <w:tr w:rsidR="00C24461" w:rsidRPr="00437A10" w14:paraId="463BBA1B" w14:textId="77777777" w:rsidTr="00C24461">
        <w:trPr>
          <w:trHeight w:val="51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C36B1F" w14:textId="77777777" w:rsidR="00C24461" w:rsidRPr="00437A10" w:rsidRDefault="00C24461" w:rsidP="00C24461">
            <w:pPr>
              <w:jc w:val="center"/>
              <w:rPr>
                <w:rFonts w:ascii="Arial" w:hAnsi="Arial" w:cs="Arial"/>
                <w:sz w:val="16"/>
                <w:szCs w:val="16"/>
                <w:lang w:val="es-BO" w:eastAsia="es-BO"/>
              </w:rPr>
            </w:pP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1460C" w14:textId="398F4841" w:rsidR="00C24461" w:rsidRPr="00437A10" w:rsidRDefault="00C24461" w:rsidP="00C24461">
            <w:pPr>
              <w:jc w:val="center"/>
              <w:rPr>
                <w:rFonts w:ascii="Arial" w:hAnsi="Arial" w:cs="Arial"/>
                <w:sz w:val="16"/>
                <w:szCs w:val="16"/>
                <w:lang w:val="es-BO" w:eastAsia="es-BO"/>
              </w:rPr>
            </w:pPr>
            <w:r w:rsidRPr="00437A10">
              <w:rPr>
                <w:rFonts w:ascii="Arial" w:hAnsi="Arial" w:cs="Arial"/>
                <w:sz w:val="16"/>
                <w:szCs w:val="16"/>
                <w:lang w:val="es-BO" w:eastAsia="es-BO"/>
              </w:rPr>
              <w:t>Cantidad de hogares</w:t>
            </w:r>
          </w:p>
        </w:tc>
        <w:tc>
          <w:tcPr>
            <w:tcW w:w="851" w:type="dxa"/>
            <w:tcBorders>
              <w:top w:val="nil"/>
              <w:left w:val="nil"/>
              <w:bottom w:val="single" w:sz="4" w:space="0" w:color="auto"/>
              <w:right w:val="single" w:sz="4" w:space="0" w:color="auto"/>
            </w:tcBorders>
            <w:shd w:val="clear" w:color="auto" w:fill="auto"/>
            <w:noWrap/>
            <w:vAlign w:val="bottom"/>
            <w:hideMark/>
          </w:tcPr>
          <w:p w14:paraId="251926A2" w14:textId="77777777" w:rsidR="00C24461" w:rsidRPr="00437A10" w:rsidRDefault="00C24461" w:rsidP="00C24461">
            <w:pPr>
              <w:jc w:val="center"/>
              <w:rPr>
                <w:rFonts w:ascii="Arial" w:hAnsi="Arial" w:cs="Arial"/>
                <w:sz w:val="16"/>
                <w:szCs w:val="16"/>
                <w:lang w:val="es-BO" w:eastAsia="es-BO"/>
              </w:rPr>
            </w:pPr>
            <w:r w:rsidRPr="00437A10">
              <w:rPr>
                <w:rFonts w:ascii="Arial" w:hAnsi="Arial" w:cs="Arial"/>
                <w:sz w:val="16"/>
                <w:szCs w:val="16"/>
                <w:lang w:val="es-BO" w:eastAsia="es-BO"/>
              </w:rPr>
              <w:t>Vivienda asequible</w:t>
            </w:r>
          </w:p>
        </w:tc>
        <w:tc>
          <w:tcPr>
            <w:tcW w:w="1134" w:type="dxa"/>
            <w:tcBorders>
              <w:top w:val="nil"/>
              <w:left w:val="nil"/>
              <w:bottom w:val="single" w:sz="4" w:space="0" w:color="auto"/>
              <w:right w:val="single" w:sz="4" w:space="0" w:color="auto"/>
            </w:tcBorders>
            <w:shd w:val="clear" w:color="auto" w:fill="auto"/>
            <w:noWrap/>
            <w:vAlign w:val="bottom"/>
            <w:hideMark/>
          </w:tcPr>
          <w:p w14:paraId="50EBDA62" w14:textId="77777777" w:rsidR="00C24461" w:rsidRPr="00437A10" w:rsidRDefault="00C24461" w:rsidP="00C24461">
            <w:pPr>
              <w:jc w:val="center"/>
              <w:rPr>
                <w:rFonts w:ascii="Arial" w:hAnsi="Arial" w:cs="Arial"/>
                <w:sz w:val="16"/>
                <w:szCs w:val="16"/>
                <w:lang w:val="es-BO" w:eastAsia="es-BO"/>
              </w:rPr>
            </w:pPr>
            <w:r w:rsidRPr="00437A10">
              <w:rPr>
                <w:rFonts w:ascii="Arial" w:hAnsi="Arial" w:cs="Arial"/>
                <w:sz w:val="16"/>
                <w:szCs w:val="16"/>
                <w:lang w:val="es-BO" w:eastAsia="es-BO"/>
              </w:rPr>
              <w:t>Vivienda inasequible</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5D106" w14:textId="62721113" w:rsidR="00C24461" w:rsidRPr="00437A10" w:rsidRDefault="00C24461" w:rsidP="00C24461">
            <w:pPr>
              <w:jc w:val="center"/>
              <w:rPr>
                <w:rFonts w:ascii="Arial" w:hAnsi="Arial" w:cs="Arial"/>
                <w:sz w:val="16"/>
                <w:szCs w:val="16"/>
                <w:lang w:val="es-BO" w:eastAsia="es-BO"/>
              </w:rPr>
            </w:pPr>
            <w:r w:rsidRPr="00437A10">
              <w:rPr>
                <w:rFonts w:ascii="Arial" w:hAnsi="Arial" w:cs="Arial"/>
                <w:sz w:val="16"/>
                <w:szCs w:val="16"/>
                <w:lang w:val="es-BO" w:eastAsia="es-BO"/>
              </w:rPr>
              <w:t>Total (%)</w:t>
            </w:r>
          </w:p>
        </w:tc>
        <w:tc>
          <w:tcPr>
            <w:tcW w:w="874" w:type="dxa"/>
            <w:tcBorders>
              <w:top w:val="nil"/>
              <w:left w:val="nil"/>
              <w:bottom w:val="single" w:sz="4" w:space="0" w:color="auto"/>
              <w:right w:val="single" w:sz="4" w:space="0" w:color="auto"/>
            </w:tcBorders>
            <w:shd w:val="clear" w:color="auto" w:fill="auto"/>
            <w:noWrap/>
            <w:vAlign w:val="bottom"/>
            <w:hideMark/>
          </w:tcPr>
          <w:p w14:paraId="5CD08A7A" w14:textId="77777777" w:rsidR="00C24461" w:rsidRPr="00437A10" w:rsidRDefault="00C24461" w:rsidP="00C24461">
            <w:pPr>
              <w:jc w:val="center"/>
              <w:rPr>
                <w:rFonts w:ascii="Arial" w:hAnsi="Arial" w:cs="Arial"/>
                <w:sz w:val="16"/>
                <w:szCs w:val="16"/>
                <w:lang w:val="es-BO" w:eastAsia="es-BO"/>
              </w:rPr>
            </w:pPr>
            <w:r w:rsidRPr="00437A10">
              <w:rPr>
                <w:rFonts w:ascii="Arial" w:hAnsi="Arial" w:cs="Arial"/>
                <w:sz w:val="16"/>
                <w:szCs w:val="16"/>
                <w:lang w:val="es-BO" w:eastAsia="es-BO"/>
              </w:rPr>
              <w:t>Cantidad de hogares</w:t>
            </w:r>
          </w:p>
        </w:tc>
        <w:tc>
          <w:tcPr>
            <w:tcW w:w="846" w:type="dxa"/>
            <w:tcBorders>
              <w:top w:val="nil"/>
              <w:left w:val="nil"/>
              <w:bottom w:val="single" w:sz="4" w:space="0" w:color="auto"/>
              <w:right w:val="single" w:sz="4" w:space="0" w:color="auto"/>
            </w:tcBorders>
            <w:shd w:val="clear" w:color="auto" w:fill="auto"/>
            <w:noWrap/>
            <w:vAlign w:val="bottom"/>
            <w:hideMark/>
          </w:tcPr>
          <w:p w14:paraId="475D461C" w14:textId="77777777" w:rsidR="00C24461" w:rsidRPr="00437A10" w:rsidRDefault="00C24461" w:rsidP="00C24461">
            <w:pPr>
              <w:jc w:val="center"/>
              <w:rPr>
                <w:rFonts w:ascii="Arial" w:hAnsi="Arial" w:cs="Arial"/>
                <w:sz w:val="16"/>
                <w:szCs w:val="16"/>
                <w:lang w:val="es-BO" w:eastAsia="es-BO"/>
              </w:rPr>
            </w:pPr>
            <w:r w:rsidRPr="00437A10">
              <w:rPr>
                <w:rFonts w:ascii="Arial" w:hAnsi="Arial" w:cs="Arial"/>
                <w:sz w:val="16"/>
                <w:szCs w:val="16"/>
                <w:lang w:val="es-BO" w:eastAsia="es-BO"/>
              </w:rPr>
              <w:t>Vivienda asequible</w:t>
            </w:r>
          </w:p>
        </w:tc>
        <w:tc>
          <w:tcPr>
            <w:tcW w:w="993" w:type="dxa"/>
            <w:tcBorders>
              <w:top w:val="nil"/>
              <w:left w:val="nil"/>
              <w:bottom w:val="single" w:sz="4" w:space="0" w:color="auto"/>
              <w:right w:val="single" w:sz="4" w:space="0" w:color="auto"/>
            </w:tcBorders>
            <w:shd w:val="clear" w:color="auto" w:fill="auto"/>
            <w:noWrap/>
            <w:vAlign w:val="bottom"/>
            <w:hideMark/>
          </w:tcPr>
          <w:p w14:paraId="60577E35" w14:textId="77777777" w:rsidR="00C24461" w:rsidRPr="00437A10" w:rsidRDefault="00C24461" w:rsidP="00C24461">
            <w:pPr>
              <w:jc w:val="center"/>
              <w:rPr>
                <w:rFonts w:ascii="Arial" w:hAnsi="Arial" w:cs="Arial"/>
                <w:sz w:val="16"/>
                <w:szCs w:val="16"/>
                <w:lang w:val="es-BO" w:eastAsia="es-BO"/>
              </w:rPr>
            </w:pPr>
            <w:r w:rsidRPr="00437A10">
              <w:rPr>
                <w:rFonts w:ascii="Arial" w:hAnsi="Arial" w:cs="Arial"/>
                <w:sz w:val="16"/>
                <w:szCs w:val="16"/>
                <w:lang w:val="es-BO" w:eastAsia="es-BO"/>
              </w:rPr>
              <w:t>Vivienda inasequible</w:t>
            </w:r>
          </w:p>
        </w:tc>
        <w:tc>
          <w:tcPr>
            <w:tcW w:w="710" w:type="dxa"/>
            <w:tcBorders>
              <w:top w:val="nil"/>
              <w:left w:val="nil"/>
              <w:bottom w:val="single" w:sz="4" w:space="0" w:color="auto"/>
              <w:right w:val="single" w:sz="4" w:space="0" w:color="auto"/>
            </w:tcBorders>
            <w:shd w:val="clear" w:color="auto" w:fill="auto"/>
            <w:noWrap/>
            <w:vAlign w:val="bottom"/>
            <w:hideMark/>
          </w:tcPr>
          <w:p w14:paraId="17918F86" w14:textId="2E222242" w:rsidR="00C24461" w:rsidRPr="00437A10" w:rsidRDefault="00C24461" w:rsidP="00C24461">
            <w:pPr>
              <w:jc w:val="center"/>
              <w:rPr>
                <w:rFonts w:ascii="Arial" w:hAnsi="Arial" w:cs="Arial"/>
                <w:sz w:val="16"/>
                <w:szCs w:val="16"/>
                <w:lang w:val="es-BO" w:eastAsia="es-BO"/>
              </w:rPr>
            </w:pPr>
            <w:r w:rsidRPr="00437A10">
              <w:rPr>
                <w:rFonts w:ascii="Arial" w:hAnsi="Arial" w:cs="Arial"/>
                <w:sz w:val="16"/>
                <w:szCs w:val="16"/>
                <w:lang w:val="es-BO" w:eastAsia="es-BO"/>
              </w:rPr>
              <w:t>Total (%)</w:t>
            </w:r>
          </w:p>
        </w:tc>
      </w:tr>
      <w:tr w:rsidR="00C24461" w:rsidRPr="00437A10" w14:paraId="36E2751B" w14:textId="77777777" w:rsidTr="00C24461">
        <w:trPr>
          <w:trHeight w:val="315"/>
        </w:trPr>
        <w:tc>
          <w:tcPr>
            <w:tcW w:w="1560" w:type="dxa"/>
            <w:tcBorders>
              <w:top w:val="nil"/>
              <w:left w:val="single" w:sz="4" w:space="0" w:color="auto"/>
              <w:bottom w:val="single" w:sz="4" w:space="0" w:color="auto"/>
              <w:right w:val="single" w:sz="4" w:space="0" w:color="auto"/>
            </w:tcBorders>
            <w:shd w:val="clear" w:color="auto" w:fill="auto"/>
            <w:hideMark/>
          </w:tcPr>
          <w:p w14:paraId="7C5F8103" w14:textId="77777777" w:rsidR="00C24461" w:rsidRPr="00437A10" w:rsidRDefault="00C24461" w:rsidP="00C24461">
            <w:pPr>
              <w:rPr>
                <w:rFonts w:ascii="Arial" w:hAnsi="Arial" w:cs="Arial"/>
                <w:sz w:val="16"/>
                <w:szCs w:val="16"/>
                <w:lang w:val="es-BO" w:eastAsia="es-BO"/>
              </w:rPr>
            </w:pPr>
            <w:r w:rsidRPr="00437A10">
              <w:rPr>
                <w:rFonts w:ascii="Arial" w:hAnsi="Arial" w:cs="Arial"/>
                <w:sz w:val="16"/>
                <w:szCs w:val="16"/>
                <w:lang w:val="es-BO" w:eastAsia="es-BO"/>
              </w:rPr>
              <w:t>Asentamiento</w:t>
            </w:r>
          </w:p>
        </w:tc>
        <w:tc>
          <w:tcPr>
            <w:tcW w:w="869" w:type="dxa"/>
            <w:tcBorders>
              <w:top w:val="nil"/>
              <w:left w:val="nil"/>
              <w:bottom w:val="single" w:sz="4" w:space="0" w:color="auto"/>
              <w:right w:val="single" w:sz="4" w:space="0" w:color="auto"/>
            </w:tcBorders>
            <w:shd w:val="clear" w:color="auto" w:fill="auto"/>
            <w:noWrap/>
            <w:vAlign w:val="center"/>
            <w:hideMark/>
          </w:tcPr>
          <w:p w14:paraId="76E53CCF"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6917</w:t>
            </w:r>
          </w:p>
        </w:tc>
        <w:tc>
          <w:tcPr>
            <w:tcW w:w="851" w:type="dxa"/>
            <w:tcBorders>
              <w:top w:val="nil"/>
              <w:left w:val="nil"/>
              <w:bottom w:val="single" w:sz="4" w:space="0" w:color="auto"/>
              <w:right w:val="single" w:sz="4" w:space="0" w:color="auto"/>
            </w:tcBorders>
            <w:shd w:val="clear" w:color="auto" w:fill="auto"/>
            <w:noWrap/>
            <w:vAlign w:val="center"/>
            <w:hideMark/>
          </w:tcPr>
          <w:p w14:paraId="535AC09E"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82</w:t>
            </w:r>
          </w:p>
        </w:tc>
        <w:tc>
          <w:tcPr>
            <w:tcW w:w="1134" w:type="dxa"/>
            <w:tcBorders>
              <w:top w:val="nil"/>
              <w:left w:val="nil"/>
              <w:bottom w:val="single" w:sz="4" w:space="0" w:color="auto"/>
              <w:right w:val="single" w:sz="4" w:space="0" w:color="auto"/>
            </w:tcBorders>
            <w:shd w:val="clear" w:color="auto" w:fill="auto"/>
            <w:noWrap/>
            <w:vAlign w:val="center"/>
            <w:hideMark/>
          </w:tcPr>
          <w:p w14:paraId="5B9C4B22"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18</w:t>
            </w:r>
          </w:p>
        </w:tc>
        <w:tc>
          <w:tcPr>
            <w:tcW w:w="689" w:type="dxa"/>
            <w:tcBorders>
              <w:top w:val="nil"/>
              <w:left w:val="nil"/>
              <w:bottom w:val="single" w:sz="4" w:space="0" w:color="auto"/>
              <w:right w:val="single" w:sz="4" w:space="0" w:color="auto"/>
            </w:tcBorders>
            <w:shd w:val="clear" w:color="auto" w:fill="auto"/>
            <w:noWrap/>
            <w:vAlign w:val="center"/>
            <w:hideMark/>
          </w:tcPr>
          <w:p w14:paraId="15FB3A1C"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100</w:t>
            </w:r>
          </w:p>
        </w:tc>
        <w:tc>
          <w:tcPr>
            <w:tcW w:w="874" w:type="dxa"/>
            <w:tcBorders>
              <w:top w:val="nil"/>
              <w:left w:val="nil"/>
              <w:bottom w:val="single" w:sz="4" w:space="0" w:color="auto"/>
              <w:right w:val="single" w:sz="4" w:space="0" w:color="auto"/>
            </w:tcBorders>
            <w:shd w:val="clear" w:color="auto" w:fill="auto"/>
            <w:noWrap/>
            <w:vAlign w:val="center"/>
            <w:hideMark/>
          </w:tcPr>
          <w:p w14:paraId="61F10715"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5664</w:t>
            </w:r>
          </w:p>
        </w:tc>
        <w:tc>
          <w:tcPr>
            <w:tcW w:w="846" w:type="dxa"/>
            <w:tcBorders>
              <w:top w:val="nil"/>
              <w:left w:val="nil"/>
              <w:bottom w:val="single" w:sz="4" w:space="0" w:color="auto"/>
              <w:right w:val="single" w:sz="4" w:space="0" w:color="auto"/>
            </w:tcBorders>
            <w:shd w:val="clear" w:color="auto" w:fill="auto"/>
            <w:noWrap/>
            <w:vAlign w:val="center"/>
            <w:hideMark/>
          </w:tcPr>
          <w:p w14:paraId="76A99255"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84</w:t>
            </w:r>
          </w:p>
        </w:tc>
        <w:tc>
          <w:tcPr>
            <w:tcW w:w="993" w:type="dxa"/>
            <w:tcBorders>
              <w:top w:val="nil"/>
              <w:left w:val="nil"/>
              <w:bottom w:val="single" w:sz="4" w:space="0" w:color="auto"/>
              <w:right w:val="single" w:sz="4" w:space="0" w:color="auto"/>
            </w:tcBorders>
            <w:shd w:val="clear" w:color="auto" w:fill="auto"/>
            <w:noWrap/>
            <w:vAlign w:val="center"/>
            <w:hideMark/>
          </w:tcPr>
          <w:p w14:paraId="625FC1AF"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16</w:t>
            </w:r>
          </w:p>
        </w:tc>
        <w:tc>
          <w:tcPr>
            <w:tcW w:w="710" w:type="dxa"/>
            <w:tcBorders>
              <w:top w:val="nil"/>
              <w:left w:val="nil"/>
              <w:bottom w:val="single" w:sz="4" w:space="0" w:color="auto"/>
              <w:right w:val="single" w:sz="4" w:space="0" w:color="auto"/>
            </w:tcBorders>
            <w:shd w:val="clear" w:color="auto" w:fill="auto"/>
            <w:noWrap/>
            <w:vAlign w:val="center"/>
            <w:hideMark/>
          </w:tcPr>
          <w:p w14:paraId="0E964BB1"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100</w:t>
            </w:r>
          </w:p>
        </w:tc>
      </w:tr>
      <w:tr w:rsidR="00C24461" w:rsidRPr="00437A10" w14:paraId="55208786" w14:textId="77777777" w:rsidTr="00C24461">
        <w:trPr>
          <w:trHeight w:val="336"/>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8B3624E" w14:textId="77777777" w:rsidR="00C24461" w:rsidRPr="00437A10" w:rsidRDefault="00C24461" w:rsidP="00C24461">
            <w:pPr>
              <w:rPr>
                <w:rFonts w:ascii="Arial" w:hAnsi="Arial" w:cs="Arial"/>
                <w:sz w:val="16"/>
                <w:szCs w:val="16"/>
                <w:lang w:val="es-BO" w:eastAsia="es-BO"/>
              </w:rPr>
            </w:pPr>
            <w:r w:rsidRPr="00437A10">
              <w:rPr>
                <w:rFonts w:ascii="Arial" w:hAnsi="Arial" w:cs="Arial"/>
                <w:sz w:val="16"/>
                <w:szCs w:val="16"/>
                <w:lang w:val="es-BO" w:eastAsia="es-BO"/>
              </w:rPr>
              <w:t>Asentamiento comunal</w:t>
            </w:r>
          </w:p>
        </w:tc>
        <w:tc>
          <w:tcPr>
            <w:tcW w:w="869" w:type="dxa"/>
            <w:tcBorders>
              <w:top w:val="nil"/>
              <w:left w:val="nil"/>
              <w:bottom w:val="single" w:sz="4" w:space="0" w:color="auto"/>
              <w:right w:val="single" w:sz="4" w:space="0" w:color="auto"/>
            </w:tcBorders>
            <w:shd w:val="clear" w:color="auto" w:fill="auto"/>
            <w:noWrap/>
            <w:vAlign w:val="center"/>
            <w:hideMark/>
          </w:tcPr>
          <w:p w14:paraId="04CF077B" w14:textId="4767E908"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 </w:t>
            </w:r>
          </w:p>
        </w:tc>
        <w:tc>
          <w:tcPr>
            <w:tcW w:w="851" w:type="dxa"/>
            <w:tcBorders>
              <w:top w:val="nil"/>
              <w:left w:val="nil"/>
              <w:bottom w:val="single" w:sz="4" w:space="0" w:color="auto"/>
              <w:right w:val="single" w:sz="4" w:space="0" w:color="auto"/>
            </w:tcBorders>
            <w:shd w:val="clear" w:color="auto" w:fill="auto"/>
            <w:noWrap/>
            <w:vAlign w:val="center"/>
            <w:hideMark/>
          </w:tcPr>
          <w:p w14:paraId="155EB58E" w14:textId="7A0DA780"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67C114" w14:textId="21CC54CC"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 </w:t>
            </w:r>
          </w:p>
        </w:tc>
        <w:tc>
          <w:tcPr>
            <w:tcW w:w="689" w:type="dxa"/>
            <w:tcBorders>
              <w:top w:val="nil"/>
              <w:left w:val="nil"/>
              <w:bottom w:val="single" w:sz="4" w:space="0" w:color="auto"/>
              <w:right w:val="single" w:sz="4" w:space="0" w:color="auto"/>
            </w:tcBorders>
            <w:shd w:val="clear" w:color="auto" w:fill="auto"/>
            <w:noWrap/>
            <w:vAlign w:val="center"/>
            <w:hideMark/>
          </w:tcPr>
          <w:p w14:paraId="40671AD2" w14:textId="18B3BC1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 </w:t>
            </w:r>
          </w:p>
        </w:tc>
        <w:tc>
          <w:tcPr>
            <w:tcW w:w="874" w:type="dxa"/>
            <w:tcBorders>
              <w:top w:val="nil"/>
              <w:left w:val="nil"/>
              <w:bottom w:val="single" w:sz="4" w:space="0" w:color="auto"/>
              <w:right w:val="single" w:sz="4" w:space="0" w:color="auto"/>
            </w:tcBorders>
            <w:shd w:val="clear" w:color="auto" w:fill="auto"/>
            <w:noWrap/>
            <w:vAlign w:val="center"/>
            <w:hideMark/>
          </w:tcPr>
          <w:p w14:paraId="4E7CBC2F"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6127</w:t>
            </w:r>
          </w:p>
        </w:tc>
        <w:tc>
          <w:tcPr>
            <w:tcW w:w="846" w:type="dxa"/>
            <w:tcBorders>
              <w:top w:val="nil"/>
              <w:left w:val="nil"/>
              <w:bottom w:val="single" w:sz="4" w:space="0" w:color="auto"/>
              <w:right w:val="single" w:sz="4" w:space="0" w:color="auto"/>
            </w:tcBorders>
            <w:shd w:val="clear" w:color="auto" w:fill="auto"/>
            <w:noWrap/>
            <w:vAlign w:val="center"/>
            <w:hideMark/>
          </w:tcPr>
          <w:p w14:paraId="224C455F"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100</w:t>
            </w:r>
          </w:p>
        </w:tc>
        <w:tc>
          <w:tcPr>
            <w:tcW w:w="993" w:type="dxa"/>
            <w:tcBorders>
              <w:top w:val="nil"/>
              <w:left w:val="nil"/>
              <w:bottom w:val="single" w:sz="4" w:space="0" w:color="auto"/>
              <w:right w:val="single" w:sz="4" w:space="0" w:color="auto"/>
            </w:tcBorders>
            <w:shd w:val="clear" w:color="auto" w:fill="auto"/>
            <w:noWrap/>
            <w:vAlign w:val="center"/>
            <w:hideMark/>
          </w:tcPr>
          <w:p w14:paraId="630E0F5F"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0</w:t>
            </w:r>
          </w:p>
        </w:tc>
        <w:tc>
          <w:tcPr>
            <w:tcW w:w="710" w:type="dxa"/>
            <w:tcBorders>
              <w:top w:val="nil"/>
              <w:left w:val="nil"/>
              <w:bottom w:val="single" w:sz="4" w:space="0" w:color="auto"/>
              <w:right w:val="single" w:sz="4" w:space="0" w:color="auto"/>
            </w:tcBorders>
            <w:shd w:val="clear" w:color="auto" w:fill="auto"/>
            <w:noWrap/>
            <w:vAlign w:val="center"/>
            <w:hideMark/>
          </w:tcPr>
          <w:p w14:paraId="2D70A2C1"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100</w:t>
            </w:r>
          </w:p>
        </w:tc>
      </w:tr>
      <w:tr w:rsidR="00C24461" w:rsidRPr="00437A10" w14:paraId="2E7FAA39" w14:textId="77777777" w:rsidTr="00C2446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BFC0F79" w14:textId="77777777" w:rsidR="00C24461" w:rsidRPr="00437A10" w:rsidRDefault="00C24461" w:rsidP="00C24461">
            <w:pPr>
              <w:rPr>
                <w:rFonts w:ascii="Arial" w:hAnsi="Arial" w:cs="Arial"/>
                <w:sz w:val="16"/>
                <w:szCs w:val="16"/>
                <w:lang w:val="es-BO" w:eastAsia="es-BO"/>
              </w:rPr>
            </w:pPr>
            <w:r w:rsidRPr="00437A10">
              <w:rPr>
                <w:rFonts w:ascii="Arial" w:hAnsi="Arial" w:cs="Arial"/>
                <w:sz w:val="16"/>
                <w:szCs w:val="16"/>
                <w:lang w:val="es-BO" w:eastAsia="es-BO"/>
              </w:rPr>
              <w:t>Cedida por la comunidad</w:t>
            </w:r>
          </w:p>
        </w:tc>
        <w:tc>
          <w:tcPr>
            <w:tcW w:w="869" w:type="dxa"/>
            <w:tcBorders>
              <w:top w:val="nil"/>
              <w:left w:val="nil"/>
              <w:bottom w:val="single" w:sz="4" w:space="0" w:color="auto"/>
              <w:right w:val="single" w:sz="4" w:space="0" w:color="auto"/>
            </w:tcBorders>
            <w:shd w:val="clear" w:color="auto" w:fill="auto"/>
            <w:noWrap/>
            <w:vAlign w:val="center"/>
            <w:hideMark/>
          </w:tcPr>
          <w:p w14:paraId="6FEA6F18" w14:textId="155AA83E"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 </w:t>
            </w:r>
          </w:p>
        </w:tc>
        <w:tc>
          <w:tcPr>
            <w:tcW w:w="851" w:type="dxa"/>
            <w:tcBorders>
              <w:top w:val="nil"/>
              <w:left w:val="nil"/>
              <w:bottom w:val="single" w:sz="4" w:space="0" w:color="auto"/>
              <w:right w:val="single" w:sz="4" w:space="0" w:color="auto"/>
            </w:tcBorders>
            <w:shd w:val="clear" w:color="auto" w:fill="auto"/>
            <w:noWrap/>
            <w:vAlign w:val="center"/>
            <w:hideMark/>
          </w:tcPr>
          <w:p w14:paraId="0FB4D944" w14:textId="0D590290"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FFCEC3" w14:textId="3AA382F0"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 </w:t>
            </w:r>
          </w:p>
        </w:tc>
        <w:tc>
          <w:tcPr>
            <w:tcW w:w="689" w:type="dxa"/>
            <w:tcBorders>
              <w:top w:val="nil"/>
              <w:left w:val="nil"/>
              <w:bottom w:val="single" w:sz="4" w:space="0" w:color="auto"/>
              <w:right w:val="single" w:sz="4" w:space="0" w:color="auto"/>
            </w:tcBorders>
            <w:shd w:val="clear" w:color="auto" w:fill="auto"/>
            <w:noWrap/>
            <w:vAlign w:val="center"/>
            <w:hideMark/>
          </w:tcPr>
          <w:p w14:paraId="1BABC624" w14:textId="149693EF"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 </w:t>
            </w:r>
          </w:p>
        </w:tc>
        <w:tc>
          <w:tcPr>
            <w:tcW w:w="874" w:type="dxa"/>
            <w:tcBorders>
              <w:top w:val="nil"/>
              <w:left w:val="nil"/>
              <w:bottom w:val="single" w:sz="4" w:space="0" w:color="auto"/>
              <w:right w:val="single" w:sz="4" w:space="0" w:color="auto"/>
            </w:tcBorders>
            <w:shd w:val="clear" w:color="auto" w:fill="auto"/>
            <w:noWrap/>
            <w:vAlign w:val="center"/>
            <w:hideMark/>
          </w:tcPr>
          <w:p w14:paraId="27DD0881"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12630</w:t>
            </w:r>
          </w:p>
        </w:tc>
        <w:tc>
          <w:tcPr>
            <w:tcW w:w="846" w:type="dxa"/>
            <w:tcBorders>
              <w:top w:val="nil"/>
              <w:left w:val="nil"/>
              <w:bottom w:val="single" w:sz="4" w:space="0" w:color="auto"/>
              <w:right w:val="single" w:sz="4" w:space="0" w:color="auto"/>
            </w:tcBorders>
            <w:shd w:val="clear" w:color="auto" w:fill="auto"/>
            <w:noWrap/>
            <w:vAlign w:val="center"/>
            <w:hideMark/>
          </w:tcPr>
          <w:p w14:paraId="659C03E5"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100</w:t>
            </w:r>
          </w:p>
        </w:tc>
        <w:tc>
          <w:tcPr>
            <w:tcW w:w="993" w:type="dxa"/>
            <w:tcBorders>
              <w:top w:val="nil"/>
              <w:left w:val="nil"/>
              <w:bottom w:val="single" w:sz="4" w:space="0" w:color="auto"/>
              <w:right w:val="single" w:sz="4" w:space="0" w:color="auto"/>
            </w:tcBorders>
            <w:shd w:val="clear" w:color="auto" w:fill="auto"/>
            <w:noWrap/>
            <w:vAlign w:val="center"/>
            <w:hideMark/>
          </w:tcPr>
          <w:p w14:paraId="2D4E4986"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0</w:t>
            </w:r>
          </w:p>
        </w:tc>
        <w:tc>
          <w:tcPr>
            <w:tcW w:w="710" w:type="dxa"/>
            <w:tcBorders>
              <w:top w:val="nil"/>
              <w:left w:val="nil"/>
              <w:bottom w:val="single" w:sz="4" w:space="0" w:color="auto"/>
              <w:right w:val="single" w:sz="4" w:space="0" w:color="auto"/>
            </w:tcBorders>
            <w:shd w:val="clear" w:color="auto" w:fill="auto"/>
            <w:noWrap/>
            <w:vAlign w:val="center"/>
            <w:hideMark/>
          </w:tcPr>
          <w:p w14:paraId="2F6771A6"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100</w:t>
            </w:r>
          </w:p>
        </w:tc>
      </w:tr>
      <w:tr w:rsidR="00C24461" w:rsidRPr="00437A10" w14:paraId="311CEDBF" w14:textId="77777777" w:rsidTr="00C24461">
        <w:trPr>
          <w:trHeight w:val="319"/>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2B21A08" w14:textId="77777777" w:rsidR="00C24461" w:rsidRPr="00437A10" w:rsidRDefault="00C24461" w:rsidP="00C24461">
            <w:pPr>
              <w:rPr>
                <w:rFonts w:ascii="Arial" w:hAnsi="Arial" w:cs="Arial"/>
                <w:sz w:val="16"/>
                <w:szCs w:val="16"/>
                <w:lang w:val="es-BO" w:eastAsia="es-BO"/>
              </w:rPr>
            </w:pPr>
            <w:r w:rsidRPr="00437A10">
              <w:rPr>
                <w:rFonts w:ascii="Arial" w:hAnsi="Arial" w:cs="Arial"/>
                <w:sz w:val="16"/>
                <w:szCs w:val="16"/>
                <w:lang w:val="es-BO" w:eastAsia="es-BO"/>
              </w:rPr>
              <w:t>Tierra comunitaria de origen</w:t>
            </w:r>
          </w:p>
        </w:tc>
        <w:tc>
          <w:tcPr>
            <w:tcW w:w="869" w:type="dxa"/>
            <w:tcBorders>
              <w:top w:val="nil"/>
              <w:left w:val="nil"/>
              <w:bottom w:val="single" w:sz="4" w:space="0" w:color="auto"/>
              <w:right w:val="single" w:sz="4" w:space="0" w:color="auto"/>
            </w:tcBorders>
            <w:shd w:val="clear" w:color="auto" w:fill="auto"/>
            <w:noWrap/>
            <w:vAlign w:val="center"/>
            <w:hideMark/>
          </w:tcPr>
          <w:p w14:paraId="359D9021" w14:textId="104B5499"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 </w:t>
            </w:r>
          </w:p>
        </w:tc>
        <w:tc>
          <w:tcPr>
            <w:tcW w:w="851" w:type="dxa"/>
            <w:tcBorders>
              <w:top w:val="nil"/>
              <w:left w:val="nil"/>
              <w:bottom w:val="single" w:sz="4" w:space="0" w:color="auto"/>
              <w:right w:val="single" w:sz="4" w:space="0" w:color="auto"/>
            </w:tcBorders>
            <w:shd w:val="clear" w:color="auto" w:fill="auto"/>
            <w:noWrap/>
            <w:vAlign w:val="center"/>
            <w:hideMark/>
          </w:tcPr>
          <w:p w14:paraId="78AF1920" w14:textId="11EA011C"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63EA57" w14:textId="4C6D91B4"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 </w:t>
            </w:r>
          </w:p>
        </w:tc>
        <w:tc>
          <w:tcPr>
            <w:tcW w:w="689" w:type="dxa"/>
            <w:tcBorders>
              <w:top w:val="nil"/>
              <w:left w:val="nil"/>
              <w:bottom w:val="single" w:sz="4" w:space="0" w:color="auto"/>
              <w:right w:val="single" w:sz="4" w:space="0" w:color="auto"/>
            </w:tcBorders>
            <w:shd w:val="clear" w:color="auto" w:fill="auto"/>
            <w:noWrap/>
            <w:vAlign w:val="center"/>
            <w:hideMark/>
          </w:tcPr>
          <w:p w14:paraId="4422066A" w14:textId="14E97526"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 </w:t>
            </w:r>
          </w:p>
        </w:tc>
        <w:tc>
          <w:tcPr>
            <w:tcW w:w="874" w:type="dxa"/>
            <w:tcBorders>
              <w:top w:val="nil"/>
              <w:left w:val="nil"/>
              <w:bottom w:val="single" w:sz="4" w:space="0" w:color="auto"/>
              <w:right w:val="single" w:sz="4" w:space="0" w:color="auto"/>
            </w:tcBorders>
            <w:shd w:val="clear" w:color="auto" w:fill="auto"/>
            <w:noWrap/>
            <w:vAlign w:val="center"/>
            <w:hideMark/>
          </w:tcPr>
          <w:p w14:paraId="685CDF41"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2692</w:t>
            </w:r>
          </w:p>
        </w:tc>
        <w:tc>
          <w:tcPr>
            <w:tcW w:w="846" w:type="dxa"/>
            <w:tcBorders>
              <w:top w:val="nil"/>
              <w:left w:val="nil"/>
              <w:bottom w:val="single" w:sz="4" w:space="0" w:color="auto"/>
              <w:right w:val="single" w:sz="4" w:space="0" w:color="auto"/>
            </w:tcBorders>
            <w:shd w:val="clear" w:color="auto" w:fill="auto"/>
            <w:noWrap/>
            <w:vAlign w:val="center"/>
            <w:hideMark/>
          </w:tcPr>
          <w:p w14:paraId="4DEDBD25"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85</w:t>
            </w:r>
          </w:p>
        </w:tc>
        <w:tc>
          <w:tcPr>
            <w:tcW w:w="993" w:type="dxa"/>
            <w:tcBorders>
              <w:top w:val="nil"/>
              <w:left w:val="nil"/>
              <w:bottom w:val="single" w:sz="4" w:space="0" w:color="auto"/>
              <w:right w:val="single" w:sz="4" w:space="0" w:color="auto"/>
            </w:tcBorders>
            <w:shd w:val="clear" w:color="auto" w:fill="auto"/>
            <w:noWrap/>
            <w:vAlign w:val="center"/>
            <w:hideMark/>
          </w:tcPr>
          <w:p w14:paraId="347E09F0"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15</w:t>
            </w:r>
          </w:p>
        </w:tc>
        <w:tc>
          <w:tcPr>
            <w:tcW w:w="710" w:type="dxa"/>
            <w:tcBorders>
              <w:top w:val="nil"/>
              <w:left w:val="nil"/>
              <w:bottom w:val="single" w:sz="4" w:space="0" w:color="auto"/>
              <w:right w:val="single" w:sz="4" w:space="0" w:color="auto"/>
            </w:tcBorders>
            <w:shd w:val="clear" w:color="auto" w:fill="auto"/>
            <w:noWrap/>
            <w:vAlign w:val="center"/>
            <w:hideMark/>
          </w:tcPr>
          <w:p w14:paraId="624FF954"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100</w:t>
            </w:r>
          </w:p>
        </w:tc>
      </w:tr>
      <w:tr w:rsidR="00C24461" w:rsidRPr="00437A10" w14:paraId="50B1AED9" w14:textId="77777777" w:rsidTr="00C24461">
        <w:trPr>
          <w:trHeight w:val="368"/>
        </w:trPr>
        <w:tc>
          <w:tcPr>
            <w:tcW w:w="1560" w:type="dxa"/>
            <w:tcBorders>
              <w:top w:val="nil"/>
              <w:left w:val="single" w:sz="4" w:space="0" w:color="auto"/>
              <w:bottom w:val="single" w:sz="4" w:space="0" w:color="auto"/>
              <w:right w:val="single" w:sz="4" w:space="0" w:color="auto"/>
            </w:tcBorders>
            <w:shd w:val="clear" w:color="auto" w:fill="auto"/>
            <w:hideMark/>
          </w:tcPr>
          <w:p w14:paraId="3DD9973F" w14:textId="6D83F351" w:rsidR="00C24461" w:rsidRPr="00437A10" w:rsidRDefault="00C24461" w:rsidP="00C24461">
            <w:pPr>
              <w:rPr>
                <w:rFonts w:ascii="Arial" w:hAnsi="Arial" w:cs="Arial"/>
                <w:sz w:val="16"/>
                <w:szCs w:val="16"/>
                <w:lang w:val="es-BO" w:eastAsia="es-BO"/>
              </w:rPr>
            </w:pPr>
            <w:r w:rsidRPr="00437A10">
              <w:rPr>
                <w:rFonts w:ascii="Arial" w:hAnsi="Arial" w:cs="Arial"/>
                <w:sz w:val="16"/>
                <w:szCs w:val="16"/>
                <w:lang w:val="es-BO" w:eastAsia="es-BO"/>
              </w:rPr>
              <w:t>Otros (préstamo o cesión por deuda)</w:t>
            </w:r>
          </w:p>
        </w:tc>
        <w:tc>
          <w:tcPr>
            <w:tcW w:w="869" w:type="dxa"/>
            <w:tcBorders>
              <w:top w:val="nil"/>
              <w:left w:val="nil"/>
              <w:bottom w:val="single" w:sz="4" w:space="0" w:color="auto"/>
              <w:right w:val="single" w:sz="4" w:space="0" w:color="auto"/>
            </w:tcBorders>
            <w:shd w:val="clear" w:color="auto" w:fill="auto"/>
            <w:noWrap/>
            <w:vAlign w:val="center"/>
            <w:hideMark/>
          </w:tcPr>
          <w:p w14:paraId="5F8C2413"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480</w:t>
            </w:r>
          </w:p>
        </w:tc>
        <w:tc>
          <w:tcPr>
            <w:tcW w:w="851" w:type="dxa"/>
            <w:tcBorders>
              <w:top w:val="nil"/>
              <w:left w:val="nil"/>
              <w:bottom w:val="single" w:sz="4" w:space="0" w:color="auto"/>
              <w:right w:val="single" w:sz="4" w:space="0" w:color="auto"/>
            </w:tcBorders>
            <w:shd w:val="clear" w:color="auto" w:fill="auto"/>
            <w:noWrap/>
            <w:vAlign w:val="center"/>
            <w:hideMark/>
          </w:tcPr>
          <w:p w14:paraId="1E50E517"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48</w:t>
            </w:r>
          </w:p>
        </w:tc>
        <w:tc>
          <w:tcPr>
            <w:tcW w:w="1134" w:type="dxa"/>
            <w:tcBorders>
              <w:top w:val="nil"/>
              <w:left w:val="nil"/>
              <w:bottom w:val="single" w:sz="4" w:space="0" w:color="auto"/>
              <w:right w:val="single" w:sz="4" w:space="0" w:color="auto"/>
            </w:tcBorders>
            <w:shd w:val="clear" w:color="auto" w:fill="auto"/>
            <w:noWrap/>
            <w:vAlign w:val="center"/>
            <w:hideMark/>
          </w:tcPr>
          <w:p w14:paraId="20716452"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53</w:t>
            </w:r>
          </w:p>
        </w:tc>
        <w:tc>
          <w:tcPr>
            <w:tcW w:w="689" w:type="dxa"/>
            <w:tcBorders>
              <w:top w:val="nil"/>
              <w:left w:val="nil"/>
              <w:bottom w:val="single" w:sz="4" w:space="0" w:color="auto"/>
              <w:right w:val="single" w:sz="4" w:space="0" w:color="auto"/>
            </w:tcBorders>
            <w:shd w:val="clear" w:color="auto" w:fill="auto"/>
            <w:noWrap/>
            <w:vAlign w:val="center"/>
            <w:hideMark/>
          </w:tcPr>
          <w:p w14:paraId="392263C6"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100</w:t>
            </w:r>
          </w:p>
        </w:tc>
        <w:tc>
          <w:tcPr>
            <w:tcW w:w="874" w:type="dxa"/>
            <w:tcBorders>
              <w:top w:val="nil"/>
              <w:left w:val="nil"/>
              <w:bottom w:val="single" w:sz="4" w:space="0" w:color="auto"/>
              <w:right w:val="single" w:sz="4" w:space="0" w:color="auto"/>
            </w:tcBorders>
            <w:shd w:val="clear" w:color="auto" w:fill="auto"/>
            <w:noWrap/>
            <w:vAlign w:val="center"/>
            <w:hideMark/>
          </w:tcPr>
          <w:p w14:paraId="775A6F6E"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1534</w:t>
            </w:r>
          </w:p>
        </w:tc>
        <w:tc>
          <w:tcPr>
            <w:tcW w:w="846" w:type="dxa"/>
            <w:tcBorders>
              <w:top w:val="nil"/>
              <w:left w:val="nil"/>
              <w:bottom w:val="single" w:sz="4" w:space="0" w:color="auto"/>
              <w:right w:val="single" w:sz="4" w:space="0" w:color="auto"/>
            </w:tcBorders>
            <w:shd w:val="clear" w:color="auto" w:fill="auto"/>
            <w:noWrap/>
            <w:vAlign w:val="center"/>
            <w:hideMark/>
          </w:tcPr>
          <w:p w14:paraId="6371BA42"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100</w:t>
            </w:r>
          </w:p>
        </w:tc>
        <w:tc>
          <w:tcPr>
            <w:tcW w:w="993" w:type="dxa"/>
            <w:tcBorders>
              <w:top w:val="nil"/>
              <w:left w:val="nil"/>
              <w:bottom w:val="single" w:sz="4" w:space="0" w:color="auto"/>
              <w:right w:val="single" w:sz="4" w:space="0" w:color="auto"/>
            </w:tcBorders>
            <w:shd w:val="clear" w:color="auto" w:fill="auto"/>
            <w:noWrap/>
            <w:vAlign w:val="center"/>
            <w:hideMark/>
          </w:tcPr>
          <w:p w14:paraId="1D035404"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0</w:t>
            </w:r>
          </w:p>
        </w:tc>
        <w:tc>
          <w:tcPr>
            <w:tcW w:w="710" w:type="dxa"/>
            <w:tcBorders>
              <w:top w:val="nil"/>
              <w:left w:val="nil"/>
              <w:bottom w:val="single" w:sz="4" w:space="0" w:color="auto"/>
              <w:right w:val="single" w:sz="4" w:space="0" w:color="auto"/>
            </w:tcBorders>
            <w:shd w:val="clear" w:color="auto" w:fill="auto"/>
            <w:noWrap/>
            <w:vAlign w:val="center"/>
            <w:hideMark/>
          </w:tcPr>
          <w:p w14:paraId="23BACF5C"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100</w:t>
            </w:r>
          </w:p>
        </w:tc>
      </w:tr>
      <w:tr w:rsidR="00C24461" w:rsidRPr="00437A10" w14:paraId="553FC3F5" w14:textId="77777777" w:rsidTr="00C24461">
        <w:trPr>
          <w:trHeight w:val="273"/>
        </w:trPr>
        <w:tc>
          <w:tcPr>
            <w:tcW w:w="1560" w:type="dxa"/>
            <w:tcBorders>
              <w:top w:val="nil"/>
              <w:left w:val="single" w:sz="4" w:space="0" w:color="auto"/>
              <w:bottom w:val="single" w:sz="4" w:space="0" w:color="auto"/>
              <w:right w:val="single" w:sz="4" w:space="0" w:color="auto"/>
            </w:tcBorders>
            <w:shd w:val="clear" w:color="auto" w:fill="auto"/>
            <w:hideMark/>
          </w:tcPr>
          <w:p w14:paraId="4B8D9E09" w14:textId="77777777" w:rsidR="00C24461" w:rsidRPr="00437A10" w:rsidRDefault="00C24461" w:rsidP="00C24461">
            <w:pPr>
              <w:rPr>
                <w:rFonts w:ascii="Arial" w:hAnsi="Arial" w:cs="Arial"/>
                <w:sz w:val="16"/>
                <w:szCs w:val="16"/>
                <w:lang w:val="es-BO" w:eastAsia="es-BO"/>
              </w:rPr>
            </w:pPr>
            <w:r w:rsidRPr="00437A10">
              <w:rPr>
                <w:rFonts w:ascii="Arial" w:hAnsi="Arial" w:cs="Arial"/>
                <w:sz w:val="16"/>
                <w:szCs w:val="16"/>
                <w:lang w:val="es-BO" w:eastAsia="es-BO"/>
              </w:rPr>
              <w:t>Total</w:t>
            </w:r>
          </w:p>
        </w:tc>
        <w:tc>
          <w:tcPr>
            <w:tcW w:w="869" w:type="dxa"/>
            <w:tcBorders>
              <w:top w:val="nil"/>
              <w:left w:val="nil"/>
              <w:bottom w:val="single" w:sz="4" w:space="0" w:color="auto"/>
              <w:right w:val="single" w:sz="4" w:space="0" w:color="auto"/>
            </w:tcBorders>
            <w:shd w:val="clear" w:color="auto" w:fill="auto"/>
            <w:noWrap/>
            <w:vAlign w:val="center"/>
            <w:hideMark/>
          </w:tcPr>
          <w:p w14:paraId="12F4ABFE"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7397</w:t>
            </w:r>
          </w:p>
        </w:tc>
        <w:tc>
          <w:tcPr>
            <w:tcW w:w="851" w:type="dxa"/>
            <w:tcBorders>
              <w:top w:val="nil"/>
              <w:left w:val="nil"/>
              <w:bottom w:val="single" w:sz="4" w:space="0" w:color="auto"/>
              <w:right w:val="single" w:sz="4" w:space="0" w:color="auto"/>
            </w:tcBorders>
            <w:shd w:val="clear" w:color="auto" w:fill="auto"/>
            <w:noWrap/>
            <w:vAlign w:val="center"/>
            <w:hideMark/>
          </w:tcPr>
          <w:p w14:paraId="4F76F841"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80</w:t>
            </w:r>
          </w:p>
        </w:tc>
        <w:tc>
          <w:tcPr>
            <w:tcW w:w="1134" w:type="dxa"/>
            <w:tcBorders>
              <w:top w:val="nil"/>
              <w:left w:val="nil"/>
              <w:bottom w:val="single" w:sz="4" w:space="0" w:color="auto"/>
              <w:right w:val="single" w:sz="4" w:space="0" w:color="auto"/>
            </w:tcBorders>
            <w:shd w:val="clear" w:color="auto" w:fill="auto"/>
            <w:noWrap/>
            <w:vAlign w:val="center"/>
            <w:hideMark/>
          </w:tcPr>
          <w:p w14:paraId="221EAC4F"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20</w:t>
            </w:r>
          </w:p>
        </w:tc>
        <w:tc>
          <w:tcPr>
            <w:tcW w:w="689" w:type="dxa"/>
            <w:tcBorders>
              <w:top w:val="nil"/>
              <w:left w:val="nil"/>
              <w:bottom w:val="single" w:sz="4" w:space="0" w:color="auto"/>
              <w:right w:val="single" w:sz="4" w:space="0" w:color="auto"/>
            </w:tcBorders>
            <w:shd w:val="clear" w:color="auto" w:fill="auto"/>
            <w:noWrap/>
            <w:vAlign w:val="center"/>
            <w:hideMark/>
          </w:tcPr>
          <w:p w14:paraId="0DC50C3F"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100</w:t>
            </w:r>
          </w:p>
        </w:tc>
        <w:tc>
          <w:tcPr>
            <w:tcW w:w="874" w:type="dxa"/>
            <w:tcBorders>
              <w:top w:val="nil"/>
              <w:left w:val="nil"/>
              <w:bottom w:val="single" w:sz="4" w:space="0" w:color="auto"/>
              <w:right w:val="single" w:sz="4" w:space="0" w:color="auto"/>
            </w:tcBorders>
            <w:shd w:val="clear" w:color="auto" w:fill="auto"/>
            <w:noWrap/>
            <w:vAlign w:val="center"/>
            <w:hideMark/>
          </w:tcPr>
          <w:p w14:paraId="5B73938B"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28647</w:t>
            </w:r>
          </w:p>
        </w:tc>
        <w:tc>
          <w:tcPr>
            <w:tcW w:w="846" w:type="dxa"/>
            <w:tcBorders>
              <w:top w:val="nil"/>
              <w:left w:val="nil"/>
              <w:bottom w:val="single" w:sz="4" w:space="0" w:color="auto"/>
              <w:right w:val="single" w:sz="4" w:space="0" w:color="auto"/>
            </w:tcBorders>
            <w:shd w:val="clear" w:color="auto" w:fill="auto"/>
            <w:noWrap/>
            <w:vAlign w:val="center"/>
            <w:hideMark/>
          </w:tcPr>
          <w:p w14:paraId="7BF02059"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95</w:t>
            </w:r>
          </w:p>
        </w:tc>
        <w:tc>
          <w:tcPr>
            <w:tcW w:w="993" w:type="dxa"/>
            <w:tcBorders>
              <w:top w:val="nil"/>
              <w:left w:val="nil"/>
              <w:bottom w:val="single" w:sz="4" w:space="0" w:color="auto"/>
              <w:right w:val="single" w:sz="4" w:space="0" w:color="auto"/>
            </w:tcBorders>
            <w:shd w:val="clear" w:color="auto" w:fill="auto"/>
            <w:noWrap/>
            <w:vAlign w:val="center"/>
            <w:hideMark/>
          </w:tcPr>
          <w:p w14:paraId="4615E2E7"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5</w:t>
            </w:r>
          </w:p>
        </w:tc>
        <w:tc>
          <w:tcPr>
            <w:tcW w:w="710" w:type="dxa"/>
            <w:tcBorders>
              <w:top w:val="nil"/>
              <w:left w:val="nil"/>
              <w:bottom w:val="single" w:sz="4" w:space="0" w:color="auto"/>
              <w:right w:val="single" w:sz="4" w:space="0" w:color="auto"/>
            </w:tcBorders>
            <w:shd w:val="clear" w:color="auto" w:fill="auto"/>
            <w:noWrap/>
            <w:vAlign w:val="center"/>
            <w:hideMark/>
          </w:tcPr>
          <w:p w14:paraId="50AE9966" w14:textId="77777777" w:rsidR="00C24461" w:rsidRPr="00437A10" w:rsidRDefault="00C24461" w:rsidP="00C24461">
            <w:pPr>
              <w:jc w:val="right"/>
              <w:rPr>
                <w:rFonts w:ascii="Arial" w:hAnsi="Arial" w:cs="Arial"/>
                <w:sz w:val="16"/>
                <w:szCs w:val="16"/>
                <w:lang w:val="es-BO" w:eastAsia="es-BO"/>
              </w:rPr>
            </w:pPr>
            <w:r w:rsidRPr="00437A10">
              <w:rPr>
                <w:rFonts w:ascii="Arial" w:hAnsi="Arial" w:cs="Arial"/>
                <w:sz w:val="16"/>
                <w:szCs w:val="16"/>
                <w:lang w:val="es-BO" w:eastAsia="es-BO"/>
              </w:rPr>
              <w:t>100</w:t>
            </w:r>
          </w:p>
        </w:tc>
      </w:tr>
    </w:tbl>
    <w:p w14:paraId="0E892EEE" w14:textId="77777777" w:rsidR="000B5E16" w:rsidRPr="00437A10" w:rsidRDefault="000B5E16" w:rsidP="000B5E16">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Fuente: Con base en Instituto Nacional de Estadística, Quillaguamán, 2023.</w:t>
      </w:r>
    </w:p>
    <w:p w14:paraId="2F67D742" w14:textId="77777777" w:rsidR="000E18AB" w:rsidRPr="00437A10" w:rsidRDefault="000E18AB" w:rsidP="000E18AB">
      <w:pPr>
        <w:spacing w:after="160" w:line="259" w:lineRule="auto"/>
        <w:contextualSpacing/>
        <w:jc w:val="center"/>
        <w:rPr>
          <w:rFonts w:ascii="Arial" w:eastAsia="Calibri" w:hAnsi="Arial" w:cs="Arial"/>
          <w:sz w:val="22"/>
          <w:szCs w:val="22"/>
        </w:rPr>
      </w:pPr>
    </w:p>
    <w:p w14:paraId="5CF7C524" w14:textId="1FBC80A3" w:rsidR="00AB5691" w:rsidRPr="00437A10" w:rsidRDefault="00AB5691" w:rsidP="00AB5691">
      <w:pPr>
        <w:spacing w:after="160" w:line="259" w:lineRule="auto"/>
        <w:contextualSpacing/>
        <w:jc w:val="center"/>
        <w:rPr>
          <w:rFonts w:ascii="Arial" w:eastAsia="Calibri" w:hAnsi="Arial" w:cs="Arial"/>
          <w:sz w:val="22"/>
          <w:szCs w:val="22"/>
        </w:rPr>
      </w:pPr>
    </w:p>
    <w:p w14:paraId="68FF2B5A" w14:textId="48972D1D" w:rsidR="00D922EB" w:rsidRPr="00437A10" w:rsidRDefault="000B5E16" w:rsidP="000B5E16">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De acuerdo</w:t>
      </w:r>
      <w:r w:rsidR="008D55DD" w:rsidRPr="00437A10">
        <w:rPr>
          <w:rFonts w:ascii="Arial" w:eastAsia="Calibri" w:hAnsi="Arial" w:cs="Arial"/>
          <w:sz w:val="22"/>
          <w:szCs w:val="22"/>
        </w:rPr>
        <w:t xml:space="preserve"> al tipo de hogar, el cuadro 6.4</w:t>
      </w:r>
      <w:r w:rsidRPr="00437A10">
        <w:rPr>
          <w:rFonts w:ascii="Arial" w:eastAsia="Calibri" w:hAnsi="Arial" w:cs="Arial"/>
          <w:sz w:val="22"/>
          <w:szCs w:val="22"/>
        </w:rPr>
        <w:t xml:space="preserve"> muestra que, en el área urbana, el mayor porcentaje de viviendas inasequibles se presenta en los hogares monoparental y nuclear completo. En el área rural, en cambio, las viviendas inasequibles corresponden a hogares de tipo nuclear completo.</w:t>
      </w:r>
    </w:p>
    <w:p w14:paraId="492C92FB" w14:textId="233852E4" w:rsidR="008D55DD" w:rsidRPr="00437A10" w:rsidRDefault="00AB5691" w:rsidP="00602943">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 xml:space="preserve">Cuadro </w:t>
      </w:r>
      <w:r w:rsidR="00D922EB" w:rsidRPr="00437A10">
        <w:rPr>
          <w:rFonts w:ascii="Arial" w:eastAsia="Calibri" w:hAnsi="Arial" w:cs="Arial"/>
          <w:sz w:val="22"/>
          <w:szCs w:val="22"/>
        </w:rPr>
        <w:t>6.</w:t>
      </w:r>
      <w:r w:rsidR="008D55DD" w:rsidRPr="00437A10">
        <w:rPr>
          <w:rFonts w:ascii="Arial" w:eastAsia="Calibri" w:hAnsi="Arial" w:cs="Arial"/>
          <w:sz w:val="22"/>
          <w:szCs w:val="22"/>
        </w:rPr>
        <w:t>4</w:t>
      </w:r>
      <w:r w:rsidRPr="00437A10">
        <w:rPr>
          <w:rFonts w:ascii="Arial" w:eastAsia="Calibri" w:hAnsi="Arial" w:cs="Arial"/>
          <w:sz w:val="22"/>
          <w:szCs w:val="22"/>
        </w:rPr>
        <w:t xml:space="preserve">. Bolivia: Porcentaje de hogares por asequibilidad de la vivienda, según </w:t>
      </w:r>
      <w:r w:rsidR="00FD7DBC" w:rsidRPr="00437A10">
        <w:rPr>
          <w:rFonts w:ascii="Arial" w:eastAsia="Calibri" w:hAnsi="Arial" w:cs="Arial"/>
          <w:sz w:val="22"/>
          <w:szCs w:val="22"/>
        </w:rPr>
        <w:t xml:space="preserve">tipo de hogar </w:t>
      </w:r>
      <w:r w:rsidRPr="00437A10">
        <w:rPr>
          <w:rFonts w:ascii="Arial" w:eastAsia="Calibri" w:hAnsi="Arial" w:cs="Arial"/>
          <w:sz w:val="22"/>
          <w:szCs w:val="22"/>
        </w:rPr>
        <w:t>y área geográfica, 2021</w:t>
      </w:r>
    </w:p>
    <w:tbl>
      <w:tblPr>
        <w:tblW w:w="7989" w:type="dxa"/>
        <w:jc w:val="center"/>
        <w:tblCellMar>
          <w:left w:w="70" w:type="dxa"/>
          <w:right w:w="70" w:type="dxa"/>
        </w:tblCellMar>
        <w:tblLook w:val="04A0" w:firstRow="1" w:lastRow="0" w:firstColumn="1" w:lastColumn="0" w:noHBand="0" w:noVBand="1"/>
      </w:tblPr>
      <w:tblGrid>
        <w:gridCol w:w="2127"/>
        <w:gridCol w:w="1124"/>
        <w:gridCol w:w="1254"/>
        <w:gridCol w:w="630"/>
        <w:gridCol w:w="1214"/>
        <w:gridCol w:w="1254"/>
        <w:gridCol w:w="630"/>
      </w:tblGrid>
      <w:tr w:rsidR="008D55DD" w:rsidRPr="00437A10" w14:paraId="7A5796B8" w14:textId="77777777" w:rsidTr="00602943">
        <w:trPr>
          <w:trHeight w:val="300"/>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47426" w14:textId="77777777" w:rsidR="008D55DD" w:rsidRPr="00437A10" w:rsidRDefault="008D55DD" w:rsidP="008D55DD">
            <w:pPr>
              <w:jc w:val="center"/>
              <w:rPr>
                <w:rFonts w:ascii="Arial" w:hAnsi="Arial" w:cs="Arial"/>
                <w:sz w:val="22"/>
                <w:szCs w:val="22"/>
                <w:lang w:val="es-BO" w:eastAsia="es-BO"/>
              </w:rPr>
            </w:pPr>
            <w:r w:rsidRPr="00437A10">
              <w:rPr>
                <w:rFonts w:ascii="Arial" w:hAnsi="Arial" w:cs="Arial"/>
                <w:sz w:val="22"/>
                <w:szCs w:val="22"/>
                <w:lang w:val="es-BO" w:eastAsia="es-BO"/>
              </w:rPr>
              <w:t>Tipo de hogar</w:t>
            </w:r>
          </w:p>
        </w:tc>
        <w:tc>
          <w:tcPr>
            <w:tcW w:w="2888"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38AE12" w14:textId="77777777" w:rsidR="008D55DD" w:rsidRPr="00437A10" w:rsidRDefault="008D55DD" w:rsidP="008D55DD">
            <w:pPr>
              <w:jc w:val="center"/>
              <w:rPr>
                <w:rFonts w:ascii="Arial" w:hAnsi="Arial" w:cs="Arial"/>
                <w:sz w:val="22"/>
                <w:szCs w:val="22"/>
                <w:lang w:val="es-BO" w:eastAsia="es-BO"/>
              </w:rPr>
            </w:pPr>
            <w:r w:rsidRPr="00437A10">
              <w:rPr>
                <w:rFonts w:ascii="Arial" w:hAnsi="Arial" w:cs="Arial"/>
                <w:sz w:val="22"/>
                <w:szCs w:val="22"/>
                <w:lang w:val="es-BO" w:eastAsia="es-BO"/>
              </w:rPr>
              <w:t>Área urbana</w:t>
            </w:r>
          </w:p>
        </w:tc>
        <w:tc>
          <w:tcPr>
            <w:tcW w:w="297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27AC154" w14:textId="77777777" w:rsidR="008D55DD" w:rsidRPr="00437A10" w:rsidRDefault="008D55DD" w:rsidP="008D55DD">
            <w:pPr>
              <w:jc w:val="center"/>
              <w:rPr>
                <w:rFonts w:ascii="Arial" w:hAnsi="Arial" w:cs="Arial"/>
                <w:sz w:val="22"/>
                <w:szCs w:val="22"/>
                <w:lang w:val="es-BO" w:eastAsia="es-BO"/>
              </w:rPr>
            </w:pPr>
            <w:r w:rsidRPr="00437A10">
              <w:rPr>
                <w:rFonts w:ascii="Arial" w:hAnsi="Arial" w:cs="Arial"/>
                <w:sz w:val="22"/>
                <w:szCs w:val="22"/>
                <w:lang w:val="es-BO" w:eastAsia="es-BO"/>
              </w:rPr>
              <w:t>Área urbana</w:t>
            </w:r>
          </w:p>
        </w:tc>
      </w:tr>
      <w:tr w:rsidR="008D55DD" w:rsidRPr="00437A10" w14:paraId="06EA23B7" w14:textId="77777777" w:rsidTr="00602943">
        <w:trPr>
          <w:trHeight w:val="315"/>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D3DFD91" w14:textId="77777777" w:rsidR="008D55DD" w:rsidRPr="00437A10" w:rsidRDefault="008D55DD" w:rsidP="008D55DD">
            <w:pPr>
              <w:rPr>
                <w:rFonts w:ascii="Arial" w:hAnsi="Arial" w:cs="Arial"/>
                <w:sz w:val="22"/>
                <w:szCs w:val="22"/>
                <w:lang w:val="es-BO" w:eastAsia="es-BO"/>
              </w:rPr>
            </w:pPr>
          </w:p>
        </w:tc>
        <w:tc>
          <w:tcPr>
            <w:tcW w:w="1124" w:type="dxa"/>
            <w:tcBorders>
              <w:top w:val="nil"/>
              <w:left w:val="nil"/>
              <w:bottom w:val="single" w:sz="4" w:space="0" w:color="auto"/>
              <w:right w:val="single" w:sz="4" w:space="0" w:color="auto"/>
            </w:tcBorders>
            <w:shd w:val="clear" w:color="auto" w:fill="auto"/>
            <w:noWrap/>
            <w:vAlign w:val="bottom"/>
            <w:hideMark/>
          </w:tcPr>
          <w:p w14:paraId="1E356CBC" w14:textId="77777777" w:rsidR="008D55DD" w:rsidRPr="00437A10" w:rsidRDefault="008D55DD" w:rsidP="008D55DD">
            <w:pPr>
              <w:rPr>
                <w:rFonts w:ascii="Arial" w:hAnsi="Arial" w:cs="Arial"/>
                <w:sz w:val="22"/>
                <w:szCs w:val="22"/>
                <w:lang w:val="es-BO" w:eastAsia="es-BO"/>
              </w:rPr>
            </w:pPr>
            <w:r w:rsidRPr="00437A10">
              <w:rPr>
                <w:rFonts w:ascii="Arial" w:hAnsi="Arial" w:cs="Arial"/>
                <w:sz w:val="22"/>
                <w:szCs w:val="22"/>
                <w:lang w:val="es-BO" w:eastAsia="es-BO"/>
              </w:rPr>
              <w:t>Vivienda asequible</w:t>
            </w:r>
          </w:p>
        </w:tc>
        <w:tc>
          <w:tcPr>
            <w:tcW w:w="1165" w:type="dxa"/>
            <w:tcBorders>
              <w:top w:val="nil"/>
              <w:left w:val="nil"/>
              <w:bottom w:val="single" w:sz="4" w:space="0" w:color="auto"/>
              <w:right w:val="single" w:sz="4" w:space="0" w:color="auto"/>
            </w:tcBorders>
            <w:shd w:val="clear" w:color="auto" w:fill="auto"/>
            <w:noWrap/>
            <w:vAlign w:val="bottom"/>
            <w:hideMark/>
          </w:tcPr>
          <w:p w14:paraId="02991F99" w14:textId="77777777" w:rsidR="008D55DD" w:rsidRPr="00437A10" w:rsidRDefault="008D55DD" w:rsidP="008D55DD">
            <w:pPr>
              <w:rPr>
                <w:rFonts w:ascii="Arial" w:hAnsi="Arial" w:cs="Arial"/>
                <w:sz w:val="22"/>
                <w:szCs w:val="22"/>
                <w:lang w:val="es-BO" w:eastAsia="es-BO"/>
              </w:rPr>
            </w:pPr>
            <w:r w:rsidRPr="00437A10">
              <w:rPr>
                <w:rFonts w:ascii="Arial" w:hAnsi="Arial" w:cs="Arial"/>
                <w:sz w:val="22"/>
                <w:szCs w:val="22"/>
                <w:lang w:val="es-BO" w:eastAsia="es-BO"/>
              </w:rPr>
              <w:t>Vivienda inasequible</w:t>
            </w:r>
          </w:p>
        </w:tc>
        <w:tc>
          <w:tcPr>
            <w:tcW w:w="599" w:type="dxa"/>
            <w:tcBorders>
              <w:top w:val="nil"/>
              <w:left w:val="nil"/>
              <w:bottom w:val="single" w:sz="4" w:space="0" w:color="auto"/>
              <w:right w:val="single" w:sz="4" w:space="0" w:color="auto"/>
            </w:tcBorders>
            <w:shd w:val="clear" w:color="auto" w:fill="auto"/>
            <w:noWrap/>
            <w:vAlign w:val="bottom"/>
            <w:hideMark/>
          </w:tcPr>
          <w:p w14:paraId="475DE601" w14:textId="77777777" w:rsidR="008D55DD" w:rsidRPr="00437A10" w:rsidRDefault="008D55DD" w:rsidP="008D55DD">
            <w:pPr>
              <w:rPr>
                <w:rFonts w:ascii="Arial" w:hAnsi="Arial" w:cs="Arial"/>
                <w:sz w:val="22"/>
                <w:szCs w:val="22"/>
                <w:lang w:val="es-BO" w:eastAsia="es-BO"/>
              </w:rPr>
            </w:pPr>
            <w:r w:rsidRPr="00437A10">
              <w:rPr>
                <w:rFonts w:ascii="Arial" w:hAnsi="Arial" w:cs="Arial"/>
                <w:sz w:val="22"/>
                <w:szCs w:val="22"/>
                <w:lang w:val="es-BO" w:eastAsia="es-BO"/>
              </w:rPr>
              <w:t>Total</w:t>
            </w:r>
          </w:p>
        </w:tc>
        <w:tc>
          <w:tcPr>
            <w:tcW w:w="1214" w:type="dxa"/>
            <w:tcBorders>
              <w:top w:val="nil"/>
              <w:left w:val="nil"/>
              <w:bottom w:val="single" w:sz="4" w:space="0" w:color="auto"/>
              <w:right w:val="single" w:sz="4" w:space="0" w:color="auto"/>
            </w:tcBorders>
            <w:shd w:val="clear" w:color="auto" w:fill="auto"/>
            <w:noWrap/>
            <w:vAlign w:val="bottom"/>
            <w:hideMark/>
          </w:tcPr>
          <w:p w14:paraId="784DA1C2" w14:textId="77777777" w:rsidR="008D55DD" w:rsidRPr="00437A10" w:rsidRDefault="008D55DD" w:rsidP="008D55DD">
            <w:pPr>
              <w:rPr>
                <w:rFonts w:ascii="Arial" w:hAnsi="Arial" w:cs="Arial"/>
                <w:sz w:val="22"/>
                <w:szCs w:val="22"/>
                <w:lang w:val="es-BO" w:eastAsia="es-BO"/>
              </w:rPr>
            </w:pPr>
            <w:r w:rsidRPr="00437A10">
              <w:rPr>
                <w:rFonts w:ascii="Arial" w:hAnsi="Arial" w:cs="Arial"/>
                <w:sz w:val="22"/>
                <w:szCs w:val="22"/>
                <w:lang w:val="es-BO" w:eastAsia="es-BO"/>
              </w:rPr>
              <w:t>Vivienda asequible</w:t>
            </w:r>
          </w:p>
        </w:tc>
        <w:tc>
          <w:tcPr>
            <w:tcW w:w="1165" w:type="dxa"/>
            <w:tcBorders>
              <w:top w:val="nil"/>
              <w:left w:val="nil"/>
              <w:bottom w:val="single" w:sz="4" w:space="0" w:color="auto"/>
              <w:right w:val="single" w:sz="4" w:space="0" w:color="auto"/>
            </w:tcBorders>
            <w:shd w:val="clear" w:color="auto" w:fill="auto"/>
            <w:noWrap/>
            <w:vAlign w:val="bottom"/>
            <w:hideMark/>
          </w:tcPr>
          <w:p w14:paraId="554387CF" w14:textId="77777777" w:rsidR="008D55DD" w:rsidRPr="00437A10" w:rsidRDefault="008D55DD" w:rsidP="008D55DD">
            <w:pPr>
              <w:rPr>
                <w:rFonts w:ascii="Arial" w:hAnsi="Arial" w:cs="Arial"/>
                <w:sz w:val="22"/>
                <w:szCs w:val="22"/>
                <w:lang w:val="es-BO" w:eastAsia="es-BO"/>
              </w:rPr>
            </w:pPr>
            <w:r w:rsidRPr="00437A10">
              <w:rPr>
                <w:rFonts w:ascii="Arial" w:hAnsi="Arial" w:cs="Arial"/>
                <w:sz w:val="22"/>
                <w:szCs w:val="22"/>
                <w:lang w:val="es-BO" w:eastAsia="es-BO"/>
              </w:rPr>
              <w:t>Vivienda inasequible</w:t>
            </w:r>
          </w:p>
        </w:tc>
        <w:tc>
          <w:tcPr>
            <w:tcW w:w="595" w:type="dxa"/>
            <w:tcBorders>
              <w:top w:val="nil"/>
              <w:left w:val="nil"/>
              <w:bottom w:val="single" w:sz="4" w:space="0" w:color="auto"/>
              <w:right w:val="single" w:sz="4" w:space="0" w:color="auto"/>
            </w:tcBorders>
            <w:shd w:val="clear" w:color="auto" w:fill="auto"/>
            <w:noWrap/>
            <w:vAlign w:val="bottom"/>
            <w:hideMark/>
          </w:tcPr>
          <w:p w14:paraId="1ABE059D" w14:textId="77777777" w:rsidR="008D55DD" w:rsidRPr="00437A10" w:rsidRDefault="008D55DD" w:rsidP="008D55DD">
            <w:pPr>
              <w:rPr>
                <w:rFonts w:ascii="Arial" w:hAnsi="Arial" w:cs="Arial"/>
                <w:sz w:val="22"/>
                <w:szCs w:val="22"/>
                <w:lang w:val="es-BO" w:eastAsia="es-BO"/>
              </w:rPr>
            </w:pPr>
            <w:r w:rsidRPr="00437A10">
              <w:rPr>
                <w:rFonts w:ascii="Arial" w:hAnsi="Arial" w:cs="Arial"/>
                <w:sz w:val="22"/>
                <w:szCs w:val="22"/>
                <w:lang w:val="es-BO" w:eastAsia="es-BO"/>
              </w:rPr>
              <w:t>Total</w:t>
            </w:r>
          </w:p>
        </w:tc>
      </w:tr>
      <w:tr w:rsidR="008D55DD" w:rsidRPr="00437A10" w14:paraId="5BB37A82" w14:textId="77777777" w:rsidTr="00602943">
        <w:trPr>
          <w:trHeight w:val="315"/>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F68E87D" w14:textId="77777777" w:rsidR="008D55DD" w:rsidRPr="00437A10" w:rsidRDefault="008D55DD" w:rsidP="008D55DD">
            <w:pPr>
              <w:rPr>
                <w:rFonts w:ascii="Arial" w:hAnsi="Arial" w:cs="Arial"/>
                <w:sz w:val="22"/>
                <w:szCs w:val="22"/>
                <w:lang w:val="es-BO" w:eastAsia="es-BO"/>
              </w:rPr>
            </w:pPr>
            <w:r w:rsidRPr="00437A10">
              <w:rPr>
                <w:rFonts w:ascii="Arial" w:hAnsi="Arial" w:cs="Arial"/>
                <w:sz w:val="22"/>
                <w:szCs w:val="22"/>
                <w:lang w:val="es-BO" w:eastAsia="es-BO"/>
              </w:rPr>
              <w:t>Hogar unipersonal</w:t>
            </w:r>
          </w:p>
        </w:tc>
        <w:tc>
          <w:tcPr>
            <w:tcW w:w="1124" w:type="dxa"/>
            <w:tcBorders>
              <w:top w:val="nil"/>
              <w:left w:val="nil"/>
              <w:bottom w:val="single" w:sz="4" w:space="0" w:color="auto"/>
              <w:right w:val="single" w:sz="4" w:space="0" w:color="auto"/>
            </w:tcBorders>
            <w:shd w:val="clear" w:color="auto" w:fill="auto"/>
            <w:noWrap/>
            <w:vAlign w:val="bottom"/>
            <w:hideMark/>
          </w:tcPr>
          <w:p w14:paraId="56ABE86A"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91</w:t>
            </w:r>
          </w:p>
        </w:tc>
        <w:tc>
          <w:tcPr>
            <w:tcW w:w="1165" w:type="dxa"/>
            <w:tcBorders>
              <w:top w:val="nil"/>
              <w:left w:val="nil"/>
              <w:bottom w:val="single" w:sz="4" w:space="0" w:color="auto"/>
              <w:right w:val="single" w:sz="4" w:space="0" w:color="auto"/>
            </w:tcBorders>
            <w:shd w:val="clear" w:color="auto" w:fill="auto"/>
            <w:noWrap/>
            <w:vAlign w:val="bottom"/>
            <w:hideMark/>
          </w:tcPr>
          <w:p w14:paraId="1BFFFEA8"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9</w:t>
            </w:r>
          </w:p>
        </w:tc>
        <w:tc>
          <w:tcPr>
            <w:tcW w:w="599" w:type="dxa"/>
            <w:tcBorders>
              <w:top w:val="nil"/>
              <w:left w:val="nil"/>
              <w:bottom w:val="single" w:sz="4" w:space="0" w:color="auto"/>
              <w:right w:val="single" w:sz="4" w:space="0" w:color="auto"/>
            </w:tcBorders>
            <w:shd w:val="clear" w:color="auto" w:fill="auto"/>
            <w:noWrap/>
            <w:vAlign w:val="bottom"/>
            <w:hideMark/>
          </w:tcPr>
          <w:p w14:paraId="46D925D5"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100</w:t>
            </w:r>
          </w:p>
        </w:tc>
        <w:tc>
          <w:tcPr>
            <w:tcW w:w="1214" w:type="dxa"/>
            <w:tcBorders>
              <w:top w:val="nil"/>
              <w:left w:val="nil"/>
              <w:bottom w:val="single" w:sz="4" w:space="0" w:color="auto"/>
              <w:right w:val="single" w:sz="4" w:space="0" w:color="auto"/>
            </w:tcBorders>
            <w:shd w:val="clear" w:color="auto" w:fill="auto"/>
            <w:noWrap/>
            <w:vAlign w:val="bottom"/>
            <w:hideMark/>
          </w:tcPr>
          <w:p w14:paraId="138D3C11"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97</w:t>
            </w:r>
          </w:p>
        </w:tc>
        <w:tc>
          <w:tcPr>
            <w:tcW w:w="1165" w:type="dxa"/>
            <w:tcBorders>
              <w:top w:val="nil"/>
              <w:left w:val="nil"/>
              <w:bottom w:val="single" w:sz="4" w:space="0" w:color="auto"/>
              <w:right w:val="single" w:sz="4" w:space="0" w:color="auto"/>
            </w:tcBorders>
            <w:shd w:val="clear" w:color="auto" w:fill="auto"/>
            <w:noWrap/>
            <w:vAlign w:val="bottom"/>
            <w:hideMark/>
          </w:tcPr>
          <w:p w14:paraId="2C4609EE"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3</w:t>
            </w:r>
          </w:p>
        </w:tc>
        <w:tc>
          <w:tcPr>
            <w:tcW w:w="595" w:type="dxa"/>
            <w:tcBorders>
              <w:top w:val="nil"/>
              <w:left w:val="nil"/>
              <w:bottom w:val="single" w:sz="4" w:space="0" w:color="auto"/>
              <w:right w:val="single" w:sz="4" w:space="0" w:color="auto"/>
            </w:tcBorders>
            <w:shd w:val="clear" w:color="auto" w:fill="auto"/>
            <w:noWrap/>
            <w:vAlign w:val="bottom"/>
            <w:hideMark/>
          </w:tcPr>
          <w:p w14:paraId="15F7BA51"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100</w:t>
            </w:r>
          </w:p>
        </w:tc>
      </w:tr>
      <w:tr w:rsidR="008D55DD" w:rsidRPr="00437A10" w14:paraId="3741E207" w14:textId="77777777" w:rsidTr="00602943">
        <w:trPr>
          <w:trHeight w:val="314"/>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F6FB934" w14:textId="77777777" w:rsidR="008D55DD" w:rsidRPr="00437A10" w:rsidRDefault="008D55DD" w:rsidP="008D55DD">
            <w:pPr>
              <w:rPr>
                <w:rFonts w:ascii="Arial" w:hAnsi="Arial" w:cs="Arial"/>
                <w:sz w:val="22"/>
                <w:szCs w:val="22"/>
                <w:lang w:val="es-BO" w:eastAsia="es-BO"/>
              </w:rPr>
            </w:pPr>
            <w:r w:rsidRPr="00437A10">
              <w:rPr>
                <w:rFonts w:ascii="Arial" w:hAnsi="Arial" w:cs="Arial"/>
                <w:sz w:val="22"/>
                <w:szCs w:val="22"/>
                <w:lang w:val="es-BO" w:eastAsia="es-BO"/>
              </w:rPr>
              <w:t>Pareja nuclear</w:t>
            </w:r>
          </w:p>
        </w:tc>
        <w:tc>
          <w:tcPr>
            <w:tcW w:w="1124" w:type="dxa"/>
            <w:tcBorders>
              <w:top w:val="nil"/>
              <w:left w:val="nil"/>
              <w:bottom w:val="single" w:sz="4" w:space="0" w:color="auto"/>
              <w:right w:val="single" w:sz="4" w:space="0" w:color="auto"/>
            </w:tcBorders>
            <w:shd w:val="clear" w:color="auto" w:fill="auto"/>
            <w:noWrap/>
            <w:vAlign w:val="bottom"/>
            <w:hideMark/>
          </w:tcPr>
          <w:p w14:paraId="4C20A98D"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92</w:t>
            </w:r>
          </w:p>
        </w:tc>
        <w:tc>
          <w:tcPr>
            <w:tcW w:w="1165" w:type="dxa"/>
            <w:tcBorders>
              <w:top w:val="nil"/>
              <w:left w:val="nil"/>
              <w:bottom w:val="single" w:sz="4" w:space="0" w:color="auto"/>
              <w:right w:val="single" w:sz="4" w:space="0" w:color="auto"/>
            </w:tcBorders>
            <w:shd w:val="clear" w:color="auto" w:fill="auto"/>
            <w:noWrap/>
            <w:vAlign w:val="bottom"/>
            <w:hideMark/>
          </w:tcPr>
          <w:p w14:paraId="1C155FC4"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8</w:t>
            </w:r>
          </w:p>
        </w:tc>
        <w:tc>
          <w:tcPr>
            <w:tcW w:w="599" w:type="dxa"/>
            <w:tcBorders>
              <w:top w:val="nil"/>
              <w:left w:val="nil"/>
              <w:bottom w:val="single" w:sz="4" w:space="0" w:color="auto"/>
              <w:right w:val="single" w:sz="4" w:space="0" w:color="auto"/>
            </w:tcBorders>
            <w:shd w:val="clear" w:color="auto" w:fill="auto"/>
            <w:noWrap/>
            <w:vAlign w:val="bottom"/>
            <w:hideMark/>
          </w:tcPr>
          <w:p w14:paraId="7B079800"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100</w:t>
            </w:r>
          </w:p>
        </w:tc>
        <w:tc>
          <w:tcPr>
            <w:tcW w:w="1214" w:type="dxa"/>
            <w:tcBorders>
              <w:top w:val="nil"/>
              <w:left w:val="nil"/>
              <w:bottom w:val="single" w:sz="4" w:space="0" w:color="auto"/>
              <w:right w:val="single" w:sz="4" w:space="0" w:color="auto"/>
            </w:tcBorders>
            <w:shd w:val="clear" w:color="auto" w:fill="auto"/>
            <w:noWrap/>
            <w:vAlign w:val="bottom"/>
            <w:hideMark/>
          </w:tcPr>
          <w:p w14:paraId="6D5F21DF"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97</w:t>
            </w:r>
          </w:p>
        </w:tc>
        <w:tc>
          <w:tcPr>
            <w:tcW w:w="1165" w:type="dxa"/>
            <w:tcBorders>
              <w:top w:val="nil"/>
              <w:left w:val="nil"/>
              <w:bottom w:val="single" w:sz="4" w:space="0" w:color="auto"/>
              <w:right w:val="single" w:sz="4" w:space="0" w:color="auto"/>
            </w:tcBorders>
            <w:shd w:val="clear" w:color="auto" w:fill="auto"/>
            <w:noWrap/>
            <w:vAlign w:val="bottom"/>
            <w:hideMark/>
          </w:tcPr>
          <w:p w14:paraId="75A35B2C"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3</w:t>
            </w:r>
          </w:p>
        </w:tc>
        <w:tc>
          <w:tcPr>
            <w:tcW w:w="595" w:type="dxa"/>
            <w:tcBorders>
              <w:top w:val="nil"/>
              <w:left w:val="nil"/>
              <w:bottom w:val="single" w:sz="4" w:space="0" w:color="auto"/>
              <w:right w:val="single" w:sz="4" w:space="0" w:color="auto"/>
            </w:tcBorders>
            <w:shd w:val="clear" w:color="auto" w:fill="auto"/>
            <w:noWrap/>
            <w:vAlign w:val="bottom"/>
            <w:hideMark/>
          </w:tcPr>
          <w:p w14:paraId="16EDAE3C"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100</w:t>
            </w:r>
          </w:p>
        </w:tc>
      </w:tr>
      <w:tr w:rsidR="008D55DD" w:rsidRPr="00437A10" w14:paraId="49F5B482" w14:textId="77777777" w:rsidTr="00602943">
        <w:trPr>
          <w:trHeight w:val="275"/>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5890327" w14:textId="77777777" w:rsidR="008D55DD" w:rsidRPr="00437A10" w:rsidRDefault="008D55DD" w:rsidP="008D55DD">
            <w:pPr>
              <w:rPr>
                <w:rFonts w:ascii="Arial" w:hAnsi="Arial" w:cs="Arial"/>
                <w:sz w:val="22"/>
                <w:szCs w:val="22"/>
                <w:lang w:val="es-BO" w:eastAsia="es-BO"/>
              </w:rPr>
            </w:pPr>
            <w:r w:rsidRPr="00437A10">
              <w:rPr>
                <w:rFonts w:ascii="Arial" w:hAnsi="Arial" w:cs="Arial"/>
                <w:sz w:val="22"/>
                <w:szCs w:val="22"/>
                <w:lang w:val="es-BO" w:eastAsia="es-BO"/>
              </w:rPr>
              <w:t>Monoparental</w:t>
            </w:r>
          </w:p>
        </w:tc>
        <w:tc>
          <w:tcPr>
            <w:tcW w:w="1124" w:type="dxa"/>
            <w:tcBorders>
              <w:top w:val="nil"/>
              <w:left w:val="nil"/>
              <w:bottom w:val="single" w:sz="4" w:space="0" w:color="auto"/>
              <w:right w:val="single" w:sz="4" w:space="0" w:color="auto"/>
            </w:tcBorders>
            <w:shd w:val="clear" w:color="auto" w:fill="auto"/>
            <w:noWrap/>
            <w:vAlign w:val="bottom"/>
            <w:hideMark/>
          </w:tcPr>
          <w:p w14:paraId="244ADC7E"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78</w:t>
            </w:r>
          </w:p>
        </w:tc>
        <w:tc>
          <w:tcPr>
            <w:tcW w:w="1165" w:type="dxa"/>
            <w:tcBorders>
              <w:top w:val="nil"/>
              <w:left w:val="nil"/>
              <w:bottom w:val="single" w:sz="4" w:space="0" w:color="auto"/>
              <w:right w:val="single" w:sz="4" w:space="0" w:color="auto"/>
            </w:tcBorders>
            <w:shd w:val="clear" w:color="auto" w:fill="D0CECE" w:themeFill="background2" w:themeFillShade="E6"/>
            <w:noWrap/>
            <w:vAlign w:val="bottom"/>
            <w:hideMark/>
          </w:tcPr>
          <w:p w14:paraId="66F981D9"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22</w:t>
            </w:r>
          </w:p>
        </w:tc>
        <w:tc>
          <w:tcPr>
            <w:tcW w:w="599" w:type="dxa"/>
            <w:tcBorders>
              <w:top w:val="nil"/>
              <w:left w:val="nil"/>
              <w:bottom w:val="single" w:sz="4" w:space="0" w:color="auto"/>
              <w:right w:val="single" w:sz="4" w:space="0" w:color="auto"/>
            </w:tcBorders>
            <w:shd w:val="clear" w:color="auto" w:fill="auto"/>
            <w:noWrap/>
            <w:vAlign w:val="bottom"/>
            <w:hideMark/>
          </w:tcPr>
          <w:p w14:paraId="0CF744E4"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100</w:t>
            </w:r>
          </w:p>
        </w:tc>
        <w:tc>
          <w:tcPr>
            <w:tcW w:w="1214" w:type="dxa"/>
            <w:tcBorders>
              <w:top w:val="nil"/>
              <w:left w:val="nil"/>
              <w:bottom w:val="single" w:sz="4" w:space="0" w:color="auto"/>
              <w:right w:val="single" w:sz="4" w:space="0" w:color="auto"/>
            </w:tcBorders>
            <w:shd w:val="clear" w:color="auto" w:fill="auto"/>
            <w:noWrap/>
            <w:vAlign w:val="bottom"/>
            <w:hideMark/>
          </w:tcPr>
          <w:p w14:paraId="051A9741"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91</w:t>
            </w:r>
          </w:p>
        </w:tc>
        <w:tc>
          <w:tcPr>
            <w:tcW w:w="1165" w:type="dxa"/>
            <w:tcBorders>
              <w:top w:val="nil"/>
              <w:left w:val="nil"/>
              <w:bottom w:val="single" w:sz="4" w:space="0" w:color="auto"/>
              <w:right w:val="single" w:sz="4" w:space="0" w:color="auto"/>
            </w:tcBorders>
            <w:shd w:val="clear" w:color="auto" w:fill="auto"/>
            <w:noWrap/>
            <w:vAlign w:val="bottom"/>
            <w:hideMark/>
          </w:tcPr>
          <w:p w14:paraId="68294378"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9</w:t>
            </w:r>
          </w:p>
        </w:tc>
        <w:tc>
          <w:tcPr>
            <w:tcW w:w="595" w:type="dxa"/>
            <w:tcBorders>
              <w:top w:val="nil"/>
              <w:left w:val="nil"/>
              <w:bottom w:val="single" w:sz="4" w:space="0" w:color="auto"/>
              <w:right w:val="single" w:sz="4" w:space="0" w:color="auto"/>
            </w:tcBorders>
            <w:shd w:val="clear" w:color="auto" w:fill="auto"/>
            <w:noWrap/>
            <w:vAlign w:val="bottom"/>
            <w:hideMark/>
          </w:tcPr>
          <w:p w14:paraId="120E4EE7"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100</w:t>
            </w:r>
          </w:p>
        </w:tc>
      </w:tr>
      <w:tr w:rsidR="008D55DD" w:rsidRPr="00437A10" w14:paraId="39AAC375" w14:textId="77777777" w:rsidTr="00602943">
        <w:trPr>
          <w:trHeight w:val="266"/>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21AA8BA" w14:textId="77777777" w:rsidR="008D55DD" w:rsidRPr="00437A10" w:rsidRDefault="008D55DD" w:rsidP="008D55DD">
            <w:pPr>
              <w:rPr>
                <w:rFonts w:ascii="Arial" w:hAnsi="Arial" w:cs="Arial"/>
                <w:sz w:val="22"/>
                <w:szCs w:val="22"/>
                <w:lang w:val="es-BO" w:eastAsia="es-BO"/>
              </w:rPr>
            </w:pPr>
            <w:r w:rsidRPr="00437A10">
              <w:rPr>
                <w:rFonts w:ascii="Arial" w:hAnsi="Arial" w:cs="Arial"/>
                <w:sz w:val="22"/>
                <w:szCs w:val="22"/>
                <w:lang w:val="es-BO" w:eastAsia="es-BO"/>
              </w:rPr>
              <w:t>Nuclear completo</w:t>
            </w:r>
          </w:p>
        </w:tc>
        <w:tc>
          <w:tcPr>
            <w:tcW w:w="1124" w:type="dxa"/>
            <w:tcBorders>
              <w:top w:val="nil"/>
              <w:left w:val="nil"/>
              <w:bottom w:val="single" w:sz="4" w:space="0" w:color="auto"/>
              <w:right w:val="single" w:sz="4" w:space="0" w:color="auto"/>
            </w:tcBorders>
            <w:shd w:val="clear" w:color="auto" w:fill="auto"/>
            <w:noWrap/>
            <w:vAlign w:val="bottom"/>
            <w:hideMark/>
          </w:tcPr>
          <w:p w14:paraId="03C7EF0B"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79</w:t>
            </w:r>
          </w:p>
        </w:tc>
        <w:tc>
          <w:tcPr>
            <w:tcW w:w="1165" w:type="dxa"/>
            <w:tcBorders>
              <w:top w:val="nil"/>
              <w:left w:val="nil"/>
              <w:bottom w:val="single" w:sz="4" w:space="0" w:color="auto"/>
              <w:right w:val="single" w:sz="4" w:space="0" w:color="auto"/>
            </w:tcBorders>
            <w:shd w:val="clear" w:color="auto" w:fill="D0CECE" w:themeFill="background2" w:themeFillShade="E6"/>
            <w:noWrap/>
            <w:vAlign w:val="bottom"/>
            <w:hideMark/>
          </w:tcPr>
          <w:p w14:paraId="282A3C0F"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21</w:t>
            </w:r>
          </w:p>
        </w:tc>
        <w:tc>
          <w:tcPr>
            <w:tcW w:w="599" w:type="dxa"/>
            <w:tcBorders>
              <w:top w:val="nil"/>
              <w:left w:val="nil"/>
              <w:bottom w:val="single" w:sz="4" w:space="0" w:color="auto"/>
              <w:right w:val="single" w:sz="4" w:space="0" w:color="auto"/>
            </w:tcBorders>
            <w:shd w:val="clear" w:color="auto" w:fill="auto"/>
            <w:noWrap/>
            <w:vAlign w:val="bottom"/>
            <w:hideMark/>
          </w:tcPr>
          <w:p w14:paraId="774ED4BA"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100</w:t>
            </w:r>
          </w:p>
        </w:tc>
        <w:tc>
          <w:tcPr>
            <w:tcW w:w="1214" w:type="dxa"/>
            <w:tcBorders>
              <w:top w:val="nil"/>
              <w:left w:val="nil"/>
              <w:bottom w:val="single" w:sz="4" w:space="0" w:color="auto"/>
              <w:right w:val="single" w:sz="4" w:space="0" w:color="auto"/>
            </w:tcBorders>
            <w:shd w:val="clear" w:color="auto" w:fill="auto"/>
            <w:noWrap/>
            <w:vAlign w:val="bottom"/>
            <w:hideMark/>
          </w:tcPr>
          <w:p w14:paraId="2643D623"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83</w:t>
            </w:r>
          </w:p>
        </w:tc>
        <w:tc>
          <w:tcPr>
            <w:tcW w:w="1165" w:type="dxa"/>
            <w:tcBorders>
              <w:top w:val="nil"/>
              <w:left w:val="nil"/>
              <w:bottom w:val="single" w:sz="4" w:space="0" w:color="auto"/>
              <w:right w:val="single" w:sz="4" w:space="0" w:color="auto"/>
            </w:tcBorders>
            <w:shd w:val="clear" w:color="auto" w:fill="D0CECE" w:themeFill="background2" w:themeFillShade="E6"/>
            <w:noWrap/>
            <w:vAlign w:val="bottom"/>
            <w:hideMark/>
          </w:tcPr>
          <w:p w14:paraId="137ACC38"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17</w:t>
            </w:r>
          </w:p>
        </w:tc>
        <w:tc>
          <w:tcPr>
            <w:tcW w:w="595" w:type="dxa"/>
            <w:tcBorders>
              <w:top w:val="nil"/>
              <w:left w:val="nil"/>
              <w:bottom w:val="single" w:sz="4" w:space="0" w:color="auto"/>
              <w:right w:val="single" w:sz="4" w:space="0" w:color="auto"/>
            </w:tcBorders>
            <w:shd w:val="clear" w:color="auto" w:fill="auto"/>
            <w:noWrap/>
            <w:vAlign w:val="bottom"/>
            <w:hideMark/>
          </w:tcPr>
          <w:p w14:paraId="68F9291A"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100</w:t>
            </w:r>
          </w:p>
        </w:tc>
      </w:tr>
      <w:tr w:rsidR="008D55DD" w:rsidRPr="00437A10" w14:paraId="3B9C6A82" w14:textId="77777777" w:rsidTr="00602943">
        <w:trPr>
          <w:trHeight w:val="269"/>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7192064" w14:textId="77777777" w:rsidR="008D55DD" w:rsidRPr="00437A10" w:rsidRDefault="008D55DD" w:rsidP="008D55DD">
            <w:pPr>
              <w:rPr>
                <w:rFonts w:ascii="Arial" w:hAnsi="Arial" w:cs="Arial"/>
                <w:sz w:val="22"/>
                <w:szCs w:val="22"/>
                <w:lang w:val="es-BO" w:eastAsia="es-BO"/>
              </w:rPr>
            </w:pPr>
            <w:r w:rsidRPr="00437A10">
              <w:rPr>
                <w:rFonts w:ascii="Arial" w:hAnsi="Arial" w:cs="Arial"/>
                <w:sz w:val="22"/>
                <w:szCs w:val="22"/>
                <w:lang w:val="es-BO" w:eastAsia="es-BO"/>
              </w:rPr>
              <w:t>Hogar extendido</w:t>
            </w:r>
          </w:p>
        </w:tc>
        <w:tc>
          <w:tcPr>
            <w:tcW w:w="1124" w:type="dxa"/>
            <w:tcBorders>
              <w:top w:val="nil"/>
              <w:left w:val="nil"/>
              <w:bottom w:val="single" w:sz="4" w:space="0" w:color="auto"/>
              <w:right w:val="single" w:sz="4" w:space="0" w:color="auto"/>
            </w:tcBorders>
            <w:shd w:val="clear" w:color="auto" w:fill="auto"/>
            <w:noWrap/>
            <w:vAlign w:val="bottom"/>
            <w:hideMark/>
          </w:tcPr>
          <w:p w14:paraId="49FC81B5"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82</w:t>
            </w:r>
          </w:p>
        </w:tc>
        <w:tc>
          <w:tcPr>
            <w:tcW w:w="1165" w:type="dxa"/>
            <w:tcBorders>
              <w:top w:val="nil"/>
              <w:left w:val="nil"/>
              <w:bottom w:val="single" w:sz="4" w:space="0" w:color="auto"/>
              <w:right w:val="single" w:sz="4" w:space="0" w:color="auto"/>
            </w:tcBorders>
            <w:shd w:val="clear" w:color="auto" w:fill="auto"/>
            <w:noWrap/>
            <w:vAlign w:val="bottom"/>
            <w:hideMark/>
          </w:tcPr>
          <w:p w14:paraId="7708CD60"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18</w:t>
            </w:r>
          </w:p>
        </w:tc>
        <w:tc>
          <w:tcPr>
            <w:tcW w:w="599" w:type="dxa"/>
            <w:tcBorders>
              <w:top w:val="nil"/>
              <w:left w:val="nil"/>
              <w:bottom w:val="single" w:sz="4" w:space="0" w:color="auto"/>
              <w:right w:val="single" w:sz="4" w:space="0" w:color="auto"/>
            </w:tcBorders>
            <w:shd w:val="clear" w:color="auto" w:fill="auto"/>
            <w:noWrap/>
            <w:vAlign w:val="bottom"/>
            <w:hideMark/>
          </w:tcPr>
          <w:p w14:paraId="27BBC6CD"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100</w:t>
            </w:r>
          </w:p>
        </w:tc>
        <w:tc>
          <w:tcPr>
            <w:tcW w:w="1214" w:type="dxa"/>
            <w:tcBorders>
              <w:top w:val="nil"/>
              <w:left w:val="nil"/>
              <w:bottom w:val="single" w:sz="4" w:space="0" w:color="auto"/>
              <w:right w:val="single" w:sz="4" w:space="0" w:color="auto"/>
            </w:tcBorders>
            <w:shd w:val="clear" w:color="auto" w:fill="auto"/>
            <w:noWrap/>
            <w:vAlign w:val="bottom"/>
            <w:hideMark/>
          </w:tcPr>
          <w:p w14:paraId="69C661BD"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90</w:t>
            </w:r>
          </w:p>
        </w:tc>
        <w:tc>
          <w:tcPr>
            <w:tcW w:w="1165" w:type="dxa"/>
            <w:tcBorders>
              <w:top w:val="nil"/>
              <w:left w:val="nil"/>
              <w:bottom w:val="single" w:sz="4" w:space="0" w:color="auto"/>
              <w:right w:val="single" w:sz="4" w:space="0" w:color="auto"/>
            </w:tcBorders>
            <w:shd w:val="clear" w:color="auto" w:fill="auto"/>
            <w:noWrap/>
            <w:vAlign w:val="bottom"/>
            <w:hideMark/>
          </w:tcPr>
          <w:p w14:paraId="7AA0837F"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10</w:t>
            </w:r>
          </w:p>
        </w:tc>
        <w:tc>
          <w:tcPr>
            <w:tcW w:w="595" w:type="dxa"/>
            <w:tcBorders>
              <w:top w:val="nil"/>
              <w:left w:val="nil"/>
              <w:bottom w:val="single" w:sz="4" w:space="0" w:color="auto"/>
              <w:right w:val="single" w:sz="4" w:space="0" w:color="auto"/>
            </w:tcBorders>
            <w:shd w:val="clear" w:color="auto" w:fill="auto"/>
            <w:noWrap/>
            <w:vAlign w:val="bottom"/>
            <w:hideMark/>
          </w:tcPr>
          <w:p w14:paraId="7AE1984B"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100</w:t>
            </w:r>
          </w:p>
        </w:tc>
      </w:tr>
      <w:tr w:rsidR="008D55DD" w:rsidRPr="00437A10" w14:paraId="1D31E899" w14:textId="77777777" w:rsidTr="00602943">
        <w:trPr>
          <w:trHeight w:val="274"/>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AAEE167" w14:textId="77777777" w:rsidR="008D55DD" w:rsidRPr="00437A10" w:rsidRDefault="008D55DD" w:rsidP="008D55DD">
            <w:pPr>
              <w:rPr>
                <w:rFonts w:ascii="Arial" w:hAnsi="Arial" w:cs="Arial"/>
                <w:sz w:val="22"/>
                <w:szCs w:val="22"/>
                <w:lang w:val="es-BO" w:eastAsia="es-BO"/>
              </w:rPr>
            </w:pPr>
            <w:r w:rsidRPr="00437A10">
              <w:rPr>
                <w:rFonts w:ascii="Arial" w:hAnsi="Arial" w:cs="Arial"/>
                <w:sz w:val="22"/>
                <w:szCs w:val="22"/>
                <w:lang w:val="es-BO" w:eastAsia="es-BO"/>
              </w:rPr>
              <w:t>Hogar compuesto</w:t>
            </w:r>
          </w:p>
        </w:tc>
        <w:tc>
          <w:tcPr>
            <w:tcW w:w="1124" w:type="dxa"/>
            <w:tcBorders>
              <w:top w:val="nil"/>
              <w:left w:val="nil"/>
              <w:bottom w:val="single" w:sz="4" w:space="0" w:color="auto"/>
              <w:right w:val="single" w:sz="4" w:space="0" w:color="auto"/>
            </w:tcBorders>
            <w:shd w:val="clear" w:color="auto" w:fill="auto"/>
            <w:noWrap/>
            <w:vAlign w:val="bottom"/>
            <w:hideMark/>
          </w:tcPr>
          <w:p w14:paraId="220A2701"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94</w:t>
            </w:r>
          </w:p>
        </w:tc>
        <w:tc>
          <w:tcPr>
            <w:tcW w:w="1165" w:type="dxa"/>
            <w:tcBorders>
              <w:top w:val="nil"/>
              <w:left w:val="nil"/>
              <w:bottom w:val="single" w:sz="4" w:space="0" w:color="auto"/>
              <w:right w:val="single" w:sz="4" w:space="0" w:color="auto"/>
            </w:tcBorders>
            <w:shd w:val="clear" w:color="auto" w:fill="auto"/>
            <w:noWrap/>
            <w:vAlign w:val="bottom"/>
            <w:hideMark/>
          </w:tcPr>
          <w:p w14:paraId="7A870B21"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6</w:t>
            </w:r>
          </w:p>
        </w:tc>
        <w:tc>
          <w:tcPr>
            <w:tcW w:w="599" w:type="dxa"/>
            <w:tcBorders>
              <w:top w:val="nil"/>
              <w:left w:val="nil"/>
              <w:bottom w:val="single" w:sz="4" w:space="0" w:color="auto"/>
              <w:right w:val="single" w:sz="4" w:space="0" w:color="auto"/>
            </w:tcBorders>
            <w:shd w:val="clear" w:color="auto" w:fill="auto"/>
            <w:noWrap/>
            <w:vAlign w:val="bottom"/>
            <w:hideMark/>
          </w:tcPr>
          <w:p w14:paraId="29C2F2EA"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100</w:t>
            </w:r>
          </w:p>
        </w:tc>
        <w:tc>
          <w:tcPr>
            <w:tcW w:w="1214" w:type="dxa"/>
            <w:tcBorders>
              <w:top w:val="nil"/>
              <w:left w:val="nil"/>
              <w:bottom w:val="single" w:sz="4" w:space="0" w:color="auto"/>
              <w:right w:val="single" w:sz="4" w:space="0" w:color="auto"/>
            </w:tcBorders>
            <w:shd w:val="clear" w:color="auto" w:fill="auto"/>
            <w:noWrap/>
            <w:vAlign w:val="bottom"/>
            <w:hideMark/>
          </w:tcPr>
          <w:p w14:paraId="36EDD3A6"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87</w:t>
            </w:r>
          </w:p>
        </w:tc>
        <w:tc>
          <w:tcPr>
            <w:tcW w:w="1165" w:type="dxa"/>
            <w:tcBorders>
              <w:top w:val="nil"/>
              <w:left w:val="nil"/>
              <w:bottom w:val="single" w:sz="4" w:space="0" w:color="auto"/>
              <w:right w:val="single" w:sz="4" w:space="0" w:color="auto"/>
            </w:tcBorders>
            <w:shd w:val="clear" w:color="auto" w:fill="auto"/>
            <w:noWrap/>
            <w:vAlign w:val="bottom"/>
            <w:hideMark/>
          </w:tcPr>
          <w:p w14:paraId="5CDD5C92"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13</w:t>
            </w:r>
          </w:p>
        </w:tc>
        <w:tc>
          <w:tcPr>
            <w:tcW w:w="595" w:type="dxa"/>
            <w:tcBorders>
              <w:top w:val="nil"/>
              <w:left w:val="nil"/>
              <w:bottom w:val="single" w:sz="4" w:space="0" w:color="auto"/>
              <w:right w:val="single" w:sz="4" w:space="0" w:color="auto"/>
            </w:tcBorders>
            <w:shd w:val="clear" w:color="auto" w:fill="auto"/>
            <w:noWrap/>
            <w:vAlign w:val="bottom"/>
            <w:hideMark/>
          </w:tcPr>
          <w:p w14:paraId="33354201"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100</w:t>
            </w:r>
          </w:p>
        </w:tc>
      </w:tr>
      <w:tr w:rsidR="008D55DD" w:rsidRPr="00437A10" w14:paraId="60620CA3" w14:textId="77777777" w:rsidTr="00602943">
        <w:trPr>
          <w:trHeight w:val="277"/>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EB4ECF5" w14:textId="77777777" w:rsidR="008D55DD" w:rsidRPr="00437A10" w:rsidRDefault="008D55DD" w:rsidP="008D55DD">
            <w:pPr>
              <w:rPr>
                <w:rFonts w:ascii="Arial" w:hAnsi="Arial" w:cs="Arial"/>
                <w:sz w:val="22"/>
                <w:szCs w:val="22"/>
                <w:lang w:val="es-BO" w:eastAsia="es-BO"/>
              </w:rPr>
            </w:pPr>
            <w:r w:rsidRPr="00437A10">
              <w:rPr>
                <w:rFonts w:ascii="Arial" w:hAnsi="Arial" w:cs="Arial"/>
                <w:sz w:val="22"/>
                <w:szCs w:val="22"/>
                <w:lang w:val="es-BO" w:eastAsia="es-BO"/>
              </w:rPr>
              <w:t>Otro</w:t>
            </w:r>
          </w:p>
        </w:tc>
        <w:tc>
          <w:tcPr>
            <w:tcW w:w="1124" w:type="dxa"/>
            <w:tcBorders>
              <w:top w:val="nil"/>
              <w:left w:val="nil"/>
              <w:bottom w:val="single" w:sz="4" w:space="0" w:color="auto"/>
              <w:right w:val="single" w:sz="4" w:space="0" w:color="auto"/>
            </w:tcBorders>
            <w:shd w:val="clear" w:color="auto" w:fill="auto"/>
            <w:noWrap/>
            <w:vAlign w:val="bottom"/>
            <w:hideMark/>
          </w:tcPr>
          <w:p w14:paraId="1DF32F66"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81</w:t>
            </w:r>
          </w:p>
        </w:tc>
        <w:tc>
          <w:tcPr>
            <w:tcW w:w="1165" w:type="dxa"/>
            <w:tcBorders>
              <w:top w:val="nil"/>
              <w:left w:val="nil"/>
              <w:bottom w:val="single" w:sz="4" w:space="0" w:color="auto"/>
              <w:right w:val="single" w:sz="4" w:space="0" w:color="auto"/>
            </w:tcBorders>
            <w:shd w:val="clear" w:color="auto" w:fill="auto"/>
            <w:noWrap/>
            <w:vAlign w:val="bottom"/>
            <w:hideMark/>
          </w:tcPr>
          <w:p w14:paraId="156E1EF8"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19</w:t>
            </w:r>
          </w:p>
        </w:tc>
        <w:tc>
          <w:tcPr>
            <w:tcW w:w="599" w:type="dxa"/>
            <w:tcBorders>
              <w:top w:val="nil"/>
              <w:left w:val="nil"/>
              <w:bottom w:val="single" w:sz="4" w:space="0" w:color="auto"/>
              <w:right w:val="single" w:sz="4" w:space="0" w:color="auto"/>
            </w:tcBorders>
            <w:shd w:val="clear" w:color="auto" w:fill="auto"/>
            <w:noWrap/>
            <w:vAlign w:val="bottom"/>
            <w:hideMark/>
          </w:tcPr>
          <w:p w14:paraId="3CA6CB70"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100</w:t>
            </w:r>
          </w:p>
        </w:tc>
        <w:tc>
          <w:tcPr>
            <w:tcW w:w="1214" w:type="dxa"/>
            <w:tcBorders>
              <w:top w:val="nil"/>
              <w:left w:val="nil"/>
              <w:bottom w:val="single" w:sz="4" w:space="0" w:color="auto"/>
              <w:right w:val="single" w:sz="4" w:space="0" w:color="auto"/>
            </w:tcBorders>
            <w:shd w:val="clear" w:color="auto" w:fill="auto"/>
            <w:noWrap/>
            <w:vAlign w:val="bottom"/>
            <w:hideMark/>
          </w:tcPr>
          <w:p w14:paraId="65D75C21"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87</w:t>
            </w:r>
          </w:p>
        </w:tc>
        <w:tc>
          <w:tcPr>
            <w:tcW w:w="1165" w:type="dxa"/>
            <w:tcBorders>
              <w:top w:val="nil"/>
              <w:left w:val="nil"/>
              <w:bottom w:val="single" w:sz="4" w:space="0" w:color="auto"/>
              <w:right w:val="single" w:sz="4" w:space="0" w:color="auto"/>
            </w:tcBorders>
            <w:shd w:val="clear" w:color="auto" w:fill="auto"/>
            <w:noWrap/>
            <w:vAlign w:val="bottom"/>
            <w:hideMark/>
          </w:tcPr>
          <w:p w14:paraId="11F65308"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13</w:t>
            </w:r>
          </w:p>
        </w:tc>
        <w:tc>
          <w:tcPr>
            <w:tcW w:w="595" w:type="dxa"/>
            <w:tcBorders>
              <w:top w:val="nil"/>
              <w:left w:val="nil"/>
              <w:bottom w:val="single" w:sz="4" w:space="0" w:color="auto"/>
              <w:right w:val="single" w:sz="4" w:space="0" w:color="auto"/>
            </w:tcBorders>
            <w:shd w:val="clear" w:color="auto" w:fill="auto"/>
            <w:noWrap/>
            <w:vAlign w:val="bottom"/>
            <w:hideMark/>
          </w:tcPr>
          <w:p w14:paraId="31DC02BE"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100</w:t>
            </w:r>
          </w:p>
        </w:tc>
      </w:tr>
      <w:tr w:rsidR="008D55DD" w:rsidRPr="00437A10" w14:paraId="27940BE9" w14:textId="77777777" w:rsidTr="00602943">
        <w:trPr>
          <w:trHeight w:val="282"/>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C8BAC59" w14:textId="77777777" w:rsidR="008D55DD" w:rsidRPr="00437A10" w:rsidRDefault="008D55DD" w:rsidP="008D55DD">
            <w:pPr>
              <w:rPr>
                <w:rFonts w:ascii="Arial" w:hAnsi="Arial" w:cs="Arial"/>
                <w:sz w:val="22"/>
                <w:szCs w:val="22"/>
                <w:lang w:val="es-BO" w:eastAsia="es-BO"/>
              </w:rPr>
            </w:pPr>
            <w:r w:rsidRPr="00437A10">
              <w:rPr>
                <w:rFonts w:ascii="Arial" w:hAnsi="Arial" w:cs="Arial"/>
                <w:sz w:val="22"/>
                <w:szCs w:val="22"/>
                <w:lang w:val="es-BO" w:eastAsia="es-BO"/>
              </w:rPr>
              <w:t>Total</w:t>
            </w:r>
          </w:p>
        </w:tc>
        <w:tc>
          <w:tcPr>
            <w:tcW w:w="1124" w:type="dxa"/>
            <w:tcBorders>
              <w:top w:val="nil"/>
              <w:left w:val="nil"/>
              <w:bottom w:val="single" w:sz="4" w:space="0" w:color="auto"/>
              <w:right w:val="single" w:sz="4" w:space="0" w:color="auto"/>
            </w:tcBorders>
            <w:shd w:val="clear" w:color="auto" w:fill="auto"/>
            <w:noWrap/>
            <w:vAlign w:val="bottom"/>
            <w:hideMark/>
          </w:tcPr>
          <w:p w14:paraId="055F91BA"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82</w:t>
            </w:r>
          </w:p>
        </w:tc>
        <w:tc>
          <w:tcPr>
            <w:tcW w:w="1165" w:type="dxa"/>
            <w:tcBorders>
              <w:top w:val="nil"/>
              <w:left w:val="nil"/>
              <w:bottom w:val="single" w:sz="4" w:space="0" w:color="auto"/>
              <w:right w:val="single" w:sz="4" w:space="0" w:color="auto"/>
            </w:tcBorders>
            <w:shd w:val="clear" w:color="auto" w:fill="auto"/>
            <w:noWrap/>
            <w:vAlign w:val="bottom"/>
            <w:hideMark/>
          </w:tcPr>
          <w:p w14:paraId="3E66334F"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18</w:t>
            </w:r>
          </w:p>
        </w:tc>
        <w:tc>
          <w:tcPr>
            <w:tcW w:w="599" w:type="dxa"/>
            <w:tcBorders>
              <w:top w:val="nil"/>
              <w:left w:val="nil"/>
              <w:bottom w:val="single" w:sz="4" w:space="0" w:color="auto"/>
              <w:right w:val="single" w:sz="4" w:space="0" w:color="auto"/>
            </w:tcBorders>
            <w:shd w:val="clear" w:color="auto" w:fill="auto"/>
            <w:noWrap/>
            <w:vAlign w:val="bottom"/>
            <w:hideMark/>
          </w:tcPr>
          <w:p w14:paraId="71CB3404"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100</w:t>
            </w:r>
          </w:p>
        </w:tc>
        <w:tc>
          <w:tcPr>
            <w:tcW w:w="1214" w:type="dxa"/>
            <w:tcBorders>
              <w:top w:val="nil"/>
              <w:left w:val="nil"/>
              <w:bottom w:val="single" w:sz="4" w:space="0" w:color="auto"/>
              <w:right w:val="single" w:sz="4" w:space="0" w:color="auto"/>
            </w:tcBorders>
            <w:shd w:val="clear" w:color="auto" w:fill="auto"/>
            <w:noWrap/>
            <w:vAlign w:val="bottom"/>
            <w:hideMark/>
          </w:tcPr>
          <w:p w14:paraId="1B9760E3"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90</w:t>
            </w:r>
          </w:p>
        </w:tc>
        <w:tc>
          <w:tcPr>
            <w:tcW w:w="1165" w:type="dxa"/>
            <w:tcBorders>
              <w:top w:val="nil"/>
              <w:left w:val="nil"/>
              <w:bottom w:val="single" w:sz="4" w:space="0" w:color="auto"/>
              <w:right w:val="single" w:sz="4" w:space="0" w:color="auto"/>
            </w:tcBorders>
            <w:shd w:val="clear" w:color="auto" w:fill="auto"/>
            <w:noWrap/>
            <w:vAlign w:val="bottom"/>
            <w:hideMark/>
          </w:tcPr>
          <w:p w14:paraId="196C9971"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10</w:t>
            </w:r>
          </w:p>
        </w:tc>
        <w:tc>
          <w:tcPr>
            <w:tcW w:w="595" w:type="dxa"/>
            <w:tcBorders>
              <w:top w:val="nil"/>
              <w:left w:val="nil"/>
              <w:bottom w:val="single" w:sz="4" w:space="0" w:color="auto"/>
              <w:right w:val="single" w:sz="4" w:space="0" w:color="auto"/>
            </w:tcBorders>
            <w:shd w:val="clear" w:color="auto" w:fill="auto"/>
            <w:noWrap/>
            <w:vAlign w:val="bottom"/>
            <w:hideMark/>
          </w:tcPr>
          <w:p w14:paraId="764747A2" w14:textId="77777777" w:rsidR="008D55DD" w:rsidRPr="00437A10" w:rsidRDefault="008D55DD" w:rsidP="008D55DD">
            <w:pPr>
              <w:jc w:val="right"/>
              <w:rPr>
                <w:rFonts w:ascii="Arial" w:hAnsi="Arial" w:cs="Arial"/>
                <w:sz w:val="22"/>
                <w:szCs w:val="22"/>
                <w:lang w:val="es-BO" w:eastAsia="es-BO"/>
              </w:rPr>
            </w:pPr>
            <w:r w:rsidRPr="00437A10">
              <w:rPr>
                <w:rFonts w:ascii="Arial" w:hAnsi="Arial" w:cs="Arial"/>
                <w:sz w:val="22"/>
                <w:szCs w:val="22"/>
                <w:lang w:val="es-BO" w:eastAsia="es-BO"/>
              </w:rPr>
              <w:t>100</w:t>
            </w:r>
          </w:p>
        </w:tc>
      </w:tr>
    </w:tbl>
    <w:p w14:paraId="1B2FE6EF" w14:textId="77777777" w:rsidR="000B5E16" w:rsidRPr="00437A10" w:rsidRDefault="000B5E16" w:rsidP="000B5E16">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Fuente: Con base en Instituto Nacional de Estadística, Quillaguamán, 2023.</w:t>
      </w:r>
    </w:p>
    <w:p w14:paraId="1D9FB945" w14:textId="4D981C47" w:rsidR="00AB5691" w:rsidRPr="00437A10" w:rsidRDefault="00AB5691" w:rsidP="000B5E16">
      <w:pPr>
        <w:spacing w:after="160" w:line="259" w:lineRule="auto"/>
        <w:contextualSpacing/>
        <w:jc w:val="both"/>
        <w:rPr>
          <w:rFonts w:ascii="Arial" w:eastAsia="Calibri" w:hAnsi="Arial" w:cs="Arial"/>
          <w:sz w:val="22"/>
          <w:szCs w:val="22"/>
        </w:rPr>
      </w:pPr>
    </w:p>
    <w:p w14:paraId="5F81B325" w14:textId="589FEB36" w:rsidR="000B5E16" w:rsidRPr="00437A10" w:rsidRDefault="000B5E16" w:rsidP="000B5E16">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Según las características sociodemográficas y económicas d</w:t>
      </w:r>
      <w:r w:rsidR="00C24461" w:rsidRPr="00437A10">
        <w:rPr>
          <w:rFonts w:ascii="Arial" w:eastAsia="Calibri" w:hAnsi="Arial" w:cs="Arial"/>
          <w:sz w:val="22"/>
          <w:szCs w:val="22"/>
        </w:rPr>
        <w:t>e las personas, en el cuadro 6.5</w:t>
      </w:r>
      <w:r w:rsidRPr="00437A10">
        <w:rPr>
          <w:rFonts w:ascii="Arial" w:eastAsia="Calibri" w:hAnsi="Arial" w:cs="Arial"/>
          <w:sz w:val="22"/>
          <w:szCs w:val="22"/>
        </w:rPr>
        <w:t>. se observa que no existen diferencias significativas por sexo, la proporción de viviendas asequibles como inase</w:t>
      </w:r>
      <w:r w:rsidR="00DA0BC4" w:rsidRPr="00437A10">
        <w:rPr>
          <w:rFonts w:ascii="Arial" w:eastAsia="Calibri" w:hAnsi="Arial" w:cs="Arial"/>
          <w:sz w:val="22"/>
          <w:szCs w:val="22"/>
        </w:rPr>
        <w:t>quibles se mantiene en similar medida</w:t>
      </w:r>
      <w:r w:rsidRPr="00437A10">
        <w:rPr>
          <w:rFonts w:ascii="Arial" w:eastAsia="Calibri" w:hAnsi="Arial" w:cs="Arial"/>
          <w:sz w:val="22"/>
          <w:szCs w:val="22"/>
        </w:rPr>
        <w:t xml:space="preserve"> que el promedio general, 22% para el área urbana y 14% para el área rural.</w:t>
      </w:r>
    </w:p>
    <w:p w14:paraId="7D09557B" w14:textId="77777777" w:rsidR="000B5E16" w:rsidRPr="00437A10" w:rsidRDefault="000B5E16" w:rsidP="000B5E16">
      <w:pPr>
        <w:spacing w:after="160" w:line="259" w:lineRule="auto"/>
        <w:contextualSpacing/>
        <w:jc w:val="both"/>
        <w:rPr>
          <w:rFonts w:ascii="Arial" w:eastAsia="Calibri" w:hAnsi="Arial" w:cs="Arial"/>
          <w:sz w:val="22"/>
          <w:szCs w:val="22"/>
        </w:rPr>
      </w:pPr>
    </w:p>
    <w:p w14:paraId="0270C376" w14:textId="4B331863" w:rsidR="000B5E16" w:rsidRPr="00437A10" w:rsidRDefault="000B5E16" w:rsidP="000B5E16">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Cuadro 6.</w:t>
      </w:r>
      <w:r w:rsidR="00C24461" w:rsidRPr="00437A10">
        <w:rPr>
          <w:rFonts w:ascii="Arial" w:eastAsia="Calibri" w:hAnsi="Arial" w:cs="Arial"/>
          <w:sz w:val="22"/>
          <w:szCs w:val="22"/>
        </w:rPr>
        <w:t>5</w:t>
      </w:r>
      <w:r w:rsidRPr="00437A10">
        <w:rPr>
          <w:rFonts w:ascii="Arial" w:eastAsia="Calibri" w:hAnsi="Arial" w:cs="Arial"/>
          <w:sz w:val="22"/>
          <w:szCs w:val="22"/>
        </w:rPr>
        <w:t xml:space="preserve">. Bolivia: Porcentaje de </w:t>
      </w:r>
      <w:r w:rsidR="00FD2036" w:rsidRPr="00437A10">
        <w:rPr>
          <w:rFonts w:ascii="Arial" w:eastAsia="Calibri" w:hAnsi="Arial" w:cs="Arial"/>
          <w:sz w:val="22"/>
          <w:szCs w:val="22"/>
        </w:rPr>
        <w:t>personas</w:t>
      </w:r>
      <w:r w:rsidRPr="00437A10">
        <w:rPr>
          <w:rFonts w:ascii="Arial" w:eastAsia="Calibri" w:hAnsi="Arial" w:cs="Arial"/>
          <w:sz w:val="22"/>
          <w:szCs w:val="22"/>
        </w:rPr>
        <w:t xml:space="preserve"> por asequibilidad de la vivienda, según </w:t>
      </w:r>
      <w:r w:rsidR="00FD2036" w:rsidRPr="00437A10">
        <w:rPr>
          <w:rFonts w:ascii="Arial" w:eastAsia="Calibri" w:hAnsi="Arial" w:cs="Arial"/>
          <w:sz w:val="22"/>
          <w:szCs w:val="22"/>
        </w:rPr>
        <w:t xml:space="preserve">sexo </w:t>
      </w:r>
      <w:r w:rsidRPr="00437A10">
        <w:rPr>
          <w:rFonts w:ascii="Arial" w:eastAsia="Calibri" w:hAnsi="Arial" w:cs="Arial"/>
          <w:sz w:val="22"/>
          <w:szCs w:val="22"/>
        </w:rPr>
        <w:t>y área geográfica, 2021</w:t>
      </w:r>
    </w:p>
    <w:tbl>
      <w:tblPr>
        <w:tblW w:w="8494" w:type="dxa"/>
        <w:jc w:val="center"/>
        <w:tblCellMar>
          <w:left w:w="70" w:type="dxa"/>
          <w:right w:w="70" w:type="dxa"/>
        </w:tblCellMar>
        <w:tblLook w:val="04A0" w:firstRow="1" w:lastRow="0" w:firstColumn="1" w:lastColumn="0" w:noHBand="0" w:noVBand="1"/>
      </w:tblPr>
      <w:tblGrid>
        <w:gridCol w:w="781"/>
        <w:gridCol w:w="1056"/>
        <w:gridCol w:w="1137"/>
        <w:gridCol w:w="1138"/>
        <w:gridCol w:w="587"/>
        <w:gridCol w:w="881"/>
        <w:gridCol w:w="1059"/>
        <w:gridCol w:w="1120"/>
        <w:gridCol w:w="735"/>
      </w:tblGrid>
      <w:tr w:rsidR="00FD2036" w:rsidRPr="00437A10" w14:paraId="04927930" w14:textId="77777777" w:rsidTr="00FD2036">
        <w:trPr>
          <w:trHeight w:val="315"/>
          <w:jc w:val="center"/>
        </w:trPr>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9511102" w14:textId="77777777" w:rsidR="00FD2036" w:rsidRPr="00437A10" w:rsidRDefault="00FD2036" w:rsidP="000B5E16">
            <w:pPr>
              <w:jc w:val="center"/>
              <w:rPr>
                <w:rFonts w:ascii="Arial" w:hAnsi="Arial" w:cs="Arial"/>
                <w:sz w:val="18"/>
                <w:szCs w:val="18"/>
                <w:lang w:val="es-BO" w:eastAsia="es-BO"/>
              </w:rPr>
            </w:pPr>
            <w:r w:rsidRPr="00437A10">
              <w:rPr>
                <w:rFonts w:ascii="Arial" w:hAnsi="Arial" w:cs="Arial"/>
                <w:sz w:val="18"/>
                <w:szCs w:val="18"/>
                <w:lang w:val="es-BO" w:eastAsia="es-BO"/>
              </w:rPr>
              <w:t>Sexo</w:t>
            </w:r>
          </w:p>
        </w:tc>
        <w:tc>
          <w:tcPr>
            <w:tcW w:w="1056" w:type="dxa"/>
            <w:vMerge w:val="restart"/>
            <w:tcBorders>
              <w:top w:val="single" w:sz="4" w:space="0" w:color="000000"/>
              <w:left w:val="nil"/>
              <w:right w:val="nil"/>
            </w:tcBorders>
          </w:tcPr>
          <w:p w14:paraId="0B109C94" w14:textId="327C691F" w:rsidR="00FD2036" w:rsidRPr="00437A10" w:rsidRDefault="00FD2036" w:rsidP="000B5E16">
            <w:pPr>
              <w:jc w:val="center"/>
              <w:rPr>
                <w:rFonts w:ascii="Arial" w:hAnsi="Arial" w:cs="Arial"/>
                <w:sz w:val="18"/>
                <w:szCs w:val="18"/>
                <w:lang w:val="es-BO" w:eastAsia="es-BO"/>
              </w:rPr>
            </w:pPr>
            <w:r w:rsidRPr="00437A10">
              <w:rPr>
                <w:rFonts w:ascii="Arial" w:hAnsi="Arial" w:cs="Arial"/>
                <w:sz w:val="18"/>
                <w:szCs w:val="18"/>
                <w:lang w:val="es-BO" w:eastAsia="es-BO"/>
              </w:rPr>
              <w:t>Cantidad de personas</w:t>
            </w:r>
          </w:p>
        </w:tc>
        <w:tc>
          <w:tcPr>
            <w:tcW w:w="2862" w:type="dxa"/>
            <w:gridSpan w:val="3"/>
            <w:tcBorders>
              <w:top w:val="single" w:sz="4" w:space="0" w:color="000000"/>
              <w:left w:val="nil"/>
              <w:bottom w:val="single" w:sz="4" w:space="0" w:color="000000"/>
              <w:right w:val="single" w:sz="4" w:space="0" w:color="000000"/>
            </w:tcBorders>
            <w:shd w:val="clear" w:color="auto" w:fill="auto"/>
            <w:vAlign w:val="bottom"/>
            <w:hideMark/>
          </w:tcPr>
          <w:p w14:paraId="56062A21" w14:textId="0F640496" w:rsidR="00FD2036" w:rsidRPr="00437A10" w:rsidRDefault="00FD2036" w:rsidP="000B5E16">
            <w:pPr>
              <w:jc w:val="center"/>
              <w:rPr>
                <w:rFonts w:ascii="Arial" w:hAnsi="Arial" w:cs="Arial"/>
                <w:sz w:val="18"/>
                <w:szCs w:val="18"/>
                <w:lang w:val="es-BO" w:eastAsia="es-BO"/>
              </w:rPr>
            </w:pPr>
            <w:r w:rsidRPr="00437A10">
              <w:rPr>
                <w:rFonts w:ascii="Arial" w:hAnsi="Arial" w:cs="Arial"/>
                <w:sz w:val="18"/>
                <w:szCs w:val="18"/>
                <w:lang w:val="es-BO" w:eastAsia="es-BO"/>
              </w:rPr>
              <w:t>Área urbana</w:t>
            </w:r>
          </w:p>
        </w:tc>
        <w:tc>
          <w:tcPr>
            <w:tcW w:w="881" w:type="dxa"/>
            <w:vMerge w:val="restart"/>
            <w:tcBorders>
              <w:top w:val="single" w:sz="4" w:space="0" w:color="000000"/>
              <w:left w:val="nil"/>
              <w:right w:val="nil"/>
            </w:tcBorders>
          </w:tcPr>
          <w:p w14:paraId="61D00013" w14:textId="74BB08CC" w:rsidR="00FD2036" w:rsidRPr="00437A10" w:rsidRDefault="00FD2036" w:rsidP="000B5E16">
            <w:pPr>
              <w:jc w:val="center"/>
              <w:rPr>
                <w:rFonts w:ascii="Arial" w:hAnsi="Arial" w:cs="Arial"/>
                <w:sz w:val="18"/>
                <w:szCs w:val="18"/>
                <w:lang w:val="es-BO" w:eastAsia="es-BO"/>
              </w:rPr>
            </w:pPr>
            <w:r w:rsidRPr="00437A10">
              <w:rPr>
                <w:rFonts w:ascii="Arial" w:hAnsi="Arial" w:cs="Arial"/>
                <w:sz w:val="18"/>
                <w:szCs w:val="18"/>
                <w:lang w:val="es-BO" w:eastAsia="es-BO"/>
              </w:rPr>
              <w:t>Cantidad de personas</w:t>
            </w:r>
          </w:p>
        </w:tc>
        <w:tc>
          <w:tcPr>
            <w:tcW w:w="2914" w:type="dxa"/>
            <w:gridSpan w:val="3"/>
            <w:tcBorders>
              <w:top w:val="single" w:sz="4" w:space="0" w:color="000000"/>
              <w:left w:val="nil"/>
              <w:bottom w:val="single" w:sz="4" w:space="0" w:color="000000"/>
              <w:right w:val="single" w:sz="4" w:space="0" w:color="000000"/>
            </w:tcBorders>
            <w:shd w:val="clear" w:color="auto" w:fill="auto"/>
            <w:vAlign w:val="bottom"/>
            <w:hideMark/>
          </w:tcPr>
          <w:p w14:paraId="458B1ADD" w14:textId="18006283" w:rsidR="00FD2036" w:rsidRPr="00437A10" w:rsidRDefault="00FD2036" w:rsidP="000B5E16">
            <w:pPr>
              <w:jc w:val="center"/>
              <w:rPr>
                <w:rFonts w:ascii="Arial" w:hAnsi="Arial" w:cs="Arial"/>
                <w:sz w:val="18"/>
                <w:szCs w:val="18"/>
                <w:lang w:val="es-BO" w:eastAsia="es-BO"/>
              </w:rPr>
            </w:pPr>
            <w:r w:rsidRPr="00437A10">
              <w:rPr>
                <w:rFonts w:ascii="Arial" w:hAnsi="Arial" w:cs="Arial"/>
                <w:sz w:val="18"/>
                <w:szCs w:val="18"/>
                <w:lang w:val="es-BO" w:eastAsia="es-BO"/>
              </w:rPr>
              <w:t>Área rural</w:t>
            </w:r>
          </w:p>
        </w:tc>
      </w:tr>
      <w:tr w:rsidR="00FD2036" w:rsidRPr="00437A10" w14:paraId="309D3632" w14:textId="77777777" w:rsidTr="00FD2036">
        <w:trPr>
          <w:trHeight w:val="510"/>
          <w:jc w:val="center"/>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14:paraId="023FE54E" w14:textId="77777777" w:rsidR="00FD2036" w:rsidRPr="00437A10" w:rsidRDefault="00FD2036" w:rsidP="000B5E16">
            <w:pPr>
              <w:rPr>
                <w:rFonts w:ascii="Arial" w:hAnsi="Arial" w:cs="Arial"/>
                <w:sz w:val="18"/>
                <w:szCs w:val="18"/>
                <w:lang w:val="es-BO" w:eastAsia="es-BO"/>
              </w:rPr>
            </w:pPr>
          </w:p>
        </w:tc>
        <w:tc>
          <w:tcPr>
            <w:tcW w:w="1056" w:type="dxa"/>
            <w:vMerge/>
            <w:tcBorders>
              <w:left w:val="nil"/>
              <w:bottom w:val="single" w:sz="4" w:space="0" w:color="000000"/>
              <w:right w:val="nil"/>
            </w:tcBorders>
          </w:tcPr>
          <w:p w14:paraId="79B20876" w14:textId="492884D3" w:rsidR="00FD2036" w:rsidRPr="00437A10" w:rsidRDefault="00FD2036" w:rsidP="000B5E16">
            <w:pPr>
              <w:jc w:val="center"/>
              <w:rPr>
                <w:rFonts w:ascii="Arial" w:hAnsi="Arial" w:cs="Arial"/>
                <w:sz w:val="18"/>
                <w:szCs w:val="18"/>
                <w:lang w:val="es-BO" w:eastAsia="es-BO"/>
              </w:rPr>
            </w:pPr>
          </w:p>
        </w:tc>
        <w:tc>
          <w:tcPr>
            <w:tcW w:w="1137" w:type="dxa"/>
            <w:tcBorders>
              <w:top w:val="nil"/>
              <w:left w:val="nil"/>
              <w:bottom w:val="single" w:sz="4" w:space="0" w:color="000000"/>
              <w:right w:val="single" w:sz="4" w:space="0" w:color="000000"/>
            </w:tcBorders>
            <w:shd w:val="clear" w:color="auto" w:fill="auto"/>
            <w:vAlign w:val="bottom"/>
            <w:hideMark/>
          </w:tcPr>
          <w:p w14:paraId="684CA405" w14:textId="17538214" w:rsidR="00FD2036" w:rsidRPr="00437A10" w:rsidRDefault="00FD2036" w:rsidP="000B5E16">
            <w:pPr>
              <w:jc w:val="cente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138" w:type="dxa"/>
            <w:tcBorders>
              <w:top w:val="nil"/>
              <w:left w:val="nil"/>
              <w:bottom w:val="single" w:sz="4" w:space="0" w:color="000000"/>
              <w:right w:val="single" w:sz="4" w:space="0" w:color="000000"/>
            </w:tcBorders>
            <w:shd w:val="clear" w:color="auto" w:fill="auto"/>
            <w:vAlign w:val="bottom"/>
            <w:hideMark/>
          </w:tcPr>
          <w:p w14:paraId="5F3D46FB" w14:textId="77777777" w:rsidR="00FD2036" w:rsidRPr="00437A10" w:rsidRDefault="00FD2036" w:rsidP="000B5E16">
            <w:pPr>
              <w:jc w:val="cente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587" w:type="dxa"/>
            <w:tcBorders>
              <w:top w:val="nil"/>
              <w:left w:val="nil"/>
              <w:bottom w:val="single" w:sz="4" w:space="0" w:color="000000"/>
              <w:right w:val="single" w:sz="4" w:space="0" w:color="000000"/>
            </w:tcBorders>
            <w:shd w:val="clear" w:color="auto" w:fill="auto"/>
            <w:vAlign w:val="bottom"/>
            <w:hideMark/>
          </w:tcPr>
          <w:p w14:paraId="4CD902FE" w14:textId="77777777" w:rsidR="00FD2036" w:rsidRPr="00437A10" w:rsidRDefault="00FD2036" w:rsidP="000B5E16">
            <w:pPr>
              <w:rPr>
                <w:rFonts w:ascii="Arial" w:hAnsi="Arial" w:cs="Arial"/>
                <w:sz w:val="18"/>
                <w:szCs w:val="18"/>
                <w:lang w:val="es-BO" w:eastAsia="es-BO"/>
              </w:rPr>
            </w:pPr>
            <w:r w:rsidRPr="00437A10">
              <w:rPr>
                <w:rFonts w:ascii="Arial" w:hAnsi="Arial" w:cs="Arial"/>
                <w:sz w:val="18"/>
                <w:szCs w:val="18"/>
                <w:lang w:val="es-BO" w:eastAsia="es-BO"/>
              </w:rPr>
              <w:t>Total</w:t>
            </w:r>
          </w:p>
        </w:tc>
        <w:tc>
          <w:tcPr>
            <w:tcW w:w="881" w:type="dxa"/>
            <w:vMerge/>
            <w:tcBorders>
              <w:left w:val="nil"/>
              <w:bottom w:val="single" w:sz="4" w:space="0" w:color="000000"/>
              <w:right w:val="nil"/>
            </w:tcBorders>
          </w:tcPr>
          <w:p w14:paraId="20B5B367" w14:textId="77777777" w:rsidR="00FD2036" w:rsidRPr="00437A10" w:rsidRDefault="00FD2036" w:rsidP="000B5E16">
            <w:pPr>
              <w:jc w:val="center"/>
              <w:rPr>
                <w:rFonts w:ascii="Arial" w:hAnsi="Arial" w:cs="Arial"/>
                <w:sz w:val="18"/>
                <w:szCs w:val="18"/>
                <w:lang w:val="es-BO" w:eastAsia="es-BO"/>
              </w:rPr>
            </w:pPr>
          </w:p>
        </w:tc>
        <w:tc>
          <w:tcPr>
            <w:tcW w:w="1059" w:type="dxa"/>
            <w:tcBorders>
              <w:top w:val="nil"/>
              <w:left w:val="nil"/>
              <w:bottom w:val="single" w:sz="4" w:space="0" w:color="000000"/>
              <w:right w:val="single" w:sz="4" w:space="0" w:color="000000"/>
            </w:tcBorders>
            <w:shd w:val="clear" w:color="auto" w:fill="auto"/>
            <w:vAlign w:val="bottom"/>
            <w:hideMark/>
          </w:tcPr>
          <w:p w14:paraId="3C54B51F" w14:textId="039FB37F" w:rsidR="00FD2036" w:rsidRPr="00437A10" w:rsidRDefault="00FD2036" w:rsidP="000B5E16">
            <w:pPr>
              <w:jc w:val="cente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120" w:type="dxa"/>
            <w:tcBorders>
              <w:top w:val="nil"/>
              <w:left w:val="nil"/>
              <w:bottom w:val="single" w:sz="4" w:space="0" w:color="000000"/>
              <w:right w:val="single" w:sz="4" w:space="0" w:color="000000"/>
            </w:tcBorders>
            <w:shd w:val="clear" w:color="auto" w:fill="auto"/>
            <w:vAlign w:val="bottom"/>
            <w:hideMark/>
          </w:tcPr>
          <w:p w14:paraId="18B540DA" w14:textId="77777777" w:rsidR="00FD2036" w:rsidRPr="00437A10" w:rsidRDefault="00FD2036" w:rsidP="000B5E16">
            <w:pPr>
              <w:jc w:val="cente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735" w:type="dxa"/>
            <w:tcBorders>
              <w:top w:val="nil"/>
              <w:left w:val="nil"/>
              <w:bottom w:val="single" w:sz="4" w:space="0" w:color="000000"/>
              <w:right w:val="single" w:sz="4" w:space="0" w:color="000000"/>
            </w:tcBorders>
            <w:shd w:val="clear" w:color="auto" w:fill="auto"/>
            <w:vAlign w:val="bottom"/>
            <w:hideMark/>
          </w:tcPr>
          <w:p w14:paraId="7C85B5D2" w14:textId="77777777" w:rsidR="00FD2036" w:rsidRPr="00437A10" w:rsidRDefault="00FD2036" w:rsidP="000B5E16">
            <w:pPr>
              <w:rPr>
                <w:rFonts w:ascii="Arial" w:hAnsi="Arial" w:cs="Arial"/>
                <w:sz w:val="18"/>
                <w:szCs w:val="18"/>
                <w:lang w:val="es-BO" w:eastAsia="es-BO"/>
              </w:rPr>
            </w:pPr>
            <w:r w:rsidRPr="00437A10">
              <w:rPr>
                <w:rFonts w:ascii="Arial" w:hAnsi="Arial" w:cs="Arial"/>
                <w:sz w:val="18"/>
                <w:szCs w:val="18"/>
                <w:lang w:val="es-BO" w:eastAsia="es-BO"/>
              </w:rPr>
              <w:t>Total</w:t>
            </w:r>
          </w:p>
        </w:tc>
      </w:tr>
      <w:tr w:rsidR="00FD2036" w:rsidRPr="00437A10" w14:paraId="09F821CE" w14:textId="77777777" w:rsidTr="00FD2036">
        <w:trPr>
          <w:trHeight w:val="315"/>
          <w:jc w:val="center"/>
        </w:trPr>
        <w:tc>
          <w:tcPr>
            <w:tcW w:w="781" w:type="dxa"/>
            <w:tcBorders>
              <w:top w:val="nil"/>
              <w:left w:val="single" w:sz="4" w:space="0" w:color="000000"/>
              <w:bottom w:val="single" w:sz="4" w:space="0" w:color="000000"/>
              <w:right w:val="single" w:sz="4" w:space="0" w:color="000000"/>
            </w:tcBorders>
            <w:shd w:val="clear" w:color="auto" w:fill="auto"/>
            <w:hideMark/>
          </w:tcPr>
          <w:p w14:paraId="1A34EE37" w14:textId="038421FE" w:rsidR="00FD2036" w:rsidRPr="00437A10" w:rsidRDefault="00FD2036" w:rsidP="00FD2036">
            <w:pPr>
              <w:rPr>
                <w:rFonts w:ascii="Arial" w:hAnsi="Arial" w:cs="Arial"/>
                <w:sz w:val="18"/>
                <w:szCs w:val="18"/>
                <w:lang w:val="es-BO" w:eastAsia="es-BO"/>
              </w:rPr>
            </w:pPr>
            <w:r w:rsidRPr="00437A10">
              <w:rPr>
                <w:rFonts w:ascii="Arial" w:hAnsi="Arial" w:cs="Arial"/>
                <w:sz w:val="18"/>
                <w:szCs w:val="18"/>
                <w:lang w:val="es-BO" w:eastAsia="es-BO"/>
              </w:rPr>
              <w:t>Hombre</w:t>
            </w:r>
          </w:p>
        </w:tc>
        <w:tc>
          <w:tcPr>
            <w:tcW w:w="1056" w:type="dxa"/>
            <w:tcBorders>
              <w:top w:val="nil"/>
              <w:left w:val="nil"/>
              <w:bottom w:val="single" w:sz="4" w:space="0" w:color="000000"/>
              <w:right w:val="nil"/>
            </w:tcBorders>
            <w:vAlign w:val="center"/>
          </w:tcPr>
          <w:p w14:paraId="77D6BF99" w14:textId="2D7A7BB3"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rPr>
              <w:t>4112793</w:t>
            </w:r>
          </w:p>
        </w:tc>
        <w:tc>
          <w:tcPr>
            <w:tcW w:w="1137" w:type="dxa"/>
            <w:tcBorders>
              <w:top w:val="nil"/>
              <w:left w:val="nil"/>
              <w:bottom w:val="single" w:sz="4" w:space="0" w:color="000000"/>
              <w:right w:val="single" w:sz="4" w:space="0" w:color="000000"/>
            </w:tcBorders>
            <w:shd w:val="clear" w:color="auto" w:fill="auto"/>
            <w:noWrap/>
            <w:vAlign w:val="center"/>
            <w:hideMark/>
          </w:tcPr>
          <w:p w14:paraId="7BA3637B" w14:textId="3DFB96D8"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lang w:val="es-BO" w:eastAsia="es-BO"/>
              </w:rPr>
              <w:t>78</w:t>
            </w:r>
          </w:p>
        </w:tc>
        <w:tc>
          <w:tcPr>
            <w:tcW w:w="1138" w:type="dxa"/>
            <w:tcBorders>
              <w:top w:val="nil"/>
              <w:left w:val="nil"/>
              <w:bottom w:val="single" w:sz="4" w:space="0" w:color="000000"/>
              <w:right w:val="single" w:sz="4" w:space="0" w:color="000000"/>
            </w:tcBorders>
            <w:shd w:val="clear" w:color="auto" w:fill="auto"/>
            <w:noWrap/>
            <w:vAlign w:val="center"/>
            <w:hideMark/>
          </w:tcPr>
          <w:p w14:paraId="462C6C08" w14:textId="77777777"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lang w:val="es-BO" w:eastAsia="es-BO"/>
              </w:rPr>
              <w:t>22</w:t>
            </w:r>
          </w:p>
        </w:tc>
        <w:tc>
          <w:tcPr>
            <w:tcW w:w="587" w:type="dxa"/>
            <w:tcBorders>
              <w:top w:val="nil"/>
              <w:left w:val="nil"/>
              <w:bottom w:val="single" w:sz="4" w:space="0" w:color="000000"/>
              <w:right w:val="single" w:sz="4" w:space="0" w:color="000000"/>
            </w:tcBorders>
            <w:shd w:val="clear" w:color="auto" w:fill="auto"/>
            <w:noWrap/>
            <w:vAlign w:val="center"/>
            <w:hideMark/>
          </w:tcPr>
          <w:p w14:paraId="31393C9C" w14:textId="77777777"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881" w:type="dxa"/>
            <w:tcBorders>
              <w:top w:val="nil"/>
              <w:left w:val="nil"/>
              <w:bottom w:val="single" w:sz="4" w:space="0" w:color="000000"/>
              <w:right w:val="nil"/>
            </w:tcBorders>
            <w:vAlign w:val="center"/>
          </w:tcPr>
          <w:p w14:paraId="07854B58" w14:textId="7FC4F5BC"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rPr>
              <w:t>1750002</w:t>
            </w:r>
          </w:p>
        </w:tc>
        <w:tc>
          <w:tcPr>
            <w:tcW w:w="1059" w:type="dxa"/>
            <w:tcBorders>
              <w:top w:val="nil"/>
              <w:left w:val="nil"/>
              <w:bottom w:val="single" w:sz="4" w:space="0" w:color="000000"/>
              <w:right w:val="single" w:sz="4" w:space="0" w:color="000000"/>
            </w:tcBorders>
            <w:shd w:val="clear" w:color="auto" w:fill="auto"/>
            <w:noWrap/>
            <w:vAlign w:val="center"/>
            <w:hideMark/>
          </w:tcPr>
          <w:p w14:paraId="7BD6EE02" w14:textId="75B04CF5"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lang w:val="es-BO" w:eastAsia="es-BO"/>
              </w:rPr>
              <w:t>86</w:t>
            </w:r>
          </w:p>
        </w:tc>
        <w:tc>
          <w:tcPr>
            <w:tcW w:w="1120" w:type="dxa"/>
            <w:tcBorders>
              <w:top w:val="nil"/>
              <w:left w:val="nil"/>
              <w:bottom w:val="single" w:sz="4" w:space="0" w:color="000000"/>
              <w:right w:val="single" w:sz="4" w:space="0" w:color="000000"/>
            </w:tcBorders>
            <w:shd w:val="clear" w:color="auto" w:fill="auto"/>
            <w:noWrap/>
            <w:vAlign w:val="center"/>
            <w:hideMark/>
          </w:tcPr>
          <w:p w14:paraId="7F75AB8C" w14:textId="77777777"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lang w:val="es-BO" w:eastAsia="es-BO"/>
              </w:rPr>
              <w:t>14</w:t>
            </w:r>
          </w:p>
        </w:tc>
        <w:tc>
          <w:tcPr>
            <w:tcW w:w="735" w:type="dxa"/>
            <w:tcBorders>
              <w:top w:val="nil"/>
              <w:left w:val="nil"/>
              <w:bottom w:val="single" w:sz="4" w:space="0" w:color="000000"/>
              <w:right w:val="single" w:sz="4" w:space="0" w:color="000000"/>
            </w:tcBorders>
            <w:shd w:val="clear" w:color="auto" w:fill="auto"/>
            <w:noWrap/>
            <w:vAlign w:val="center"/>
            <w:hideMark/>
          </w:tcPr>
          <w:p w14:paraId="60431E8E" w14:textId="77777777"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FD2036" w:rsidRPr="00437A10" w14:paraId="40EC77D0" w14:textId="77777777" w:rsidTr="00FD2036">
        <w:trPr>
          <w:trHeight w:val="300"/>
          <w:jc w:val="center"/>
        </w:trPr>
        <w:tc>
          <w:tcPr>
            <w:tcW w:w="781" w:type="dxa"/>
            <w:tcBorders>
              <w:top w:val="nil"/>
              <w:left w:val="single" w:sz="4" w:space="0" w:color="000000"/>
              <w:bottom w:val="single" w:sz="4" w:space="0" w:color="000000"/>
              <w:right w:val="single" w:sz="4" w:space="0" w:color="000000"/>
            </w:tcBorders>
            <w:shd w:val="clear" w:color="auto" w:fill="auto"/>
            <w:hideMark/>
          </w:tcPr>
          <w:p w14:paraId="0F3584C0" w14:textId="196BBC05" w:rsidR="00FD2036" w:rsidRPr="00437A10" w:rsidRDefault="00FD2036" w:rsidP="00FD2036">
            <w:pPr>
              <w:rPr>
                <w:rFonts w:ascii="Arial" w:hAnsi="Arial" w:cs="Arial"/>
                <w:sz w:val="18"/>
                <w:szCs w:val="18"/>
                <w:lang w:val="es-BO" w:eastAsia="es-BO"/>
              </w:rPr>
            </w:pPr>
            <w:r w:rsidRPr="00437A10">
              <w:rPr>
                <w:rFonts w:ascii="Arial" w:hAnsi="Arial" w:cs="Arial"/>
                <w:sz w:val="18"/>
                <w:szCs w:val="18"/>
                <w:lang w:val="es-BO" w:eastAsia="es-BO"/>
              </w:rPr>
              <w:t>Mujer</w:t>
            </w:r>
          </w:p>
        </w:tc>
        <w:tc>
          <w:tcPr>
            <w:tcW w:w="1056" w:type="dxa"/>
            <w:tcBorders>
              <w:top w:val="nil"/>
              <w:left w:val="nil"/>
              <w:bottom w:val="single" w:sz="4" w:space="0" w:color="000000"/>
              <w:right w:val="nil"/>
            </w:tcBorders>
            <w:vAlign w:val="center"/>
          </w:tcPr>
          <w:p w14:paraId="6C0E4E7E" w14:textId="4EE857E5"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rPr>
              <w:t>4274177</w:t>
            </w:r>
          </w:p>
        </w:tc>
        <w:tc>
          <w:tcPr>
            <w:tcW w:w="1137" w:type="dxa"/>
            <w:tcBorders>
              <w:top w:val="nil"/>
              <w:left w:val="nil"/>
              <w:bottom w:val="single" w:sz="4" w:space="0" w:color="000000"/>
              <w:right w:val="single" w:sz="4" w:space="0" w:color="000000"/>
            </w:tcBorders>
            <w:shd w:val="clear" w:color="auto" w:fill="auto"/>
            <w:noWrap/>
            <w:vAlign w:val="center"/>
            <w:hideMark/>
          </w:tcPr>
          <w:p w14:paraId="133273F9" w14:textId="04813657"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lang w:val="es-BO" w:eastAsia="es-BO"/>
              </w:rPr>
              <w:t>77</w:t>
            </w:r>
          </w:p>
        </w:tc>
        <w:tc>
          <w:tcPr>
            <w:tcW w:w="1138" w:type="dxa"/>
            <w:tcBorders>
              <w:top w:val="nil"/>
              <w:left w:val="nil"/>
              <w:bottom w:val="single" w:sz="4" w:space="0" w:color="000000"/>
              <w:right w:val="single" w:sz="4" w:space="0" w:color="000000"/>
            </w:tcBorders>
            <w:shd w:val="clear" w:color="auto" w:fill="auto"/>
            <w:noWrap/>
            <w:vAlign w:val="center"/>
            <w:hideMark/>
          </w:tcPr>
          <w:p w14:paraId="1197D01B" w14:textId="77777777"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lang w:val="es-BO" w:eastAsia="es-BO"/>
              </w:rPr>
              <w:t>23</w:t>
            </w:r>
          </w:p>
        </w:tc>
        <w:tc>
          <w:tcPr>
            <w:tcW w:w="587" w:type="dxa"/>
            <w:tcBorders>
              <w:top w:val="nil"/>
              <w:left w:val="nil"/>
              <w:bottom w:val="single" w:sz="4" w:space="0" w:color="000000"/>
              <w:right w:val="single" w:sz="4" w:space="0" w:color="000000"/>
            </w:tcBorders>
            <w:shd w:val="clear" w:color="auto" w:fill="auto"/>
            <w:noWrap/>
            <w:vAlign w:val="center"/>
            <w:hideMark/>
          </w:tcPr>
          <w:p w14:paraId="08175B94" w14:textId="77777777"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881" w:type="dxa"/>
            <w:tcBorders>
              <w:top w:val="nil"/>
              <w:left w:val="nil"/>
              <w:bottom w:val="single" w:sz="4" w:space="0" w:color="000000"/>
              <w:right w:val="nil"/>
            </w:tcBorders>
            <w:vAlign w:val="center"/>
          </w:tcPr>
          <w:p w14:paraId="0EA053B6" w14:textId="42142123"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rPr>
              <w:t>1766986</w:t>
            </w:r>
          </w:p>
        </w:tc>
        <w:tc>
          <w:tcPr>
            <w:tcW w:w="1059" w:type="dxa"/>
            <w:tcBorders>
              <w:top w:val="nil"/>
              <w:left w:val="nil"/>
              <w:bottom w:val="single" w:sz="4" w:space="0" w:color="000000"/>
              <w:right w:val="single" w:sz="4" w:space="0" w:color="000000"/>
            </w:tcBorders>
            <w:shd w:val="clear" w:color="auto" w:fill="auto"/>
            <w:noWrap/>
            <w:vAlign w:val="center"/>
            <w:hideMark/>
          </w:tcPr>
          <w:p w14:paraId="0320DFFC" w14:textId="1FA817A8"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lang w:val="es-BO" w:eastAsia="es-BO"/>
              </w:rPr>
              <w:t>85</w:t>
            </w:r>
          </w:p>
        </w:tc>
        <w:tc>
          <w:tcPr>
            <w:tcW w:w="1120" w:type="dxa"/>
            <w:tcBorders>
              <w:top w:val="nil"/>
              <w:left w:val="nil"/>
              <w:bottom w:val="single" w:sz="4" w:space="0" w:color="000000"/>
              <w:right w:val="single" w:sz="4" w:space="0" w:color="000000"/>
            </w:tcBorders>
            <w:shd w:val="clear" w:color="auto" w:fill="auto"/>
            <w:noWrap/>
            <w:vAlign w:val="center"/>
            <w:hideMark/>
          </w:tcPr>
          <w:p w14:paraId="1F3D8843" w14:textId="77777777"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lang w:val="es-BO" w:eastAsia="es-BO"/>
              </w:rPr>
              <w:t>15</w:t>
            </w:r>
          </w:p>
        </w:tc>
        <w:tc>
          <w:tcPr>
            <w:tcW w:w="735" w:type="dxa"/>
            <w:tcBorders>
              <w:top w:val="nil"/>
              <w:left w:val="nil"/>
              <w:bottom w:val="single" w:sz="4" w:space="0" w:color="000000"/>
              <w:right w:val="single" w:sz="4" w:space="0" w:color="000000"/>
            </w:tcBorders>
            <w:shd w:val="clear" w:color="auto" w:fill="auto"/>
            <w:noWrap/>
            <w:vAlign w:val="center"/>
            <w:hideMark/>
          </w:tcPr>
          <w:p w14:paraId="16A13149" w14:textId="77777777"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FD2036" w:rsidRPr="00437A10" w14:paraId="14C1AC67" w14:textId="77777777" w:rsidTr="00FD2036">
        <w:trPr>
          <w:trHeight w:val="315"/>
          <w:jc w:val="center"/>
        </w:trPr>
        <w:tc>
          <w:tcPr>
            <w:tcW w:w="781" w:type="dxa"/>
            <w:tcBorders>
              <w:top w:val="nil"/>
              <w:left w:val="single" w:sz="4" w:space="0" w:color="000000"/>
              <w:bottom w:val="single" w:sz="4" w:space="0" w:color="000000"/>
              <w:right w:val="single" w:sz="4" w:space="0" w:color="000000"/>
            </w:tcBorders>
            <w:shd w:val="clear" w:color="auto" w:fill="auto"/>
            <w:hideMark/>
          </w:tcPr>
          <w:p w14:paraId="4ABD4C8A" w14:textId="792EADB3" w:rsidR="00FD2036" w:rsidRPr="00437A10" w:rsidRDefault="00FD2036" w:rsidP="00FD2036">
            <w:pPr>
              <w:rPr>
                <w:rFonts w:ascii="Arial" w:hAnsi="Arial" w:cs="Arial"/>
                <w:sz w:val="18"/>
                <w:szCs w:val="18"/>
                <w:lang w:val="es-BO" w:eastAsia="es-BO"/>
              </w:rPr>
            </w:pPr>
            <w:r w:rsidRPr="00437A10">
              <w:rPr>
                <w:rFonts w:ascii="Arial" w:hAnsi="Arial" w:cs="Arial"/>
                <w:sz w:val="18"/>
                <w:szCs w:val="18"/>
                <w:lang w:val="es-BO" w:eastAsia="es-BO"/>
              </w:rPr>
              <w:t> Total</w:t>
            </w:r>
          </w:p>
        </w:tc>
        <w:tc>
          <w:tcPr>
            <w:tcW w:w="1056" w:type="dxa"/>
            <w:tcBorders>
              <w:top w:val="nil"/>
              <w:left w:val="nil"/>
              <w:bottom w:val="single" w:sz="4" w:space="0" w:color="000000"/>
              <w:right w:val="nil"/>
            </w:tcBorders>
            <w:vAlign w:val="center"/>
          </w:tcPr>
          <w:p w14:paraId="45CE13E1" w14:textId="4280CC2D"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rPr>
              <w:t>8386970</w:t>
            </w:r>
          </w:p>
        </w:tc>
        <w:tc>
          <w:tcPr>
            <w:tcW w:w="1137" w:type="dxa"/>
            <w:tcBorders>
              <w:top w:val="nil"/>
              <w:left w:val="nil"/>
              <w:bottom w:val="single" w:sz="4" w:space="0" w:color="000000"/>
              <w:right w:val="single" w:sz="4" w:space="0" w:color="000000"/>
            </w:tcBorders>
            <w:shd w:val="clear" w:color="auto" w:fill="auto"/>
            <w:noWrap/>
            <w:vAlign w:val="center"/>
            <w:hideMark/>
          </w:tcPr>
          <w:p w14:paraId="5B2E2C23" w14:textId="7BE61C06"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lang w:val="es-BO" w:eastAsia="es-BO"/>
              </w:rPr>
              <w:t>78</w:t>
            </w:r>
          </w:p>
        </w:tc>
        <w:tc>
          <w:tcPr>
            <w:tcW w:w="1138" w:type="dxa"/>
            <w:tcBorders>
              <w:top w:val="nil"/>
              <w:left w:val="nil"/>
              <w:bottom w:val="single" w:sz="4" w:space="0" w:color="000000"/>
              <w:right w:val="single" w:sz="4" w:space="0" w:color="000000"/>
            </w:tcBorders>
            <w:shd w:val="clear" w:color="auto" w:fill="auto"/>
            <w:noWrap/>
            <w:vAlign w:val="center"/>
            <w:hideMark/>
          </w:tcPr>
          <w:p w14:paraId="15602B09" w14:textId="77777777"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lang w:val="es-BO" w:eastAsia="es-BO"/>
              </w:rPr>
              <w:t>22</w:t>
            </w:r>
          </w:p>
        </w:tc>
        <w:tc>
          <w:tcPr>
            <w:tcW w:w="587" w:type="dxa"/>
            <w:tcBorders>
              <w:top w:val="nil"/>
              <w:left w:val="nil"/>
              <w:bottom w:val="single" w:sz="4" w:space="0" w:color="000000"/>
              <w:right w:val="single" w:sz="4" w:space="0" w:color="000000"/>
            </w:tcBorders>
            <w:shd w:val="clear" w:color="auto" w:fill="auto"/>
            <w:noWrap/>
            <w:vAlign w:val="center"/>
            <w:hideMark/>
          </w:tcPr>
          <w:p w14:paraId="255FB676" w14:textId="77777777"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881" w:type="dxa"/>
            <w:tcBorders>
              <w:top w:val="nil"/>
              <w:left w:val="nil"/>
              <w:bottom w:val="single" w:sz="4" w:space="0" w:color="000000"/>
              <w:right w:val="nil"/>
            </w:tcBorders>
            <w:vAlign w:val="center"/>
          </w:tcPr>
          <w:p w14:paraId="3067DAA1" w14:textId="19480EAA"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rPr>
              <w:t>3516988</w:t>
            </w:r>
          </w:p>
        </w:tc>
        <w:tc>
          <w:tcPr>
            <w:tcW w:w="1059" w:type="dxa"/>
            <w:tcBorders>
              <w:top w:val="nil"/>
              <w:left w:val="nil"/>
              <w:bottom w:val="single" w:sz="4" w:space="0" w:color="000000"/>
              <w:right w:val="single" w:sz="4" w:space="0" w:color="000000"/>
            </w:tcBorders>
            <w:shd w:val="clear" w:color="auto" w:fill="auto"/>
            <w:noWrap/>
            <w:vAlign w:val="center"/>
            <w:hideMark/>
          </w:tcPr>
          <w:p w14:paraId="63E79D90" w14:textId="37B83221"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lang w:val="es-BO" w:eastAsia="es-BO"/>
              </w:rPr>
              <w:t>86</w:t>
            </w:r>
          </w:p>
        </w:tc>
        <w:tc>
          <w:tcPr>
            <w:tcW w:w="1120" w:type="dxa"/>
            <w:tcBorders>
              <w:top w:val="nil"/>
              <w:left w:val="nil"/>
              <w:bottom w:val="single" w:sz="4" w:space="0" w:color="000000"/>
              <w:right w:val="single" w:sz="4" w:space="0" w:color="000000"/>
            </w:tcBorders>
            <w:shd w:val="clear" w:color="auto" w:fill="auto"/>
            <w:noWrap/>
            <w:vAlign w:val="center"/>
            <w:hideMark/>
          </w:tcPr>
          <w:p w14:paraId="47948F34" w14:textId="77777777"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lang w:val="es-BO" w:eastAsia="es-BO"/>
              </w:rPr>
              <w:t>14</w:t>
            </w:r>
          </w:p>
        </w:tc>
        <w:tc>
          <w:tcPr>
            <w:tcW w:w="735" w:type="dxa"/>
            <w:tcBorders>
              <w:top w:val="nil"/>
              <w:left w:val="nil"/>
              <w:bottom w:val="single" w:sz="4" w:space="0" w:color="000000"/>
              <w:right w:val="single" w:sz="4" w:space="0" w:color="000000"/>
            </w:tcBorders>
            <w:shd w:val="clear" w:color="auto" w:fill="auto"/>
            <w:noWrap/>
            <w:vAlign w:val="center"/>
            <w:hideMark/>
          </w:tcPr>
          <w:p w14:paraId="29469B54" w14:textId="77777777" w:rsidR="00FD2036" w:rsidRPr="00437A10" w:rsidRDefault="00FD2036" w:rsidP="00FD2036">
            <w:pPr>
              <w:jc w:val="right"/>
              <w:rPr>
                <w:rFonts w:ascii="Arial" w:hAnsi="Arial" w:cs="Arial"/>
                <w:sz w:val="18"/>
                <w:szCs w:val="18"/>
                <w:lang w:val="es-BO" w:eastAsia="es-BO"/>
              </w:rPr>
            </w:pPr>
            <w:r w:rsidRPr="00437A10">
              <w:rPr>
                <w:rFonts w:ascii="Arial" w:hAnsi="Arial" w:cs="Arial"/>
                <w:sz w:val="18"/>
                <w:szCs w:val="18"/>
                <w:lang w:val="es-BO" w:eastAsia="es-BO"/>
              </w:rPr>
              <w:t>100</w:t>
            </w:r>
          </w:p>
        </w:tc>
      </w:tr>
    </w:tbl>
    <w:p w14:paraId="343F2DEE" w14:textId="77777777" w:rsidR="00FD2036" w:rsidRPr="00437A10" w:rsidRDefault="00FD2036" w:rsidP="00FD2036">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Fuente: Con base en Instituto Nacional de Estadística, Quillaguamán, 2023.</w:t>
      </w:r>
    </w:p>
    <w:p w14:paraId="3E4CD619" w14:textId="77777777" w:rsidR="003C3FDC" w:rsidRPr="00437A10" w:rsidRDefault="003C3FDC" w:rsidP="000B5E16">
      <w:pPr>
        <w:spacing w:after="160" w:line="259" w:lineRule="auto"/>
        <w:contextualSpacing/>
        <w:jc w:val="both"/>
        <w:rPr>
          <w:rFonts w:ascii="Arial" w:eastAsia="Calibri" w:hAnsi="Arial" w:cs="Arial"/>
          <w:sz w:val="22"/>
          <w:szCs w:val="22"/>
        </w:rPr>
      </w:pPr>
    </w:p>
    <w:p w14:paraId="78DB5874" w14:textId="1DF7ABA7" w:rsidR="000B5E16" w:rsidRPr="00437A10" w:rsidRDefault="003C3FDC" w:rsidP="000B5E16">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Según grupos etarios</w:t>
      </w:r>
      <w:r w:rsidR="00C24461" w:rsidRPr="00437A10">
        <w:rPr>
          <w:rFonts w:ascii="Arial" w:eastAsia="Calibri" w:hAnsi="Arial" w:cs="Arial"/>
          <w:sz w:val="22"/>
          <w:szCs w:val="22"/>
        </w:rPr>
        <w:t>, en el cuadro 6.6</w:t>
      </w:r>
      <w:r w:rsidR="00FD2036" w:rsidRPr="00437A10">
        <w:rPr>
          <w:rFonts w:ascii="Arial" w:eastAsia="Calibri" w:hAnsi="Arial" w:cs="Arial"/>
          <w:sz w:val="22"/>
          <w:szCs w:val="22"/>
        </w:rPr>
        <w:t xml:space="preserve"> se observa </w:t>
      </w:r>
      <w:r w:rsidRPr="00437A10">
        <w:rPr>
          <w:rFonts w:ascii="Arial" w:eastAsia="Calibri" w:hAnsi="Arial" w:cs="Arial"/>
          <w:sz w:val="22"/>
          <w:szCs w:val="22"/>
        </w:rPr>
        <w:t>que 3 de cada 10 niños, niñas o adolescentes habita en una vivienda inasequible en el área urbana y este es el grupo etario más afectado por esta condición. En el área rural, 2 de cada 10 niños</w:t>
      </w:r>
      <w:r w:rsidR="00714A27" w:rsidRPr="00437A10">
        <w:rPr>
          <w:rFonts w:ascii="Arial" w:eastAsia="Calibri" w:hAnsi="Arial" w:cs="Arial"/>
          <w:sz w:val="22"/>
          <w:szCs w:val="22"/>
        </w:rPr>
        <w:t>, niñas y adolescentes</w:t>
      </w:r>
      <w:r w:rsidRPr="00437A10">
        <w:rPr>
          <w:rFonts w:ascii="Arial" w:eastAsia="Calibri" w:hAnsi="Arial" w:cs="Arial"/>
          <w:sz w:val="22"/>
          <w:szCs w:val="22"/>
        </w:rPr>
        <w:t xml:space="preserve"> son afectados por la inasequibilidad de la vivienda.</w:t>
      </w:r>
    </w:p>
    <w:p w14:paraId="3212D2EE" w14:textId="77777777" w:rsidR="003C3FDC" w:rsidRPr="00437A10" w:rsidRDefault="003C3FDC" w:rsidP="000B5E16">
      <w:pPr>
        <w:spacing w:after="160" w:line="259" w:lineRule="auto"/>
        <w:contextualSpacing/>
        <w:jc w:val="both"/>
        <w:rPr>
          <w:rFonts w:ascii="Arial" w:eastAsia="Calibri" w:hAnsi="Arial" w:cs="Arial"/>
          <w:sz w:val="22"/>
          <w:szCs w:val="22"/>
        </w:rPr>
      </w:pPr>
    </w:p>
    <w:p w14:paraId="1CD18519" w14:textId="6771524C" w:rsidR="00FD2036" w:rsidRPr="00437A10" w:rsidRDefault="00C24461" w:rsidP="00FD2036">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Cuadro 6.6</w:t>
      </w:r>
      <w:r w:rsidR="00FD2036" w:rsidRPr="00437A10">
        <w:rPr>
          <w:rFonts w:ascii="Arial" w:eastAsia="Calibri" w:hAnsi="Arial" w:cs="Arial"/>
          <w:sz w:val="22"/>
          <w:szCs w:val="22"/>
        </w:rPr>
        <w:t>. Bolivia: Porcentaje de personas por asequibilidad de la vivienda, según edad y área geográfica, 2021</w:t>
      </w:r>
    </w:p>
    <w:tbl>
      <w:tblPr>
        <w:tblW w:w="7601" w:type="dxa"/>
        <w:jc w:val="center"/>
        <w:tblCellMar>
          <w:left w:w="70" w:type="dxa"/>
          <w:right w:w="70" w:type="dxa"/>
        </w:tblCellMar>
        <w:tblLook w:val="04A0" w:firstRow="1" w:lastRow="0" w:firstColumn="1" w:lastColumn="0" w:noHBand="0" w:noVBand="1"/>
      </w:tblPr>
      <w:tblGrid>
        <w:gridCol w:w="1560"/>
        <w:gridCol w:w="1068"/>
        <w:gridCol w:w="1200"/>
        <w:gridCol w:w="699"/>
        <w:gridCol w:w="6"/>
        <w:gridCol w:w="1214"/>
        <w:gridCol w:w="1200"/>
        <w:gridCol w:w="654"/>
      </w:tblGrid>
      <w:tr w:rsidR="00FD2036" w:rsidRPr="00437A10" w14:paraId="40233A35" w14:textId="77777777" w:rsidTr="00C24461">
        <w:trPr>
          <w:trHeight w:val="330"/>
          <w:jc w:val="center"/>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333CEB6"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Edad</w:t>
            </w:r>
          </w:p>
        </w:tc>
        <w:tc>
          <w:tcPr>
            <w:tcW w:w="2973" w:type="dxa"/>
            <w:gridSpan w:val="4"/>
            <w:tcBorders>
              <w:top w:val="single" w:sz="4" w:space="0" w:color="000000"/>
              <w:left w:val="nil"/>
              <w:bottom w:val="single" w:sz="4" w:space="0" w:color="000000"/>
              <w:right w:val="single" w:sz="4" w:space="0" w:color="000000"/>
            </w:tcBorders>
            <w:shd w:val="clear" w:color="auto" w:fill="auto"/>
            <w:vAlign w:val="bottom"/>
            <w:hideMark/>
          </w:tcPr>
          <w:p w14:paraId="258DFECD"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Área urbana</w:t>
            </w:r>
          </w:p>
        </w:tc>
        <w:tc>
          <w:tcPr>
            <w:tcW w:w="3068" w:type="dxa"/>
            <w:gridSpan w:val="3"/>
            <w:tcBorders>
              <w:top w:val="single" w:sz="4" w:space="0" w:color="000000"/>
              <w:left w:val="nil"/>
              <w:bottom w:val="single" w:sz="4" w:space="0" w:color="000000"/>
              <w:right w:val="single" w:sz="4" w:space="0" w:color="000000"/>
            </w:tcBorders>
            <w:shd w:val="clear" w:color="auto" w:fill="auto"/>
            <w:vAlign w:val="bottom"/>
            <w:hideMark/>
          </w:tcPr>
          <w:p w14:paraId="5374BA7D"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Área rural</w:t>
            </w:r>
          </w:p>
        </w:tc>
      </w:tr>
      <w:tr w:rsidR="00FD2036" w:rsidRPr="00437A10" w14:paraId="66538E86" w14:textId="77777777" w:rsidTr="00C24461">
        <w:trPr>
          <w:trHeight w:val="525"/>
          <w:jc w:val="center"/>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227CD334" w14:textId="77777777" w:rsidR="00FD2036" w:rsidRPr="00437A10" w:rsidRDefault="00FD2036" w:rsidP="00C24461">
            <w:pPr>
              <w:jc w:val="center"/>
              <w:rPr>
                <w:rFonts w:ascii="Arial" w:hAnsi="Arial" w:cs="Arial"/>
                <w:sz w:val="18"/>
                <w:szCs w:val="18"/>
                <w:lang w:val="es-BO" w:eastAsia="es-BO"/>
              </w:rPr>
            </w:pPr>
          </w:p>
        </w:tc>
        <w:tc>
          <w:tcPr>
            <w:tcW w:w="1068" w:type="dxa"/>
            <w:tcBorders>
              <w:top w:val="nil"/>
              <w:left w:val="nil"/>
              <w:bottom w:val="single" w:sz="4" w:space="0" w:color="000000"/>
              <w:right w:val="single" w:sz="4" w:space="0" w:color="000000"/>
            </w:tcBorders>
            <w:shd w:val="clear" w:color="auto" w:fill="auto"/>
            <w:vAlign w:val="bottom"/>
            <w:hideMark/>
          </w:tcPr>
          <w:p w14:paraId="29BF4477"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200" w:type="dxa"/>
            <w:tcBorders>
              <w:top w:val="nil"/>
              <w:left w:val="nil"/>
              <w:bottom w:val="single" w:sz="4" w:space="0" w:color="000000"/>
              <w:right w:val="single" w:sz="4" w:space="0" w:color="000000"/>
            </w:tcBorders>
            <w:shd w:val="clear" w:color="auto" w:fill="auto"/>
            <w:vAlign w:val="bottom"/>
            <w:hideMark/>
          </w:tcPr>
          <w:p w14:paraId="29B24327"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699" w:type="dxa"/>
            <w:tcBorders>
              <w:top w:val="nil"/>
              <w:left w:val="nil"/>
              <w:bottom w:val="single" w:sz="4" w:space="0" w:color="000000"/>
              <w:right w:val="single" w:sz="4" w:space="0" w:color="000000"/>
            </w:tcBorders>
            <w:shd w:val="clear" w:color="auto" w:fill="auto"/>
            <w:vAlign w:val="bottom"/>
            <w:hideMark/>
          </w:tcPr>
          <w:p w14:paraId="36C6F24E"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Total</w:t>
            </w:r>
          </w:p>
        </w:tc>
        <w:tc>
          <w:tcPr>
            <w:tcW w:w="1220" w:type="dxa"/>
            <w:gridSpan w:val="2"/>
            <w:tcBorders>
              <w:top w:val="nil"/>
              <w:left w:val="nil"/>
              <w:bottom w:val="single" w:sz="4" w:space="0" w:color="000000"/>
              <w:right w:val="single" w:sz="4" w:space="0" w:color="000000"/>
            </w:tcBorders>
            <w:shd w:val="clear" w:color="auto" w:fill="auto"/>
            <w:vAlign w:val="bottom"/>
            <w:hideMark/>
          </w:tcPr>
          <w:p w14:paraId="094A6A96"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200" w:type="dxa"/>
            <w:tcBorders>
              <w:top w:val="nil"/>
              <w:left w:val="nil"/>
              <w:bottom w:val="single" w:sz="4" w:space="0" w:color="000000"/>
              <w:right w:val="single" w:sz="4" w:space="0" w:color="000000"/>
            </w:tcBorders>
            <w:shd w:val="clear" w:color="auto" w:fill="auto"/>
            <w:vAlign w:val="bottom"/>
            <w:hideMark/>
          </w:tcPr>
          <w:p w14:paraId="06E7C494"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654" w:type="dxa"/>
            <w:tcBorders>
              <w:top w:val="nil"/>
              <w:left w:val="nil"/>
              <w:bottom w:val="single" w:sz="4" w:space="0" w:color="000000"/>
              <w:right w:val="single" w:sz="4" w:space="0" w:color="000000"/>
            </w:tcBorders>
            <w:shd w:val="clear" w:color="auto" w:fill="auto"/>
            <w:vAlign w:val="bottom"/>
            <w:hideMark/>
          </w:tcPr>
          <w:p w14:paraId="046D0B34"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Total</w:t>
            </w:r>
          </w:p>
        </w:tc>
      </w:tr>
      <w:tr w:rsidR="00FD2036" w:rsidRPr="00437A10" w14:paraId="7D1B7C3E" w14:textId="77777777" w:rsidTr="00C24461">
        <w:trPr>
          <w:trHeight w:val="336"/>
          <w:jc w:val="center"/>
        </w:trPr>
        <w:tc>
          <w:tcPr>
            <w:tcW w:w="1560" w:type="dxa"/>
            <w:tcBorders>
              <w:top w:val="nil"/>
              <w:left w:val="single" w:sz="4" w:space="0" w:color="000000"/>
              <w:bottom w:val="single" w:sz="4" w:space="0" w:color="000000"/>
              <w:right w:val="single" w:sz="4" w:space="0" w:color="000000"/>
            </w:tcBorders>
            <w:shd w:val="clear" w:color="auto" w:fill="auto"/>
            <w:hideMark/>
          </w:tcPr>
          <w:p w14:paraId="2E8F9335"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0 a 12 años</w:t>
            </w:r>
          </w:p>
        </w:tc>
        <w:tc>
          <w:tcPr>
            <w:tcW w:w="1068" w:type="dxa"/>
            <w:tcBorders>
              <w:top w:val="nil"/>
              <w:left w:val="nil"/>
              <w:bottom w:val="single" w:sz="4" w:space="0" w:color="000000"/>
              <w:right w:val="single" w:sz="4" w:space="0" w:color="000000"/>
            </w:tcBorders>
            <w:shd w:val="clear" w:color="auto" w:fill="auto"/>
            <w:noWrap/>
            <w:vAlign w:val="center"/>
            <w:hideMark/>
          </w:tcPr>
          <w:p w14:paraId="550F1AA4"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67</w:t>
            </w:r>
          </w:p>
        </w:tc>
        <w:tc>
          <w:tcPr>
            <w:tcW w:w="1200"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3F7DDCDF"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33</w:t>
            </w:r>
          </w:p>
        </w:tc>
        <w:tc>
          <w:tcPr>
            <w:tcW w:w="699" w:type="dxa"/>
            <w:tcBorders>
              <w:top w:val="nil"/>
              <w:left w:val="nil"/>
              <w:bottom w:val="single" w:sz="4" w:space="0" w:color="000000"/>
              <w:right w:val="single" w:sz="4" w:space="0" w:color="000000"/>
            </w:tcBorders>
            <w:shd w:val="clear" w:color="auto" w:fill="auto"/>
            <w:noWrap/>
            <w:vAlign w:val="center"/>
            <w:hideMark/>
          </w:tcPr>
          <w:p w14:paraId="5A8F21F0"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c>
          <w:tcPr>
            <w:tcW w:w="1220" w:type="dxa"/>
            <w:gridSpan w:val="2"/>
            <w:tcBorders>
              <w:top w:val="nil"/>
              <w:left w:val="nil"/>
              <w:bottom w:val="single" w:sz="4" w:space="0" w:color="000000"/>
              <w:right w:val="single" w:sz="4" w:space="0" w:color="000000"/>
            </w:tcBorders>
            <w:shd w:val="clear" w:color="auto" w:fill="auto"/>
            <w:noWrap/>
            <w:vAlign w:val="center"/>
            <w:hideMark/>
          </w:tcPr>
          <w:p w14:paraId="4015E69A"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79</w:t>
            </w:r>
          </w:p>
        </w:tc>
        <w:tc>
          <w:tcPr>
            <w:tcW w:w="1200"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233C89CC"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21</w:t>
            </w:r>
          </w:p>
        </w:tc>
        <w:tc>
          <w:tcPr>
            <w:tcW w:w="654" w:type="dxa"/>
            <w:tcBorders>
              <w:top w:val="nil"/>
              <w:left w:val="nil"/>
              <w:bottom w:val="single" w:sz="4" w:space="0" w:color="000000"/>
              <w:right w:val="single" w:sz="4" w:space="0" w:color="000000"/>
            </w:tcBorders>
            <w:shd w:val="clear" w:color="auto" w:fill="auto"/>
            <w:noWrap/>
            <w:vAlign w:val="center"/>
            <w:hideMark/>
          </w:tcPr>
          <w:p w14:paraId="647F2781"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r>
      <w:tr w:rsidR="00FD2036" w:rsidRPr="00437A10" w14:paraId="092CEFCA" w14:textId="77777777" w:rsidTr="00C24461">
        <w:trPr>
          <w:trHeight w:val="315"/>
          <w:jc w:val="center"/>
        </w:trPr>
        <w:tc>
          <w:tcPr>
            <w:tcW w:w="1560" w:type="dxa"/>
            <w:tcBorders>
              <w:top w:val="nil"/>
              <w:left w:val="single" w:sz="4" w:space="0" w:color="000000"/>
              <w:bottom w:val="single" w:sz="4" w:space="0" w:color="000000"/>
              <w:right w:val="single" w:sz="4" w:space="0" w:color="000000"/>
            </w:tcBorders>
            <w:shd w:val="clear" w:color="auto" w:fill="auto"/>
            <w:hideMark/>
          </w:tcPr>
          <w:p w14:paraId="227A4472"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13 a 17 años</w:t>
            </w:r>
          </w:p>
        </w:tc>
        <w:tc>
          <w:tcPr>
            <w:tcW w:w="1068" w:type="dxa"/>
            <w:tcBorders>
              <w:top w:val="nil"/>
              <w:left w:val="nil"/>
              <w:bottom w:val="single" w:sz="4" w:space="0" w:color="000000"/>
              <w:right w:val="single" w:sz="4" w:space="0" w:color="000000"/>
            </w:tcBorders>
            <w:shd w:val="clear" w:color="auto" w:fill="auto"/>
            <w:noWrap/>
            <w:vAlign w:val="center"/>
            <w:hideMark/>
          </w:tcPr>
          <w:p w14:paraId="47A08EDF"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70</w:t>
            </w:r>
          </w:p>
        </w:tc>
        <w:tc>
          <w:tcPr>
            <w:tcW w:w="1200"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7595E975"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30</w:t>
            </w:r>
          </w:p>
        </w:tc>
        <w:tc>
          <w:tcPr>
            <w:tcW w:w="699" w:type="dxa"/>
            <w:tcBorders>
              <w:top w:val="nil"/>
              <w:left w:val="nil"/>
              <w:bottom w:val="single" w:sz="4" w:space="0" w:color="000000"/>
              <w:right w:val="single" w:sz="4" w:space="0" w:color="000000"/>
            </w:tcBorders>
            <w:shd w:val="clear" w:color="auto" w:fill="auto"/>
            <w:noWrap/>
            <w:vAlign w:val="center"/>
            <w:hideMark/>
          </w:tcPr>
          <w:p w14:paraId="132A35A7"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c>
          <w:tcPr>
            <w:tcW w:w="1220" w:type="dxa"/>
            <w:gridSpan w:val="2"/>
            <w:tcBorders>
              <w:top w:val="nil"/>
              <w:left w:val="nil"/>
              <w:bottom w:val="single" w:sz="4" w:space="0" w:color="000000"/>
              <w:right w:val="single" w:sz="4" w:space="0" w:color="000000"/>
            </w:tcBorders>
            <w:shd w:val="clear" w:color="auto" w:fill="auto"/>
            <w:noWrap/>
            <w:vAlign w:val="center"/>
            <w:hideMark/>
          </w:tcPr>
          <w:p w14:paraId="5558FCCB"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78</w:t>
            </w:r>
          </w:p>
        </w:tc>
        <w:tc>
          <w:tcPr>
            <w:tcW w:w="1200"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51E6C944"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22</w:t>
            </w:r>
          </w:p>
        </w:tc>
        <w:tc>
          <w:tcPr>
            <w:tcW w:w="654" w:type="dxa"/>
            <w:tcBorders>
              <w:top w:val="nil"/>
              <w:left w:val="nil"/>
              <w:bottom w:val="single" w:sz="4" w:space="0" w:color="000000"/>
              <w:right w:val="single" w:sz="4" w:space="0" w:color="000000"/>
            </w:tcBorders>
            <w:shd w:val="clear" w:color="auto" w:fill="auto"/>
            <w:noWrap/>
            <w:vAlign w:val="center"/>
            <w:hideMark/>
          </w:tcPr>
          <w:p w14:paraId="1DC42786"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r>
      <w:tr w:rsidR="00FD2036" w:rsidRPr="00437A10" w14:paraId="390D0BAE" w14:textId="77777777" w:rsidTr="00C24461">
        <w:trPr>
          <w:trHeight w:val="300"/>
          <w:jc w:val="center"/>
        </w:trPr>
        <w:tc>
          <w:tcPr>
            <w:tcW w:w="1560" w:type="dxa"/>
            <w:tcBorders>
              <w:top w:val="nil"/>
              <w:left w:val="single" w:sz="4" w:space="0" w:color="000000"/>
              <w:bottom w:val="single" w:sz="4" w:space="0" w:color="000000"/>
              <w:right w:val="single" w:sz="4" w:space="0" w:color="000000"/>
            </w:tcBorders>
            <w:shd w:val="clear" w:color="auto" w:fill="auto"/>
            <w:hideMark/>
          </w:tcPr>
          <w:p w14:paraId="1BF7BD06"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18 a 29 años</w:t>
            </w:r>
          </w:p>
        </w:tc>
        <w:tc>
          <w:tcPr>
            <w:tcW w:w="1068" w:type="dxa"/>
            <w:tcBorders>
              <w:top w:val="nil"/>
              <w:left w:val="nil"/>
              <w:bottom w:val="single" w:sz="4" w:space="0" w:color="000000"/>
              <w:right w:val="single" w:sz="4" w:space="0" w:color="000000"/>
            </w:tcBorders>
            <w:shd w:val="clear" w:color="auto" w:fill="auto"/>
            <w:noWrap/>
            <w:vAlign w:val="center"/>
            <w:hideMark/>
          </w:tcPr>
          <w:p w14:paraId="0A1B6234"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82</w:t>
            </w:r>
          </w:p>
        </w:tc>
        <w:tc>
          <w:tcPr>
            <w:tcW w:w="1200" w:type="dxa"/>
            <w:tcBorders>
              <w:top w:val="nil"/>
              <w:left w:val="nil"/>
              <w:bottom w:val="single" w:sz="4" w:space="0" w:color="000000"/>
              <w:right w:val="single" w:sz="4" w:space="0" w:color="000000"/>
            </w:tcBorders>
            <w:shd w:val="clear" w:color="auto" w:fill="auto"/>
            <w:noWrap/>
            <w:vAlign w:val="center"/>
            <w:hideMark/>
          </w:tcPr>
          <w:p w14:paraId="57932241"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18</w:t>
            </w:r>
          </w:p>
        </w:tc>
        <w:tc>
          <w:tcPr>
            <w:tcW w:w="699" w:type="dxa"/>
            <w:tcBorders>
              <w:top w:val="nil"/>
              <w:left w:val="nil"/>
              <w:bottom w:val="single" w:sz="4" w:space="0" w:color="000000"/>
              <w:right w:val="single" w:sz="4" w:space="0" w:color="000000"/>
            </w:tcBorders>
            <w:shd w:val="clear" w:color="auto" w:fill="auto"/>
            <w:noWrap/>
            <w:vAlign w:val="center"/>
            <w:hideMark/>
          </w:tcPr>
          <w:p w14:paraId="42960EC0"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c>
          <w:tcPr>
            <w:tcW w:w="1220" w:type="dxa"/>
            <w:gridSpan w:val="2"/>
            <w:tcBorders>
              <w:top w:val="nil"/>
              <w:left w:val="nil"/>
              <w:bottom w:val="single" w:sz="4" w:space="0" w:color="000000"/>
              <w:right w:val="single" w:sz="4" w:space="0" w:color="000000"/>
            </w:tcBorders>
            <w:shd w:val="clear" w:color="auto" w:fill="auto"/>
            <w:noWrap/>
            <w:vAlign w:val="center"/>
            <w:hideMark/>
          </w:tcPr>
          <w:p w14:paraId="11C0AE40"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89</w:t>
            </w:r>
          </w:p>
        </w:tc>
        <w:tc>
          <w:tcPr>
            <w:tcW w:w="1200" w:type="dxa"/>
            <w:tcBorders>
              <w:top w:val="nil"/>
              <w:left w:val="nil"/>
              <w:bottom w:val="single" w:sz="4" w:space="0" w:color="000000"/>
              <w:right w:val="single" w:sz="4" w:space="0" w:color="000000"/>
            </w:tcBorders>
            <w:shd w:val="clear" w:color="auto" w:fill="auto"/>
            <w:noWrap/>
            <w:vAlign w:val="center"/>
            <w:hideMark/>
          </w:tcPr>
          <w:p w14:paraId="27E98034"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11</w:t>
            </w:r>
          </w:p>
        </w:tc>
        <w:tc>
          <w:tcPr>
            <w:tcW w:w="654" w:type="dxa"/>
            <w:tcBorders>
              <w:top w:val="nil"/>
              <w:left w:val="nil"/>
              <w:bottom w:val="single" w:sz="4" w:space="0" w:color="000000"/>
              <w:right w:val="single" w:sz="4" w:space="0" w:color="000000"/>
            </w:tcBorders>
            <w:shd w:val="clear" w:color="auto" w:fill="auto"/>
            <w:noWrap/>
            <w:vAlign w:val="center"/>
            <w:hideMark/>
          </w:tcPr>
          <w:p w14:paraId="43E81226"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r>
      <w:tr w:rsidR="00FD2036" w:rsidRPr="00437A10" w14:paraId="32A23615" w14:textId="77777777" w:rsidTr="00C24461">
        <w:trPr>
          <w:trHeight w:val="300"/>
          <w:jc w:val="center"/>
        </w:trPr>
        <w:tc>
          <w:tcPr>
            <w:tcW w:w="1560" w:type="dxa"/>
            <w:tcBorders>
              <w:top w:val="nil"/>
              <w:left w:val="single" w:sz="4" w:space="0" w:color="000000"/>
              <w:bottom w:val="single" w:sz="4" w:space="0" w:color="000000"/>
              <w:right w:val="single" w:sz="4" w:space="0" w:color="000000"/>
            </w:tcBorders>
            <w:shd w:val="clear" w:color="auto" w:fill="auto"/>
            <w:hideMark/>
          </w:tcPr>
          <w:p w14:paraId="4485DDD0"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30 a 44 años</w:t>
            </w:r>
          </w:p>
        </w:tc>
        <w:tc>
          <w:tcPr>
            <w:tcW w:w="1068" w:type="dxa"/>
            <w:tcBorders>
              <w:top w:val="nil"/>
              <w:left w:val="nil"/>
              <w:bottom w:val="single" w:sz="4" w:space="0" w:color="000000"/>
              <w:right w:val="single" w:sz="4" w:space="0" w:color="000000"/>
            </w:tcBorders>
            <w:shd w:val="clear" w:color="auto" w:fill="auto"/>
            <w:noWrap/>
            <w:vAlign w:val="center"/>
            <w:hideMark/>
          </w:tcPr>
          <w:p w14:paraId="5E9B58F7"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80</w:t>
            </w:r>
          </w:p>
        </w:tc>
        <w:tc>
          <w:tcPr>
            <w:tcW w:w="1200" w:type="dxa"/>
            <w:tcBorders>
              <w:top w:val="nil"/>
              <w:left w:val="nil"/>
              <w:bottom w:val="single" w:sz="4" w:space="0" w:color="000000"/>
              <w:right w:val="single" w:sz="4" w:space="0" w:color="000000"/>
            </w:tcBorders>
            <w:shd w:val="clear" w:color="auto" w:fill="auto"/>
            <w:noWrap/>
            <w:vAlign w:val="center"/>
            <w:hideMark/>
          </w:tcPr>
          <w:p w14:paraId="08B0E4DC"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20</w:t>
            </w:r>
          </w:p>
        </w:tc>
        <w:tc>
          <w:tcPr>
            <w:tcW w:w="699" w:type="dxa"/>
            <w:tcBorders>
              <w:top w:val="nil"/>
              <w:left w:val="nil"/>
              <w:bottom w:val="single" w:sz="4" w:space="0" w:color="000000"/>
              <w:right w:val="single" w:sz="4" w:space="0" w:color="000000"/>
            </w:tcBorders>
            <w:shd w:val="clear" w:color="auto" w:fill="auto"/>
            <w:noWrap/>
            <w:vAlign w:val="center"/>
            <w:hideMark/>
          </w:tcPr>
          <w:p w14:paraId="05487955"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c>
          <w:tcPr>
            <w:tcW w:w="1220" w:type="dxa"/>
            <w:gridSpan w:val="2"/>
            <w:tcBorders>
              <w:top w:val="nil"/>
              <w:left w:val="nil"/>
              <w:bottom w:val="single" w:sz="4" w:space="0" w:color="000000"/>
              <w:right w:val="single" w:sz="4" w:space="0" w:color="000000"/>
            </w:tcBorders>
            <w:shd w:val="clear" w:color="auto" w:fill="auto"/>
            <w:noWrap/>
            <w:vAlign w:val="center"/>
            <w:hideMark/>
          </w:tcPr>
          <w:p w14:paraId="48636834"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84</w:t>
            </w:r>
          </w:p>
        </w:tc>
        <w:tc>
          <w:tcPr>
            <w:tcW w:w="1200"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28A160D1"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16</w:t>
            </w:r>
          </w:p>
        </w:tc>
        <w:tc>
          <w:tcPr>
            <w:tcW w:w="654" w:type="dxa"/>
            <w:tcBorders>
              <w:top w:val="nil"/>
              <w:left w:val="nil"/>
              <w:bottom w:val="single" w:sz="4" w:space="0" w:color="000000"/>
              <w:right w:val="single" w:sz="4" w:space="0" w:color="000000"/>
            </w:tcBorders>
            <w:shd w:val="clear" w:color="auto" w:fill="auto"/>
            <w:noWrap/>
            <w:vAlign w:val="center"/>
            <w:hideMark/>
          </w:tcPr>
          <w:p w14:paraId="520C082B"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r>
      <w:tr w:rsidR="00FD2036" w:rsidRPr="00437A10" w14:paraId="2ACABD0B" w14:textId="77777777" w:rsidTr="00C24461">
        <w:trPr>
          <w:trHeight w:val="300"/>
          <w:jc w:val="center"/>
        </w:trPr>
        <w:tc>
          <w:tcPr>
            <w:tcW w:w="1560" w:type="dxa"/>
            <w:tcBorders>
              <w:top w:val="nil"/>
              <w:left w:val="single" w:sz="4" w:space="0" w:color="000000"/>
              <w:bottom w:val="single" w:sz="4" w:space="0" w:color="000000"/>
              <w:right w:val="single" w:sz="4" w:space="0" w:color="000000"/>
            </w:tcBorders>
            <w:shd w:val="clear" w:color="auto" w:fill="auto"/>
            <w:hideMark/>
          </w:tcPr>
          <w:p w14:paraId="1401A304"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45 a 64 años</w:t>
            </w:r>
          </w:p>
        </w:tc>
        <w:tc>
          <w:tcPr>
            <w:tcW w:w="1068" w:type="dxa"/>
            <w:tcBorders>
              <w:top w:val="nil"/>
              <w:left w:val="nil"/>
              <w:bottom w:val="single" w:sz="4" w:space="0" w:color="000000"/>
              <w:right w:val="single" w:sz="4" w:space="0" w:color="000000"/>
            </w:tcBorders>
            <w:shd w:val="clear" w:color="auto" w:fill="auto"/>
            <w:noWrap/>
            <w:vAlign w:val="center"/>
            <w:hideMark/>
          </w:tcPr>
          <w:p w14:paraId="1DD78CB3"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87</w:t>
            </w:r>
          </w:p>
        </w:tc>
        <w:tc>
          <w:tcPr>
            <w:tcW w:w="1200" w:type="dxa"/>
            <w:tcBorders>
              <w:top w:val="nil"/>
              <w:left w:val="nil"/>
              <w:bottom w:val="single" w:sz="4" w:space="0" w:color="000000"/>
              <w:right w:val="single" w:sz="4" w:space="0" w:color="000000"/>
            </w:tcBorders>
            <w:shd w:val="clear" w:color="auto" w:fill="auto"/>
            <w:noWrap/>
            <w:vAlign w:val="center"/>
            <w:hideMark/>
          </w:tcPr>
          <w:p w14:paraId="713D6400"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13</w:t>
            </w:r>
          </w:p>
        </w:tc>
        <w:tc>
          <w:tcPr>
            <w:tcW w:w="699" w:type="dxa"/>
            <w:tcBorders>
              <w:top w:val="nil"/>
              <w:left w:val="nil"/>
              <w:bottom w:val="single" w:sz="4" w:space="0" w:color="000000"/>
              <w:right w:val="single" w:sz="4" w:space="0" w:color="000000"/>
            </w:tcBorders>
            <w:shd w:val="clear" w:color="auto" w:fill="auto"/>
            <w:noWrap/>
            <w:vAlign w:val="center"/>
            <w:hideMark/>
          </w:tcPr>
          <w:p w14:paraId="5B323DF3"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c>
          <w:tcPr>
            <w:tcW w:w="1220" w:type="dxa"/>
            <w:gridSpan w:val="2"/>
            <w:tcBorders>
              <w:top w:val="nil"/>
              <w:left w:val="nil"/>
              <w:bottom w:val="single" w:sz="4" w:space="0" w:color="000000"/>
              <w:right w:val="single" w:sz="4" w:space="0" w:color="000000"/>
            </w:tcBorders>
            <w:shd w:val="clear" w:color="auto" w:fill="auto"/>
            <w:noWrap/>
            <w:vAlign w:val="center"/>
            <w:hideMark/>
          </w:tcPr>
          <w:p w14:paraId="317F6720"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90</w:t>
            </w:r>
          </w:p>
        </w:tc>
        <w:tc>
          <w:tcPr>
            <w:tcW w:w="1200" w:type="dxa"/>
            <w:tcBorders>
              <w:top w:val="nil"/>
              <w:left w:val="nil"/>
              <w:bottom w:val="single" w:sz="4" w:space="0" w:color="000000"/>
              <w:right w:val="single" w:sz="4" w:space="0" w:color="000000"/>
            </w:tcBorders>
            <w:shd w:val="clear" w:color="auto" w:fill="auto"/>
            <w:noWrap/>
            <w:vAlign w:val="center"/>
            <w:hideMark/>
          </w:tcPr>
          <w:p w14:paraId="7FA3F3EA"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10</w:t>
            </w:r>
          </w:p>
        </w:tc>
        <w:tc>
          <w:tcPr>
            <w:tcW w:w="654" w:type="dxa"/>
            <w:tcBorders>
              <w:top w:val="nil"/>
              <w:left w:val="nil"/>
              <w:bottom w:val="single" w:sz="4" w:space="0" w:color="000000"/>
              <w:right w:val="single" w:sz="4" w:space="0" w:color="000000"/>
            </w:tcBorders>
            <w:shd w:val="clear" w:color="auto" w:fill="auto"/>
            <w:noWrap/>
            <w:vAlign w:val="center"/>
            <w:hideMark/>
          </w:tcPr>
          <w:p w14:paraId="4FD1482D"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r>
      <w:tr w:rsidR="00FD2036" w:rsidRPr="00437A10" w14:paraId="0B286F42" w14:textId="77777777" w:rsidTr="00C24461">
        <w:trPr>
          <w:trHeight w:val="301"/>
          <w:jc w:val="center"/>
        </w:trPr>
        <w:tc>
          <w:tcPr>
            <w:tcW w:w="1560" w:type="dxa"/>
            <w:tcBorders>
              <w:top w:val="nil"/>
              <w:left w:val="single" w:sz="4" w:space="0" w:color="000000"/>
              <w:bottom w:val="single" w:sz="4" w:space="0" w:color="000000"/>
              <w:right w:val="single" w:sz="4" w:space="0" w:color="000000"/>
            </w:tcBorders>
            <w:shd w:val="clear" w:color="auto" w:fill="auto"/>
            <w:hideMark/>
          </w:tcPr>
          <w:p w14:paraId="3EC3088B"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65 y más años</w:t>
            </w:r>
          </w:p>
        </w:tc>
        <w:tc>
          <w:tcPr>
            <w:tcW w:w="1068" w:type="dxa"/>
            <w:tcBorders>
              <w:top w:val="nil"/>
              <w:left w:val="nil"/>
              <w:bottom w:val="single" w:sz="4" w:space="0" w:color="000000"/>
              <w:right w:val="single" w:sz="4" w:space="0" w:color="000000"/>
            </w:tcBorders>
            <w:shd w:val="clear" w:color="auto" w:fill="auto"/>
            <w:noWrap/>
            <w:vAlign w:val="center"/>
            <w:hideMark/>
          </w:tcPr>
          <w:p w14:paraId="5B2B8327"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86</w:t>
            </w:r>
          </w:p>
        </w:tc>
        <w:tc>
          <w:tcPr>
            <w:tcW w:w="1200" w:type="dxa"/>
            <w:tcBorders>
              <w:top w:val="nil"/>
              <w:left w:val="nil"/>
              <w:bottom w:val="single" w:sz="4" w:space="0" w:color="000000"/>
              <w:right w:val="single" w:sz="4" w:space="0" w:color="000000"/>
            </w:tcBorders>
            <w:shd w:val="clear" w:color="auto" w:fill="auto"/>
            <w:noWrap/>
            <w:vAlign w:val="center"/>
            <w:hideMark/>
          </w:tcPr>
          <w:p w14:paraId="2F535406"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14</w:t>
            </w:r>
          </w:p>
        </w:tc>
        <w:tc>
          <w:tcPr>
            <w:tcW w:w="699" w:type="dxa"/>
            <w:tcBorders>
              <w:top w:val="nil"/>
              <w:left w:val="nil"/>
              <w:bottom w:val="single" w:sz="4" w:space="0" w:color="000000"/>
              <w:right w:val="single" w:sz="4" w:space="0" w:color="000000"/>
            </w:tcBorders>
            <w:shd w:val="clear" w:color="auto" w:fill="auto"/>
            <w:noWrap/>
            <w:vAlign w:val="center"/>
            <w:hideMark/>
          </w:tcPr>
          <w:p w14:paraId="2ACB3064"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c>
          <w:tcPr>
            <w:tcW w:w="1220" w:type="dxa"/>
            <w:gridSpan w:val="2"/>
            <w:tcBorders>
              <w:top w:val="nil"/>
              <w:left w:val="nil"/>
              <w:bottom w:val="single" w:sz="4" w:space="0" w:color="000000"/>
              <w:right w:val="single" w:sz="4" w:space="0" w:color="000000"/>
            </w:tcBorders>
            <w:shd w:val="clear" w:color="auto" w:fill="auto"/>
            <w:noWrap/>
            <w:vAlign w:val="center"/>
            <w:hideMark/>
          </w:tcPr>
          <w:p w14:paraId="500C275F"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98</w:t>
            </w:r>
          </w:p>
        </w:tc>
        <w:tc>
          <w:tcPr>
            <w:tcW w:w="1200" w:type="dxa"/>
            <w:tcBorders>
              <w:top w:val="nil"/>
              <w:left w:val="nil"/>
              <w:bottom w:val="single" w:sz="4" w:space="0" w:color="000000"/>
              <w:right w:val="single" w:sz="4" w:space="0" w:color="000000"/>
            </w:tcBorders>
            <w:shd w:val="clear" w:color="auto" w:fill="auto"/>
            <w:noWrap/>
            <w:vAlign w:val="center"/>
            <w:hideMark/>
          </w:tcPr>
          <w:p w14:paraId="7D4F4671"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2</w:t>
            </w:r>
          </w:p>
        </w:tc>
        <w:tc>
          <w:tcPr>
            <w:tcW w:w="654" w:type="dxa"/>
            <w:tcBorders>
              <w:top w:val="nil"/>
              <w:left w:val="nil"/>
              <w:bottom w:val="single" w:sz="4" w:space="0" w:color="000000"/>
              <w:right w:val="single" w:sz="4" w:space="0" w:color="000000"/>
            </w:tcBorders>
            <w:shd w:val="clear" w:color="auto" w:fill="auto"/>
            <w:noWrap/>
            <w:vAlign w:val="center"/>
            <w:hideMark/>
          </w:tcPr>
          <w:p w14:paraId="654E6292"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r>
      <w:tr w:rsidR="00FD2036" w:rsidRPr="00437A10" w14:paraId="3AFAF6C4" w14:textId="77777777" w:rsidTr="00C24461">
        <w:trPr>
          <w:trHeight w:val="278"/>
          <w:jc w:val="center"/>
        </w:trPr>
        <w:tc>
          <w:tcPr>
            <w:tcW w:w="1560" w:type="dxa"/>
            <w:tcBorders>
              <w:top w:val="nil"/>
              <w:left w:val="single" w:sz="4" w:space="0" w:color="000000"/>
              <w:bottom w:val="single" w:sz="4" w:space="0" w:color="000000"/>
              <w:right w:val="single" w:sz="4" w:space="0" w:color="000000"/>
            </w:tcBorders>
            <w:shd w:val="clear" w:color="auto" w:fill="auto"/>
            <w:hideMark/>
          </w:tcPr>
          <w:p w14:paraId="2940DFE4"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Total</w:t>
            </w:r>
          </w:p>
        </w:tc>
        <w:tc>
          <w:tcPr>
            <w:tcW w:w="1068" w:type="dxa"/>
            <w:tcBorders>
              <w:top w:val="nil"/>
              <w:left w:val="nil"/>
              <w:bottom w:val="single" w:sz="4" w:space="0" w:color="000000"/>
              <w:right w:val="single" w:sz="4" w:space="0" w:color="000000"/>
            </w:tcBorders>
            <w:shd w:val="clear" w:color="auto" w:fill="auto"/>
            <w:noWrap/>
            <w:vAlign w:val="center"/>
            <w:hideMark/>
          </w:tcPr>
          <w:p w14:paraId="38D9E80C"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78</w:t>
            </w:r>
          </w:p>
        </w:tc>
        <w:tc>
          <w:tcPr>
            <w:tcW w:w="1200" w:type="dxa"/>
            <w:tcBorders>
              <w:top w:val="nil"/>
              <w:left w:val="nil"/>
              <w:bottom w:val="single" w:sz="4" w:space="0" w:color="000000"/>
              <w:right w:val="single" w:sz="4" w:space="0" w:color="000000"/>
            </w:tcBorders>
            <w:shd w:val="clear" w:color="auto" w:fill="auto"/>
            <w:noWrap/>
            <w:vAlign w:val="center"/>
            <w:hideMark/>
          </w:tcPr>
          <w:p w14:paraId="1AA7F35F"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22</w:t>
            </w:r>
          </w:p>
        </w:tc>
        <w:tc>
          <w:tcPr>
            <w:tcW w:w="699" w:type="dxa"/>
            <w:tcBorders>
              <w:top w:val="nil"/>
              <w:left w:val="nil"/>
              <w:bottom w:val="single" w:sz="4" w:space="0" w:color="000000"/>
              <w:right w:val="single" w:sz="4" w:space="0" w:color="000000"/>
            </w:tcBorders>
            <w:shd w:val="clear" w:color="auto" w:fill="auto"/>
            <w:noWrap/>
            <w:vAlign w:val="center"/>
            <w:hideMark/>
          </w:tcPr>
          <w:p w14:paraId="38304347"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c>
          <w:tcPr>
            <w:tcW w:w="1220" w:type="dxa"/>
            <w:gridSpan w:val="2"/>
            <w:tcBorders>
              <w:top w:val="nil"/>
              <w:left w:val="nil"/>
              <w:bottom w:val="single" w:sz="4" w:space="0" w:color="000000"/>
              <w:right w:val="single" w:sz="4" w:space="0" w:color="000000"/>
            </w:tcBorders>
            <w:shd w:val="clear" w:color="auto" w:fill="auto"/>
            <w:noWrap/>
            <w:vAlign w:val="center"/>
            <w:hideMark/>
          </w:tcPr>
          <w:p w14:paraId="2E91C460"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86</w:t>
            </w:r>
          </w:p>
        </w:tc>
        <w:tc>
          <w:tcPr>
            <w:tcW w:w="1200" w:type="dxa"/>
            <w:tcBorders>
              <w:top w:val="nil"/>
              <w:left w:val="nil"/>
              <w:bottom w:val="single" w:sz="4" w:space="0" w:color="000000"/>
              <w:right w:val="single" w:sz="4" w:space="0" w:color="000000"/>
            </w:tcBorders>
            <w:shd w:val="clear" w:color="auto" w:fill="auto"/>
            <w:noWrap/>
            <w:vAlign w:val="center"/>
            <w:hideMark/>
          </w:tcPr>
          <w:p w14:paraId="29275897"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14</w:t>
            </w:r>
          </w:p>
        </w:tc>
        <w:tc>
          <w:tcPr>
            <w:tcW w:w="654" w:type="dxa"/>
            <w:tcBorders>
              <w:top w:val="nil"/>
              <w:left w:val="nil"/>
              <w:bottom w:val="single" w:sz="4" w:space="0" w:color="000000"/>
              <w:right w:val="single" w:sz="4" w:space="0" w:color="000000"/>
            </w:tcBorders>
            <w:shd w:val="clear" w:color="auto" w:fill="auto"/>
            <w:noWrap/>
            <w:vAlign w:val="center"/>
            <w:hideMark/>
          </w:tcPr>
          <w:p w14:paraId="657E57CB" w14:textId="77777777" w:rsidR="00FD2036" w:rsidRPr="00437A10" w:rsidRDefault="00FD2036"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r>
    </w:tbl>
    <w:p w14:paraId="29E6C281" w14:textId="77777777" w:rsidR="003B602A" w:rsidRPr="00437A10" w:rsidRDefault="003B602A" w:rsidP="003B602A">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Fuente: Con base en Instituto Nacional de Estadística, Quillaguamán, 2023.</w:t>
      </w:r>
    </w:p>
    <w:p w14:paraId="286BDFB9" w14:textId="3977BA8F" w:rsidR="00FD2036" w:rsidRPr="00437A10" w:rsidRDefault="00FD2036" w:rsidP="00FD2036">
      <w:pPr>
        <w:spacing w:after="160" w:line="259" w:lineRule="auto"/>
        <w:contextualSpacing/>
        <w:jc w:val="center"/>
        <w:rPr>
          <w:rFonts w:ascii="Arial" w:eastAsia="Calibri" w:hAnsi="Arial" w:cs="Arial"/>
          <w:sz w:val="22"/>
          <w:szCs w:val="22"/>
        </w:rPr>
      </w:pPr>
    </w:p>
    <w:p w14:paraId="413CCAF4" w14:textId="21F3CEFE" w:rsidR="00FD2036" w:rsidRPr="00437A10" w:rsidRDefault="003C3FDC" w:rsidP="003C3FDC">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El cuadro 6.</w:t>
      </w:r>
      <w:r w:rsidR="00C24461" w:rsidRPr="00437A10">
        <w:rPr>
          <w:rFonts w:ascii="Arial" w:eastAsia="Calibri" w:hAnsi="Arial" w:cs="Arial"/>
          <w:sz w:val="22"/>
          <w:szCs w:val="22"/>
        </w:rPr>
        <w:t>7</w:t>
      </w:r>
      <w:r w:rsidRPr="00437A10">
        <w:rPr>
          <w:rFonts w:ascii="Arial" w:eastAsia="Calibri" w:hAnsi="Arial" w:cs="Arial"/>
          <w:sz w:val="22"/>
          <w:szCs w:val="22"/>
        </w:rPr>
        <w:t xml:space="preserve"> muestra una ligera diferencia según la pertenencia étnica de las personas y la condición de asequibilidad de la vivienda</w:t>
      </w:r>
      <w:r w:rsidR="008266F3" w:rsidRPr="00437A10">
        <w:rPr>
          <w:rFonts w:ascii="Arial" w:eastAsia="Calibri" w:hAnsi="Arial" w:cs="Arial"/>
          <w:sz w:val="22"/>
          <w:szCs w:val="22"/>
        </w:rPr>
        <w:t>. En el área urbana</w:t>
      </w:r>
      <w:r w:rsidR="00BF2D6F" w:rsidRPr="00437A10">
        <w:rPr>
          <w:rFonts w:ascii="Arial" w:eastAsia="Calibri" w:hAnsi="Arial" w:cs="Arial"/>
          <w:sz w:val="22"/>
          <w:szCs w:val="22"/>
        </w:rPr>
        <w:t>,</w:t>
      </w:r>
      <w:r w:rsidR="008266F3" w:rsidRPr="00437A10">
        <w:rPr>
          <w:rFonts w:ascii="Arial" w:eastAsia="Calibri" w:hAnsi="Arial" w:cs="Arial"/>
          <w:sz w:val="22"/>
          <w:szCs w:val="22"/>
        </w:rPr>
        <w:t xml:space="preserve"> aquellos que pertenecen a una nación o pueblo indígena o aquellos que no son bolivianos(as) tienen una mayor posibilidad de habitar viviendas inasequibles. En el área rural no existe diferencia porcentual entre las personas que habitan una vivienda inasequible según su pertenencia étnica.</w:t>
      </w:r>
    </w:p>
    <w:p w14:paraId="16385FE3" w14:textId="77777777" w:rsidR="008266F3" w:rsidRPr="00437A10" w:rsidRDefault="008266F3" w:rsidP="003C3FDC">
      <w:pPr>
        <w:spacing w:after="160" w:line="259" w:lineRule="auto"/>
        <w:contextualSpacing/>
        <w:jc w:val="both"/>
        <w:rPr>
          <w:rFonts w:ascii="Arial" w:eastAsia="Calibri" w:hAnsi="Arial" w:cs="Arial"/>
          <w:sz w:val="22"/>
          <w:szCs w:val="22"/>
        </w:rPr>
      </w:pPr>
    </w:p>
    <w:p w14:paraId="339E9FDF" w14:textId="44145F77" w:rsidR="00FD2036" w:rsidRPr="00437A10" w:rsidRDefault="00C24461" w:rsidP="00FD2036">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Cuadro 6.7</w:t>
      </w:r>
      <w:r w:rsidR="00FD2036" w:rsidRPr="00437A10">
        <w:rPr>
          <w:rFonts w:ascii="Arial" w:eastAsia="Calibri" w:hAnsi="Arial" w:cs="Arial"/>
          <w:sz w:val="22"/>
          <w:szCs w:val="22"/>
        </w:rPr>
        <w:t>. Bolivia: Porcentaje de personas por asequibilidad de la vivienda, según</w:t>
      </w:r>
      <w:r w:rsidR="003C3FDC" w:rsidRPr="00437A10">
        <w:rPr>
          <w:rFonts w:ascii="Arial" w:eastAsia="Calibri" w:hAnsi="Arial" w:cs="Arial"/>
          <w:sz w:val="22"/>
          <w:szCs w:val="22"/>
        </w:rPr>
        <w:t xml:space="preserve"> pertenencia étnica </w:t>
      </w:r>
      <w:r w:rsidR="00FD2036" w:rsidRPr="00437A10">
        <w:rPr>
          <w:rFonts w:ascii="Arial" w:eastAsia="Calibri" w:hAnsi="Arial" w:cs="Arial"/>
          <w:sz w:val="22"/>
          <w:szCs w:val="22"/>
        </w:rPr>
        <w:t>y área geográfica, 2021</w:t>
      </w:r>
    </w:p>
    <w:tbl>
      <w:tblPr>
        <w:tblW w:w="8156" w:type="dxa"/>
        <w:tblInd w:w="-5" w:type="dxa"/>
        <w:tblCellMar>
          <w:left w:w="70" w:type="dxa"/>
          <w:right w:w="70" w:type="dxa"/>
        </w:tblCellMar>
        <w:tblLook w:val="04A0" w:firstRow="1" w:lastRow="0" w:firstColumn="1" w:lastColumn="0" w:noHBand="0" w:noVBand="1"/>
      </w:tblPr>
      <w:tblGrid>
        <w:gridCol w:w="2268"/>
        <w:gridCol w:w="1068"/>
        <w:gridCol w:w="1200"/>
        <w:gridCol w:w="698"/>
        <w:gridCol w:w="1079"/>
        <w:gridCol w:w="1200"/>
        <w:gridCol w:w="643"/>
      </w:tblGrid>
      <w:tr w:rsidR="003C3FDC" w:rsidRPr="00437A10" w14:paraId="034C15D4" w14:textId="77777777" w:rsidTr="003C3FDC">
        <w:trPr>
          <w:trHeight w:val="315"/>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2013633"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Como boliviana o boliviano ¿A qué nación o pueblo indígena pertenece?</w:t>
            </w:r>
          </w:p>
        </w:tc>
        <w:tc>
          <w:tcPr>
            <w:tcW w:w="2966" w:type="dxa"/>
            <w:gridSpan w:val="3"/>
            <w:tcBorders>
              <w:top w:val="single" w:sz="4" w:space="0" w:color="000000"/>
              <w:left w:val="nil"/>
              <w:bottom w:val="single" w:sz="4" w:space="0" w:color="000000"/>
              <w:right w:val="single" w:sz="4" w:space="0" w:color="000000"/>
            </w:tcBorders>
            <w:shd w:val="clear" w:color="auto" w:fill="auto"/>
            <w:vAlign w:val="bottom"/>
            <w:hideMark/>
          </w:tcPr>
          <w:p w14:paraId="43890B22"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Área urbana</w:t>
            </w:r>
          </w:p>
        </w:tc>
        <w:tc>
          <w:tcPr>
            <w:tcW w:w="2922" w:type="dxa"/>
            <w:gridSpan w:val="3"/>
            <w:tcBorders>
              <w:top w:val="single" w:sz="4" w:space="0" w:color="000000"/>
              <w:left w:val="nil"/>
              <w:bottom w:val="single" w:sz="4" w:space="0" w:color="000000"/>
              <w:right w:val="single" w:sz="4" w:space="0" w:color="000000"/>
            </w:tcBorders>
            <w:shd w:val="clear" w:color="auto" w:fill="auto"/>
            <w:vAlign w:val="bottom"/>
            <w:hideMark/>
          </w:tcPr>
          <w:p w14:paraId="7B7CF190"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Área rural</w:t>
            </w:r>
          </w:p>
        </w:tc>
      </w:tr>
      <w:tr w:rsidR="003C3FDC" w:rsidRPr="00437A10" w14:paraId="252D192E" w14:textId="77777777" w:rsidTr="003C3FDC">
        <w:trPr>
          <w:trHeight w:val="510"/>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8EE2AE1" w14:textId="77777777" w:rsidR="003C3FDC" w:rsidRPr="00437A10" w:rsidRDefault="003C3FDC" w:rsidP="00C24461">
            <w:pPr>
              <w:jc w:val="center"/>
              <w:rPr>
                <w:rFonts w:ascii="Arial" w:hAnsi="Arial" w:cs="Arial"/>
                <w:sz w:val="18"/>
                <w:szCs w:val="18"/>
                <w:lang w:val="es-BO" w:eastAsia="es-BO"/>
              </w:rPr>
            </w:pPr>
          </w:p>
        </w:tc>
        <w:tc>
          <w:tcPr>
            <w:tcW w:w="1068" w:type="dxa"/>
            <w:tcBorders>
              <w:top w:val="nil"/>
              <w:left w:val="nil"/>
              <w:bottom w:val="single" w:sz="4" w:space="0" w:color="000000"/>
              <w:right w:val="single" w:sz="4" w:space="0" w:color="000000"/>
            </w:tcBorders>
            <w:shd w:val="clear" w:color="auto" w:fill="auto"/>
            <w:vAlign w:val="bottom"/>
            <w:hideMark/>
          </w:tcPr>
          <w:p w14:paraId="03EFAA73"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200" w:type="dxa"/>
            <w:tcBorders>
              <w:top w:val="nil"/>
              <w:left w:val="nil"/>
              <w:bottom w:val="single" w:sz="4" w:space="0" w:color="000000"/>
              <w:right w:val="single" w:sz="4" w:space="0" w:color="000000"/>
            </w:tcBorders>
            <w:shd w:val="clear" w:color="auto" w:fill="auto"/>
            <w:vAlign w:val="bottom"/>
            <w:hideMark/>
          </w:tcPr>
          <w:p w14:paraId="1C6AA471"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698" w:type="dxa"/>
            <w:tcBorders>
              <w:top w:val="nil"/>
              <w:left w:val="nil"/>
              <w:bottom w:val="single" w:sz="4" w:space="0" w:color="000000"/>
              <w:right w:val="single" w:sz="4" w:space="0" w:color="000000"/>
            </w:tcBorders>
            <w:shd w:val="clear" w:color="auto" w:fill="auto"/>
            <w:vAlign w:val="bottom"/>
            <w:hideMark/>
          </w:tcPr>
          <w:p w14:paraId="42335266"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Total</w:t>
            </w:r>
          </w:p>
        </w:tc>
        <w:tc>
          <w:tcPr>
            <w:tcW w:w="1079" w:type="dxa"/>
            <w:tcBorders>
              <w:top w:val="nil"/>
              <w:left w:val="nil"/>
              <w:bottom w:val="single" w:sz="4" w:space="0" w:color="000000"/>
              <w:right w:val="single" w:sz="4" w:space="0" w:color="000000"/>
            </w:tcBorders>
            <w:shd w:val="clear" w:color="auto" w:fill="auto"/>
            <w:vAlign w:val="bottom"/>
            <w:hideMark/>
          </w:tcPr>
          <w:p w14:paraId="45ECFA9B"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200" w:type="dxa"/>
            <w:tcBorders>
              <w:top w:val="nil"/>
              <w:left w:val="nil"/>
              <w:bottom w:val="single" w:sz="4" w:space="0" w:color="000000"/>
              <w:right w:val="single" w:sz="4" w:space="0" w:color="000000"/>
            </w:tcBorders>
            <w:shd w:val="clear" w:color="auto" w:fill="auto"/>
            <w:vAlign w:val="bottom"/>
            <w:hideMark/>
          </w:tcPr>
          <w:p w14:paraId="2F56E733"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643" w:type="dxa"/>
            <w:tcBorders>
              <w:top w:val="nil"/>
              <w:left w:val="nil"/>
              <w:bottom w:val="single" w:sz="4" w:space="0" w:color="000000"/>
              <w:right w:val="single" w:sz="4" w:space="0" w:color="000000"/>
            </w:tcBorders>
            <w:shd w:val="clear" w:color="auto" w:fill="auto"/>
            <w:vAlign w:val="bottom"/>
            <w:hideMark/>
          </w:tcPr>
          <w:p w14:paraId="33F04FAB"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Total</w:t>
            </w:r>
          </w:p>
        </w:tc>
      </w:tr>
      <w:tr w:rsidR="003C3FDC" w:rsidRPr="00437A10" w14:paraId="2A81EC94" w14:textId="77777777" w:rsidTr="003C3FDC">
        <w:trPr>
          <w:trHeight w:val="315"/>
        </w:trPr>
        <w:tc>
          <w:tcPr>
            <w:tcW w:w="2268" w:type="dxa"/>
            <w:tcBorders>
              <w:top w:val="nil"/>
              <w:left w:val="single" w:sz="4" w:space="0" w:color="000000"/>
              <w:bottom w:val="single" w:sz="4" w:space="0" w:color="000000"/>
              <w:right w:val="single" w:sz="4" w:space="0" w:color="000000"/>
            </w:tcBorders>
            <w:shd w:val="clear" w:color="auto" w:fill="auto"/>
            <w:hideMark/>
          </w:tcPr>
          <w:p w14:paraId="4E2BCD2E"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1. Pertenece</w:t>
            </w:r>
          </w:p>
        </w:tc>
        <w:tc>
          <w:tcPr>
            <w:tcW w:w="1068" w:type="dxa"/>
            <w:tcBorders>
              <w:top w:val="nil"/>
              <w:left w:val="nil"/>
              <w:bottom w:val="single" w:sz="4" w:space="0" w:color="000000"/>
              <w:right w:val="single" w:sz="4" w:space="0" w:color="000000"/>
            </w:tcBorders>
            <w:shd w:val="clear" w:color="auto" w:fill="auto"/>
            <w:noWrap/>
            <w:vAlign w:val="center"/>
            <w:hideMark/>
          </w:tcPr>
          <w:p w14:paraId="016B44E4"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76</w:t>
            </w:r>
          </w:p>
        </w:tc>
        <w:tc>
          <w:tcPr>
            <w:tcW w:w="1200" w:type="dxa"/>
            <w:tcBorders>
              <w:top w:val="nil"/>
              <w:left w:val="nil"/>
              <w:bottom w:val="single" w:sz="4" w:space="0" w:color="000000"/>
              <w:right w:val="single" w:sz="4" w:space="0" w:color="000000"/>
            </w:tcBorders>
            <w:shd w:val="clear" w:color="auto" w:fill="auto"/>
            <w:noWrap/>
            <w:vAlign w:val="center"/>
            <w:hideMark/>
          </w:tcPr>
          <w:p w14:paraId="0B3E96E1"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24</w:t>
            </w:r>
          </w:p>
        </w:tc>
        <w:tc>
          <w:tcPr>
            <w:tcW w:w="698" w:type="dxa"/>
            <w:tcBorders>
              <w:top w:val="nil"/>
              <w:left w:val="nil"/>
              <w:bottom w:val="single" w:sz="4" w:space="0" w:color="000000"/>
              <w:right w:val="single" w:sz="4" w:space="0" w:color="000000"/>
            </w:tcBorders>
            <w:shd w:val="clear" w:color="auto" w:fill="auto"/>
            <w:noWrap/>
            <w:vAlign w:val="center"/>
            <w:hideMark/>
          </w:tcPr>
          <w:p w14:paraId="7B2EE41E"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c>
          <w:tcPr>
            <w:tcW w:w="1079" w:type="dxa"/>
            <w:tcBorders>
              <w:top w:val="nil"/>
              <w:left w:val="nil"/>
              <w:bottom w:val="single" w:sz="4" w:space="0" w:color="000000"/>
              <w:right w:val="single" w:sz="4" w:space="0" w:color="000000"/>
            </w:tcBorders>
            <w:shd w:val="clear" w:color="auto" w:fill="auto"/>
            <w:noWrap/>
            <w:vAlign w:val="center"/>
            <w:hideMark/>
          </w:tcPr>
          <w:p w14:paraId="50F248F2"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86</w:t>
            </w:r>
          </w:p>
        </w:tc>
        <w:tc>
          <w:tcPr>
            <w:tcW w:w="1200" w:type="dxa"/>
            <w:tcBorders>
              <w:top w:val="nil"/>
              <w:left w:val="nil"/>
              <w:bottom w:val="single" w:sz="4" w:space="0" w:color="000000"/>
              <w:right w:val="single" w:sz="4" w:space="0" w:color="000000"/>
            </w:tcBorders>
            <w:shd w:val="clear" w:color="auto" w:fill="auto"/>
            <w:noWrap/>
            <w:vAlign w:val="center"/>
            <w:hideMark/>
          </w:tcPr>
          <w:p w14:paraId="79E55FAD"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14</w:t>
            </w:r>
          </w:p>
        </w:tc>
        <w:tc>
          <w:tcPr>
            <w:tcW w:w="643" w:type="dxa"/>
            <w:tcBorders>
              <w:top w:val="nil"/>
              <w:left w:val="nil"/>
              <w:bottom w:val="single" w:sz="4" w:space="0" w:color="000000"/>
              <w:right w:val="single" w:sz="4" w:space="0" w:color="000000"/>
            </w:tcBorders>
            <w:shd w:val="clear" w:color="auto" w:fill="auto"/>
            <w:noWrap/>
            <w:vAlign w:val="center"/>
            <w:hideMark/>
          </w:tcPr>
          <w:p w14:paraId="6F946209"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r>
      <w:tr w:rsidR="003C3FDC" w:rsidRPr="00437A10" w14:paraId="24F1130C" w14:textId="77777777" w:rsidTr="003C3FDC">
        <w:trPr>
          <w:trHeight w:val="236"/>
        </w:trPr>
        <w:tc>
          <w:tcPr>
            <w:tcW w:w="2268" w:type="dxa"/>
            <w:tcBorders>
              <w:top w:val="nil"/>
              <w:left w:val="single" w:sz="4" w:space="0" w:color="000000"/>
              <w:bottom w:val="single" w:sz="4" w:space="0" w:color="000000"/>
              <w:right w:val="single" w:sz="4" w:space="0" w:color="000000"/>
            </w:tcBorders>
            <w:shd w:val="clear" w:color="auto" w:fill="auto"/>
            <w:hideMark/>
          </w:tcPr>
          <w:p w14:paraId="555DC69A"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2. No pertenece</w:t>
            </w:r>
          </w:p>
        </w:tc>
        <w:tc>
          <w:tcPr>
            <w:tcW w:w="1068" w:type="dxa"/>
            <w:tcBorders>
              <w:top w:val="nil"/>
              <w:left w:val="nil"/>
              <w:bottom w:val="single" w:sz="4" w:space="0" w:color="000000"/>
              <w:right w:val="single" w:sz="4" w:space="0" w:color="000000"/>
            </w:tcBorders>
            <w:shd w:val="clear" w:color="auto" w:fill="auto"/>
            <w:noWrap/>
            <w:vAlign w:val="center"/>
            <w:hideMark/>
          </w:tcPr>
          <w:p w14:paraId="0998DDD0"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78</w:t>
            </w:r>
          </w:p>
        </w:tc>
        <w:tc>
          <w:tcPr>
            <w:tcW w:w="1200" w:type="dxa"/>
            <w:tcBorders>
              <w:top w:val="nil"/>
              <w:left w:val="nil"/>
              <w:bottom w:val="single" w:sz="4" w:space="0" w:color="000000"/>
              <w:right w:val="single" w:sz="4" w:space="0" w:color="000000"/>
            </w:tcBorders>
            <w:shd w:val="clear" w:color="auto" w:fill="auto"/>
            <w:noWrap/>
            <w:vAlign w:val="center"/>
            <w:hideMark/>
          </w:tcPr>
          <w:p w14:paraId="48821C33"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22</w:t>
            </w:r>
          </w:p>
        </w:tc>
        <w:tc>
          <w:tcPr>
            <w:tcW w:w="698" w:type="dxa"/>
            <w:tcBorders>
              <w:top w:val="nil"/>
              <w:left w:val="nil"/>
              <w:bottom w:val="single" w:sz="4" w:space="0" w:color="000000"/>
              <w:right w:val="single" w:sz="4" w:space="0" w:color="000000"/>
            </w:tcBorders>
            <w:shd w:val="clear" w:color="auto" w:fill="auto"/>
            <w:noWrap/>
            <w:vAlign w:val="center"/>
            <w:hideMark/>
          </w:tcPr>
          <w:p w14:paraId="4280ADBD"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c>
          <w:tcPr>
            <w:tcW w:w="1079" w:type="dxa"/>
            <w:tcBorders>
              <w:top w:val="nil"/>
              <w:left w:val="nil"/>
              <w:bottom w:val="single" w:sz="4" w:space="0" w:color="000000"/>
              <w:right w:val="single" w:sz="4" w:space="0" w:color="000000"/>
            </w:tcBorders>
            <w:shd w:val="clear" w:color="auto" w:fill="auto"/>
            <w:noWrap/>
            <w:vAlign w:val="center"/>
            <w:hideMark/>
          </w:tcPr>
          <w:p w14:paraId="5D960400"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86</w:t>
            </w:r>
          </w:p>
        </w:tc>
        <w:tc>
          <w:tcPr>
            <w:tcW w:w="1200" w:type="dxa"/>
            <w:tcBorders>
              <w:top w:val="nil"/>
              <w:left w:val="nil"/>
              <w:bottom w:val="single" w:sz="4" w:space="0" w:color="000000"/>
              <w:right w:val="single" w:sz="4" w:space="0" w:color="000000"/>
            </w:tcBorders>
            <w:shd w:val="clear" w:color="auto" w:fill="auto"/>
            <w:noWrap/>
            <w:vAlign w:val="center"/>
            <w:hideMark/>
          </w:tcPr>
          <w:p w14:paraId="5F2453C2"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14</w:t>
            </w:r>
          </w:p>
        </w:tc>
        <w:tc>
          <w:tcPr>
            <w:tcW w:w="643" w:type="dxa"/>
            <w:tcBorders>
              <w:top w:val="nil"/>
              <w:left w:val="nil"/>
              <w:bottom w:val="single" w:sz="4" w:space="0" w:color="000000"/>
              <w:right w:val="single" w:sz="4" w:space="0" w:color="000000"/>
            </w:tcBorders>
            <w:shd w:val="clear" w:color="auto" w:fill="auto"/>
            <w:noWrap/>
            <w:vAlign w:val="center"/>
            <w:hideMark/>
          </w:tcPr>
          <w:p w14:paraId="0FAE1890"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r>
      <w:tr w:rsidR="003C3FDC" w:rsidRPr="00437A10" w14:paraId="59EAC482" w14:textId="77777777" w:rsidTr="003C3FDC">
        <w:trPr>
          <w:trHeight w:val="423"/>
        </w:trPr>
        <w:tc>
          <w:tcPr>
            <w:tcW w:w="2268" w:type="dxa"/>
            <w:tcBorders>
              <w:top w:val="nil"/>
              <w:left w:val="single" w:sz="4" w:space="0" w:color="000000"/>
              <w:bottom w:val="single" w:sz="4" w:space="0" w:color="000000"/>
              <w:right w:val="single" w:sz="4" w:space="0" w:color="000000"/>
            </w:tcBorders>
            <w:shd w:val="clear" w:color="auto" w:fill="auto"/>
            <w:hideMark/>
          </w:tcPr>
          <w:p w14:paraId="4F7478D1"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3. No soy boliviana o boliviano</w:t>
            </w:r>
          </w:p>
        </w:tc>
        <w:tc>
          <w:tcPr>
            <w:tcW w:w="1068" w:type="dxa"/>
            <w:tcBorders>
              <w:top w:val="nil"/>
              <w:left w:val="nil"/>
              <w:bottom w:val="single" w:sz="4" w:space="0" w:color="000000"/>
              <w:right w:val="single" w:sz="4" w:space="0" w:color="000000"/>
            </w:tcBorders>
            <w:shd w:val="clear" w:color="auto" w:fill="auto"/>
            <w:noWrap/>
            <w:vAlign w:val="center"/>
            <w:hideMark/>
          </w:tcPr>
          <w:p w14:paraId="424BD260"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76</w:t>
            </w:r>
          </w:p>
        </w:tc>
        <w:tc>
          <w:tcPr>
            <w:tcW w:w="1200" w:type="dxa"/>
            <w:tcBorders>
              <w:top w:val="nil"/>
              <w:left w:val="nil"/>
              <w:bottom w:val="single" w:sz="4" w:space="0" w:color="000000"/>
              <w:right w:val="single" w:sz="4" w:space="0" w:color="000000"/>
            </w:tcBorders>
            <w:shd w:val="clear" w:color="auto" w:fill="auto"/>
            <w:noWrap/>
            <w:vAlign w:val="center"/>
            <w:hideMark/>
          </w:tcPr>
          <w:p w14:paraId="71D28EA7"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24</w:t>
            </w:r>
          </w:p>
        </w:tc>
        <w:tc>
          <w:tcPr>
            <w:tcW w:w="698" w:type="dxa"/>
            <w:tcBorders>
              <w:top w:val="nil"/>
              <w:left w:val="nil"/>
              <w:bottom w:val="single" w:sz="4" w:space="0" w:color="000000"/>
              <w:right w:val="single" w:sz="4" w:space="0" w:color="000000"/>
            </w:tcBorders>
            <w:shd w:val="clear" w:color="auto" w:fill="auto"/>
            <w:noWrap/>
            <w:vAlign w:val="center"/>
            <w:hideMark/>
          </w:tcPr>
          <w:p w14:paraId="35B79E72"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c>
          <w:tcPr>
            <w:tcW w:w="1079" w:type="dxa"/>
            <w:tcBorders>
              <w:top w:val="nil"/>
              <w:left w:val="nil"/>
              <w:bottom w:val="single" w:sz="4" w:space="0" w:color="000000"/>
              <w:right w:val="single" w:sz="4" w:space="0" w:color="000000"/>
            </w:tcBorders>
            <w:shd w:val="clear" w:color="auto" w:fill="auto"/>
            <w:noWrap/>
            <w:vAlign w:val="center"/>
            <w:hideMark/>
          </w:tcPr>
          <w:p w14:paraId="604645F7"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c>
          <w:tcPr>
            <w:tcW w:w="1200" w:type="dxa"/>
            <w:tcBorders>
              <w:top w:val="nil"/>
              <w:left w:val="nil"/>
              <w:bottom w:val="single" w:sz="4" w:space="0" w:color="000000"/>
              <w:right w:val="single" w:sz="4" w:space="0" w:color="000000"/>
            </w:tcBorders>
            <w:shd w:val="clear" w:color="auto" w:fill="auto"/>
            <w:noWrap/>
            <w:vAlign w:val="center"/>
            <w:hideMark/>
          </w:tcPr>
          <w:p w14:paraId="02F70AAC"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0</w:t>
            </w:r>
          </w:p>
        </w:tc>
        <w:tc>
          <w:tcPr>
            <w:tcW w:w="643" w:type="dxa"/>
            <w:tcBorders>
              <w:top w:val="nil"/>
              <w:left w:val="nil"/>
              <w:bottom w:val="single" w:sz="4" w:space="0" w:color="000000"/>
              <w:right w:val="single" w:sz="4" w:space="0" w:color="000000"/>
            </w:tcBorders>
            <w:shd w:val="clear" w:color="auto" w:fill="auto"/>
            <w:noWrap/>
            <w:vAlign w:val="center"/>
            <w:hideMark/>
          </w:tcPr>
          <w:p w14:paraId="5A611836"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r>
      <w:tr w:rsidR="003C3FDC" w:rsidRPr="00437A10" w14:paraId="705FCB9E" w14:textId="77777777" w:rsidTr="003C3FDC">
        <w:trPr>
          <w:trHeight w:val="274"/>
        </w:trPr>
        <w:tc>
          <w:tcPr>
            <w:tcW w:w="2268" w:type="dxa"/>
            <w:tcBorders>
              <w:top w:val="nil"/>
              <w:left w:val="single" w:sz="4" w:space="0" w:color="000000"/>
              <w:bottom w:val="single" w:sz="4" w:space="0" w:color="000000"/>
              <w:right w:val="single" w:sz="4" w:space="0" w:color="000000"/>
            </w:tcBorders>
            <w:shd w:val="clear" w:color="auto" w:fill="auto"/>
            <w:vAlign w:val="bottom"/>
            <w:hideMark/>
          </w:tcPr>
          <w:p w14:paraId="1E81877F"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Total</w:t>
            </w:r>
          </w:p>
        </w:tc>
        <w:tc>
          <w:tcPr>
            <w:tcW w:w="1068" w:type="dxa"/>
            <w:tcBorders>
              <w:top w:val="nil"/>
              <w:left w:val="nil"/>
              <w:bottom w:val="single" w:sz="4" w:space="0" w:color="000000"/>
              <w:right w:val="single" w:sz="4" w:space="0" w:color="000000"/>
            </w:tcBorders>
            <w:shd w:val="clear" w:color="auto" w:fill="auto"/>
            <w:noWrap/>
            <w:vAlign w:val="center"/>
            <w:hideMark/>
          </w:tcPr>
          <w:p w14:paraId="6A37C590"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78</w:t>
            </w:r>
          </w:p>
        </w:tc>
        <w:tc>
          <w:tcPr>
            <w:tcW w:w="1200" w:type="dxa"/>
            <w:tcBorders>
              <w:top w:val="nil"/>
              <w:left w:val="nil"/>
              <w:bottom w:val="single" w:sz="4" w:space="0" w:color="000000"/>
              <w:right w:val="single" w:sz="4" w:space="0" w:color="000000"/>
            </w:tcBorders>
            <w:shd w:val="clear" w:color="auto" w:fill="auto"/>
            <w:noWrap/>
            <w:vAlign w:val="center"/>
            <w:hideMark/>
          </w:tcPr>
          <w:p w14:paraId="78A30884"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22</w:t>
            </w:r>
          </w:p>
        </w:tc>
        <w:tc>
          <w:tcPr>
            <w:tcW w:w="698" w:type="dxa"/>
            <w:tcBorders>
              <w:top w:val="nil"/>
              <w:left w:val="nil"/>
              <w:bottom w:val="single" w:sz="4" w:space="0" w:color="000000"/>
              <w:right w:val="single" w:sz="4" w:space="0" w:color="000000"/>
            </w:tcBorders>
            <w:shd w:val="clear" w:color="auto" w:fill="auto"/>
            <w:noWrap/>
            <w:vAlign w:val="center"/>
            <w:hideMark/>
          </w:tcPr>
          <w:p w14:paraId="218A9CAD"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c>
          <w:tcPr>
            <w:tcW w:w="1079" w:type="dxa"/>
            <w:tcBorders>
              <w:top w:val="nil"/>
              <w:left w:val="nil"/>
              <w:bottom w:val="single" w:sz="4" w:space="0" w:color="000000"/>
              <w:right w:val="single" w:sz="4" w:space="0" w:color="000000"/>
            </w:tcBorders>
            <w:shd w:val="clear" w:color="auto" w:fill="auto"/>
            <w:noWrap/>
            <w:vAlign w:val="center"/>
            <w:hideMark/>
          </w:tcPr>
          <w:p w14:paraId="5DA961E7"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86</w:t>
            </w:r>
          </w:p>
        </w:tc>
        <w:tc>
          <w:tcPr>
            <w:tcW w:w="1200" w:type="dxa"/>
            <w:tcBorders>
              <w:top w:val="nil"/>
              <w:left w:val="nil"/>
              <w:bottom w:val="single" w:sz="4" w:space="0" w:color="000000"/>
              <w:right w:val="single" w:sz="4" w:space="0" w:color="000000"/>
            </w:tcBorders>
            <w:shd w:val="clear" w:color="auto" w:fill="auto"/>
            <w:noWrap/>
            <w:vAlign w:val="center"/>
            <w:hideMark/>
          </w:tcPr>
          <w:p w14:paraId="461DB894"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14</w:t>
            </w:r>
          </w:p>
        </w:tc>
        <w:tc>
          <w:tcPr>
            <w:tcW w:w="643" w:type="dxa"/>
            <w:tcBorders>
              <w:top w:val="nil"/>
              <w:left w:val="nil"/>
              <w:bottom w:val="single" w:sz="4" w:space="0" w:color="000000"/>
              <w:right w:val="single" w:sz="4" w:space="0" w:color="000000"/>
            </w:tcBorders>
            <w:shd w:val="clear" w:color="auto" w:fill="auto"/>
            <w:noWrap/>
            <w:vAlign w:val="center"/>
            <w:hideMark/>
          </w:tcPr>
          <w:p w14:paraId="7D3EE18D" w14:textId="77777777" w:rsidR="003C3FDC" w:rsidRPr="00437A10" w:rsidRDefault="003C3FDC" w:rsidP="00C24461">
            <w:pPr>
              <w:jc w:val="center"/>
              <w:rPr>
                <w:rFonts w:ascii="Arial" w:hAnsi="Arial" w:cs="Arial"/>
                <w:sz w:val="18"/>
                <w:szCs w:val="18"/>
                <w:lang w:val="es-BO" w:eastAsia="es-BO"/>
              </w:rPr>
            </w:pPr>
            <w:r w:rsidRPr="00437A10">
              <w:rPr>
                <w:rFonts w:ascii="Arial" w:hAnsi="Arial" w:cs="Arial"/>
                <w:sz w:val="18"/>
                <w:szCs w:val="18"/>
                <w:lang w:val="es-BO" w:eastAsia="es-BO"/>
              </w:rPr>
              <w:t>100</w:t>
            </w:r>
          </w:p>
        </w:tc>
      </w:tr>
    </w:tbl>
    <w:p w14:paraId="205EA938" w14:textId="77777777" w:rsidR="003B602A" w:rsidRPr="00437A10" w:rsidRDefault="003B602A" w:rsidP="003B602A">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Fuente: Con base en Instituto Nacional de Estadística, Quillaguamán, 2023.</w:t>
      </w:r>
    </w:p>
    <w:p w14:paraId="474D244D" w14:textId="107FE18D" w:rsidR="00FD2036" w:rsidRPr="00437A10" w:rsidRDefault="00FD2036" w:rsidP="00FD2036">
      <w:pPr>
        <w:spacing w:after="160" w:line="259" w:lineRule="auto"/>
        <w:contextualSpacing/>
        <w:jc w:val="center"/>
        <w:rPr>
          <w:rFonts w:ascii="Arial" w:eastAsia="Calibri" w:hAnsi="Arial" w:cs="Arial"/>
          <w:sz w:val="22"/>
          <w:szCs w:val="22"/>
        </w:rPr>
      </w:pPr>
    </w:p>
    <w:p w14:paraId="14FC9E84" w14:textId="318E2A38" w:rsidR="00E43C60" w:rsidRPr="00437A10" w:rsidRDefault="00E43C60" w:rsidP="00E43C60">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De acuerdo a la migr</w:t>
      </w:r>
      <w:r w:rsidR="00C24461" w:rsidRPr="00437A10">
        <w:rPr>
          <w:rFonts w:ascii="Arial" w:eastAsia="Calibri" w:hAnsi="Arial" w:cs="Arial"/>
          <w:sz w:val="22"/>
          <w:szCs w:val="22"/>
        </w:rPr>
        <w:t>ación reciente, en el cuadro 6.8</w:t>
      </w:r>
      <w:r w:rsidRPr="00437A10">
        <w:rPr>
          <w:rFonts w:ascii="Arial" w:eastAsia="Calibri" w:hAnsi="Arial" w:cs="Arial"/>
          <w:sz w:val="22"/>
          <w:szCs w:val="22"/>
        </w:rPr>
        <w:t xml:space="preserve"> se observa que 3 de cada 10 personas</w:t>
      </w:r>
      <w:r w:rsidR="00714A27" w:rsidRPr="00437A10">
        <w:rPr>
          <w:rFonts w:ascii="Arial" w:eastAsia="Calibri" w:hAnsi="Arial" w:cs="Arial"/>
          <w:sz w:val="22"/>
          <w:szCs w:val="22"/>
        </w:rPr>
        <w:t xml:space="preserve"> que</w:t>
      </w:r>
      <w:r w:rsidRPr="00437A10">
        <w:rPr>
          <w:rFonts w:ascii="Arial" w:eastAsia="Calibri" w:hAnsi="Arial" w:cs="Arial"/>
          <w:sz w:val="22"/>
          <w:szCs w:val="22"/>
        </w:rPr>
        <w:t xml:space="preserve"> residían en el exter</w:t>
      </w:r>
      <w:r w:rsidR="00714A27" w:rsidRPr="00437A10">
        <w:rPr>
          <w:rFonts w:ascii="Arial" w:eastAsia="Calibri" w:hAnsi="Arial" w:cs="Arial"/>
          <w:sz w:val="22"/>
          <w:szCs w:val="22"/>
        </w:rPr>
        <w:t xml:space="preserve">ior y 3 de cada 10 personas que </w:t>
      </w:r>
      <w:r w:rsidRPr="00437A10">
        <w:rPr>
          <w:rFonts w:ascii="Arial" w:eastAsia="Calibri" w:hAnsi="Arial" w:cs="Arial"/>
          <w:sz w:val="22"/>
          <w:szCs w:val="22"/>
        </w:rPr>
        <w:t>aún no habían nacido</w:t>
      </w:r>
      <w:r w:rsidR="00714A27" w:rsidRPr="00437A10">
        <w:rPr>
          <w:rFonts w:ascii="Arial" w:eastAsia="Calibri" w:hAnsi="Arial" w:cs="Arial"/>
          <w:sz w:val="22"/>
          <w:szCs w:val="22"/>
        </w:rPr>
        <w:t xml:space="preserve"> el 2016</w:t>
      </w:r>
      <w:r w:rsidRPr="00437A10">
        <w:rPr>
          <w:rFonts w:ascii="Arial" w:eastAsia="Calibri" w:hAnsi="Arial" w:cs="Arial"/>
          <w:sz w:val="22"/>
          <w:szCs w:val="22"/>
        </w:rPr>
        <w:t xml:space="preserve">, </w:t>
      </w:r>
      <w:r w:rsidR="00714A27" w:rsidRPr="00437A10">
        <w:rPr>
          <w:rFonts w:ascii="Arial" w:eastAsia="Calibri" w:hAnsi="Arial" w:cs="Arial"/>
          <w:sz w:val="22"/>
          <w:szCs w:val="22"/>
        </w:rPr>
        <w:t>cinco años después</w:t>
      </w:r>
      <w:r w:rsidRPr="00437A10">
        <w:rPr>
          <w:rFonts w:ascii="Arial" w:eastAsia="Calibri" w:hAnsi="Arial" w:cs="Arial"/>
          <w:sz w:val="22"/>
          <w:szCs w:val="22"/>
        </w:rPr>
        <w:t xml:space="preserve"> ocupaban viviendas inasequibles en el área urbana. En el área rural</w:t>
      </w:r>
      <w:r w:rsidR="00714A27" w:rsidRPr="00437A10">
        <w:rPr>
          <w:rFonts w:ascii="Arial" w:eastAsia="Calibri" w:hAnsi="Arial" w:cs="Arial"/>
          <w:sz w:val="22"/>
          <w:szCs w:val="22"/>
        </w:rPr>
        <w:t>,</w:t>
      </w:r>
      <w:r w:rsidRPr="00437A10">
        <w:rPr>
          <w:rFonts w:ascii="Arial" w:eastAsia="Calibri" w:hAnsi="Arial" w:cs="Arial"/>
          <w:sz w:val="22"/>
          <w:szCs w:val="22"/>
        </w:rPr>
        <w:t xml:space="preserve"> 2 de cada 10 pe</w:t>
      </w:r>
      <w:r w:rsidR="00714A27" w:rsidRPr="00437A10">
        <w:rPr>
          <w:rFonts w:ascii="Arial" w:eastAsia="Calibri" w:hAnsi="Arial" w:cs="Arial"/>
          <w:sz w:val="22"/>
          <w:szCs w:val="22"/>
        </w:rPr>
        <w:t>rsonas que aún no habían nacido</w:t>
      </w:r>
      <w:r w:rsidRPr="00437A10">
        <w:rPr>
          <w:rFonts w:ascii="Arial" w:eastAsia="Calibri" w:hAnsi="Arial" w:cs="Arial"/>
          <w:sz w:val="22"/>
          <w:szCs w:val="22"/>
        </w:rPr>
        <w:t xml:space="preserve"> habita</w:t>
      </w:r>
      <w:r w:rsidR="00714A27" w:rsidRPr="00437A10">
        <w:rPr>
          <w:rFonts w:ascii="Arial" w:eastAsia="Calibri" w:hAnsi="Arial" w:cs="Arial"/>
          <w:sz w:val="22"/>
          <w:szCs w:val="22"/>
        </w:rPr>
        <w:t>ban,</w:t>
      </w:r>
      <w:r w:rsidRPr="00437A10">
        <w:rPr>
          <w:rFonts w:ascii="Arial" w:eastAsia="Calibri" w:hAnsi="Arial" w:cs="Arial"/>
          <w:sz w:val="22"/>
          <w:szCs w:val="22"/>
        </w:rPr>
        <w:t xml:space="preserve"> el año 2021</w:t>
      </w:r>
      <w:r w:rsidR="00714A27" w:rsidRPr="00437A10">
        <w:rPr>
          <w:rFonts w:ascii="Arial" w:eastAsia="Calibri" w:hAnsi="Arial" w:cs="Arial"/>
          <w:sz w:val="22"/>
          <w:szCs w:val="22"/>
        </w:rPr>
        <w:t>,</w:t>
      </w:r>
      <w:r w:rsidRPr="00437A10">
        <w:rPr>
          <w:rFonts w:ascii="Arial" w:eastAsia="Calibri" w:hAnsi="Arial" w:cs="Arial"/>
          <w:sz w:val="22"/>
          <w:szCs w:val="22"/>
        </w:rPr>
        <w:t xml:space="preserve"> en vivienda</w:t>
      </w:r>
      <w:r w:rsidR="00714A27" w:rsidRPr="00437A10">
        <w:rPr>
          <w:rFonts w:ascii="Arial" w:eastAsia="Calibri" w:hAnsi="Arial" w:cs="Arial"/>
          <w:sz w:val="22"/>
          <w:szCs w:val="22"/>
        </w:rPr>
        <w:t>s</w:t>
      </w:r>
      <w:r w:rsidRPr="00437A10">
        <w:rPr>
          <w:rFonts w:ascii="Arial" w:eastAsia="Calibri" w:hAnsi="Arial" w:cs="Arial"/>
          <w:sz w:val="22"/>
          <w:szCs w:val="22"/>
        </w:rPr>
        <w:t xml:space="preserve"> inasequibles.</w:t>
      </w:r>
    </w:p>
    <w:p w14:paraId="3817458A" w14:textId="77777777" w:rsidR="00E43C60" w:rsidRPr="00437A10" w:rsidRDefault="00E43C60" w:rsidP="00E43C60">
      <w:pPr>
        <w:spacing w:after="160" w:line="259" w:lineRule="auto"/>
        <w:contextualSpacing/>
        <w:jc w:val="both"/>
        <w:rPr>
          <w:rFonts w:ascii="Arial" w:eastAsia="Calibri" w:hAnsi="Arial" w:cs="Arial"/>
          <w:sz w:val="22"/>
          <w:szCs w:val="22"/>
        </w:rPr>
      </w:pPr>
    </w:p>
    <w:p w14:paraId="36EE3769" w14:textId="04AA5548" w:rsidR="00FD2036" w:rsidRPr="00437A10" w:rsidRDefault="00C24461" w:rsidP="00FD2036">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Cuadro 6.8</w:t>
      </w:r>
      <w:r w:rsidR="00FD2036" w:rsidRPr="00437A10">
        <w:rPr>
          <w:rFonts w:ascii="Arial" w:eastAsia="Calibri" w:hAnsi="Arial" w:cs="Arial"/>
          <w:sz w:val="22"/>
          <w:szCs w:val="22"/>
        </w:rPr>
        <w:t xml:space="preserve">. Bolivia: Porcentaje de personas por asequibilidad de la vivienda, según </w:t>
      </w:r>
      <w:r w:rsidR="008266F3" w:rsidRPr="00437A10">
        <w:rPr>
          <w:rFonts w:ascii="Arial" w:eastAsia="Calibri" w:hAnsi="Arial" w:cs="Arial"/>
          <w:sz w:val="22"/>
          <w:szCs w:val="22"/>
        </w:rPr>
        <w:t>migración reciente</w:t>
      </w:r>
      <w:r w:rsidR="00FD2036" w:rsidRPr="00437A10">
        <w:rPr>
          <w:rFonts w:ascii="Arial" w:eastAsia="Calibri" w:hAnsi="Arial" w:cs="Arial"/>
          <w:sz w:val="22"/>
          <w:szCs w:val="22"/>
        </w:rPr>
        <w:t xml:space="preserve"> y área geográfica, 2021</w:t>
      </w:r>
    </w:p>
    <w:tbl>
      <w:tblPr>
        <w:tblW w:w="8440" w:type="dxa"/>
        <w:tblInd w:w="-5" w:type="dxa"/>
        <w:tblCellMar>
          <w:left w:w="70" w:type="dxa"/>
          <w:right w:w="70" w:type="dxa"/>
        </w:tblCellMar>
        <w:tblLook w:val="04A0" w:firstRow="1" w:lastRow="0" w:firstColumn="1" w:lastColumn="0" w:noHBand="0" w:noVBand="1"/>
      </w:tblPr>
      <w:tblGrid>
        <w:gridCol w:w="2127"/>
        <w:gridCol w:w="1210"/>
        <w:gridCol w:w="1200"/>
        <w:gridCol w:w="785"/>
        <w:gridCol w:w="1275"/>
        <w:gridCol w:w="1200"/>
        <w:gridCol w:w="643"/>
      </w:tblGrid>
      <w:tr w:rsidR="008266F3" w:rsidRPr="00437A10" w14:paraId="5125A6AA" w14:textId="77777777" w:rsidTr="008266F3">
        <w:trPr>
          <w:trHeight w:val="315"/>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55CECC3" w14:textId="4AC38EFF" w:rsidR="008266F3" w:rsidRPr="00437A10" w:rsidRDefault="00E43C60" w:rsidP="008266F3">
            <w:pPr>
              <w:jc w:val="center"/>
              <w:rPr>
                <w:rFonts w:ascii="Arial" w:hAnsi="Arial" w:cs="Arial"/>
                <w:sz w:val="18"/>
                <w:szCs w:val="18"/>
                <w:lang w:val="es-BO" w:eastAsia="es-BO"/>
              </w:rPr>
            </w:pPr>
            <w:r w:rsidRPr="00437A10">
              <w:rPr>
                <w:rFonts w:ascii="Arial" w:hAnsi="Arial" w:cs="Arial"/>
                <w:sz w:val="18"/>
                <w:szCs w:val="18"/>
                <w:lang w:val="es-BO" w:eastAsia="es-BO"/>
              </w:rPr>
              <w:t>¿Dónde vivía hace 5 años (2016)?</w:t>
            </w:r>
          </w:p>
        </w:tc>
        <w:tc>
          <w:tcPr>
            <w:tcW w:w="3195" w:type="dxa"/>
            <w:gridSpan w:val="3"/>
            <w:tcBorders>
              <w:top w:val="single" w:sz="4" w:space="0" w:color="000000"/>
              <w:left w:val="nil"/>
              <w:bottom w:val="single" w:sz="4" w:space="0" w:color="000000"/>
              <w:right w:val="single" w:sz="4" w:space="0" w:color="000000"/>
            </w:tcBorders>
            <w:shd w:val="clear" w:color="auto" w:fill="auto"/>
            <w:vAlign w:val="bottom"/>
            <w:hideMark/>
          </w:tcPr>
          <w:p w14:paraId="58F3B534" w14:textId="77777777" w:rsidR="008266F3" w:rsidRPr="00437A10" w:rsidRDefault="008266F3" w:rsidP="008266F3">
            <w:pPr>
              <w:jc w:val="center"/>
              <w:rPr>
                <w:rFonts w:ascii="Arial" w:hAnsi="Arial" w:cs="Arial"/>
                <w:sz w:val="18"/>
                <w:szCs w:val="18"/>
                <w:lang w:val="es-BO" w:eastAsia="es-BO"/>
              </w:rPr>
            </w:pPr>
            <w:r w:rsidRPr="00437A10">
              <w:rPr>
                <w:rFonts w:ascii="Arial" w:hAnsi="Arial" w:cs="Arial"/>
                <w:sz w:val="18"/>
                <w:szCs w:val="18"/>
                <w:lang w:val="es-BO" w:eastAsia="es-BO"/>
              </w:rPr>
              <w:t>Área urbana</w:t>
            </w:r>
          </w:p>
        </w:tc>
        <w:tc>
          <w:tcPr>
            <w:tcW w:w="3118" w:type="dxa"/>
            <w:gridSpan w:val="3"/>
            <w:tcBorders>
              <w:top w:val="single" w:sz="4" w:space="0" w:color="000000"/>
              <w:left w:val="nil"/>
              <w:bottom w:val="single" w:sz="4" w:space="0" w:color="000000"/>
              <w:right w:val="single" w:sz="4" w:space="0" w:color="000000"/>
            </w:tcBorders>
            <w:shd w:val="clear" w:color="auto" w:fill="auto"/>
            <w:vAlign w:val="bottom"/>
            <w:hideMark/>
          </w:tcPr>
          <w:p w14:paraId="187B66DB" w14:textId="77777777" w:rsidR="008266F3" w:rsidRPr="00437A10" w:rsidRDefault="008266F3" w:rsidP="008266F3">
            <w:pPr>
              <w:jc w:val="center"/>
              <w:rPr>
                <w:rFonts w:ascii="Arial" w:hAnsi="Arial" w:cs="Arial"/>
                <w:sz w:val="18"/>
                <w:szCs w:val="18"/>
                <w:lang w:val="es-BO" w:eastAsia="es-BO"/>
              </w:rPr>
            </w:pPr>
            <w:r w:rsidRPr="00437A10">
              <w:rPr>
                <w:rFonts w:ascii="Arial" w:hAnsi="Arial" w:cs="Arial"/>
                <w:sz w:val="18"/>
                <w:szCs w:val="18"/>
                <w:lang w:val="es-BO" w:eastAsia="es-BO"/>
              </w:rPr>
              <w:t>Área rural</w:t>
            </w:r>
          </w:p>
        </w:tc>
      </w:tr>
      <w:tr w:rsidR="008266F3" w:rsidRPr="00437A10" w14:paraId="4EF0041D" w14:textId="77777777" w:rsidTr="008266F3">
        <w:trPr>
          <w:trHeight w:val="51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2C77B00F" w14:textId="77777777" w:rsidR="008266F3" w:rsidRPr="00437A10" w:rsidRDefault="008266F3" w:rsidP="008266F3">
            <w:pPr>
              <w:rPr>
                <w:rFonts w:ascii="Arial" w:hAnsi="Arial" w:cs="Arial"/>
                <w:sz w:val="18"/>
                <w:szCs w:val="18"/>
                <w:lang w:val="es-BO" w:eastAsia="es-BO"/>
              </w:rPr>
            </w:pPr>
          </w:p>
        </w:tc>
        <w:tc>
          <w:tcPr>
            <w:tcW w:w="1210" w:type="dxa"/>
            <w:tcBorders>
              <w:top w:val="nil"/>
              <w:left w:val="nil"/>
              <w:bottom w:val="single" w:sz="4" w:space="0" w:color="000000"/>
              <w:right w:val="single" w:sz="4" w:space="0" w:color="000000"/>
            </w:tcBorders>
            <w:shd w:val="clear" w:color="auto" w:fill="auto"/>
            <w:vAlign w:val="bottom"/>
            <w:hideMark/>
          </w:tcPr>
          <w:p w14:paraId="06AA034C" w14:textId="77777777" w:rsidR="008266F3" w:rsidRPr="00437A10" w:rsidRDefault="008266F3" w:rsidP="008266F3">
            <w:pPr>
              <w:jc w:val="cente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200" w:type="dxa"/>
            <w:tcBorders>
              <w:top w:val="nil"/>
              <w:left w:val="nil"/>
              <w:bottom w:val="single" w:sz="4" w:space="0" w:color="000000"/>
              <w:right w:val="single" w:sz="4" w:space="0" w:color="000000"/>
            </w:tcBorders>
            <w:shd w:val="clear" w:color="auto" w:fill="auto"/>
            <w:vAlign w:val="bottom"/>
            <w:hideMark/>
          </w:tcPr>
          <w:p w14:paraId="434D37E7" w14:textId="77777777" w:rsidR="008266F3" w:rsidRPr="00437A10" w:rsidRDefault="008266F3" w:rsidP="008266F3">
            <w:pPr>
              <w:jc w:val="cente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785" w:type="dxa"/>
            <w:tcBorders>
              <w:top w:val="nil"/>
              <w:left w:val="nil"/>
              <w:bottom w:val="single" w:sz="4" w:space="0" w:color="000000"/>
              <w:right w:val="single" w:sz="4" w:space="0" w:color="000000"/>
            </w:tcBorders>
            <w:shd w:val="clear" w:color="auto" w:fill="auto"/>
            <w:vAlign w:val="bottom"/>
            <w:hideMark/>
          </w:tcPr>
          <w:p w14:paraId="046662BA" w14:textId="77777777" w:rsidR="008266F3" w:rsidRPr="00437A10" w:rsidRDefault="008266F3" w:rsidP="008266F3">
            <w:pPr>
              <w:rPr>
                <w:rFonts w:ascii="Arial" w:hAnsi="Arial" w:cs="Arial"/>
                <w:sz w:val="18"/>
                <w:szCs w:val="18"/>
                <w:lang w:val="es-BO" w:eastAsia="es-BO"/>
              </w:rPr>
            </w:pPr>
            <w:r w:rsidRPr="00437A10">
              <w:rPr>
                <w:rFonts w:ascii="Arial" w:hAnsi="Arial" w:cs="Arial"/>
                <w:sz w:val="18"/>
                <w:szCs w:val="18"/>
                <w:lang w:val="es-BO" w:eastAsia="es-BO"/>
              </w:rPr>
              <w:t>Total</w:t>
            </w:r>
          </w:p>
        </w:tc>
        <w:tc>
          <w:tcPr>
            <w:tcW w:w="1275" w:type="dxa"/>
            <w:tcBorders>
              <w:top w:val="nil"/>
              <w:left w:val="nil"/>
              <w:bottom w:val="single" w:sz="4" w:space="0" w:color="000000"/>
              <w:right w:val="single" w:sz="4" w:space="0" w:color="000000"/>
            </w:tcBorders>
            <w:shd w:val="clear" w:color="auto" w:fill="auto"/>
            <w:vAlign w:val="bottom"/>
            <w:hideMark/>
          </w:tcPr>
          <w:p w14:paraId="66E629D2" w14:textId="77777777" w:rsidR="008266F3" w:rsidRPr="00437A10" w:rsidRDefault="008266F3" w:rsidP="008266F3">
            <w:pPr>
              <w:jc w:val="cente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200" w:type="dxa"/>
            <w:tcBorders>
              <w:top w:val="nil"/>
              <w:left w:val="nil"/>
              <w:bottom w:val="single" w:sz="4" w:space="0" w:color="000000"/>
              <w:right w:val="single" w:sz="4" w:space="0" w:color="000000"/>
            </w:tcBorders>
            <w:shd w:val="clear" w:color="auto" w:fill="auto"/>
            <w:vAlign w:val="bottom"/>
            <w:hideMark/>
          </w:tcPr>
          <w:p w14:paraId="26DF5C98" w14:textId="77777777" w:rsidR="008266F3" w:rsidRPr="00437A10" w:rsidRDefault="008266F3" w:rsidP="008266F3">
            <w:pPr>
              <w:jc w:val="cente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643" w:type="dxa"/>
            <w:tcBorders>
              <w:top w:val="nil"/>
              <w:left w:val="nil"/>
              <w:bottom w:val="single" w:sz="4" w:space="0" w:color="000000"/>
              <w:right w:val="single" w:sz="4" w:space="0" w:color="000000"/>
            </w:tcBorders>
            <w:shd w:val="clear" w:color="auto" w:fill="auto"/>
            <w:vAlign w:val="bottom"/>
            <w:hideMark/>
          </w:tcPr>
          <w:p w14:paraId="61EFFDFF" w14:textId="77777777" w:rsidR="008266F3" w:rsidRPr="00437A10" w:rsidRDefault="008266F3" w:rsidP="008266F3">
            <w:pPr>
              <w:rPr>
                <w:rFonts w:ascii="Arial" w:hAnsi="Arial" w:cs="Arial"/>
                <w:sz w:val="18"/>
                <w:szCs w:val="18"/>
                <w:lang w:val="es-BO" w:eastAsia="es-BO"/>
              </w:rPr>
            </w:pPr>
            <w:r w:rsidRPr="00437A10">
              <w:rPr>
                <w:rFonts w:ascii="Arial" w:hAnsi="Arial" w:cs="Arial"/>
                <w:sz w:val="18"/>
                <w:szCs w:val="18"/>
                <w:lang w:val="es-BO" w:eastAsia="es-BO"/>
              </w:rPr>
              <w:t>Total</w:t>
            </w:r>
          </w:p>
        </w:tc>
      </w:tr>
      <w:tr w:rsidR="008266F3" w:rsidRPr="00437A10" w14:paraId="12671198" w14:textId="77777777" w:rsidTr="008266F3">
        <w:trPr>
          <w:trHeight w:val="330"/>
        </w:trPr>
        <w:tc>
          <w:tcPr>
            <w:tcW w:w="2127" w:type="dxa"/>
            <w:tcBorders>
              <w:top w:val="nil"/>
              <w:left w:val="single" w:sz="4" w:space="0" w:color="000000"/>
              <w:bottom w:val="single" w:sz="4" w:space="0" w:color="000000"/>
              <w:right w:val="single" w:sz="4" w:space="0" w:color="000000"/>
            </w:tcBorders>
            <w:shd w:val="clear" w:color="auto" w:fill="auto"/>
            <w:hideMark/>
          </w:tcPr>
          <w:p w14:paraId="68DABCA0" w14:textId="77777777" w:rsidR="008266F3" w:rsidRPr="00437A10" w:rsidRDefault="008266F3" w:rsidP="008266F3">
            <w:pPr>
              <w:rPr>
                <w:rFonts w:ascii="Arial" w:hAnsi="Arial" w:cs="Arial"/>
                <w:sz w:val="18"/>
                <w:szCs w:val="18"/>
                <w:lang w:val="es-BO" w:eastAsia="es-BO"/>
              </w:rPr>
            </w:pPr>
            <w:r w:rsidRPr="00437A10">
              <w:rPr>
                <w:rFonts w:ascii="Arial" w:hAnsi="Arial" w:cs="Arial"/>
                <w:sz w:val="18"/>
                <w:szCs w:val="18"/>
                <w:lang w:val="es-BO" w:eastAsia="es-BO"/>
              </w:rPr>
              <w:t>1. Aquí</w:t>
            </w:r>
          </w:p>
        </w:tc>
        <w:tc>
          <w:tcPr>
            <w:tcW w:w="1210" w:type="dxa"/>
            <w:tcBorders>
              <w:top w:val="nil"/>
              <w:left w:val="nil"/>
              <w:bottom w:val="single" w:sz="4" w:space="0" w:color="000000"/>
              <w:right w:val="single" w:sz="4" w:space="0" w:color="000000"/>
            </w:tcBorders>
            <w:shd w:val="clear" w:color="auto" w:fill="auto"/>
            <w:noWrap/>
            <w:vAlign w:val="center"/>
            <w:hideMark/>
          </w:tcPr>
          <w:p w14:paraId="2A833C24"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79</w:t>
            </w:r>
          </w:p>
        </w:tc>
        <w:tc>
          <w:tcPr>
            <w:tcW w:w="1200" w:type="dxa"/>
            <w:tcBorders>
              <w:top w:val="nil"/>
              <w:left w:val="nil"/>
              <w:bottom w:val="single" w:sz="4" w:space="0" w:color="000000"/>
              <w:right w:val="single" w:sz="4" w:space="0" w:color="000000"/>
            </w:tcBorders>
            <w:shd w:val="clear" w:color="auto" w:fill="auto"/>
            <w:noWrap/>
            <w:vAlign w:val="center"/>
            <w:hideMark/>
          </w:tcPr>
          <w:p w14:paraId="07A6E7C8"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21</w:t>
            </w:r>
          </w:p>
        </w:tc>
        <w:tc>
          <w:tcPr>
            <w:tcW w:w="785" w:type="dxa"/>
            <w:tcBorders>
              <w:top w:val="nil"/>
              <w:left w:val="nil"/>
              <w:bottom w:val="single" w:sz="4" w:space="0" w:color="000000"/>
              <w:right w:val="single" w:sz="4" w:space="0" w:color="000000"/>
            </w:tcBorders>
            <w:shd w:val="clear" w:color="auto" w:fill="auto"/>
            <w:noWrap/>
            <w:vAlign w:val="center"/>
            <w:hideMark/>
          </w:tcPr>
          <w:p w14:paraId="291687B3"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75" w:type="dxa"/>
            <w:tcBorders>
              <w:top w:val="nil"/>
              <w:left w:val="nil"/>
              <w:bottom w:val="single" w:sz="4" w:space="0" w:color="000000"/>
              <w:right w:val="single" w:sz="4" w:space="0" w:color="000000"/>
            </w:tcBorders>
            <w:shd w:val="clear" w:color="auto" w:fill="auto"/>
            <w:noWrap/>
            <w:vAlign w:val="center"/>
            <w:hideMark/>
          </w:tcPr>
          <w:p w14:paraId="60609FAA"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86</w:t>
            </w:r>
          </w:p>
        </w:tc>
        <w:tc>
          <w:tcPr>
            <w:tcW w:w="1200" w:type="dxa"/>
            <w:tcBorders>
              <w:top w:val="nil"/>
              <w:left w:val="nil"/>
              <w:bottom w:val="single" w:sz="4" w:space="0" w:color="000000"/>
              <w:right w:val="single" w:sz="4" w:space="0" w:color="000000"/>
            </w:tcBorders>
            <w:shd w:val="clear" w:color="auto" w:fill="auto"/>
            <w:noWrap/>
            <w:vAlign w:val="center"/>
            <w:hideMark/>
          </w:tcPr>
          <w:p w14:paraId="75DA1B17"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14</w:t>
            </w:r>
          </w:p>
        </w:tc>
        <w:tc>
          <w:tcPr>
            <w:tcW w:w="643" w:type="dxa"/>
            <w:tcBorders>
              <w:top w:val="nil"/>
              <w:left w:val="nil"/>
              <w:bottom w:val="single" w:sz="4" w:space="0" w:color="000000"/>
              <w:right w:val="single" w:sz="4" w:space="0" w:color="000000"/>
            </w:tcBorders>
            <w:shd w:val="clear" w:color="auto" w:fill="auto"/>
            <w:noWrap/>
            <w:vAlign w:val="center"/>
            <w:hideMark/>
          </w:tcPr>
          <w:p w14:paraId="4B4E357E"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8266F3" w:rsidRPr="00437A10" w14:paraId="3DB14656" w14:textId="77777777" w:rsidTr="008266F3">
        <w:trPr>
          <w:trHeight w:val="311"/>
        </w:trPr>
        <w:tc>
          <w:tcPr>
            <w:tcW w:w="2127" w:type="dxa"/>
            <w:tcBorders>
              <w:top w:val="nil"/>
              <w:left w:val="single" w:sz="4" w:space="0" w:color="000000"/>
              <w:bottom w:val="single" w:sz="4" w:space="0" w:color="000000"/>
              <w:right w:val="single" w:sz="4" w:space="0" w:color="000000"/>
            </w:tcBorders>
            <w:shd w:val="clear" w:color="auto" w:fill="auto"/>
            <w:hideMark/>
          </w:tcPr>
          <w:p w14:paraId="171AC080" w14:textId="77777777" w:rsidR="008266F3" w:rsidRPr="00437A10" w:rsidRDefault="008266F3" w:rsidP="008266F3">
            <w:pPr>
              <w:rPr>
                <w:rFonts w:ascii="Arial" w:hAnsi="Arial" w:cs="Arial"/>
                <w:sz w:val="18"/>
                <w:szCs w:val="18"/>
                <w:lang w:val="es-BO" w:eastAsia="es-BO"/>
              </w:rPr>
            </w:pPr>
            <w:r w:rsidRPr="00437A10">
              <w:rPr>
                <w:rFonts w:ascii="Arial" w:hAnsi="Arial" w:cs="Arial"/>
                <w:sz w:val="18"/>
                <w:szCs w:val="18"/>
                <w:lang w:val="es-BO" w:eastAsia="es-BO"/>
              </w:rPr>
              <w:t>2. En otro lugar del país</w:t>
            </w:r>
          </w:p>
        </w:tc>
        <w:tc>
          <w:tcPr>
            <w:tcW w:w="1210" w:type="dxa"/>
            <w:tcBorders>
              <w:top w:val="nil"/>
              <w:left w:val="nil"/>
              <w:bottom w:val="single" w:sz="4" w:space="0" w:color="000000"/>
              <w:right w:val="single" w:sz="4" w:space="0" w:color="000000"/>
            </w:tcBorders>
            <w:shd w:val="clear" w:color="auto" w:fill="auto"/>
            <w:noWrap/>
            <w:vAlign w:val="center"/>
            <w:hideMark/>
          </w:tcPr>
          <w:p w14:paraId="78579E87"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80</w:t>
            </w:r>
          </w:p>
        </w:tc>
        <w:tc>
          <w:tcPr>
            <w:tcW w:w="1200" w:type="dxa"/>
            <w:tcBorders>
              <w:top w:val="nil"/>
              <w:left w:val="nil"/>
              <w:bottom w:val="single" w:sz="4" w:space="0" w:color="000000"/>
              <w:right w:val="single" w:sz="4" w:space="0" w:color="000000"/>
            </w:tcBorders>
            <w:shd w:val="clear" w:color="auto" w:fill="auto"/>
            <w:noWrap/>
            <w:vAlign w:val="center"/>
            <w:hideMark/>
          </w:tcPr>
          <w:p w14:paraId="54698B71"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20</w:t>
            </w:r>
          </w:p>
        </w:tc>
        <w:tc>
          <w:tcPr>
            <w:tcW w:w="785" w:type="dxa"/>
            <w:tcBorders>
              <w:top w:val="nil"/>
              <w:left w:val="nil"/>
              <w:bottom w:val="single" w:sz="4" w:space="0" w:color="000000"/>
              <w:right w:val="single" w:sz="4" w:space="0" w:color="000000"/>
            </w:tcBorders>
            <w:shd w:val="clear" w:color="auto" w:fill="auto"/>
            <w:noWrap/>
            <w:vAlign w:val="center"/>
            <w:hideMark/>
          </w:tcPr>
          <w:p w14:paraId="70174531"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75" w:type="dxa"/>
            <w:tcBorders>
              <w:top w:val="nil"/>
              <w:left w:val="nil"/>
              <w:bottom w:val="single" w:sz="4" w:space="0" w:color="000000"/>
              <w:right w:val="single" w:sz="4" w:space="0" w:color="000000"/>
            </w:tcBorders>
            <w:shd w:val="clear" w:color="auto" w:fill="auto"/>
            <w:noWrap/>
            <w:vAlign w:val="center"/>
            <w:hideMark/>
          </w:tcPr>
          <w:p w14:paraId="47C64C28"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92</w:t>
            </w:r>
          </w:p>
        </w:tc>
        <w:tc>
          <w:tcPr>
            <w:tcW w:w="1200" w:type="dxa"/>
            <w:tcBorders>
              <w:top w:val="nil"/>
              <w:left w:val="nil"/>
              <w:bottom w:val="single" w:sz="4" w:space="0" w:color="000000"/>
              <w:right w:val="single" w:sz="4" w:space="0" w:color="000000"/>
            </w:tcBorders>
            <w:shd w:val="clear" w:color="auto" w:fill="auto"/>
            <w:noWrap/>
            <w:vAlign w:val="center"/>
            <w:hideMark/>
          </w:tcPr>
          <w:p w14:paraId="1D646EFA"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8</w:t>
            </w:r>
          </w:p>
        </w:tc>
        <w:tc>
          <w:tcPr>
            <w:tcW w:w="643" w:type="dxa"/>
            <w:tcBorders>
              <w:top w:val="nil"/>
              <w:left w:val="nil"/>
              <w:bottom w:val="single" w:sz="4" w:space="0" w:color="000000"/>
              <w:right w:val="single" w:sz="4" w:space="0" w:color="000000"/>
            </w:tcBorders>
            <w:shd w:val="clear" w:color="auto" w:fill="auto"/>
            <w:noWrap/>
            <w:vAlign w:val="center"/>
            <w:hideMark/>
          </w:tcPr>
          <w:p w14:paraId="31023B7F"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8266F3" w:rsidRPr="00437A10" w14:paraId="40442A5C" w14:textId="77777777" w:rsidTr="008266F3">
        <w:trPr>
          <w:trHeight w:val="274"/>
        </w:trPr>
        <w:tc>
          <w:tcPr>
            <w:tcW w:w="2127" w:type="dxa"/>
            <w:tcBorders>
              <w:top w:val="nil"/>
              <w:left w:val="single" w:sz="4" w:space="0" w:color="000000"/>
              <w:bottom w:val="single" w:sz="4" w:space="0" w:color="000000"/>
              <w:right w:val="single" w:sz="4" w:space="0" w:color="000000"/>
            </w:tcBorders>
            <w:shd w:val="clear" w:color="auto" w:fill="auto"/>
            <w:hideMark/>
          </w:tcPr>
          <w:p w14:paraId="54E42ADB" w14:textId="77777777" w:rsidR="008266F3" w:rsidRPr="00437A10" w:rsidRDefault="008266F3" w:rsidP="008266F3">
            <w:pPr>
              <w:rPr>
                <w:rFonts w:ascii="Arial" w:hAnsi="Arial" w:cs="Arial"/>
                <w:sz w:val="18"/>
                <w:szCs w:val="18"/>
                <w:lang w:val="es-BO" w:eastAsia="es-BO"/>
              </w:rPr>
            </w:pPr>
            <w:r w:rsidRPr="00437A10">
              <w:rPr>
                <w:rFonts w:ascii="Arial" w:hAnsi="Arial" w:cs="Arial"/>
                <w:sz w:val="18"/>
                <w:szCs w:val="18"/>
                <w:lang w:val="es-BO" w:eastAsia="es-BO"/>
              </w:rPr>
              <w:t>3. En el exterior</w:t>
            </w:r>
          </w:p>
        </w:tc>
        <w:tc>
          <w:tcPr>
            <w:tcW w:w="1210" w:type="dxa"/>
            <w:tcBorders>
              <w:top w:val="nil"/>
              <w:left w:val="nil"/>
              <w:bottom w:val="single" w:sz="4" w:space="0" w:color="000000"/>
              <w:right w:val="single" w:sz="4" w:space="0" w:color="000000"/>
            </w:tcBorders>
            <w:shd w:val="clear" w:color="auto" w:fill="auto"/>
            <w:noWrap/>
            <w:vAlign w:val="center"/>
            <w:hideMark/>
          </w:tcPr>
          <w:p w14:paraId="504CF6B0"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68</w:t>
            </w:r>
          </w:p>
        </w:tc>
        <w:tc>
          <w:tcPr>
            <w:tcW w:w="1200"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33A0A3B1"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32</w:t>
            </w:r>
          </w:p>
        </w:tc>
        <w:tc>
          <w:tcPr>
            <w:tcW w:w="785" w:type="dxa"/>
            <w:tcBorders>
              <w:top w:val="nil"/>
              <w:left w:val="nil"/>
              <w:bottom w:val="single" w:sz="4" w:space="0" w:color="000000"/>
              <w:right w:val="single" w:sz="4" w:space="0" w:color="000000"/>
            </w:tcBorders>
            <w:shd w:val="clear" w:color="auto" w:fill="auto"/>
            <w:noWrap/>
            <w:vAlign w:val="center"/>
            <w:hideMark/>
          </w:tcPr>
          <w:p w14:paraId="34B48A67"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75" w:type="dxa"/>
            <w:tcBorders>
              <w:top w:val="nil"/>
              <w:left w:val="nil"/>
              <w:bottom w:val="single" w:sz="4" w:space="0" w:color="000000"/>
              <w:right w:val="single" w:sz="4" w:space="0" w:color="000000"/>
            </w:tcBorders>
            <w:shd w:val="clear" w:color="auto" w:fill="auto"/>
            <w:noWrap/>
            <w:vAlign w:val="center"/>
            <w:hideMark/>
          </w:tcPr>
          <w:p w14:paraId="0D2E67BD"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97</w:t>
            </w:r>
          </w:p>
        </w:tc>
        <w:tc>
          <w:tcPr>
            <w:tcW w:w="1200" w:type="dxa"/>
            <w:tcBorders>
              <w:top w:val="nil"/>
              <w:left w:val="nil"/>
              <w:bottom w:val="single" w:sz="4" w:space="0" w:color="000000"/>
              <w:right w:val="single" w:sz="4" w:space="0" w:color="000000"/>
            </w:tcBorders>
            <w:shd w:val="clear" w:color="auto" w:fill="auto"/>
            <w:noWrap/>
            <w:vAlign w:val="center"/>
            <w:hideMark/>
          </w:tcPr>
          <w:p w14:paraId="484E7ABA"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3</w:t>
            </w:r>
          </w:p>
        </w:tc>
        <w:tc>
          <w:tcPr>
            <w:tcW w:w="643" w:type="dxa"/>
            <w:tcBorders>
              <w:top w:val="nil"/>
              <w:left w:val="nil"/>
              <w:bottom w:val="single" w:sz="4" w:space="0" w:color="000000"/>
              <w:right w:val="single" w:sz="4" w:space="0" w:color="000000"/>
            </w:tcBorders>
            <w:shd w:val="clear" w:color="auto" w:fill="auto"/>
            <w:noWrap/>
            <w:vAlign w:val="center"/>
            <w:hideMark/>
          </w:tcPr>
          <w:p w14:paraId="05C70CD6"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8266F3" w:rsidRPr="00437A10" w14:paraId="45A86BFA" w14:textId="77777777" w:rsidTr="008266F3">
        <w:trPr>
          <w:trHeight w:val="264"/>
        </w:trPr>
        <w:tc>
          <w:tcPr>
            <w:tcW w:w="2127" w:type="dxa"/>
            <w:tcBorders>
              <w:top w:val="nil"/>
              <w:left w:val="single" w:sz="4" w:space="0" w:color="000000"/>
              <w:bottom w:val="single" w:sz="4" w:space="0" w:color="000000"/>
              <w:right w:val="single" w:sz="4" w:space="0" w:color="000000"/>
            </w:tcBorders>
            <w:shd w:val="clear" w:color="auto" w:fill="auto"/>
            <w:hideMark/>
          </w:tcPr>
          <w:p w14:paraId="1219E33E" w14:textId="77777777" w:rsidR="008266F3" w:rsidRPr="00437A10" w:rsidRDefault="008266F3" w:rsidP="008266F3">
            <w:pPr>
              <w:rPr>
                <w:rFonts w:ascii="Arial" w:hAnsi="Arial" w:cs="Arial"/>
                <w:sz w:val="18"/>
                <w:szCs w:val="18"/>
                <w:lang w:val="es-BO" w:eastAsia="es-BO"/>
              </w:rPr>
            </w:pPr>
            <w:r w:rsidRPr="00437A10">
              <w:rPr>
                <w:rFonts w:ascii="Arial" w:hAnsi="Arial" w:cs="Arial"/>
                <w:sz w:val="18"/>
                <w:szCs w:val="18"/>
                <w:lang w:val="es-BO" w:eastAsia="es-BO"/>
              </w:rPr>
              <w:t>4. Aún no habia nacido</w:t>
            </w:r>
          </w:p>
        </w:tc>
        <w:tc>
          <w:tcPr>
            <w:tcW w:w="1210" w:type="dxa"/>
            <w:tcBorders>
              <w:top w:val="nil"/>
              <w:left w:val="nil"/>
              <w:bottom w:val="single" w:sz="4" w:space="0" w:color="000000"/>
              <w:right w:val="single" w:sz="4" w:space="0" w:color="000000"/>
            </w:tcBorders>
            <w:shd w:val="clear" w:color="auto" w:fill="auto"/>
            <w:noWrap/>
            <w:vAlign w:val="center"/>
            <w:hideMark/>
          </w:tcPr>
          <w:p w14:paraId="062F7082"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69</w:t>
            </w:r>
          </w:p>
        </w:tc>
        <w:tc>
          <w:tcPr>
            <w:tcW w:w="1200"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64FBDA6E"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31</w:t>
            </w:r>
          </w:p>
        </w:tc>
        <w:tc>
          <w:tcPr>
            <w:tcW w:w="785" w:type="dxa"/>
            <w:tcBorders>
              <w:top w:val="nil"/>
              <w:left w:val="nil"/>
              <w:bottom w:val="single" w:sz="4" w:space="0" w:color="000000"/>
              <w:right w:val="single" w:sz="4" w:space="0" w:color="000000"/>
            </w:tcBorders>
            <w:shd w:val="clear" w:color="auto" w:fill="auto"/>
            <w:noWrap/>
            <w:vAlign w:val="center"/>
            <w:hideMark/>
          </w:tcPr>
          <w:p w14:paraId="2CF7986F"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75" w:type="dxa"/>
            <w:tcBorders>
              <w:top w:val="nil"/>
              <w:left w:val="nil"/>
              <w:bottom w:val="single" w:sz="4" w:space="0" w:color="000000"/>
              <w:right w:val="single" w:sz="4" w:space="0" w:color="000000"/>
            </w:tcBorders>
            <w:shd w:val="clear" w:color="auto" w:fill="auto"/>
            <w:noWrap/>
            <w:vAlign w:val="center"/>
            <w:hideMark/>
          </w:tcPr>
          <w:p w14:paraId="319FB86F"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80</w:t>
            </w:r>
          </w:p>
        </w:tc>
        <w:tc>
          <w:tcPr>
            <w:tcW w:w="1200"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5773598F"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20</w:t>
            </w:r>
          </w:p>
        </w:tc>
        <w:tc>
          <w:tcPr>
            <w:tcW w:w="643" w:type="dxa"/>
            <w:tcBorders>
              <w:top w:val="nil"/>
              <w:left w:val="nil"/>
              <w:bottom w:val="single" w:sz="4" w:space="0" w:color="000000"/>
              <w:right w:val="single" w:sz="4" w:space="0" w:color="000000"/>
            </w:tcBorders>
            <w:shd w:val="clear" w:color="auto" w:fill="auto"/>
            <w:noWrap/>
            <w:vAlign w:val="center"/>
            <w:hideMark/>
          </w:tcPr>
          <w:p w14:paraId="7F3F979D"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8266F3" w:rsidRPr="00437A10" w14:paraId="0445636F" w14:textId="77777777" w:rsidTr="008266F3">
        <w:trPr>
          <w:trHeight w:val="282"/>
        </w:trPr>
        <w:tc>
          <w:tcPr>
            <w:tcW w:w="2127" w:type="dxa"/>
            <w:tcBorders>
              <w:top w:val="nil"/>
              <w:left w:val="single" w:sz="4" w:space="0" w:color="000000"/>
              <w:bottom w:val="single" w:sz="4" w:space="0" w:color="000000"/>
              <w:right w:val="single" w:sz="4" w:space="0" w:color="000000"/>
            </w:tcBorders>
            <w:shd w:val="clear" w:color="auto" w:fill="auto"/>
            <w:vAlign w:val="bottom"/>
            <w:hideMark/>
          </w:tcPr>
          <w:p w14:paraId="69433F18" w14:textId="77777777" w:rsidR="008266F3" w:rsidRPr="00437A10" w:rsidRDefault="008266F3" w:rsidP="008266F3">
            <w:pPr>
              <w:rPr>
                <w:rFonts w:ascii="Arial" w:hAnsi="Arial" w:cs="Arial"/>
                <w:sz w:val="18"/>
                <w:szCs w:val="18"/>
                <w:lang w:val="es-BO" w:eastAsia="es-BO"/>
              </w:rPr>
            </w:pPr>
            <w:r w:rsidRPr="00437A10">
              <w:rPr>
                <w:rFonts w:ascii="Arial" w:hAnsi="Arial" w:cs="Arial"/>
                <w:sz w:val="18"/>
                <w:szCs w:val="18"/>
                <w:lang w:val="es-BO" w:eastAsia="es-BO"/>
              </w:rPr>
              <w:t>Total</w:t>
            </w:r>
          </w:p>
        </w:tc>
        <w:tc>
          <w:tcPr>
            <w:tcW w:w="1210" w:type="dxa"/>
            <w:tcBorders>
              <w:top w:val="nil"/>
              <w:left w:val="nil"/>
              <w:bottom w:val="single" w:sz="4" w:space="0" w:color="000000"/>
              <w:right w:val="single" w:sz="4" w:space="0" w:color="000000"/>
            </w:tcBorders>
            <w:shd w:val="clear" w:color="auto" w:fill="auto"/>
            <w:noWrap/>
            <w:vAlign w:val="center"/>
            <w:hideMark/>
          </w:tcPr>
          <w:p w14:paraId="53D85D6D"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78</w:t>
            </w:r>
          </w:p>
        </w:tc>
        <w:tc>
          <w:tcPr>
            <w:tcW w:w="1200" w:type="dxa"/>
            <w:tcBorders>
              <w:top w:val="nil"/>
              <w:left w:val="nil"/>
              <w:bottom w:val="single" w:sz="4" w:space="0" w:color="000000"/>
              <w:right w:val="single" w:sz="4" w:space="0" w:color="000000"/>
            </w:tcBorders>
            <w:shd w:val="clear" w:color="auto" w:fill="auto"/>
            <w:noWrap/>
            <w:vAlign w:val="center"/>
            <w:hideMark/>
          </w:tcPr>
          <w:p w14:paraId="2E84F30B"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22</w:t>
            </w:r>
          </w:p>
        </w:tc>
        <w:tc>
          <w:tcPr>
            <w:tcW w:w="785" w:type="dxa"/>
            <w:tcBorders>
              <w:top w:val="nil"/>
              <w:left w:val="nil"/>
              <w:bottom w:val="single" w:sz="4" w:space="0" w:color="000000"/>
              <w:right w:val="single" w:sz="4" w:space="0" w:color="000000"/>
            </w:tcBorders>
            <w:shd w:val="clear" w:color="auto" w:fill="auto"/>
            <w:noWrap/>
            <w:vAlign w:val="center"/>
            <w:hideMark/>
          </w:tcPr>
          <w:p w14:paraId="3D6CBBAC"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75" w:type="dxa"/>
            <w:tcBorders>
              <w:top w:val="nil"/>
              <w:left w:val="nil"/>
              <w:bottom w:val="single" w:sz="4" w:space="0" w:color="000000"/>
              <w:right w:val="single" w:sz="4" w:space="0" w:color="000000"/>
            </w:tcBorders>
            <w:shd w:val="clear" w:color="auto" w:fill="auto"/>
            <w:noWrap/>
            <w:vAlign w:val="center"/>
            <w:hideMark/>
          </w:tcPr>
          <w:p w14:paraId="0F6884B0"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86</w:t>
            </w:r>
          </w:p>
        </w:tc>
        <w:tc>
          <w:tcPr>
            <w:tcW w:w="1200" w:type="dxa"/>
            <w:tcBorders>
              <w:top w:val="nil"/>
              <w:left w:val="nil"/>
              <w:bottom w:val="single" w:sz="4" w:space="0" w:color="000000"/>
              <w:right w:val="single" w:sz="4" w:space="0" w:color="000000"/>
            </w:tcBorders>
            <w:shd w:val="clear" w:color="auto" w:fill="auto"/>
            <w:noWrap/>
            <w:vAlign w:val="center"/>
            <w:hideMark/>
          </w:tcPr>
          <w:p w14:paraId="37B70730"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14</w:t>
            </w:r>
          </w:p>
        </w:tc>
        <w:tc>
          <w:tcPr>
            <w:tcW w:w="643" w:type="dxa"/>
            <w:tcBorders>
              <w:top w:val="nil"/>
              <w:left w:val="nil"/>
              <w:bottom w:val="single" w:sz="4" w:space="0" w:color="000000"/>
              <w:right w:val="single" w:sz="4" w:space="0" w:color="000000"/>
            </w:tcBorders>
            <w:shd w:val="clear" w:color="auto" w:fill="auto"/>
            <w:noWrap/>
            <w:vAlign w:val="center"/>
            <w:hideMark/>
          </w:tcPr>
          <w:p w14:paraId="039B9F92" w14:textId="77777777" w:rsidR="008266F3" w:rsidRPr="00437A10" w:rsidRDefault="008266F3" w:rsidP="008266F3">
            <w:pPr>
              <w:jc w:val="right"/>
              <w:rPr>
                <w:rFonts w:ascii="Arial" w:hAnsi="Arial" w:cs="Arial"/>
                <w:sz w:val="18"/>
                <w:szCs w:val="18"/>
                <w:lang w:val="es-BO" w:eastAsia="es-BO"/>
              </w:rPr>
            </w:pPr>
            <w:r w:rsidRPr="00437A10">
              <w:rPr>
                <w:rFonts w:ascii="Arial" w:hAnsi="Arial" w:cs="Arial"/>
                <w:sz w:val="18"/>
                <w:szCs w:val="18"/>
                <w:lang w:val="es-BO" w:eastAsia="es-BO"/>
              </w:rPr>
              <w:t>100</w:t>
            </w:r>
          </w:p>
        </w:tc>
      </w:tr>
    </w:tbl>
    <w:p w14:paraId="51089121" w14:textId="77777777" w:rsidR="003B602A" w:rsidRPr="00437A10" w:rsidRDefault="003B602A" w:rsidP="003B602A">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Fuente: Con base en Instituto Nacional de Estadística, Quillaguamán, 2023.</w:t>
      </w:r>
    </w:p>
    <w:p w14:paraId="25E45273" w14:textId="4211DD08" w:rsidR="00FD2036" w:rsidRPr="00437A10" w:rsidRDefault="00FD2036" w:rsidP="00FD2036">
      <w:pPr>
        <w:spacing w:after="160" w:line="259" w:lineRule="auto"/>
        <w:contextualSpacing/>
        <w:jc w:val="center"/>
        <w:rPr>
          <w:rFonts w:ascii="Arial" w:eastAsia="Calibri" w:hAnsi="Arial" w:cs="Arial"/>
          <w:sz w:val="22"/>
          <w:szCs w:val="22"/>
        </w:rPr>
      </w:pPr>
    </w:p>
    <w:p w14:paraId="4259511A" w14:textId="0D699988" w:rsidR="002A6640" w:rsidRPr="00437A10" w:rsidRDefault="002A6640" w:rsidP="002A6640">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Según</w:t>
      </w:r>
      <w:r w:rsidR="00C24461" w:rsidRPr="00437A10">
        <w:rPr>
          <w:rFonts w:ascii="Arial" w:eastAsia="Calibri" w:hAnsi="Arial" w:cs="Arial"/>
          <w:sz w:val="22"/>
          <w:szCs w:val="22"/>
        </w:rPr>
        <w:t xml:space="preserve"> el nivel educativo (cuadro 6.9</w:t>
      </w:r>
      <w:r w:rsidRPr="00437A10">
        <w:rPr>
          <w:rFonts w:ascii="Arial" w:eastAsia="Calibri" w:hAnsi="Arial" w:cs="Arial"/>
          <w:sz w:val="22"/>
          <w:szCs w:val="22"/>
        </w:rPr>
        <w:t>), las personas más afectadas en relación a la asequibilidad de la vivienda, tanto en el área urbana como rural, son los que no tienen ningún nivel educativo y los que tienen un nivel de primaria.</w:t>
      </w:r>
    </w:p>
    <w:p w14:paraId="6C48B3B4" w14:textId="77777777" w:rsidR="00DA0BC4" w:rsidRPr="00437A10" w:rsidRDefault="00DA0BC4" w:rsidP="002A6640">
      <w:pPr>
        <w:spacing w:after="160" w:line="259" w:lineRule="auto"/>
        <w:contextualSpacing/>
        <w:jc w:val="both"/>
        <w:rPr>
          <w:rFonts w:ascii="Arial" w:eastAsia="Calibri" w:hAnsi="Arial" w:cs="Arial"/>
          <w:sz w:val="22"/>
          <w:szCs w:val="22"/>
        </w:rPr>
      </w:pPr>
    </w:p>
    <w:p w14:paraId="397F272A" w14:textId="04EB139C" w:rsidR="008266F3" w:rsidRPr="00437A10" w:rsidRDefault="00C24461" w:rsidP="008266F3">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Cuadro 6.9</w:t>
      </w:r>
      <w:r w:rsidR="008266F3" w:rsidRPr="00437A10">
        <w:rPr>
          <w:rFonts w:ascii="Arial" w:eastAsia="Calibri" w:hAnsi="Arial" w:cs="Arial"/>
          <w:sz w:val="22"/>
          <w:szCs w:val="22"/>
        </w:rPr>
        <w:t xml:space="preserve">. Bolivia: Porcentaje de personas por asequibilidad de la vivienda, según </w:t>
      </w:r>
      <w:r w:rsidR="00E83B60" w:rsidRPr="00437A10">
        <w:rPr>
          <w:rFonts w:ascii="Arial" w:eastAsia="Calibri" w:hAnsi="Arial" w:cs="Arial"/>
          <w:sz w:val="22"/>
          <w:szCs w:val="22"/>
        </w:rPr>
        <w:t>nivel educativo</w:t>
      </w:r>
      <w:r w:rsidR="008266F3" w:rsidRPr="00437A10">
        <w:rPr>
          <w:rFonts w:ascii="Arial" w:eastAsia="Calibri" w:hAnsi="Arial" w:cs="Arial"/>
          <w:sz w:val="22"/>
          <w:szCs w:val="22"/>
        </w:rPr>
        <w:t xml:space="preserve"> y área geográfica, 2021</w:t>
      </w:r>
    </w:p>
    <w:tbl>
      <w:tblPr>
        <w:tblW w:w="7797" w:type="dxa"/>
        <w:tblInd w:w="-5" w:type="dxa"/>
        <w:tblCellMar>
          <w:left w:w="70" w:type="dxa"/>
          <w:right w:w="70" w:type="dxa"/>
        </w:tblCellMar>
        <w:tblLook w:val="04A0" w:firstRow="1" w:lastRow="0" w:firstColumn="1" w:lastColumn="0" w:noHBand="0" w:noVBand="1"/>
      </w:tblPr>
      <w:tblGrid>
        <w:gridCol w:w="1200"/>
        <w:gridCol w:w="1210"/>
        <w:gridCol w:w="1200"/>
        <w:gridCol w:w="785"/>
        <w:gridCol w:w="1417"/>
        <w:gridCol w:w="1200"/>
        <w:gridCol w:w="785"/>
      </w:tblGrid>
      <w:tr w:rsidR="00E83B60" w:rsidRPr="00437A10" w14:paraId="5EA5F573" w14:textId="77777777" w:rsidTr="00E83B60">
        <w:trPr>
          <w:trHeight w:val="31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E551160" w14:textId="46013282" w:rsidR="00E83B60" w:rsidRPr="00437A10" w:rsidRDefault="00E83B60" w:rsidP="00E83B60">
            <w:pPr>
              <w:jc w:val="center"/>
              <w:rPr>
                <w:rFonts w:ascii="Arial" w:hAnsi="Arial" w:cs="Arial"/>
                <w:sz w:val="18"/>
                <w:szCs w:val="18"/>
                <w:lang w:val="es-BO" w:eastAsia="es-BO"/>
              </w:rPr>
            </w:pPr>
            <w:r w:rsidRPr="00437A10">
              <w:rPr>
                <w:rFonts w:ascii="Arial" w:hAnsi="Arial" w:cs="Arial"/>
                <w:sz w:val="18"/>
                <w:szCs w:val="18"/>
                <w:lang w:val="es-BO" w:eastAsia="es-BO"/>
              </w:rPr>
              <w:t>Nivel educativo</w:t>
            </w:r>
          </w:p>
        </w:tc>
        <w:tc>
          <w:tcPr>
            <w:tcW w:w="3195" w:type="dxa"/>
            <w:gridSpan w:val="3"/>
            <w:tcBorders>
              <w:top w:val="single" w:sz="4" w:space="0" w:color="000000"/>
              <w:left w:val="nil"/>
              <w:bottom w:val="single" w:sz="4" w:space="0" w:color="000000"/>
              <w:right w:val="single" w:sz="4" w:space="0" w:color="000000"/>
            </w:tcBorders>
            <w:shd w:val="clear" w:color="auto" w:fill="auto"/>
            <w:vAlign w:val="bottom"/>
            <w:hideMark/>
          </w:tcPr>
          <w:p w14:paraId="10884DB2" w14:textId="77777777" w:rsidR="00E83B60" w:rsidRPr="00437A10" w:rsidRDefault="00E83B60" w:rsidP="00E83B60">
            <w:pPr>
              <w:jc w:val="center"/>
              <w:rPr>
                <w:rFonts w:ascii="Arial" w:hAnsi="Arial" w:cs="Arial"/>
                <w:sz w:val="18"/>
                <w:szCs w:val="18"/>
                <w:lang w:val="es-BO" w:eastAsia="es-BO"/>
              </w:rPr>
            </w:pPr>
            <w:r w:rsidRPr="00437A10">
              <w:rPr>
                <w:rFonts w:ascii="Arial" w:hAnsi="Arial" w:cs="Arial"/>
                <w:sz w:val="18"/>
                <w:szCs w:val="18"/>
                <w:lang w:val="es-BO" w:eastAsia="es-BO"/>
              </w:rPr>
              <w:t>Área urbana</w:t>
            </w:r>
          </w:p>
        </w:tc>
        <w:tc>
          <w:tcPr>
            <w:tcW w:w="3402" w:type="dxa"/>
            <w:gridSpan w:val="3"/>
            <w:tcBorders>
              <w:top w:val="single" w:sz="4" w:space="0" w:color="000000"/>
              <w:left w:val="nil"/>
              <w:bottom w:val="single" w:sz="4" w:space="0" w:color="000000"/>
              <w:right w:val="single" w:sz="4" w:space="0" w:color="000000"/>
            </w:tcBorders>
            <w:shd w:val="clear" w:color="auto" w:fill="auto"/>
            <w:vAlign w:val="bottom"/>
            <w:hideMark/>
          </w:tcPr>
          <w:p w14:paraId="58195385" w14:textId="77777777" w:rsidR="00E83B60" w:rsidRPr="00437A10" w:rsidRDefault="00E83B60" w:rsidP="00E83B60">
            <w:pPr>
              <w:jc w:val="center"/>
              <w:rPr>
                <w:rFonts w:ascii="Arial" w:hAnsi="Arial" w:cs="Arial"/>
                <w:sz w:val="18"/>
                <w:szCs w:val="18"/>
                <w:lang w:val="es-BO" w:eastAsia="es-BO"/>
              </w:rPr>
            </w:pPr>
            <w:r w:rsidRPr="00437A10">
              <w:rPr>
                <w:rFonts w:ascii="Arial" w:hAnsi="Arial" w:cs="Arial"/>
                <w:sz w:val="18"/>
                <w:szCs w:val="18"/>
                <w:lang w:val="es-BO" w:eastAsia="es-BO"/>
              </w:rPr>
              <w:t>Área rural</w:t>
            </w:r>
          </w:p>
        </w:tc>
      </w:tr>
      <w:tr w:rsidR="00E83B60" w:rsidRPr="00437A10" w14:paraId="71935398" w14:textId="77777777" w:rsidTr="00E83B60">
        <w:trPr>
          <w:trHeight w:val="510"/>
        </w:trPr>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1FC61858" w14:textId="77777777" w:rsidR="00E83B60" w:rsidRPr="00437A10" w:rsidRDefault="00E83B60" w:rsidP="00E83B60">
            <w:pPr>
              <w:rPr>
                <w:rFonts w:ascii="Arial" w:hAnsi="Arial" w:cs="Arial"/>
                <w:sz w:val="18"/>
                <w:szCs w:val="18"/>
                <w:lang w:val="es-BO" w:eastAsia="es-BO"/>
              </w:rPr>
            </w:pPr>
          </w:p>
        </w:tc>
        <w:tc>
          <w:tcPr>
            <w:tcW w:w="1210" w:type="dxa"/>
            <w:tcBorders>
              <w:top w:val="nil"/>
              <w:left w:val="nil"/>
              <w:bottom w:val="single" w:sz="4" w:space="0" w:color="000000"/>
              <w:right w:val="single" w:sz="4" w:space="0" w:color="000000"/>
            </w:tcBorders>
            <w:shd w:val="clear" w:color="auto" w:fill="auto"/>
            <w:vAlign w:val="bottom"/>
            <w:hideMark/>
          </w:tcPr>
          <w:p w14:paraId="0DA09A19" w14:textId="77777777" w:rsidR="00E83B60" w:rsidRPr="00437A10" w:rsidRDefault="00E83B60" w:rsidP="00E83B60">
            <w:pPr>
              <w:jc w:val="cente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200" w:type="dxa"/>
            <w:tcBorders>
              <w:top w:val="nil"/>
              <w:left w:val="nil"/>
              <w:bottom w:val="single" w:sz="4" w:space="0" w:color="000000"/>
              <w:right w:val="single" w:sz="4" w:space="0" w:color="000000"/>
            </w:tcBorders>
            <w:shd w:val="clear" w:color="auto" w:fill="auto"/>
            <w:vAlign w:val="bottom"/>
            <w:hideMark/>
          </w:tcPr>
          <w:p w14:paraId="65447869" w14:textId="77777777" w:rsidR="00E83B60" w:rsidRPr="00437A10" w:rsidRDefault="00E83B60" w:rsidP="00E83B60">
            <w:pPr>
              <w:jc w:val="cente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785" w:type="dxa"/>
            <w:tcBorders>
              <w:top w:val="nil"/>
              <w:left w:val="nil"/>
              <w:bottom w:val="single" w:sz="4" w:space="0" w:color="000000"/>
              <w:right w:val="single" w:sz="4" w:space="0" w:color="000000"/>
            </w:tcBorders>
            <w:shd w:val="clear" w:color="auto" w:fill="auto"/>
            <w:vAlign w:val="bottom"/>
            <w:hideMark/>
          </w:tcPr>
          <w:p w14:paraId="0ECC515A" w14:textId="77777777" w:rsidR="00E83B60" w:rsidRPr="00437A10" w:rsidRDefault="00E83B60" w:rsidP="00E83B60">
            <w:pPr>
              <w:rPr>
                <w:rFonts w:ascii="Arial" w:hAnsi="Arial" w:cs="Arial"/>
                <w:sz w:val="18"/>
                <w:szCs w:val="18"/>
                <w:lang w:val="es-BO" w:eastAsia="es-BO"/>
              </w:rPr>
            </w:pPr>
            <w:r w:rsidRPr="00437A10">
              <w:rPr>
                <w:rFonts w:ascii="Arial" w:hAnsi="Arial" w:cs="Arial"/>
                <w:sz w:val="18"/>
                <w:szCs w:val="18"/>
                <w:lang w:val="es-BO" w:eastAsia="es-BO"/>
              </w:rPr>
              <w:t>Total</w:t>
            </w:r>
          </w:p>
        </w:tc>
        <w:tc>
          <w:tcPr>
            <w:tcW w:w="1417" w:type="dxa"/>
            <w:tcBorders>
              <w:top w:val="nil"/>
              <w:left w:val="nil"/>
              <w:bottom w:val="single" w:sz="4" w:space="0" w:color="000000"/>
              <w:right w:val="single" w:sz="4" w:space="0" w:color="000000"/>
            </w:tcBorders>
            <w:shd w:val="clear" w:color="auto" w:fill="auto"/>
            <w:vAlign w:val="bottom"/>
            <w:hideMark/>
          </w:tcPr>
          <w:p w14:paraId="4F59B12D" w14:textId="77777777" w:rsidR="00E83B60" w:rsidRPr="00437A10" w:rsidRDefault="00E83B60" w:rsidP="00E83B60">
            <w:pPr>
              <w:jc w:val="cente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200" w:type="dxa"/>
            <w:tcBorders>
              <w:top w:val="nil"/>
              <w:left w:val="nil"/>
              <w:bottom w:val="single" w:sz="4" w:space="0" w:color="000000"/>
              <w:right w:val="single" w:sz="4" w:space="0" w:color="000000"/>
            </w:tcBorders>
            <w:shd w:val="clear" w:color="auto" w:fill="auto"/>
            <w:vAlign w:val="bottom"/>
            <w:hideMark/>
          </w:tcPr>
          <w:p w14:paraId="3EEEF020" w14:textId="77777777" w:rsidR="00E83B60" w:rsidRPr="00437A10" w:rsidRDefault="00E83B60" w:rsidP="00E83B60">
            <w:pPr>
              <w:jc w:val="cente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785" w:type="dxa"/>
            <w:tcBorders>
              <w:top w:val="nil"/>
              <w:left w:val="nil"/>
              <w:bottom w:val="single" w:sz="4" w:space="0" w:color="000000"/>
              <w:right w:val="single" w:sz="4" w:space="0" w:color="000000"/>
            </w:tcBorders>
            <w:shd w:val="clear" w:color="auto" w:fill="auto"/>
            <w:vAlign w:val="bottom"/>
            <w:hideMark/>
          </w:tcPr>
          <w:p w14:paraId="6F7EE13A" w14:textId="77777777" w:rsidR="00E83B60" w:rsidRPr="00437A10" w:rsidRDefault="00E83B60" w:rsidP="00E83B60">
            <w:pPr>
              <w:rPr>
                <w:rFonts w:ascii="Arial" w:hAnsi="Arial" w:cs="Arial"/>
                <w:sz w:val="18"/>
                <w:szCs w:val="18"/>
                <w:lang w:val="es-BO" w:eastAsia="es-BO"/>
              </w:rPr>
            </w:pPr>
            <w:r w:rsidRPr="00437A10">
              <w:rPr>
                <w:rFonts w:ascii="Arial" w:hAnsi="Arial" w:cs="Arial"/>
                <w:sz w:val="18"/>
                <w:szCs w:val="18"/>
                <w:lang w:val="es-BO" w:eastAsia="es-BO"/>
              </w:rPr>
              <w:t>Total</w:t>
            </w:r>
          </w:p>
        </w:tc>
      </w:tr>
      <w:tr w:rsidR="00E83B60" w:rsidRPr="00437A10" w14:paraId="76190B7F" w14:textId="77777777" w:rsidTr="002A6640">
        <w:trPr>
          <w:trHeight w:val="330"/>
        </w:trPr>
        <w:tc>
          <w:tcPr>
            <w:tcW w:w="1200" w:type="dxa"/>
            <w:tcBorders>
              <w:top w:val="nil"/>
              <w:left w:val="single" w:sz="4" w:space="0" w:color="000000"/>
              <w:bottom w:val="single" w:sz="4" w:space="0" w:color="000000"/>
              <w:right w:val="single" w:sz="4" w:space="0" w:color="000000"/>
            </w:tcBorders>
            <w:shd w:val="clear" w:color="auto" w:fill="auto"/>
            <w:hideMark/>
          </w:tcPr>
          <w:p w14:paraId="3BFAF338" w14:textId="77777777" w:rsidR="00E83B60" w:rsidRPr="00437A10" w:rsidRDefault="00E83B60" w:rsidP="00E83B60">
            <w:pPr>
              <w:rPr>
                <w:rFonts w:ascii="Arial" w:hAnsi="Arial" w:cs="Arial"/>
                <w:sz w:val="18"/>
                <w:szCs w:val="18"/>
                <w:lang w:val="es-BO" w:eastAsia="es-BO"/>
              </w:rPr>
            </w:pPr>
            <w:r w:rsidRPr="00437A10">
              <w:rPr>
                <w:rFonts w:ascii="Arial" w:hAnsi="Arial" w:cs="Arial"/>
                <w:sz w:val="18"/>
                <w:szCs w:val="18"/>
                <w:lang w:val="es-BO" w:eastAsia="es-BO"/>
              </w:rPr>
              <w:t>Ninguno</w:t>
            </w:r>
          </w:p>
        </w:tc>
        <w:tc>
          <w:tcPr>
            <w:tcW w:w="1210" w:type="dxa"/>
            <w:tcBorders>
              <w:top w:val="nil"/>
              <w:left w:val="nil"/>
              <w:bottom w:val="single" w:sz="4" w:space="0" w:color="000000"/>
              <w:right w:val="single" w:sz="4" w:space="0" w:color="000000"/>
            </w:tcBorders>
            <w:shd w:val="clear" w:color="auto" w:fill="auto"/>
            <w:noWrap/>
            <w:vAlign w:val="center"/>
            <w:hideMark/>
          </w:tcPr>
          <w:p w14:paraId="25516EB5"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68</w:t>
            </w:r>
          </w:p>
        </w:tc>
        <w:tc>
          <w:tcPr>
            <w:tcW w:w="1200"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4010D48B"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32</w:t>
            </w:r>
          </w:p>
        </w:tc>
        <w:tc>
          <w:tcPr>
            <w:tcW w:w="785" w:type="dxa"/>
            <w:tcBorders>
              <w:top w:val="nil"/>
              <w:left w:val="nil"/>
              <w:bottom w:val="single" w:sz="4" w:space="0" w:color="000000"/>
              <w:right w:val="single" w:sz="4" w:space="0" w:color="000000"/>
            </w:tcBorders>
            <w:shd w:val="clear" w:color="auto" w:fill="auto"/>
            <w:noWrap/>
            <w:vAlign w:val="center"/>
            <w:hideMark/>
          </w:tcPr>
          <w:p w14:paraId="60B6BA93"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417" w:type="dxa"/>
            <w:tcBorders>
              <w:top w:val="nil"/>
              <w:left w:val="nil"/>
              <w:bottom w:val="single" w:sz="4" w:space="0" w:color="000000"/>
              <w:right w:val="single" w:sz="4" w:space="0" w:color="000000"/>
            </w:tcBorders>
            <w:shd w:val="clear" w:color="auto" w:fill="auto"/>
            <w:noWrap/>
            <w:vAlign w:val="center"/>
            <w:hideMark/>
          </w:tcPr>
          <w:p w14:paraId="5D2090B0"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85</w:t>
            </w:r>
          </w:p>
        </w:tc>
        <w:tc>
          <w:tcPr>
            <w:tcW w:w="1200"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455B905F"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15</w:t>
            </w:r>
          </w:p>
        </w:tc>
        <w:tc>
          <w:tcPr>
            <w:tcW w:w="785" w:type="dxa"/>
            <w:tcBorders>
              <w:top w:val="nil"/>
              <w:left w:val="nil"/>
              <w:bottom w:val="single" w:sz="4" w:space="0" w:color="000000"/>
              <w:right w:val="single" w:sz="4" w:space="0" w:color="000000"/>
            </w:tcBorders>
            <w:shd w:val="clear" w:color="auto" w:fill="auto"/>
            <w:noWrap/>
            <w:vAlign w:val="center"/>
            <w:hideMark/>
          </w:tcPr>
          <w:p w14:paraId="64BE5D95"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E83B60" w:rsidRPr="00437A10" w14:paraId="3BC54B00" w14:textId="77777777" w:rsidTr="002A6640">
        <w:trPr>
          <w:trHeight w:val="315"/>
        </w:trPr>
        <w:tc>
          <w:tcPr>
            <w:tcW w:w="1200" w:type="dxa"/>
            <w:tcBorders>
              <w:top w:val="nil"/>
              <w:left w:val="single" w:sz="4" w:space="0" w:color="000000"/>
              <w:bottom w:val="single" w:sz="4" w:space="0" w:color="000000"/>
              <w:right w:val="single" w:sz="4" w:space="0" w:color="000000"/>
            </w:tcBorders>
            <w:shd w:val="clear" w:color="auto" w:fill="auto"/>
            <w:hideMark/>
          </w:tcPr>
          <w:p w14:paraId="39DAF655" w14:textId="77777777" w:rsidR="00E83B60" w:rsidRPr="00437A10" w:rsidRDefault="00E83B60" w:rsidP="00E83B60">
            <w:pPr>
              <w:rPr>
                <w:rFonts w:ascii="Arial" w:hAnsi="Arial" w:cs="Arial"/>
                <w:sz w:val="18"/>
                <w:szCs w:val="18"/>
                <w:lang w:val="es-BO" w:eastAsia="es-BO"/>
              </w:rPr>
            </w:pPr>
            <w:r w:rsidRPr="00437A10">
              <w:rPr>
                <w:rFonts w:ascii="Arial" w:hAnsi="Arial" w:cs="Arial"/>
                <w:sz w:val="18"/>
                <w:szCs w:val="18"/>
                <w:lang w:val="es-BO" w:eastAsia="es-BO"/>
              </w:rPr>
              <w:t>Primaria</w:t>
            </w:r>
          </w:p>
        </w:tc>
        <w:tc>
          <w:tcPr>
            <w:tcW w:w="1210" w:type="dxa"/>
            <w:tcBorders>
              <w:top w:val="nil"/>
              <w:left w:val="nil"/>
              <w:bottom w:val="single" w:sz="4" w:space="0" w:color="000000"/>
              <w:right w:val="single" w:sz="4" w:space="0" w:color="000000"/>
            </w:tcBorders>
            <w:shd w:val="clear" w:color="auto" w:fill="auto"/>
            <w:noWrap/>
            <w:vAlign w:val="center"/>
            <w:hideMark/>
          </w:tcPr>
          <w:p w14:paraId="2028E3A3"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71</w:t>
            </w:r>
          </w:p>
        </w:tc>
        <w:tc>
          <w:tcPr>
            <w:tcW w:w="1200"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5BB1A600"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29</w:t>
            </w:r>
          </w:p>
        </w:tc>
        <w:tc>
          <w:tcPr>
            <w:tcW w:w="785" w:type="dxa"/>
            <w:tcBorders>
              <w:top w:val="nil"/>
              <w:left w:val="nil"/>
              <w:bottom w:val="single" w:sz="4" w:space="0" w:color="000000"/>
              <w:right w:val="single" w:sz="4" w:space="0" w:color="000000"/>
            </w:tcBorders>
            <w:shd w:val="clear" w:color="auto" w:fill="auto"/>
            <w:noWrap/>
            <w:vAlign w:val="center"/>
            <w:hideMark/>
          </w:tcPr>
          <w:p w14:paraId="493A3A45"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417" w:type="dxa"/>
            <w:tcBorders>
              <w:top w:val="nil"/>
              <w:left w:val="nil"/>
              <w:bottom w:val="single" w:sz="4" w:space="0" w:color="000000"/>
              <w:right w:val="single" w:sz="4" w:space="0" w:color="000000"/>
            </w:tcBorders>
            <w:shd w:val="clear" w:color="auto" w:fill="auto"/>
            <w:noWrap/>
            <w:vAlign w:val="center"/>
            <w:hideMark/>
          </w:tcPr>
          <w:p w14:paraId="59DA54F6"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83</w:t>
            </w:r>
          </w:p>
        </w:tc>
        <w:tc>
          <w:tcPr>
            <w:tcW w:w="1200"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27FA50CA"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17</w:t>
            </w:r>
          </w:p>
        </w:tc>
        <w:tc>
          <w:tcPr>
            <w:tcW w:w="785" w:type="dxa"/>
            <w:tcBorders>
              <w:top w:val="nil"/>
              <w:left w:val="nil"/>
              <w:bottom w:val="single" w:sz="4" w:space="0" w:color="000000"/>
              <w:right w:val="single" w:sz="4" w:space="0" w:color="000000"/>
            </w:tcBorders>
            <w:shd w:val="clear" w:color="auto" w:fill="auto"/>
            <w:noWrap/>
            <w:vAlign w:val="center"/>
            <w:hideMark/>
          </w:tcPr>
          <w:p w14:paraId="48FA0CAE"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E83B60" w:rsidRPr="00437A10" w14:paraId="6CB50457" w14:textId="77777777" w:rsidTr="00E83B60">
        <w:trPr>
          <w:trHeight w:val="336"/>
        </w:trPr>
        <w:tc>
          <w:tcPr>
            <w:tcW w:w="1200" w:type="dxa"/>
            <w:tcBorders>
              <w:top w:val="nil"/>
              <w:left w:val="single" w:sz="4" w:space="0" w:color="000000"/>
              <w:bottom w:val="single" w:sz="4" w:space="0" w:color="000000"/>
              <w:right w:val="single" w:sz="4" w:space="0" w:color="000000"/>
            </w:tcBorders>
            <w:shd w:val="clear" w:color="auto" w:fill="auto"/>
            <w:hideMark/>
          </w:tcPr>
          <w:p w14:paraId="1ADB0609" w14:textId="77777777" w:rsidR="00E83B60" w:rsidRPr="00437A10" w:rsidRDefault="00E83B60" w:rsidP="00E83B60">
            <w:pPr>
              <w:rPr>
                <w:rFonts w:ascii="Arial" w:hAnsi="Arial" w:cs="Arial"/>
                <w:sz w:val="18"/>
                <w:szCs w:val="18"/>
                <w:lang w:val="es-BO" w:eastAsia="es-BO"/>
              </w:rPr>
            </w:pPr>
            <w:r w:rsidRPr="00437A10">
              <w:rPr>
                <w:rFonts w:ascii="Arial" w:hAnsi="Arial" w:cs="Arial"/>
                <w:sz w:val="18"/>
                <w:szCs w:val="18"/>
                <w:lang w:val="es-BO" w:eastAsia="es-BO"/>
              </w:rPr>
              <w:t>Secundaria</w:t>
            </w:r>
          </w:p>
        </w:tc>
        <w:tc>
          <w:tcPr>
            <w:tcW w:w="1210" w:type="dxa"/>
            <w:tcBorders>
              <w:top w:val="nil"/>
              <w:left w:val="nil"/>
              <w:bottom w:val="single" w:sz="4" w:space="0" w:color="000000"/>
              <w:right w:val="single" w:sz="4" w:space="0" w:color="000000"/>
            </w:tcBorders>
            <w:shd w:val="clear" w:color="auto" w:fill="auto"/>
            <w:noWrap/>
            <w:vAlign w:val="center"/>
            <w:hideMark/>
          </w:tcPr>
          <w:p w14:paraId="5F83423D"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77</w:t>
            </w:r>
          </w:p>
        </w:tc>
        <w:tc>
          <w:tcPr>
            <w:tcW w:w="1200" w:type="dxa"/>
            <w:tcBorders>
              <w:top w:val="nil"/>
              <w:left w:val="nil"/>
              <w:bottom w:val="single" w:sz="4" w:space="0" w:color="000000"/>
              <w:right w:val="single" w:sz="4" w:space="0" w:color="000000"/>
            </w:tcBorders>
            <w:shd w:val="clear" w:color="auto" w:fill="auto"/>
            <w:noWrap/>
            <w:vAlign w:val="center"/>
            <w:hideMark/>
          </w:tcPr>
          <w:p w14:paraId="4990F620"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23</w:t>
            </w:r>
          </w:p>
        </w:tc>
        <w:tc>
          <w:tcPr>
            <w:tcW w:w="785" w:type="dxa"/>
            <w:tcBorders>
              <w:top w:val="nil"/>
              <w:left w:val="nil"/>
              <w:bottom w:val="single" w:sz="4" w:space="0" w:color="000000"/>
              <w:right w:val="single" w:sz="4" w:space="0" w:color="000000"/>
            </w:tcBorders>
            <w:shd w:val="clear" w:color="auto" w:fill="auto"/>
            <w:noWrap/>
            <w:vAlign w:val="center"/>
            <w:hideMark/>
          </w:tcPr>
          <w:p w14:paraId="593F0CE7"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417" w:type="dxa"/>
            <w:tcBorders>
              <w:top w:val="nil"/>
              <w:left w:val="nil"/>
              <w:bottom w:val="single" w:sz="4" w:space="0" w:color="000000"/>
              <w:right w:val="single" w:sz="4" w:space="0" w:color="000000"/>
            </w:tcBorders>
            <w:shd w:val="clear" w:color="auto" w:fill="auto"/>
            <w:noWrap/>
            <w:vAlign w:val="center"/>
            <w:hideMark/>
          </w:tcPr>
          <w:p w14:paraId="62DEED9B"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88</w:t>
            </w:r>
          </w:p>
        </w:tc>
        <w:tc>
          <w:tcPr>
            <w:tcW w:w="1200" w:type="dxa"/>
            <w:tcBorders>
              <w:top w:val="nil"/>
              <w:left w:val="nil"/>
              <w:bottom w:val="single" w:sz="4" w:space="0" w:color="000000"/>
              <w:right w:val="single" w:sz="4" w:space="0" w:color="000000"/>
            </w:tcBorders>
            <w:shd w:val="clear" w:color="auto" w:fill="auto"/>
            <w:noWrap/>
            <w:vAlign w:val="center"/>
            <w:hideMark/>
          </w:tcPr>
          <w:p w14:paraId="1D4E3E89"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12</w:t>
            </w:r>
          </w:p>
        </w:tc>
        <w:tc>
          <w:tcPr>
            <w:tcW w:w="785" w:type="dxa"/>
            <w:tcBorders>
              <w:top w:val="nil"/>
              <w:left w:val="nil"/>
              <w:bottom w:val="single" w:sz="4" w:space="0" w:color="000000"/>
              <w:right w:val="single" w:sz="4" w:space="0" w:color="000000"/>
            </w:tcBorders>
            <w:shd w:val="clear" w:color="auto" w:fill="auto"/>
            <w:noWrap/>
            <w:vAlign w:val="center"/>
            <w:hideMark/>
          </w:tcPr>
          <w:p w14:paraId="5DC1BE79"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E83B60" w:rsidRPr="00437A10" w14:paraId="5E0DCDC1" w14:textId="77777777" w:rsidTr="00E83B60">
        <w:trPr>
          <w:trHeight w:val="315"/>
        </w:trPr>
        <w:tc>
          <w:tcPr>
            <w:tcW w:w="1200" w:type="dxa"/>
            <w:tcBorders>
              <w:top w:val="nil"/>
              <w:left w:val="single" w:sz="4" w:space="0" w:color="000000"/>
              <w:bottom w:val="single" w:sz="4" w:space="0" w:color="000000"/>
              <w:right w:val="single" w:sz="4" w:space="0" w:color="000000"/>
            </w:tcBorders>
            <w:shd w:val="clear" w:color="auto" w:fill="auto"/>
            <w:hideMark/>
          </w:tcPr>
          <w:p w14:paraId="77747C62" w14:textId="77777777" w:rsidR="00E83B60" w:rsidRPr="00437A10" w:rsidRDefault="00E83B60" w:rsidP="00E83B60">
            <w:pPr>
              <w:rPr>
                <w:rFonts w:ascii="Arial" w:hAnsi="Arial" w:cs="Arial"/>
                <w:sz w:val="18"/>
                <w:szCs w:val="18"/>
                <w:lang w:val="es-BO" w:eastAsia="es-BO"/>
              </w:rPr>
            </w:pPr>
            <w:r w:rsidRPr="00437A10">
              <w:rPr>
                <w:rFonts w:ascii="Arial" w:hAnsi="Arial" w:cs="Arial"/>
                <w:sz w:val="18"/>
                <w:szCs w:val="18"/>
                <w:lang w:val="es-BO" w:eastAsia="es-BO"/>
              </w:rPr>
              <w:t>Superior</w:t>
            </w:r>
          </w:p>
        </w:tc>
        <w:tc>
          <w:tcPr>
            <w:tcW w:w="1210" w:type="dxa"/>
            <w:tcBorders>
              <w:top w:val="nil"/>
              <w:left w:val="nil"/>
              <w:bottom w:val="single" w:sz="4" w:space="0" w:color="000000"/>
              <w:right w:val="single" w:sz="4" w:space="0" w:color="000000"/>
            </w:tcBorders>
            <w:shd w:val="clear" w:color="auto" w:fill="auto"/>
            <w:noWrap/>
            <w:vAlign w:val="center"/>
            <w:hideMark/>
          </w:tcPr>
          <w:p w14:paraId="4AD4A254"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90</w:t>
            </w:r>
          </w:p>
        </w:tc>
        <w:tc>
          <w:tcPr>
            <w:tcW w:w="1200" w:type="dxa"/>
            <w:tcBorders>
              <w:top w:val="nil"/>
              <w:left w:val="nil"/>
              <w:bottom w:val="single" w:sz="4" w:space="0" w:color="000000"/>
              <w:right w:val="single" w:sz="4" w:space="0" w:color="000000"/>
            </w:tcBorders>
            <w:shd w:val="clear" w:color="auto" w:fill="auto"/>
            <w:noWrap/>
            <w:vAlign w:val="center"/>
            <w:hideMark/>
          </w:tcPr>
          <w:p w14:paraId="5A644B8D"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10</w:t>
            </w:r>
          </w:p>
        </w:tc>
        <w:tc>
          <w:tcPr>
            <w:tcW w:w="785" w:type="dxa"/>
            <w:tcBorders>
              <w:top w:val="nil"/>
              <w:left w:val="nil"/>
              <w:bottom w:val="single" w:sz="4" w:space="0" w:color="000000"/>
              <w:right w:val="single" w:sz="4" w:space="0" w:color="000000"/>
            </w:tcBorders>
            <w:shd w:val="clear" w:color="auto" w:fill="auto"/>
            <w:noWrap/>
            <w:vAlign w:val="center"/>
            <w:hideMark/>
          </w:tcPr>
          <w:p w14:paraId="54B354A9"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417" w:type="dxa"/>
            <w:tcBorders>
              <w:top w:val="nil"/>
              <w:left w:val="nil"/>
              <w:bottom w:val="single" w:sz="4" w:space="0" w:color="000000"/>
              <w:right w:val="single" w:sz="4" w:space="0" w:color="000000"/>
            </w:tcBorders>
            <w:shd w:val="clear" w:color="auto" w:fill="auto"/>
            <w:noWrap/>
            <w:vAlign w:val="center"/>
            <w:hideMark/>
          </w:tcPr>
          <w:p w14:paraId="7EC3BB92"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97</w:t>
            </w:r>
          </w:p>
        </w:tc>
        <w:tc>
          <w:tcPr>
            <w:tcW w:w="1200" w:type="dxa"/>
            <w:tcBorders>
              <w:top w:val="nil"/>
              <w:left w:val="nil"/>
              <w:bottom w:val="single" w:sz="4" w:space="0" w:color="000000"/>
              <w:right w:val="single" w:sz="4" w:space="0" w:color="000000"/>
            </w:tcBorders>
            <w:shd w:val="clear" w:color="auto" w:fill="auto"/>
            <w:noWrap/>
            <w:vAlign w:val="center"/>
            <w:hideMark/>
          </w:tcPr>
          <w:p w14:paraId="35FFCA9F"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3</w:t>
            </w:r>
          </w:p>
        </w:tc>
        <w:tc>
          <w:tcPr>
            <w:tcW w:w="785" w:type="dxa"/>
            <w:tcBorders>
              <w:top w:val="nil"/>
              <w:left w:val="nil"/>
              <w:bottom w:val="single" w:sz="4" w:space="0" w:color="000000"/>
              <w:right w:val="single" w:sz="4" w:space="0" w:color="000000"/>
            </w:tcBorders>
            <w:shd w:val="clear" w:color="auto" w:fill="auto"/>
            <w:noWrap/>
            <w:vAlign w:val="center"/>
            <w:hideMark/>
          </w:tcPr>
          <w:p w14:paraId="310D15E5"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E83B60" w:rsidRPr="00437A10" w14:paraId="4FFF7AE1" w14:textId="77777777" w:rsidTr="00E83B60">
        <w:trPr>
          <w:trHeight w:val="300"/>
        </w:trPr>
        <w:tc>
          <w:tcPr>
            <w:tcW w:w="1200" w:type="dxa"/>
            <w:tcBorders>
              <w:top w:val="nil"/>
              <w:left w:val="single" w:sz="4" w:space="0" w:color="000000"/>
              <w:bottom w:val="single" w:sz="4" w:space="0" w:color="000000"/>
              <w:right w:val="single" w:sz="4" w:space="0" w:color="000000"/>
            </w:tcBorders>
            <w:shd w:val="clear" w:color="auto" w:fill="auto"/>
            <w:hideMark/>
          </w:tcPr>
          <w:p w14:paraId="529B3D9A" w14:textId="77777777" w:rsidR="00E83B60" w:rsidRPr="00437A10" w:rsidRDefault="00E83B60" w:rsidP="00E83B60">
            <w:pPr>
              <w:rPr>
                <w:rFonts w:ascii="Arial" w:hAnsi="Arial" w:cs="Arial"/>
                <w:sz w:val="18"/>
                <w:szCs w:val="18"/>
                <w:lang w:val="es-BO" w:eastAsia="es-BO"/>
              </w:rPr>
            </w:pPr>
            <w:r w:rsidRPr="00437A10">
              <w:rPr>
                <w:rFonts w:ascii="Arial" w:hAnsi="Arial" w:cs="Arial"/>
                <w:sz w:val="18"/>
                <w:szCs w:val="18"/>
                <w:lang w:val="es-BO" w:eastAsia="es-BO"/>
              </w:rPr>
              <w:t>Otros</w:t>
            </w:r>
          </w:p>
        </w:tc>
        <w:tc>
          <w:tcPr>
            <w:tcW w:w="1210" w:type="dxa"/>
            <w:tcBorders>
              <w:top w:val="nil"/>
              <w:left w:val="nil"/>
              <w:bottom w:val="single" w:sz="4" w:space="0" w:color="000000"/>
              <w:right w:val="single" w:sz="4" w:space="0" w:color="000000"/>
            </w:tcBorders>
            <w:shd w:val="clear" w:color="auto" w:fill="auto"/>
            <w:noWrap/>
            <w:vAlign w:val="center"/>
            <w:hideMark/>
          </w:tcPr>
          <w:p w14:paraId="28972AA4"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83</w:t>
            </w:r>
          </w:p>
        </w:tc>
        <w:tc>
          <w:tcPr>
            <w:tcW w:w="1200" w:type="dxa"/>
            <w:tcBorders>
              <w:top w:val="nil"/>
              <w:left w:val="nil"/>
              <w:bottom w:val="single" w:sz="4" w:space="0" w:color="000000"/>
              <w:right w:val="single" w:sz="4" w:space="0" w:color="000000"/>
            </w:tcBorders>
            <w:shd w:val="clear" w:color="auto" w:fill="auto"/>
            <w:noWrap/>
            <w:vAlign w:val="center"/>
            <w:hideMark/>
          </w:tcPr>
          <w:p w14:paraId="4A4BAC6B"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17</w:t>
            </w:r>
          </w:p>
        </w:tc>
        <w:tc>
          <w:tcPr>
            <w:tcW w:w="785" w:type="dxa"/>
            <w:tcBorders>
              <w:top w:val="nil"/>
              <w:left w:val="nil"/>
              <w:bottom w:val="single" w:sz="4" w:space="0" w:color="000000"/>
              <w:right w:val="single" w:sz="4" w:space="0" w:color="000000"/>
            </w:tcBorders>
            <w:shd w:val="clear" w:color="auto" w:fill="auto"/>
            <w:noWrap/>
            <w:vAlign w:val="center"/>
            <w:hideMark/>
          </w:tcPr>
          <w:p w14:paraId="542272B7"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417" w:type="dxa"/>
            <w:tcBorders>
              <w:top w:val="nil"/>
              <w:left w:val="nil"/>
              <w:bottom w:val="single" w:sz="4" w:space="0" w:color="000000"/>
              <w:right w:val="single" w:sz="4" w:space="0" w:color="000000"/>
            </w:tcBorders>
            <w:shd w:val="clear" w:color="auto" w:fill="auto"/>
            <w:noWrap/>
            <w:vAlign w:val="center"/>
            <w:hideMark/>
          </w:tcPr>
          <w:p w14:paraId="4897BB42"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00" w:type="dxa"/>
            <w:tcBorders>
              <w:top w:val="nil"/>
              <w:left w:val="nil"/>
              <w:bottom w:val="single" w:sz="4" w:space="0" w:color="000000"/>
              <w:right w:val="single" w:sz="4" w:space="0" w:color="000000"/>
            </w:tcBorders>
            <w:shd w:val="clear" w:color="auto" w:fill="auto"/>
            <w:noWrap/>
            <w:vAlign w:val="center"/>
            <w:hideMark/>
          </w:tcPr>
          <w:p w14:paraId="7FF7B893"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0</w:t>
            </w:r>
          </w:p>
        </w:tc>
        <w:tc>
          <w:tcPr>
            <w:tcW w:w="785" w:type="dxa"/>
            <w:tcBorders>
              <w:top w:val="nil"/>
              <w:left w:val="nil"/>
              <w:bottom w:val="single" w:sz="4" w:space="0" w:color="000000"/>
              <w:right w:val="single" w:sz="4" w:space="0" w:color="000000"/>
            </w:tcBorders>
            <w:shd w:val="clear" w:color="auto" w:fill="auto"/>
            <w:noWrap/>
            <w:vAlign w:val="center"/>
            <w:hideMark/>
          </w:tcPr>
          <w:p w14:paraId="5D70EB4B"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E83B60" w:rsidRPr="00437A10" w14:paraId="1838EB32" w14:textId="77777777" w:rsidTr="00E83B60">
        <w:trPr>
          <w:trHeight w:val="315"/>
        </w:trPr>
        <w:tc>
          <w:tcPr>
            <w:tcW w:w="1200" w:type="dxa"/>
            <w:tcBorders>
              <w:top w:val="nil"/>
              <w:left w:val="single" w:sz="4" w:space="0" w:color="000000"/>
              <w:bottom w:val="single" w:sz="4" w:space="0" w:color="000000"/>
              <w:right w:val="single" w:sz="4" w:space="0" w:color="000000"/>
            </w:tcBorders>
            <w:shd w:val="clear" w:color="auto" w:fill="auto"/>
            <w:vAlign w:val="bottom"/>
            <w:hideMark/>
          </w:tcPr>
          <w:p w14:paraId="1719F364" w14:textId="77777777" w:rsidR="00E83B60" w:rsidRPr="00437A10" w:rsidRDefault="00E83B60" w:rsidP="00E83B60">
            <w:pPr>
              <w:rPr>
                <w:rFonts w:ascii="Arial" w:hAnsi="Arial" w:cs="Arial"/>
                <w:sz w:val="18"/>
                <w:szCs w:val="18"/>
                <w:lang w:val="es-BO" w:eastAsia="es-BO"/>
              </w:rPr>
            </w:pPr>
            <w:r w:rsidRPr="00437A10">
              <w:rPr>
                <w:rFonts w:ascii="Arial" w:hAnsi="Arial" w:cs="Arial"/>
                <w:sz w:val="18"/>
                <w:szCs w:val="18"/>
                <w:lang w:val="es-BO" w:eastAsia="es-BO"/>
              </w:rPr>
              <w:t>Total</w:t>
            </w:r>
          </w:p>
        </w:tc>
        <w:tc>
          <w:tcPr>
            <w:tcW w:w="1210" w:type="dxa"/>
            <w:tcBorders>
              <w:top w:val="nil"/>
              <w:left w:val="nil"/>
              <w:bottom w:val="single" w:sz="4" w:space="0" w:color="000000"/>
              <w:right w:val="single" w:sz="4" w:space="0" w:color="000000"/>
            </w:tcBorders>
            <w:shd w:val="clear" w:color="auto" w:fill="auto"/>
            <w:noWrap/>
            <w:vAlign w:val="center"/>
            <w:hideMark/>
          </w:tcPr>
          <w:p w14:paraId="599AFB26"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78</w:t>
            </w:r>
          </w:p>
        </w:tc>
        <w:tc>
          <w:tcPr>
            <w:tcW w:w="1200" w:type="dxa"/>
            <w:tcBorders>
              <w:top w:val="nil"/>
              <w:left w:val="nil"/>
              <w:bottom w:val="single" w:sz="4" w:space="0" w:color="000000"/>
              <w:right w:val="single" w:sz="4" w:space="0" w:color="000000"/>
            </w:tcBorders>
            <w:shd w:val="clear" w:color="auto" w:fill="auto"/>
            <w:noWrap/>
            <w:vAlign w:val="center"/>
            <w:hideMark/>
          </w:tcPr>
          <w:p w14:paraId="29A1C702"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22</w:t>
            </w:r>
          </w:p>
        </w:tc>
        <w:tc>
          <w:tcPr>
            <w:tcW w:w="785" w:type="dxa"/>
            <w:tcBorders>
              <w:top w:val="nil"/>
              <w:left w:val="nil"/>
              <w:bottom w:val="single" w:sz="4" w:space="0" w:color="000000"/>
              <w:right w:val="single" w:sz="4" w:space="0" w:color="000000"/>
            </w:tcBorders>
            <w:shd w:val="clear" w:color="auto" w:fill="auto"/>
            <w:noWrap/>
            <w:vAlign w:val="center"/>
            <w:hideMark/>
          </w:tcPr>
          <w:p w14:paraId="3E5C6846"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417" w:type="dxa"/>
            <w:tcBorders>
              <w:top w:val="nil"/>
              <w:left w:val="nil"/>
              <w:bottom w:val="single" w:sz="4" w:space="0" w:color="000000"/>
              <w:right w:val="single" w:sz="4" w:space="0" w:color="000000"/>
            </w:tcBorders>
            <w:shd w:val="clear" w:color="auto" w:fill="auto"/>
            <w:noWrap/>
            <w:vAlign w:val="center"/>
            <w:hideMark/>
          </w:tcPr>
          <w:p w14:paraId="7A192961"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86</w:t>
            </w:r>
          </w:p>
        </w:tc>
        <w:tc>
          <w:tcPr>
            <w:tcW w:w="1200" w:type="dxa"/>
            <w:tcBorders>
              <w:top w:val="nil"/>
              <w:left w:val="nil"/>
              <w:bottom w:val="single" w:sz="4" w:space="0" w:color="000000"/>
              <w:right w:val="single" w:sz="4" w:space="0" w:color="000000"/>
            </w:tcBorders>
            <w:shd w:val="clear" w:color="auto" w:fill="auto"/>
            <w:noWrap/>
            <w:vAlign w:val="center"/>
            <w:hideMark/>
          </w:tcPr>
          <w:p w14:paraId="32557A48"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14</w:t>
            </w:r>
          </w:p>
        </w:tc>
        <w:tc>
          <w:tcPr>
            <w:tcW w:w="785" w:type="dxa"/>
            <w:tcBorders>
              <w:top w:val="nil"/>
              <w:left w:val="nil"/>
              <w:bottom w:val="single" w:sz="4" w:space="0" w:color="000000"/>
              <w:right w:val="single" w:sz="4" w:space="0" w:color="000000"/>
            </w:tcBorders>
            <w:shd w:val="clear" w:color="auto" w:fill="auto"/>
            <w:noWrap/>
            <w:vAlign w:val="center"/>
            <w:hideMark/>
          </w:tcPr>
          <w:p w14:paraId="1440E25E" w14:textId="77777777" w:rsidR="00E83B60" w:rsidRPr="00437A10" w:rsidRDefault="00E83B60" w:rsidP="00E83B60">
            <w:pPr>
              <w:jc w:val="right"/>
              <w:rPr>
                <w:rFonts w:ascii="Arial" w:hAnsi="Arial" w:cs="Arial"/>
                <w:sz w:val="18"/>
                <w:szCs w:val="18"/>
                <w:lang w:val="es-BO" w:eastAsia="es-BO"/>
              </w:rPr>
            </w:pPr>
            <w:r w:rsidRPr="00437A10">
              <w:rPr>
                <w:rFonts w:ascii="Arial" w:hAnsi="Arial" w:cs="Arial"/>
                <w:sz w:val="18"/>
                <w:szCs w:val="18"/>
                <w:lang w:val="es-BO" w:eastAsia="es-BO"/>
              </w:rPr>
              <w:t>100</w:t>
            </w:r>
          </w:p>
        </w:tc>
      </w:tr>
    </w:tbl>
    <w:p w14:paraId="411ABCDE" w14:textId="77777777" w:rsidR="003B602A" w:rsidRPr="00437A10" w:rsidRDefault="003B602A" w:rsidP="003B602A">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Fuente: Con base en Instituto Nacional de Estadística, Quillaguamán, 2023.</w:t>
      </w:r>
    </w:p>
    <w:p w14:paraId="1AD8AC68" w14:textId="77777777" w:rsidR="00E83B60" w:rsidRPr="00437A10" w:rsidRDefault="00E83B60" w:rsidP="008266F3">
      <w:pPr>
        <w:spacing w:after="160" w:line="259" w:lineRule="auto"/>
        <w:contextualSpacing/>
        <w:jc w:val="center"/>
        <w:rPr>
          <w:rFonts w:ascii="Arial" w:eastAsia="Calibri" w:hAnsi="Arial" w:cs="Arial"/>
          <w:sz w:val="22"/>
          <w:szCs w:val="22"/>
        </w:rPr>
      </w:pPr>
    </w:p>
    <w:p w14:paraId="6CCA6B7C" w14:textId="5D9F574F" w:rsidR="00A83B64" w:rsidRPr="00437A10" w:rsidRDefault="002A6640" w:rsidP="00A71E3F">
      <w:pPr>
        <w:spacing w:after="160" w:line="259" w:lineRule="auto"/>
        <w:jc w:val="both"/>
        <w:rPr>
          <w:rFonts w:ascii="Arial" w:eastAsia="Calibri" w:hAnsi="Arial" w:cs="Arial"/>
          <w:sz w:val="22"/>
          <w:szCs w:val="22"/>
        </w:rPr>
      </w:pPr>
      <w:r w:rsidRPr="00437A10">
        <w:rPr>
          <w:rFonts w:ascii="Arial" w:eastAsia="Calibri" w:hAnsi="Arial" w:cs="Arial"/>
          <w:sz w:val="22"/>
          <w:szCs w:val="22"/>
        </w:rPr>
        <w:t>En el cuadro 6.1</w:t>
      </w:r>
      <w:r w:rsidR="00C24461" w:rsidRPr="00437A10">
        <w:rPr>
          <w:rFonts w:ascii="Arial" w:eastAsia="Calibri" w:hAnsi="Arial" w:cs="Arial"/>
          <w:sz w:val="22"/>
          <w:szCs w:val="22"/>
        </w:rPr>
        <w:t>0</w:t>
      </w:r>
      <w:r w:rsidRPr="00437A10">
        <w:rPr>
          <w:rFonts w:ascii="Arial" w:eastAsia="Calibri" w:hAnsi="Arial" w:cs="Arial"/>
          <w:sz w:val="22"/>
          <w:szCs w:val="22"/>
        </w:rPr>
        <w:t xml:space="preserve"> se advierte que, en el área urbana, 7 de cada 10 personas pobres habitan una vivienda inasequible y 3 de cada 10 una asequible, esto último permite pensar que</w:t>
      </w:r>
      <w:r w:rsidR="00DA0BC4" w:rsidRPr="00437A10">
        <w:rPr>
          <w:rFonts w:ascii="Arial" w:eastAsia="Calibri" w:hAnsi="Arial" w:cs="Arial"/>
          <w:sz w:val="22"/>
          <w:szCs w:val="22"/>
        </w:rPr>
        <w:t>,</w:t>
      </w:r>
      <w:r w:rsidRPr="00437A10">
        <w:rPr>
          <w:rFonts w:ascii="Arial" w:eastAsia="Calibri" w:hAnsi="Arial" w:cs="Arial"/>
          <w:sz w:val="22"/>
          <w:szCs w:val="22"/>
        </w:rPr>
        <w:t xml:space="preserve"> si bien la vivienda es asequible, puede que las demás características de la vivienda no sean adecuadas y</w:t>
      </w:r>
      <w:r w:rsidR="003B602A" w:rsidRPr="00437A10">
        <w:rPr>
          <w:rFonts w:ascii="Arial" w:eastAsia="Calibri" w:hAnsi="Arial" w:cs="Arial"/>
          <w:sz w:val="22"/>
          <w:szCs w:val="22"/>
        </w:rPr>
        <w:t>,</w:t>
      </w:r>
      <w:r w:rsidRPr="00437A10">
        <w:rPr>
          <w:rFonts w:ascii="Arial" w:eastAsia="Calibri" w:hAnsi="Arial" w:cs="Arial"/>
          <w:sz w:val="22"/>
          <w:szCs w:val="22"/>
        </w:rPr>
        <w:t xml:space="preserve"> por esa razón</w:t>
      </w:r>
      <w:r w:rsidR="003B602A" w:rsidRPr="00437A10">
        <w:rPr>
          <w:rFonts w:ascii="Arial" w:eastAsia="Calibri" w:hAnsi="Arial" w:cs="Arial"/>
          <w:sz w:val="22"/>
          <w:szCs w:val="22"/>
        </w:rPr>
        <w:t>,</w:t>
      </w:r>
      <w:r w:rsidRPr="00437A10">
        <w:rPr>
          <w:rFonts w:ascii="Arial" w:eastAsia="Calibri" w:hAnsi="Arial" w:cs="Arial"/>
          <w:sz w:val="22"/>
          <w:szCs w:val="22"/>
        </w:rPr>
        <w:t xml:space="preserve"> el gasto es menor.</w:t>
      </w:r>
      <w:r w:rsidR="003B602A" w:rsidRPr="00437A10">
        <w:rPr>
          <w:rFonts w:ascii="Arial" w:eastAsia="Calibri" w:hAnsi="Arial" w:cs="Arial"/>
          <w:sz w:val="22"/>
          <w:szCs w:val="22"/>
        </w:rPr>
        <w:t xml:space="preserve"> En el área rural, 3 de cada 10 personas en condición de pobreza habita en una vivienda inasequible.</w:t>
      </w:r>
    </w:p>
    <w:p w14:paraId="46805586" w14:textId="716307D5" w:rsidR="00E83B60" w:rsidRPr="00437A10" w:rsidRDefault="00E83B60" w:rsidP="00E83B60">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Cuadro 6.1</w:t>
      </w:r>
      <w:r w:rsidR="00C24461" w:rsidRPr="00437A10">
        <w:rPr>
          <w:rFonts w:ascii="Arial" w:eastAsia="Calibri" w:hAnsi="Arial" w:cs="Arial"/>
          <w:sz w:val="22"/>
          <w:szCs w:val="22"/>
        </w:rPr>
        <w:t>0</w:t>
      </w:r>
      <w:r w:rsidRPr="00437A10">
        <w:rPr>
          <w:rFonts w:ascii="Arial" w:eastAsia="Calibri" w:hAnsi="Arial" w:cs="Arial"/>
          <w:sz w:val="22"/>
          <w:szCs w:val="22"/>
        </w:rPr>
        <w:t xml:space="preserve">. Bolivia: Porcentaje de personas por asequibilidad de la vivienda, según </w:t>
      </w:r>
      <w:r w:rsidR="00E43C60" w:rsidRPr="00437A10">
        <w:rPr>
          <w:rFonts w:ascii="Arial" w:eastAsia="Calibri" w:hAnsi="Arial" w:cs="Arial"/>
          <w:sz w:val="22"/>
          <w:szCs w:val="22"/>
        </w:rPr>
        <w:t>pobreza</w:t>
      </w:r>
      <w:r w:rsidR="00AA6BAF" w:rsidRPr="00437A10">
        <w:rPr>
          <w:rFonts w:ascii="Arial" w:eastAsia="Calibri" w:hAnsi="Arial" w:cs="Arial"/>
          <w:sz w:val="22"/>
          <w:szCs w:val="22"/>
        </w:rPr>
        <w:t xml:space="preserve"> por ingreso</w:t>
      </w:r>
      <w:r w:rsidRPr="00437A10">
        <w:rPr>
          <w:rFonts w:ascii="Arial" w:eastAsia="Calibri" w:hAnsi="Arial" w:cs="Arial"/>
          <w:sz w:val="22"/>
          <w:szCs w:val="22"/>
        </w:rPr>
        <w:t xml:space="preserve"> y área geográfica, 2021</w:t>
      </w:r>
    </w:p>
    <w:tbl>
      <w:tblPr>
        <w:tblW w:w="7655" w:type="dxa"/>
        <w:tblInd w:w="-5" w:type="dxa"/>
        <w:tblCellMar>
          <w:left w:w="70" w:type="dxa"/>
          <w:right w:w="70" w:type="dxa"/>
        </w:tblCellMar>
        <w:tblLook w:val="04A0" w:firstRow="1" w:lastRow="0" w:firstColumn="1" w:lastColumn="0" w:noHBand="0" w:noVBand="1"/>
      </w:tblPr>
      <w:tblGrid>
        <w:gridCol w:w="1200"/>
        <w:gridCol w:w="1210"/>
        <w:gridCol w:w="1200"/>
        <w:gridCol w:w="785"/>
        <w:gridCol w:w="1275"/>
        <w:gridCol w:w="1200"/>
        <w:gridCol w:w="785"/>
      </w:tblGrid>
      <w:tr w:rsidR="00E43C60" w:rsidRPr="00437A10" w14:paraId="2413F22E" w14:textId="77777777" w:rsidTr="00E43C60">
        <w:trPr>
          <w:trHeight w:val="31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DCBDD34" w14:textId="1D756A2C" w:rsidR="00E43C60" w:rsidRPr="00437A10" w:rsidRDefault="00E43C60" w:rsidP="00E43C60">
            <w:pPr>
              <w:jc w:val="center"/>
              <w:rPr>
                <w:rFonts w:ascii="Arial" w:hAnsi="Arial" w:cs="Arial"/>
                <w:sz w:val="18"/>
                <w:szCs w:val="18"/>
                <w:lang w:val="es-BO" w:eastAsia="es-BO"/>
              </w:rPr>
            </w:pPr>
            <w:r w:rsidRPr="00437A10">
              <w:rPr>
                <w:rFonts w:ascii="Arial" w:hAnsi="Arial" w:cs="Arial"/>
                <w:sz w:val="18"/>
                <w:szCs w:val="18"/>
                <w:lang w:val="es-BO" w:eastAsia="es-BO"/>
              </w:rPr>
              <w:t>Pobreza por ingreso</w:t>
            </w:r>
          </w:p>
        </w:tc>
        <w:tc>
          <w:tcPr>
            <w:tcW w:w="3195" w:type="dxa"/>
            <w:gridSpan w:val="3"/>
            <w:tcBorders>
              <w:top w:val="single" w:sz="4" w:space="0" w:color="000000"/>
              <w:left w:val="nil"/>
              <w:bottom w:val="single" w:sz="4" w:space="0" w:color="000000"/>
              <w:right w:val="single" w:sz="4" w:space="0" w:color="000000"/>
            </w:tcBorders>
            <w:shd w:val="clear" w:color="auto" w:fill="auto"/>
            <w:vAlign w:val="bottom"/>
            <w:hideMark/>
          </w:tcPr>
          <w:p w14:paraId="20F201F6" w14:textId="77777777" w:rsidR="00E43C60" w:rsidRPr="00437A10" w:rsidRDefault="00E43C60" w:rsidP="00E43C60">
            <w:pPr>
              <w:jc w:val="center"/>
              <w:rPr>
                <w:rFonts w:ascii="Arial" w:hAnsi="Arial" w:cs="Arial"/>
                <w:sz w:val="18"/>
                <w:szCs w:val="18"/>
                <w:lang w:val="es-BO" w:eastAsia="es-BO"/>
              </w:rPr>
            </w:pPr>
            <w:r w:rsidRPr="00437A10">
              <w:rPr>
                <w:rFonts w:ascii="Arial" w:hAnsi="Arial" w:cs="Arial"/>
                <w:sz w:val="18"/>
                <w:szCs w:val="18"/>
                <w:lang w:val="es-BO" w:eastAsia="es-BO"/>
              </w:rPr>
              <w:t>Área urbana</w:t>
            </w:r>
          </w:p>
        </w:tc>
        <w:tc>
          <w:tcPr>
            <w:tcW w:w="3260" w:type="dxa"/>
            <w:gridSpan w:val="3"/>
            <w:tcBorders>
              <w:top w:val="single" w:sz="4" w:space="0" w:color="000000"/>
              <w:left w:val="nil"/>
              <w:bottom w:val="single" w:sz="4" w:space="0" w:color="000000"/>
              <w:right w:val="single" w:sz="4" w:space="0" w:color="000000"/>
            </w:tcBorders>
            <w:shd w:val="clear" w:color="auto" w:fill="auto"/>
            <w:vAlign w:val="bottom"/>
            <w:hideMark/>
          </w:tcPr>
          <w:p w14:paraId="7F420DAF" w14:textId="77777777" w:rsidR="00E43C60" w:rsidRPr="00437A10" w:rsidRDefault="00E43C60" w:rsidP="00E43C60">
            <w:pPr>
              <w:jc w:val="center"/>
              <w:rPr>
                <w:rFonts w:ascii="Arial" w:hAnsi="Arial" w:cs="Arial"/>
                <w:sz w:val="18"/>
                <w:szCs w:val="18"/>
                <w:lang w:val="es-BO" w:eastAsia="es-BO"/>
              </w:rPr>
            </w:pPr>
            <w:r w:rsidRPr="00437A10">
              <w:rPr>
                <w:rFonts w:ascii="Arial" w:hAnsi="Arial" w:cs="Arial"/>
                <w:sz w:val="18"/>
                <w:szCs w:val="18"/>
                <w:lang w:val="es-BO" w:eastAsia="es-BO"/>
              </w:rPr>
              <w:t>Área rural</w:t>
            </w:r>
          </w:p>
        </w:tc>
      </w:tr>
      <w:tr w:rsidR="00E43C60" w:rsidRPr="00437A10" w14:paraId="0266B1A4" w14:textId="77777777" w:rsidTr="00E43C60">
        <w:trPr>
          <w:trHeight w:val="510"/>
        </w:trPr>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2C3E8F13" w14:textId="77777777" w:rsidR="00E43C60" w:rsidRPr="00437A10" w:rsidRDefault="00E43C60" w:rsidP="00E43C60">
            <w:pPr>
              <w:rPr>
                <w:rFonts w:ascii="Arial" w:hAnsi="Arial" w:cs="Arial"/>
                <w:sz w:val="18"/>
                <w:szCs w:val="18"/>
                <w:lang w:val="es-BO" w:eastAsia="es-BO"/>
              </w:rPr>
            </w:pPr>
          </w:p>
        </w:tc>
        <w:tc>
          <w:tcPr>
            <w:tcW w:w="1210" w:type="dxa"/>
            <w:tcBorders>
              <w:top w:val="nil"/>
              <w:left w:val="nil"/>
              <w:bottom w:val="single" w:sz="4" w:space="0" w:color="000000"/>
              <w:right w:val="single" w:sz="4" w:space="0" w:color="000000"/>
            </w:tcBorders>
            <w:shd w:val="clear" w:color="auto" w:fill="auto"/>
            <w:vAlign w:val="bottom"/>
            <w:hideMark/>
          </w:tcPr>
          <w:p w14:paraId="7703A6DD" w14:textId="77777777" w:rsidR="00E43C60" w:rsidRPr="00437A10" w:rsidRDefault="00E43C60" w:rsidP="00E43C60">
            <w:pPr>
              <w:jc w:val="cente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200" w:type="dxa"/>
            <w:tcBorders>
              <w:top w:val="nil"/>
              <w:left w:val="nil"/>
              <w:bottom w:val="single" w:sz="4" w:space="0" w:color="000000"/>
              <w:right w:val="single" w:sz="4" w:space="0" w:color="000000"/>
            </w:tcBorders>
            <w:shd w:val="clear" w:color="auto" w:fill="auto"/>
            <w:vAlign w:val="bottom"/>
            <w:hideMark/>
          </w:tcPr>
          <w:p w14:paraId="622559C1" w14:textId="77777777" w:rsidR="00E43C60" w:rsidRPr="00437A10" w:rsidRDefault="00E43C60" w:rsidP="00E43C60">
            <w:pPr>
              <w:jc w:val="cente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785" w:type="dxa"/>
            <w:tcBorders>
              <w:top w:val="nil"/>
              <w:left w:val="nil"/>
              <w:bottom w:val="single" w:sz="4" w:space="0" w:color="000000"/>
              <w:right w:val="single" w:sz="4" w:space="0" w:color="000000"/>
            </w:tcBorders>
            <w:shd w:val="clear" w:color="auto" w:fill="auto"/>
            <w:vAlign w:val="bottom"/>
            <w:hideMark/>
          </w:tcPr>
          <w:p w14:paraId="4DF1297D" w14:textId="77777777" w:rsidR="00E43C60" w:rsidRPr="00437A10" w:rsidRDefault="00E43C60" w:rsidP="00E43C60">
            <w:pPr>
              <w:rPr>
                <w:rFonts w:ascii="Arial" w:hAnsi="Arial" w:cs="Arial"/>
                <w:sz w:val="18"/>
                <w:szCs w:val="18"/>
                <w:lang w:val="es-BO" w:eastAsia="es-BO"/>
              </w:rPr>
            </w:pPr>
            <w:r w:rsidRPr="00437A10">
              <w:rPr>
                <w:rFonts w:ascii="Arial" w:hAnsi="Arial" w:cs="Arial"/>
                <w:sz w:val="18"/>
                <w:szCs w:val="18"/>
                <w:lang w:val="es-BO" w:eastAsia="es-BO"/>
              </w:rPr>
              <w:t>Total</w:t>
            </w:r>
          </w:p>
        </w:tc>
        <w:tc>
          <w:tcPr>
            <w:tcW w:w="1275" w:type="dxa"/>
            <w:tcBorders>
              <w:top w:val="nil"/>
              <w:left w:val="nil"/>
              <w:bottom w:val="single" w:sz="4" w:space="0" w:color="000000"/>
              <w:right w:val="single" w:sz="4" w:space="0" w:color="000000"/>
            </w:tcBorders>
            <w:shd w:val="clear" w:color="auto" w:fill="auto"/>
            <w:vAlign w:val="bottom"/>
            <w:hideMark/>
          </w:tcPr>
          <w:p w14:paraId="37D17B39" w14:textId="77777777" w:rsidR="00E43C60" w:rsidRPr="00437A10" w:rsidRDefault="00E43C60" w:rsidP="00E43C60">
            <w:pPr>
              <w:jc w:val="cente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200" w:type="dxa"/>
            <w:tcBorders>
              <w:top w:val="nil"/>
              <w:left w:val="nil"/>
              <w:bottom w:val="single" w:sz="4" w:space="0" w:color="000000"/>
              <w:right w:val="single" w:sz="4" w:space="0" w:color="000000"/>
            </w:tcBorders>
            <w:shd w:val="clear" w:color="auto" w:fill="auto"/>
            <w:vAlign w:val="bottom"/>
            <w:hideMark/>
          </w:tcPr>
          <w:p w14:paraId="7A71193D" w14:textId="77777777" w:rsidR="00E43C60" w:rsidRPr="00437A10" w:rsidRDefault="00E43C60" w:rsidP="00E43C60">
            <w:pPr>
              <w:jc w:val="cente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785" w:type="dxa"/>
            <w:tcBorders>
              <w:top w:val="nil"/>
              <w:left w:val="nil"/>
              <w:bottom w:val="single" w:sz="4" w:space="0" w:color="000000"/>
              <w:right w:val="single" w:sz="4" w:space="0" w:color="000000"/>
            </w:tcBorders>
            <w:shd w:val="clear" w:color="auto" w:fill="auto"/>
            <w:vAlign w:val="bottom"/>
            <w:hideMark/>
          </w:tcPr>
          <w:p w14:paraId="5FE229B3" w14:textId="77777777" w:rsidR="00E43C60" w:rsidRPr="00437A10" w:rsidRDefault="00E43C60" w:rsidP="00E43C60">
            <w:pPr>
              <w:rPr>
                <w:rFonts w:ascii="Arial" w:hAnsi="Arial" w:cs="Arial"/>
                <w:sz w:val="18"/>
                <w:szCs w:val="18"/>
                <w:lang w:val="es-BO" w:eastAsia="es-BO"/>
              </w:rPr>
            </w:pPr>
            <w:r w:rsidRPr="00437A10">
              <w:rPr>
                <w:rFonts w:ascii="Arial" w:hAnsi="Arial" w:cs="Arial"/>
                <w:sz w:val="18"/>
                <w:szCs w:val="18"/>
                <w:lang w:val="es-BO" w:eastAsia="es-BO"/>
              </w:rPr>
              <w:t>Total</w:t>
            </w:r>
          </w:p>
        </w:tc>
      </w:tr>
      <w:tr w:rsidR="00E43C60" w:rsidRPr="00437A10" w14:paraId="404CA799" w14:textId="77777777" w:rsidTr="00E43C60">
        <w:trPr>
          <w:trHeight w:val="330"/>
        </w:trPr>
        <w:tc>
          <w:tcPr>
            <w:tcW w:w="1200" w:type="dxa"/>
            <w:tcBorders>
              <w:top w:val="nil"/>
              <w:left w:val="single" w:sz="4" w:space="0" w:color="000000"/>
              <w:bottom w:val="single" w:sz="4" w:space="0" w:color="000000"/>
              <w:right w:val="single" w:sz="4" w:space="0" w:color="000000"/>
            </w:tcBorders>
            <w:shd w:val="clear" w:color="auto" w:fill="auto"/>
            <w:hideMark/>
          </w:tcPr>
          <w:p w14:paraId="38B98C7D" w14:textId="77777777" w:rsidR="00E43C60" w:rsidRPr="00437A10" w:rsidRDefault="00E43C60" w:rsidP="00E43C60">
            <w:pPr>
              <w:rPr>
                <w:rFonts w:ascii="Arial" w:hAnsi="Arial" w:cs="Arial"/>
                <w:sz w:val="18"/>
                <w:szCs w:val="18"/>
                <w:lang w:val="es-BO" w:eastAsia="es-BO"/>
              </w:rPr>
            </w:pPr>
            <w:r w:rsidRPr="00437A10">
              <w:rPr>
                <w:rFonts w:ascii="Arial" w:hAnsi="Arial" w:cs="Arial"/>
                <w:sz w:val="18"/>
                <w:szCs w:val="18"/>
                <w:lang w:val="es-BO" w:eastAsia="es-BO"/>
              </w:rPr>
              <w:t>No Pobre</w:t>
            </w:r>
          </w:p>
        </w:tc>
        <w:tc>
          <w:tcPr>
            <w:tcW w:w="1210" w:type="dxa"/>
            <w:tcBorders>
              <w:top w:val="nil"/>
              <w:left w:val="nil"/>
              <w:bottom w:val="single" w:sz="4" w:space="0" w:color="000000"/>
              <w:right w:val="single" w:sz="4" w:space="0" w:color="000000"/>
            </w:tcBorders>
            <w:shd w:val="clear" w:color="auto" w:fill="auto"/>
            <w:noWrap/>
            <w:vAlign w:val="center"/>
            <w:hideMark/>
          </w:tcPr>
          <w:p w14:paraId="414F5BD3"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99</w:t>
            </w:r>
          </w:p>
        </w:tc>
        <w:tc>
          <w:tcPr>
            <w:tcW w:w="1200" w:type="dxa"/>
            <w:tcBorders>
              <w:top w:val="nil"/>
              <w:left w:val="nil"/>
              <w:bottom w:val="single" w:sz="4" w:space="0" w:color="000000"/>
              <w:right w:val="single" w:sz="4" w:space="0" w:color="000000"/>
            </w:tcBorders>
            <w:shd w:val="clear" w:color="auto" w:fill="auto"/>
            <w:noWrap/>
            <w:vAlign w:val="center"/>
            <w:hideMark/>
          </w:tcPr>
          <w:p w14:paraId="1C8271EA"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1</w:t>
            </w:r>
          </w:p>
        </w:tc>
        <w:tc>
          <w:tcPr>
            <w:tcW w:w="785" w:type="dxa"/>
            <w:tcBorders>
              <w:top w:val="nil"/>
              <w:left w:val="nil"/>
              <w:bottom w:val="single" w:sz="4" w:space="0" w:color="000000"/>
              <w:right w:val="single" w:sz="4" w:space="0" w:color="000000"/>
            </w:tcBorders>
            <w:shd w:val="clear" w:color="auto" w:fill="auto"/>
            <w:noWrap/>
            <w:vAlign w:val="center"/>
            <w:hideMark/>
          </w:tcPr>
          <w:p w14:paraId="5358E3B1"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75" w:type="dxa"/>
            <w:tcBorders>
              <w:top w:val="nil"/>
              <w:left w:val="nil"/>
              <w:bottom w:val="single" w:sz="4" w:space="0" w:color="000000"/>
              <w:right w:val="single" w:sz="4" w:space="0" w:color="000000"/>
            </w:tcBorders>
            <w:shd w:val="clear" w:color="auto" w:fill="auto"/>
            <w:noWrap/>
            <w:vAlign w:val="center"/>
            <w:hideMark/>
          </w:tcPr>
          <w:p w14:paraId="1423D44C"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00" w:type="dxa"/>
            <w:tcBorders>
              <w:top w:val="nil"/>
              <w:left w:val="nil"/>
              <w:bottom w:val="single" w:sz="4" w:space="0" w:color="000000"/>
              <w:right w:val="single" w:sz="4" w:space="0" w:color="000000"/>
            </w:tcBorders>
            <w:shd w:val="clear" w:color="auto" w:fill="auto"/>
            <w:noWrap/>
            <w:vAlign w:val="center"/>
            <w:hideMark/>
          </w:tcPr>
          <w:p w14:paraId="3D9416AA"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0</w:t>
            </w:r>
          </w:p>
        </w:tc>
        <w:tc>
          <w:tcPr>
            <w:tcW w:w="785" w:type="dxa"/>
            <w:tcBorders>
              <w:top w:val="nil"/>
              <w:left w:val="nil"/>
              <w:bottom w:val="single" w:sz="4" w:space="0" w:color="000000"/>
              <w:right w:val="single" w:sz="4" w:space="0" w:color="000000"/>
            </w:tcBorders>
            <w:shd w:val="clear" w:color="auto" w:fill="auto"/>
            <w:noWrap/>
            <w:vAlign w:val="center"/>
            <w:hideMark/>
          </w:tcPr>
          <w:p w14:paraId="7536544B"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E43C60" w:rsidRPr="00437A10" w14:paraId="1715D696" w14:textId="77777777" w:rsidTr="002A6640">
        <w:trPr>
          <w:trHeight w:val="315"/>
        </w:trPr>
        <w:tc>
          <w:tcPr>
            <w:tcW w:w="1200" w:type="dxa"/>
            <w:tcBorders>
              <w:top w:val="nil"/>
              <w:left w:val="single" w:sz="4" w:space="0" w:color="000000"/>
              <w:bottom w:val="single" w:sz="4" w:space="0" w:color="000000"/>
              <w:right w:val="single" w:sz="4" w:space="0" w:color="000000"/>
            </w:tcBorders>
            <w:shd w:val="clear" w:color="auto" w:fill="auto"/>
            <w:hideMark/>
          </w:tcPr>
          <w:p w14:paraId="57C67737" w14:textId="77777777" w:rsidR="00E43C60" w:rsidRPr="00437A10" w:rsidRDefault="00E43C60" w:rsidP="00E43C60">
            <w:pPr>
              <w:rPr>
                <w:rFonts w:ascii="Arial" w:hAnsi="Arial" w:cs="Arial"/>
                <w:sz w:val="18"/>
                <w:szCs w:val="18"/>
                <w:lang w:val="es-BO" w:eastAsia="es-BO"/>
              </w:rPr>
            </w:pPr>
            <w:r w:rsidRPr="00437A10">
              <w:rPr>
                <w:rFonts w:ascii="Arial" w:hAnsi="Arial" w:cs="Arial"/>
                <w:sz w:val="18"/>
                <w:szCs w:val="18"/>
                <w:lang w:val="es-BO" w:eastAsia="es-BO"/>
              </w:rPr>
              <w:t>Pobre</w:t>
            </w:r>
          </w:p>
        </w:tc>
        <w:tc>
          <w:tcPr>
            <w:tcW w:w="1210"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73D862A0"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32</w:t>
            </w:r>
          </w:p>
        </w:tc>
        <w:tc>
          <w:tcPr>
            <w:tcW w:w="1200"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4F4C98AC"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68</w:t>
            </w:r>
          </w:p>
        </w:tc>
        <w:tc>
          <w:tcPr>
            <w:tcW w:w="785" w:type="dxa"/>
            <w:tcBorders>
              <w:top w:val="nil"/>
              <w:left w:val="nil"/>
              <w:bottom w:val="single" w:sz="4" w:space="0" w:color="000000"/>
              <w:right w:val="single" w:sz="4" w:space="0" w:color="000000"/>
            </w:tcBorders>
            <w:shd w:val="clear" w:color="auto" w:fill="auto"/>
            <w:noWrap/>
            <w:vAlign w:val="center"/>
            <w:hideMark/>
          </w:tcPr>
          <w:p w14:paraId="4889E4C3"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75" w:type="dxa"/>
            <w:tcBorders>
              <w:top w:val="nil"/>
              <w:left w:val="nil"/>
              <w:bottom w:val="single" w:sz="4" w:space="0" w:color="000000"/>
              <w:right w:val="single" w:sz="4" w:space="0" w:color="000000"/>
            </w:tcBorders>
            <w:shd w:val="clear" w:color="auto" w:fill="auto"/>
            <w:noWrap/>
            <w:vAlign w:val="center"/>
            <w:hideMark/>
          </w:tcPr>
          <w:p w14:paraId="6D19E45B"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70</w:t>
            </w:r>
          </w:p>
        </w:tc>
        <w:tc>
          <w:tcPr>
            <w:tcW w:w="1200" w:type="dxa"/>
            <w:tcBorders>
              <w:top w:val="nil"/>
              <w:left w:val="nil"/>
              <w:bottom w:val="single" w:sz="4" w:space="0" w:color="000000"/>
              <w:right w:val="single" w:sz="4" w:space="0" w:color="000000"/>
            </w:tcBorders>
            <w:shd w:val="clear" w:color="auto" w:fill="auto"/>
            <w:noWrap/>
            <w:vAlign w:val="center"/>
            <w:hideMark/>
          </w:tcPr>
          <w:p w14:paraId="155A56E5"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30</w:t>
            </w:r>
          </w:p>
        </w:tc>
        <w:tc>
          <w:tcPr>
            <w:tcW w:w="785" w:type="dxa"/>
            <w:tcBorders>
              <w:top w:val="nil"/>
              <w:left w:val="nil"/>
              <w:bottom w:val="single" w:sz="4" w:space="0" w:color="000000"/>
              <w:right w:val="single" w:sz="4" w:space="0" w:color="000000"/>
            </w:tcBorders>
            <w:shd w:val="clear" w:color="auto" w:fill="auto"/>
            <w:noWrap/>
            <w:vAlign w:val="center"/>
            <w:hideMark/>
          </w:tcPr>
          <w:p w14:paraId="45C44EF5"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E43C60" w:rsidRPr="00437A10" w14:paraId="3689089F" w14:textId="77777777" w:rsidTr="00E43C60">
        <w:trPr>
          <w:trHeight w:val="353"/>
        </w:trPr>
        <w:tc>
          <w:tcPr>
            <w:tcW w:w="1200" w:type="dxa"/>
            <w:tcBorders>
              <w:top w:val="nil"/>
              <w:left w:val="single" w:sz="4" w:space="0" w:color="000000"/>
              <w:bottom w:val="single" w:sz="4" w:space="0" w:color="000000"/>
              <w:right w:val="single" w:sz="4" w:space="0" w:color="000000"/>
            </w:tcBorders>
            <w:shd w:val="clear" w:color="auto" w:fill="auto"/>
            <w:vAlign w:val="bottom"/>
            <w:hideMark/>
          </w:tcPr>
          <w:p w14:paraId="3BD5FA34" w14:textId="77777777" w:rsidR="00E43C60" w:rsidRPr="00437A10" w:rsidRDefault="00E43C60" w:rsidP="00E43C60">
            <w:pPr>
              <w:rPr>
                <w:rFonts w:ascii="Arial" w:hAnsi="Arial" w:cs="Arial"/>
                <w:sz w:val="18"/>
                <w:szCs w:val="18"/>
                <w:lang w:val="es-BO" w:eastAsia="es-BO"/>
              </w:rPr>
            </w:pPr>
            <w:r w:rsidRPr="00437A10">
              <w:rPr>
                <w:rFonts w:ascii="Arial" w:hAnsi="Arial" w:cs="Arial"/>
                <w:sz w:val="18"/>
                <w:szCs w:val="18"/>
                <w:lang w:val="es-BO" w:eastAsia="es-BO"/>
              </w:rPr>
              <w:t>Total</w:t>
            </w:r>
          </w:p>
        </w:tc>
        <w:tc>
          <w:tcPr>
            <w:tcW w:w="1210" w:type="dxa"/>
            <w:tcBorders>
              <w:top w:val="nil"/>
              <w:left w:val="nil"/>
              <w:bottom w:val="single" w:sz="4" w:space="0" w:color="000000"/>
              <w:right w:val="single" w:sz="4" w:space="0" w:color="000000"/>
            </w:tcBorders>
            <w:shd w:val="clear" w:color="auto" w:fill="auto"/>
            <w:noWrap/>
            <w:vAlign w:val="center"/>
            <w:hideMark/>
          </w:tcPr>
          <w:p w14:paraId="1AEC8232"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78</w:t>
            </w:r>
          </w:p>
        </w:tc>
        <w:tc>
          <w:tcPr>
            <w:tcW w:w="1200" w:type="dxa"/>
            <w:tcBorders>
              <w:top w:val="nil"/>
              <w:left w:val="nil"/>
              <w:bottom w:val="single" w:sz="4" w:space="0" w:color="000000"/>
              <w:right w:val="single" w:sz="4" w:space="0" w:color="000000"/>
            </w:tcBorders>
            <w:shd w:val="clear" w:color="auto" w:fill="auto"/>
            <w:noWrap/>
            <w:vAlign w:val="center"/>
            <w:hideMark/>
          </w:tcPr>
          <w:p w14:paraId="7E4B81D1"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22</w:t>
            </w:r>
          </w:p>
        </w:tc>
        <w:tc>
          <w:tcPr>
            <w:tcW w:w="785" w:type="dxa"/>
            <w:tcBorders>
              <w:top w:val="nil"/>
              <w:left w:val="nil"/>
              <w:bottom w:val="single" w:sz="4" w:space="0" w:color="000000"/>
              <w:right w:val="single" w:sz="4" w:space="0" w:color="000000"/>
            </w:tcBorders>
            <w:shd w:val="clear" w:color="auto" w:fill="auto"/>
            <w:noWrap/>
            <w:vAlign w:val="center"/>
            <w:hideMark/>
          </w:tcPr>
          <w:p w14:paraId="31C01DF9"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75" w:type="dxa"/>
            <w:tcBorders>
              <w:top w:val="nil"/>
              <w:left w:val="nil"/>
              <w:bottom w:val="single" w:sz="4" w:space="0" w:color="000000"/>
              <w:right w:val="single" w:sz="4" w:space="0" w:color="000000"/>
            </w:tcBorders>
            <w:shd w:val="clear" w:color="auto" w:fill="auto"/>
            <w:noWrap/>
            <w:vAlign w:val="center"/>
            <w:hideMark/>
          </w:tcPr>
          <w:p w14:paraId="324A946D"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86</w:t>
            </w:r>
          </w:p>
        </w:tc>
        <w:tc>
          <w:tcPr>
            <w:tcW w:w="1200" w:type="dxa"/>
            <w:tcBorders>
              <w:top w:val="nil"/>
              <w:left w:val="nil"/>
              <w:bottom w:val="single" w:sz="4" w:space="0" w:color="000000"/>
              <w:right w:val="single" w:sz="4" w:space="0" w:color="000000"/>
            </w:tcBorders>
            <w:shd w:val="clear" w:color="auto" w:fill="auto"/>
            <w:noWrap/>
            <w:vAlign w:val="center"/>
            <w:hideMark/>
          </w:tcPr>
          <w:p w14:paraId="722CF190"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14</w:t>
            </w:r>
          </w:p>
        </w:tc>
        <w:tc>
          <w:tcPr>
            <w:tcW w:w="785" w:type="dxa"/>
            <w:tcBorders>
              <w:top w:val="nil"/>
              <w:left w:val="nil"/>
              <w:bottom w:val="single" w:sz="4" w:space="0" w:color="000000"/>
              <w:right w:val="single" w:sz="4" w:space="0" w:color="000000"/>
            </w:tcBorders>
            <w:shd w:val="clear" w:color="auto" w:fill="auto"/>
            <w:noWrap/>
            <w:vAlign w:val="center"/>
            <w:hideMark/>
          </w:tcPr>
          <w:p w14:paraId="413C0498"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100</w:t>
            </w:r>
          </w:p>
        </w:tc>
      </w:tr>
    </w:tbl>
    <w:p w14:paraId="0E994B09" w14:textId="77777777" w:rsidR="003B602A" w:rsidRPr="00437A10" w:rsidRDefault="003B602A" w:rsidP="003B602A">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Fuente: Con base en Instituto Nacional de Estadística, Quillaguamán, 2023.</w:t>
      </w:r>
    </w:p>
    <w:p w14:paraId="290C2158" w14:textId="1435F6AB" w:rsidR="00E83B60" w:rsidRPr="00437A10" w:rsidRDefault="00E83B60" w:rsidP="00A71E3F">
      <w:pPr>
        <w:spacing w:after="160" w:line="259" w:lineRule="auto"/>
        <w:jc w:val="both"/>
        <w:rPr>
          <w:rFonts w:ascii="Arial" w:eastAsia="Calibri" w:hAnsi="Arial" w:cs="Arial"/>
          <w:sz w:val="22"/>
          <w:szCs w:val="22"/>
        </w:rPr>
      </w:pPr>
    </w:p>
    <w:p w14:paraId="7544B68A" w14:textId="20489148" w:rsidR="00E83B60" w:rsidRPr="00437A10" w:rsidRDefault="003B602A" w:rsidP="00A71E3F">
      <w:pPr>
        <w:spacing w:after="160" w:line="259" w:lineRule="auto"/>
        <w:jc w:val="both"/>
        <w:rPr>
          <w:rFonts w:ascii="Arial" w:eastAsia="Calibri" w:hAnsi="Arial" w:cs="Arial"/>
          <w:sz w:val="22"/>
          <w:szCs w:val="22"/>
        </w:rPr>
      </w:pPr>
      <w:r w:rsidRPr="00437A10">
        <w:rPr>
          <w:rFonts w:ascii="Arial" w:eastAsia="Calibri" w:hAnsi="Arial" w:cs="Arial"/>
          <w:sz w:val="22"/>
          <w:szCs w:val="22"/>
        </w:rPr>
        <w:t>Según la pobreza extrema por ingreso</w:t>
      </w:r>
      <w:r w:rsidR="00C24461" w:rsidRPr="00437A10">
        <w:rPr>
          <w:rFonts w:ascii="Arial" w:eastAsia="Calibri" w:hAnsi="Arial" w:cs="Arial"/>
          <w:sz w:val="22"/>
          <w:szCs w:val="22"/>
        </w:rPr>
        <w:t xml:space="preserve"> (cuadro 6.11)</w:t>
      </w:r>
      <w:r w:rsidRPr="00437A10">
        <w:rPr>
          <w:rFonts w:ascii="Arial" w:eastAsia="Calibri" w:hAnsi="Arial" w:cs="Arial"/>
          <w:sz w:val="22"/>
          <w:szCs w:val="22"/>
        </w:rPr>
        <w:t>, en el área urbana, el 100% de los pobres extremos habita en una vivienda inasequible, esta cifra corresponde al 6% de la población total del área urbana (511235 habitantes). En el área rural 6 de cada 10 personas en extrema pobreza habita una vivienda inasequible (510516 habitantes).</w:t>
      </w:r>
    </w:p>
    <w:p w14:paraId="75CBE9E6" w14:textId="1174E4CD" w:rsidR="00E83B60" w:rsidRPr="00437A10" w:rsidRDefault="00E83B60" w:rsidP="00E83B60">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Cuadro 6.1</w:t>
      </w:r>
      <w:r w:rsidR="00C24461" w:rsidRPr="00437A10">
        <w:rPr>
          <w:rFonts w:ascii="Arial" w:eastAsia="Calibri" w:hAnsi="Arial" w:cs="Arial"/>
          <w:sz w:val="22"/>
          <w:szCs w:val="22"/>
        </w:rPr>
        <w:t>1</w:t>
      </w:r>
      <w:r w:rsidRPr="00437A10">
        <w:rPr>
          <w:rFonts w:ascii="Arial" w:eastAsia="Calibri" w:hAnsi="Arial" w:cs="Arial"/>
          <w:sz w:val="22"/>
          <w:szCs w:val="22"/>
        </w:rPr>
        <w:t xml:space="preserve">. Bolivia: Porcentaje de personas por asequibilidad de la vivienda, según </w:t>
      </w:r>
      <w:r w:rsidR="00E43C60" w:rsidRPr="00437A10">
        <w:rPr>
          <w:rFonts w:ascii="Arial" w:eastAsia="Calibri" w:hAnsi="Arial" w:cs="Arial"/>
          <w:sz w:val="22"/>
          <w:szCs w:val="22"/>
        </w:rPr>
        <w:t xml:space="preserve">pobreza extrema </w:t>
      </w:r>
      <w:r w:rsidRPr="00437A10">
        <w:rPr>
          <w:rFonts w:ascii="Arial" w:eastAsia="Calibri" w:hAnsi="Arial" w:cs="Arial"/>
          <w:sz w:val="22"/>
          <w:szCs w:val="22"/>
        </w:rPr>
        <w:t>y área geográfica, 2021</w:t>
      </w:r>
    </w:p>
    <w:tbl>
      <w:tblPr>
        <w:tblW w:w="8014" w:type="dxa"/>
        <w:tblInd w:w="-5" w:type="dxa"/>
        <w:tblCellMar>
          <w:left w:w="70" w:type="dxa"/>
          <w:right w:w="70" w:type="dxa"/>
        </w:tblCellMar>
        <w:tblLook w:val="04A0" w:firstRow="1" w:lastRow="0" w:firstColumn="1" w:lastColumn="0" w:noHBand="0" w:noVBand="1"/>
      </w:tblPr>
      <w:tblGrid>
        <w:gridCol w:w="1701"/>
        <w:gridCol w:w="1210"/>
        <w:gridCol w:w="1200"/>
        <w:gridCol w:w="696"/>
        <w:gridCol w:w="1223"/>
        <w:gridCol w:w="1200"/>
        <w:gridCol w:w="784"/>
      </w:tblGrid>
      <w:tr w:rsidR="00E43C60" w:rsidRPr="00437A10" w14:paraId="32C59BCE" w14:textId="77777777" w:rsidTr="00E43C60">
        <w:trPr>
          <w:trHeight w:val="315"/>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5176AEF" w14:textId="78E64BA6" w:rsidR="00E43C60" w:rsidRPr="00437A10" w:rsidRDefault="00E43C60" w:rsidP="00E43C60">
            <w:pPr>
              <w:jc w:val="center"/>
              <w:rPr>
                <w:rFonts w:ascii="Arial" w:hAnsi="Arial" w:cs="Arial"/>
                <w:sz w:val="18"/>
                <w:szCs w:val="18"/>
                <w:lang w:val="es-BO" w:eastAsia="es-BO"/>
              </w:rPr>
            </w:pPr>
            <w:r w:rsidRPr="00437A10">
              <w:rPr>
                <w:rFonts w:ascii="Arial" w:hAnsi="Arial" w:cs="Arial"/>
                <w:sz w:val="18"/>
                <w:szCs w:val="18"/>
                <w:lang w:val="es-BO" w:eastAsia="es-BO"/>
              </w:rPr>
              <w:t>Pobreza extrema o indigencia por ingreso</w:t>
            </w:r>
          </w:p>
        </w:tc>
        <w:tc>
          <w:tcPr>
            <w:tcW w:w="3106" w:type="dxa"/>
            <w:gridSpan w:val="3"/>
            <w:tcBorders>
              <w:top w:val="single" w:sz="4" w:space="0" w:color="000000"/>
              <w:left w:val="nil"/>
              <w:bottom w:val="single" w:sz="4" w:space="0" w:color="000000"/>
              <w:right w:val="single" w:sz="4" w:space="0" w:color="000000"/>
            </w:tcBorders>
            <w:shd w:val="clear" w:color="auto" w:fill="auto"/>
            <w:vAlign w:val="bottom"/>
            <w:hideMark/>
          </w:tcPr>
          <w:p w14:paraId="0E6E0C26" w14:textId="77777777" w:rsidR="00E43C60" w:rsidRPr="00437A10" w:rsidRDefault="00E43C60" w:rsidP="00E43C60">
            <w:pPr>
              <w:jc w:val="center"/>
              <w:rPr>
                <w:rFonts w:ascii="Arial" w:hAnsi="Arial" w:cs="Arial"/>
                <w:sz w:val="18"/>
                <w:szCs w:val="18"/>
                <w:lang w:val="es-BO" w:eastAsia="es-BO"/>
              </w:rPr>
            </w:pPr>
            <w:r w:rsidRPr="00437A10">
              <w:rPr>
                <w:rFonts w:ascii="Arial" w:hAnsi="Arial" w:cs="Arial"/>
                <w:sz w:val="18"/>
                <w:szCs w:val="18"/>
                <w:lang w:val="es-BO" w:eastAsia="es-BO"/>
              </w:rPr>
              <w:t>Área urbana</w:t>
            </w:r>
          </w:p>
        </w:tc>
        <w:tc>
          <w:tcPr>
            <w:tcW w:w="3207" w:type="dxa"/>
            <w:gridSpan w:val="3"/>
            <w:tcBorders>
              <w:top w:val="single" w:sz="4" w:space="0" w:color="000000"/>
              <w:left w:val="nil"/>
              <w:bottom w:val="single" w:sz="4" w:space="0" w:color="000000"/>
              <w:right w:val="single" w:sz="4" w:space="0" w:color="000000"/>
            </w:tcBorders>
            <w:shd w:val="clear" w:color="auto" w:fill="auto"/>
            <w:vAlign w:val="bottom"/>
            <w:hideMark/>
          </w:tcPr>
          <w:p w14:paraId="2ED4BF8F" w14:textId="77777777" w:rsidR="00E43C60" w:rsidRPr="00437A10" w:rsidRDefault="00E43C60" w:rsidP="00E43C60">
            <w:pPr>
              <w:jc w:val="center"/>
              <w:rPr>
                <w:rFonts w:ascii="Arial" w:hAnsi="Arial" w:cs="Arial"/>
                <w:sz w:val="18"/>
                <w:szCs w:val="18"/>
                <w:lang w:val="es-BO" w:eastAsia="es-BO"/>
              </w:rPr>
            </w:pPr>
            <w:r w:rsidRPr="00437A10">
              <w:rPr>
                <w:rFonts w:ascii="Arial" w:hAnsi="Arial" w:cs="Arial"/>
                <w:sz w:val="18"/>
                <w:szCs w:val="18"/>
                <w:lang w:val="es-BO" w:eastAsia="es-BO"/>
              </w:rPr>
              <w:t>Área rural</w:t>
            </w:r>
          </w:p>
        </w:tc>
      </w:tr>
      <w:tr w:rsidR="00E43C60" w:rsidRPr="00437A10" w14:paraId="721C15E5" w14:textId="77777777" w:rsidTr="00E43C60">
        <w:trPr>
          <w:trHeight w:val="51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1F6F2EB" w14:textId="77777777" w:rsidR="00E43C60" w:rsidRPr="00437A10" w:rsidRDefault="00E43C60" w:rsidP="00E43C60">
            <w:pPr>
              <w:rPr>
                <w:rFonts w:ascii="Arial" w:hAnsi="Arial" w:cs="Arial"/>
                <w:sz w:val="18"/>
                <w:szCs w:val="18"/>
                <w:lang w:val="es-BO" w:eastAsia="es-BO"/>
              </w:rPr>
            </w:pPr>
          </w:p>
        </w:tc>
        <w:tc>
          <w:tcPr>
            <w:tcW w:w="1210" w:type="dxa"/>
            <w:tcBorders>
              <w:top w:val="nil"/>
              <w:left w:val="nil"/>
              <w:bottom w:val="single" w:sz="4" w:space="0" w:color="000000"/>
              <w:right w:val="single" w:sz="4" w:space="0" w:color="000000"/>
            </w:tcBorders>
            <w:shd w:val="clear" w:color="auto" w:fill="auto"/>
            <w:vAlign w:val="bottom"/>
            <w:hideMark/>
          </w:tcPr>
          <w:p w14:paraId="59D20D57" w14:textId="77777777" w:rsidR="00E43C60" w:rsidRPr="00437A10" w:rsidRDefault="00E43C60" w:rsidP="00E43C60">
            <w:pPr>
              <w:jc w:val="cente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200" w:type="dxa"/>
            <w:tcBorders>
              <w:top w:val="nil"/>
              <w:left w:val="nil"/>
              <w:bottom w:val="single" w:sz="4" w:space="0" w:color="000000"/>
              <w:right w:val="single" w:sz="4" w:space="0" w:color="000000"/>
            </w:tcBorders>
            <w:shd w:val="clear" w:color="auto" w:fill="auto"/>
            <w:vAlign w:val="bottom"/>
            <w:hideMark/>
          </w:tcPr>
          <w:p w14:paraId="6A56B8FD" w14:textId="77777777" w:rsidR="00E43C60" w:rsidRPr="00437A10" w:rsidRDefault="00E43C60" w:rsidP="00E43C60">
            <w:pPr>
              <w:jc w:val="cente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696" w:type="dxa"/>
            <w:tcBorders>
              <w:top w:val="nil"/>
              <w:left w:val="nil"/>
              <w:bottom w:val="single" w:sz="4" w:space="0" w:color="000000"/>
              <w:right w:val="single" w:sz="4" w:space="0" w:color="000000"/>
            </w:tcBorders>
            <w:shd w:val="clear" w:color="auto" w:fill="auto"/>
            <w:vAlign w:val="bottom"/>
            <w:hideMark/>
          </w:tcPr>
          <w:p w14:paraId="1C03C1D1" w14:textId="77777777" w:rsidR="00E43C60" w:rsidRPr="00437A10" w:rsidRDefault="00E43C60" w:rsidP="00E43C60">
            <w:pPr>
              <w:rPr>
                <w:rFonts w:ascii="Arial" w:hAnsi="Arial" w:cs="Arial"/>
                <w:sz w:val="18"/>
                <w:szCs w:val="18"/>
                <w:lang w:val="es-BO" w:eastAsia="es-BO"/>
              </w:rPr>
            </w:pPr>
            <w:r w:rsidRPr="00437A10">
              <w:rPr>
                <w:rFonts w:ascii="Arial" w:hAnsi="Arial" w:cs="Arial"/>
                <w:sz w:val="18"/>
                <w:szCs w:val="18"/>
                <w:lang w:val="es-BO" w:eastAsia="es-BO"/>
              </w:rPr>
              <w:t>Total</w:t>
            </w:r>
          </w:p>
        </w:tc>
        <w:tc>
          <w:tcPr>
            <w:tcW w:w="1223" w:type="dxa"/>
            <w:tcBorders>
              <w:top w:val="nil"/>
              <w:left w:val="nil"/>
              <w:bottom w:val="single" w:sz="4" w:space="0" w:color="000000"/>
              <w:right w:val="single" w:sz="4" w:space="0" w:color="000000"/>
            </w:tcBorders>
            <w:shd w:val="clear" w:color="auto" w:fill="auto"/>
            <w:vAlign w:val="bottom"/>
            <w:hideMark/>
          </w:tcPr>
          <w:p w14:paraId="572F24B9" w14:textId="77777777" w:rsidR="00E43C60" w:rsidRPr="00437A10" w:rsidRDefault="00E43C60" w:rsidP="00E43C60">
            <w:pPr>
              <w:jc w:val="center"/>
              <w:rPr>
                <w:rFonts w:ascii="Arial" w:hAnsi="Arial" w:cs="Arial"/>
                <w:sz w:val="18"/>
                <w:szCs w:val="18"/>
                <w:lang w:val="es-BO" w:eastAsia="es-BO"/>
              </w:rPr>
            </w:pPr>
            <w:r w:rsidRPr="00437A10">
              <w:rPr>
                <w:rFonts w:ascii="Arial" w:hAnsi="Arial" w:cs="Arial"/>
                <w:sz w:val="18"/>
                <w:szCs w:val="18"/>
                <w:lang w:val="es-BO" w:eastAsia="es-BO"/>
              </w:rPr>
              <w:t>Vivienda asequible</w:t>
            </w:r>
          </w:p>
        </w:tc>
        <w:tc>
          <w:tcPr>
            <w:tcW w:w="1200" w:type="dxa"/>
            <w:tcBorders>
              <w:top w:val="nil"/>
              <w:left w:val="nil"/>
              <w:bottom w:val="single" w:sz="4" w:space="0" w:color="000000"/>
              <w:right w:val="single" w:sz="4" w:space="0" w:color="000000"/>
            </w:tcBorders>
            <w:shd w:val="clear" w:color="auto" w:fill="auto"/>
            <w:vAlign w:val="bottom"/>
            <w:hideMark/>
          </w:tcPr>
          <w:p w14:paraId="46A0B715" w14:textId="77777777" w:rsidR="00E43C60" w:rsidRPr="00437A10" w:rsidRDefault="00E43C60" w:rsidP="00E43C60">
            <w:pPr>
              <w:jc w:val="center"/>
              <w:rPr>
                <w:rFonts w:ascii="Arial" w:hAnsi="Arial" w:cs="Arial"/>
                <w:sz w:val="18"/>
                <w:szCs w:val="18"/>
                <w:lang w:val="es-BO" w:eastAsia="es-BO"/>
              </w:rPr>
            </w:pPr>
            <w:r w:rsidRPr="00437A10">
              <w:rPr>
                <w:rFonts w:ascii="Arial" w:hAnsi="Arial" w:cs="Arial"/>
                <w:sz w:val="18"/>
                <w:szCs w:val="18"/>
                <w:lang w:val="es-BO" w:eastAsia="es-BO"/>
              </w:rPr>
              <w:t>Vivienda inasequible</w:t>
            </w:r>
          </w:p>
        </w:tc>
        <w:tc>
          <w:tcPr>
            <w:tcW w:w="784" w:type="dxa"/>
            <w:tcBorders>
              <w:top w:val="nil"/>
              <w:left w:val="nil"/>
              <w:bottom w:val="single" w:sz="4" w:space="0" w:color="000000"/>
              <w:right w:val="single" w:sz="4" w:space="0" w:color="000000"/>
            </w:tcBorders>
            <w:shd w:val="clear" w:color="auto" w:fill="auto"/>
            <w:vAlign w:val="bottom"/>
            <w:hideMark/>
          </w:tcPr>
          <w:p w14:paraId="1E9C6D5C" w14:textId="77777777" w:rsidR="00E43C60" w:rsidRPr="00437A10" w:rsidRDefault="00E43C60" w:rsidP="00E43C60">
            <w:pPr>
              <w:rPr>
                <w:rFonts w:ascii="Arial" w:hAnsi="Arial" w:cs="Arial"/>
                <w:sz w:val="18"/>
                <w:szCs w:val="18"/>
                <w:lang w:val="es-BO" w:eastAsia="es-BO"/>
              </w:rPr>
            </w:pPr>
            <w:r w:rsidRPr="00437A10">
              <w:rPr>
                <w:rFonts w:ascii="Arial" w:hAnsi="Arial" w:cs="Arial"/>
                <w:sz w:val="18"/>
                <w:szCs w:val="18"/>
                <w:lang w:val="es-BO" w:eastAsia="es-BO"/>
              </w:rPr>
              <w:t>Total</w:t>
            </w:r>
          </w:p>
        </w:tc>
      </w:tr>
      <w:tr w:rsidR="00E43C60" w:rsidRPr="00437A10" w14:paraId="5E92A8FD" w14:textId="77777777" w:rsidTr="00E43C60">
        <w:trPr>
          <w:trHeight w:val="278"/>
        </w:trPr>
        <w:tc>
          <w:tcPr>
            <w:tcW w:w="1701" w:type="dxa"/>
            <w:tcBorders>
              <w:top w:val="nil"/>
              <w:left w:val="single" w:sz="4" w:space="0" w:color="000000"/>
              <w:bottom w:val="single" w:sz="4" w:space="0" w:color="000000"/>
              <w:right w:val="single" w:sz="4" w:space="0" w:color="000000"/>
            </w:tcBorders>
            <w:shd w:val="clear" w:color="auto" w:fill="auto"/>
            <w:hideMark/>
          </w:tcPr>
          <w:p w14:paraId="3A80EA3A" w14:textId="77777777" w:rsidR="00E43C60" w:rsidRPr="00437A10" w:rsidRDefault="00E43C60" w:rsidP="00E43C60">
            <w:pPr>
              <w:rPr>
                <w:rFonts w:ascii="Arial" w:hAnsi="Arial" w:cs="Arial"/>
                <w:sz w:val="18"/>
                <w:szCs w:val="18"/>
                <w:lang w:val="es-BO" w:eastAsia="es-BO"/>
              </w:rPr>
            </w:pPr>
            <w:r w:rsidRPr="00437A10">
              <w:rPr>
                <w:rFonts w:ascii="Arial" w:hAnsi="Arial" w:cs="Arial"/>
                <w:sz w:val="18"/>
                <w:szCs w:val="18"/>
                <w:lang w:val="es-BO" w:eastAsia="es-BO"/>
              </w:rPr>
              <w:t>No pobre extremo</w:t>
            </w:r>
          </w:p>
        </w:tc>
        <w:tc>
          <w:tcPr>
            <w:tcW w:w="1210" w:type="dxa"/>
            <w:tcBorders>
              <w:top w:val="nil"/>
              <w:left w:val="nil"/>
              <w:bottom w:val="single" w:sz="4" w:space="0" w:color="000000"/>
              <w:right w:val="single" w:sz="4" w:space="0" w:color="000000"/>
            </w:tcBorders>
            <w:shd w:val="clear" w:color="auto" w:fill="auto"/>
            <w:noWrap/>
            <w:vAlign w:val="center"/>
            <w:hideMark/>
          </w:tcPr>
          <w:p w14:paraId="7EA68C9B"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83</w:t>
            </w:r>
          </w:p>
        </w:tc>
        <w:tc>
          <w:tcPr>
            <w:tcW w:w="1200" w:type="dxa"/>
            <w:tcBorders>
              <w:top w:val="nil"/>
              <w:left w:val="nil"/>
              <w:bottom w:val="single" w:sz="4" w:space="0" w:color="000000"/>
              <w:right w:val="single" w:sz="4" w:space="0" w:color="000000"/>
            </w:tcBorders>
            <w:shd w:val="clear" w:color="auto" w:fill="auto"/>
            <w:noWrap/>
            <w:vAlign w:val="center"/>
            <w:hideMark/>
          </w:tcPr>
          <w:p w14:paraId="566D18D5"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17</w:t>
            </w:r>
          </w:p>
        </w:tc>
        <w:tc>
          <w:tcPr>
            <w:tcW w:w="696" w:type="dxa"/>
            <w:tcBorders>
              <w:top w:val="nil"/>
              <w:left w:val="nil"/>
              <w:bottom w:val="single" w:sz="4" w:space="0" w:color="000000"/>
              <w:right w:val="single" w:sz="4" w:space="0" w:color="000000"/>
            </w:tcBorders>
            <w:shd w:val="clear" w:color="auto" w:fill="auto"/>
            <w:noWrap/>
            <w:vAlign w:val="center"/>
            <w:hideMark/>
          </w:tcPr>
          <w:p w14:paraId="325E8D67"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23" w:type="dxa"/>
            <w:tcBorders>
              <w:top w:val="nil"/>
              <w:left w:val="nil"/>
              <w:bottom w:val="single" w:sz="4" w:space="0" w:color="000000"/>
              <w:right w:val="single" w:sz="4" w:space="0" w:color="000000"/>
            </w:tcBorders>
            <w:shd w:val="clear" w:color="auto" w:fill="auto"/>
            <w:noWrap/>
            <w:vAlign w:val="center"/>
            <w:hideMark/>
          </w:tcPr>
          <w:p w14:paraId="70638314"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00" w:type="dxa"/>
            <w:tcBorders>
              <w:top w:val="nil"/>
              <w:left w:val="nil"/>
              <w:bottom w:val="single" w:sz="4" w:space="0" w:color="000000"/>
              <w:right w:val="single" w:sz="4" w:space="0" w:color="000000"/>
            </w:tcBorders>
            <w:shd w:val="clear" w:color="auto" w:fill="auto"/>
            <w:noWrap/>
            <w:vAlign w:val="center"/>
            <w:hideMark/>
          </w:tcPr>
          <w:p w14:paraId="34A88E3A"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0</w:t>
            </w:r>
          </w:p>
        </w:tc>
        <w:tc>
          <w:tcPr>
            <w:tcW w:w="784" w:type="dxa"/>
            <w:tcBorders>
              <w:top w:val="nil"/>
              <w:left w:val="nil"/>
              <w:bottom w:val="single" w:sz="4" w:space="0" w:color="000000"/>
              <w:right w:val="single" w:sz="4" w:space="0" w:color="000000"/>
            </w:tcBorders>
            <w:shd w:val="clear" w:color="auto" w:fill="auto"/>
            <w:noWrap/>
            <w:vAlign w:val="center"/>
            <w:hideMark/>
          </w:tcPr>
          <w:p w14:paraId="41651991"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E43C60" w:rsidRPr="00437A10" w14:paraId="55EEE1E5" w14:textId="77777777" w:rsidTr="003B602A">
        <w:trPr>
          <w:trHeight w:val="281"/>
        </w:trPr>
        <w:tc>
          <w:tcPr>
            <w:tcW w:w="1701" w:type="dxa"/>
            <w:tcBorders>
              <w:top w:val="nil"/>
              <w:left w:val="single" w:sz="4" w:space="0" w:color="000000"/>
              <w:bottom w:val="single" w:sz="4" w:space="0" w:color="000000"/>
              <w:right w:val="single" w:sz="4" w:space="0" w:color="000000"/>
            </w:tcBorders>
            <w:shd w:val="clear" w:color="auto" w:fill="auto"/>
            <w:hideMark/>
          </w:tcPr>
          <w:p w14:paraId="3B69DF88" w14:textId="77777777" w:rsidR="00E43C60" w:rsidRPr="00437A10" w:rsidRDefault="00E43C60" w:rsidP="00E43C60">
            <w:pPr>
              <w:rPr>
                <w:rFonts w:ascii="Arial" w:hAnsi="Arial" w:cs="Arial"/>
                <w:sz w:val="18"/>
                <w:szCs w:val="18"/>
                <w:lang w:val="es-BO" w:eastAsia="es-BO"/>
              </w:rPr>
            </w:pPr>
            <w:r w:rsidRPr="00437A10">
              <w:rPr>
                <w:rFonts w:ascii="Arial" w:hAnsi="Arial" w:cs="Arial"/>
                <w:sz w:val="18"/>
                <w:szCs w:val="18"/>
                <w:lang w:val="es-BO" w:eastAsia="es-BO"/>
              </w:rPr>
              <w:t>Pobre extremo</w:t>
            </w:r>
          </w:p>
        </w:tc>
        <w:tc>
          <w:tcPr>
            <w:tcW w:w="1210" w:type="dxa"/>
            <w:tcBorders>
              <w:top w:val="nil"/>
              <w:left w:val="nil"/>
              <w:bottom w:val="single" w:sz="4" w:space="0" w:color="000000"/>
              <w:right w:val="single" w:sz="4" w:space="0" w:color="000000"/>
            </w:tcBorders>
            <w:shd w:val="clear" w:color="auto" w:fill="auto"/>
            <w:noWrap/>
            <w:vAlign w:val="center"/>
            <w:hideMark/>
          </w:tcPr>
          <w:p w14:paraId="67B13447"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0</w:t>
            </w:r>
          </w:p>
        </w:tc>
        <w:tc>
          <w:tcPr>
            <w:tcW w:w="1200"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142F79C3"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696" w:type="dxa"/>
            <w:tcBorders>
              <w:top w:val="nil"/>
              <w:left w:val="nil"/>
              <w:bottom w:val="single" w:sz="4" w:space="0" w:color="000000"/>
              <w:right w:val="single" w:sz="4" w:space="0" w:color="000000"/>
            </w:tcBorders>
            <w:shd w:val="clear" w:color="auto" w:fill="auto"/>
            <w:noWrap/>
            <w:vAlign w:val="center"/>
            <w:hideMark/>
          </w:tcPr>
          <w:p w14:paraId="7C5EEBE1"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23" w:type="dxa"/>
            <w:tcBorders>
              <w:top w:val="nil"/>
              <w:left w:val="nil"/>
              <w:bottom w:val="single" w:sz="4" w:space="0" w:color="000000"/>
              <w:right w:val="single" w:sz="4" w:space="0" w:color="000000"/>
            </w:tcBorders>
            <w:shd w:val="clear" w:color="auto" w:fill="auto"/>
            <w:noWrap/>
            <w:vAlign w:val="center"/>
            <w:hideMark/>
          </w:tcPr>
          <w:p w14:paraId="608BFFDC"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37</w:t>
            </w:r>
          </w:p>
        </w:tc>
        <w:tc>
          <w:tcPr>
            <w:tcW w:w="1200"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75E39520"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63</w:t>
            </w:r>
          </w:p>
        </w:tc>
        <w:tc>
          <w:tcPr>
            <w:tcW w:w="784" w:type="dxa"/>
            <w:tcBorders>
              <w:top w:val="nil"/>
              <w:left w:val="nil"/>
              <w:bottom w:val="single" w:sz="4" w:space="0" w:color="000000"/>
              <w:right w:val="single" w:sz="4" w:space="0" w:color="000000"/>
            </w:tcBorders>
            <w:shd w:val="clear" w:color="auto" w:fill="auto"/>
            <w:noWrap/>
            <w:vAlign w:val="center"/>
            <w:hideMark/>
          </w:tcPr>
          <w:p w14:paraId="36DCF6A5"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100</w:t>
            </w:r>
          </w:p>
        </w:tc>
      </w:tr>
      <w:tr w:rsidR="00E43C60" w:rsidRPr="00437A10" w14:paraId="2EEB4611" w14:textId="77777777" w:rsidTr="00E43C60">
        <w:trPr>
          <w:trHeight w:val="272"/>
        </w:trPr>
        <w:tc>
          <w:tcPr>
            <w:tcW w:w="1701" w:type="dxa"/>
            <w:tcBorders>
              <w:top w:val="nil"/>
              <w:left w:val="single" w:sz="4" w:space="0" w:color="000000"/>
              <w:bottom w:val="single" w:sz="4" w:space="0" w:color="000000"/>
              <w:right w:val="single" w:sz="4" w:space="0" w:color="000000"/>
            </w:tcBorders>
            <w:shd w:val="clear" w:color="auto" w:fill="auto"/>
            <w:vAlign w:val="bottom"/>
            <w:hideMark/>
          </w:tcPr>
          <w:p w14:paraId="485CF2BF" w14:textId="77777777" w:rsidR="00E43C60" w:rsidRPr="00437A10" w:rsidRDefault="00E43C60" w:rsidP="00E43C60">
            <w:pPr>
              <w:rPr>
                <w:rFonts w:ascii="Arial" w:hAnsi="Arial" w:cs="Arial"/>
                <w:sz w:val="18"/>
                <w:szCs w:val="18"/>
                <w:lang w:val="es-BO" w:eastAsia="es-BO"/>
              </w:rPr>
            </w:pPr>
            <w:r w:rsidRPr="00437A10">
              <w:rPr>
                <w:rFonts w:ascii="Arial" w:hAnsi="Arial" w:cs="Arial"/>
                <w:sz w:val="18"/>
                <w:szCs w:val="18"/>
                <w:lang w:val="es-BO" w:eastAsia="es-BO"/>
              </w:rPr>
              <w:t>Total</w:t>
            </w:r>
          </w:p>
        </w:tc>
        <w:tc>
          <w:tcPr>
            <w:tcW w:w="1210" w:type="dxa"/>
            <w:tcBorders>
              <w:top w:val="nil"/>
              <w:left w:val="nil"/>
              <w:bottom w:val="single" w:sz="4" w:space="0" w:color="000000"/>
              <w:right w:val="single" w:sz="4" w:space="0" w:color="000000"/>
            </w:tcBorders>
            <w:shd w:val="clear" w:color="auto" w:fill="auto"/>
            <w:noWrap/>
            <w:vAlign w:val="center"/>
            <w:hideMark/>
          </w:tcPr>
          <w:p w14:paraId="30D95A16"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78</w:t>
            </w:r>
          </w:p>
        </w:tc>
        <w:tc>
          <w:tcPr>
            <w:tcW w:w="1200" w:type="dxa"/>
            <w:tcBorders>
              <w:top w:val="nil"/>
              <w:left w:val="nil"/>
              <w:bottom w:val="single" w:sz="4" w:space="0" w:color="000000"/>
              <w:right w:val="single" w:sz="4" w:space="0" w:color="000000"/>
            </w:tcBorders>
            <w:shd w:val="clear" w:color="auto" w:fill="auto"/>
            <w:noWrap/>
            <w:vAlign w:val="center"/>
            <w:hideMark/>
          </w:tcPr>
          <w:p w14:paraId="1D61C986"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22</w:t>
            </w:r>
          </w:p>
        </w:tc>
        <w:tc>
          <w:tcPr>
            <w:tcW w:w="696" w:type="dxa"/>
            <w:tcBorders>
              <w:top w:val="nil"/>
              <w:left w:val="nil"/>
              <w:bottom w:val="single" w:sz="4" w:space="0" w:color="000000"/>
              <w:right w:val="single" w:sz="4" w:space="0" w:color="000000"/>
            </w:tcBorders>
            <w:shd w:val="clear" w:color="auto" w:fill="auto"/>
            <w:noWrap/>
            <w:vAlign w:val="center"/>
            <w:hideMark/>
          </w:tcPr>
          <w:p w14:paraId="4B7CD0C0"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100</w:t>
            </w:r>
          </w:p>
        </w:tc>
        <w:tc>
          <w:tcPr>
            <w:tcW w:w="1223" w:type="dxa"/>
            <w:tcBorders>
              <w:top w:val="nil"/>
              <w:left w:val="nil"/>
              <w:bottom w:val="single" w:sz="4" w:space="0" w:color="000000"/>
              <w:right w:val="single" w:sz="4" w:space="0" w:color="000000"/>
            </w:tcBorders>
            <w:shd w:val="clear" w:color="auto" w:fill="auto"/>
            <w:noWrap/>
            <w:vAlign w:val="center"/>
            <w:hideMark/>
          </w:tcPr>
          <w:p w14:paraId="0E614300"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86</w:t>
            </w:r>
          </w:p>
        </w:tc>
        <w:tc>
          <w:tcPr>
            <w:tcW w:w="1200" w:type="dxa"/>
            <w:tcBorders>
              <w:top w:val="nil"/>
              <w:left w:val="nil"/>
              <w:bottom w:val="single" w:sz="4" w:space="0" w:color="000000"/>
              <w:right w:val="single" w:sz="4" w:space="0" w:color="000000"/>
            </w:tcBorders>
            <w:shd w:val="clear" w:color="auto" w:fill="auto"/>
            <w:noWrap/>
            <w:vAlign w:val="center"/>
            <w:hideMark/>
          </w:tcPr>
          <w:p w14:paraId="44540408"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14</w:t>
            </w:r>
          </w:p>
        </w:tc>
        <w:tc>
          <w:tcPr>
            <w:tcW w:w="784" w:type="dxa"/>
            <w:tcBorders>
              <w:top w:val="nil"/>
              <w:left w:val="nil"/>
              <w:bottom w:val="single" w:sz="4" w:space="0" w:color="000000"/>
              <w:right w:val="single" w:sz="4" w:space="0" w:color="000000"/>
            </w:tcBorders>
            <w:shd w:val="clear" w:color="auto" w:fill="auto"/>
            <w:noWrap/>
            <w:vAlign w:val="center"/>
            <w:hideMark/>
          </w:tcPr>
          <w:p w14:paraId="662B871D" w14:textId="77777777" w:rsidR="00E43C60" w:rsidRPr="00437A10" w:rsidRDefault="00E43C60" w:rsidP="00E43C60">
            <w:pPr>
              <w:jc w:val="right"/>
              <w:rPr>
                <w:rFonts w:ascii="Arial" w:hAnsi="Arial" w:cs="Arial"/>
                <w:sz w:val="18"/>
                <w:szCs w:val="18"/>
                <w:lang w:val="es-BO" w:eastAsia="es-BO"/>
              </w:rPr>
            </w:pPr>
            <w:r w:rsidRPr="00437A10">
              <w:rPr>
                <w:rFonts w:ascii="Arial" w:hAnsi="Arial" w:cs="Arial"/>
                <w:sz w:val="18"/>
                <w:szCs w:val="18"/>
                <w:lang w:val="es-BO" w:eastAsia="es-BO"/>
              </w:rPr>
              <w:t>100</w:t>
            </w:r>
          </w:p>
        </w:tc>
      </w:tr>
    </w:tbl>
    <w:p w14:paraId="2B9B9693" w14:textId="77777777" w:rsidR="003B602A" w:rsidRPr="00437A10" w:rsidRDefault="003B602A" w:rsidP="003B602A">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Fuente: Con base en Instituto Nacional de Estadística, Quillaguamán, 2023.</w:t>
      </w:r>
    </w:p>
    <w:p w14:paraId="525DC3B0" w14:textId="77777777" w:rsidR="00E83B60" w:rsidRPr="00437A10" w:rsidRDefault="00E83B60" w:rsidP="00A71E3F">
      <w:pPr>
        <w:spacing w:after="160" w:line="259" w:lineRule="auto"/>
        <w:jc w:val="both"/>
        <w:rPr>
          <w:rFonts w:ascii="Arial" w:eastAsia="Calibri" w:hAnsi="Arial" w:cs="Arial"/>
          <w:sz w:val="22"/>
          <w:szCs w:val="22"/>
        </w:rPr>
      </w:pPr>
    </w:p>
    <w:p w14:paraId="2C8A541B" w14:textId="77777777" w:rsidR="00A83B64" w:rsidRPr="00437A10" w:rsidRDefault="00A83B64" w:rsidP="00A83B64">
      <w:pPr>
        <w:numPr>
          <w:ilvl w:val="0"/>
          <w:numId w:val="1"/>
        </w:num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¿Pueden ciertos grupos o personas específicos, como personas sin hogar, que viven en asentamientos informales, estudiantes, solicitantes de asilo o refugiados, quedar potencialmente fuera de la recopilación de datos en relación con la asequibilidad de la vivienda?</w:t>
      </w:r>
    </w:p>
    <w:p w14:paraId="51C9648D" w14:textId="4DD84EF4" w:rsidR="00A83B64" w:rsidRPr="00437A10" w:rsidRDefault="008266F3" w:rsidP="00621F91">
      <w:pPr>
        <w:spacing w:before="100" w:beforeAutospacing="1" w:after="160" w:line="259" w:lineRule="auto"/>
        <w:jc w:val="both"/>
        <w:rPr>
          <w:rFonts w:ascii="Arial" w:eastAsia="Calibri" w:hAnsi="Arial" w:cs="Arial"/>
          <w:sz w:val="22"/>
          <w:szCs w:val="22"/>
        </w:rPr>
      </w:pPr>
      <w:r w:rsidRPr="00437A10">
        <w:rPr>
          <w:rFonts w:ascii="Arial" w:eastAsia="Calibri" w:hAnsi="Arial" w:cs="Arial"/>
          <w:sz w:val="22"/>
          <w:szCs w:val="22"/>
        </w:rPr>
        <w:t>Ni los Censos de Población y Vivienda, ni las Encuestas de Hogares en Bolivia recolectan información demográfica sobre personas sin hogar, asentamientos informales o sol</w:t>
      </w:r>
      <w:r w:rsidR="00BF2D6F" w:rsidRPr="00437A10">
        <w:rPr>
          <w:rFonts w:ascii="Arial" w:eastAsia="Calibri" w:hAnsi="Arial" w:cs="Arial"/>
          <w:sz w:val="22"/>
          <w:szCs w:val="22"/>
        </w:rPr>
        <w:t>icitantes de asilo o refugiados;</w:t>
      </w:r>
      <w:r w:rsidRPr="00437A10">
        <w:rPr>
          <w:rFonts w:ascii="Arial" w:eastAsia="Calibri" w:hAnsi="Arial" w:cs="Arial"/>
          <w:sz w:val="22"/>
          <w:szCs w:val="22"/>
        </w:rPr>
        <w:t xml:space="preserve"> por lo tanto, no se cuenta con una estimación en relación con la asequibilidad de la vivi</w:t>
      </w:r>
      <w:r w:rsidR="00E83B60" w:rsidRPr="00437A10">
        <w:rPr>
          <w:rFonts w:ascii="Arial" w:eastAsia="Calibri" w:hAnsi="Arial" w:cs="Arial"/>
          <w:sz w:val="22"/>
          <w:szCs w:val="22"/>
        </w:rPr>
        <w:t xml:space="preserve">enda. Se pueden encontrar estudios institucionales </w:t>
      </w:r>
      <w:r w:rsidR="00AA6BAF" w:rsidRPr="00437A10">
        <w:rPr>
          <w:rFonts w:ascii="Arial" w:eastAsia="Calibri" w:hAnsi="Arial" w:cs="Arial"/>
          <w:sz w:val="22"/>
          <w:szCs w:val="22"/>
        </w:rPr>
        <w:t xml:space="preserve">(Defensoría de DDHH, ONG) </w:t>
      </w:r>
      <w:r w:rsidR="00E83B60" w:rsidRPr="00437A10">
        <w:rPr>
          <w:rFonts w:ascii="Arial" w:eastAsia="Calibri" w:hAnsi="Arial" w:cs="Arial"/>
          <w:sz w:val="22"/>
          <w:szCs w:val="22"/>
        </w:rPr>
        <w:t>que hacen referencia a estas personas, pero el objetivo de dichos estudios no es medir la asequibilidad de la vivienda; en consecuencia, estos grupos de personas quedan fuera de la recopilación de datos al respecto. En cambio, los estudiantes sí podrían ser objeto de medición en relación con la asequibilidad de la vivienda a partir del procesamiento de distintas bases de datos del Instituto Nacional de Estadística.</w:t>
      </w:r>
    </w:p>
    <w:p w14:paraId="36235FC6" w14:textId="77777777" w:rsidR="00A83B64" w:rsidRPr="00437A10" w:rsidRDefault="00A83B64" w:rsidP="00A83B64">
      <w:pPr>
        <w:spacing w:after="160" w:line="259" w:lineRule="auto"/>
        <w:jc w:val="both"/>
        <w:rPr>
          <w:rFonts w:ascii="Arial" w:eastAsia="Calibri" w:hAnsi="Arial" w:cs="Arial"/>
          <w:b/>
          <w:sz w:val="22"/>
          <w:szCs w:val="22"/>
          <w:lang w:val="es-BO"/>
        </w:rPr>
      </w:pPr>
      <w:r w:rsidRPr="00437A10">
        <w:rPr>
          <w:rFonts w:ascii="Arial" w:eastAsia="Calibri" w:hAnsi="Arial" w:cs="Arial"/>
          <w:b/>
          <w:sz w:val="22"/>
          <w:szCs w:val="22"/>
          <w:lang w:val="es-BO"/>
        </w:rPr>
        <w:t>Causas y consecuencias de la inasequibilidad de la vivienda</w:t>
      </w:r>
    </w:p>
    <w:p w14:paraId="061DEDA6" w14:textId="77777777" w:rsidR="00A83B64" w:rsidRPr="00437A10" w:rsidRDefault="00A83B64" w:rsidP="00A83B64">
      <w:pPr>
        <w:numPr>
          <w:ilvl w:val="0"/>
          <w:numId w:val="1"/>
        </w:num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lang w:val="es-BO"/>
        </w:rPr>
        <w:t xml:space="preserve">¿Cuáles son las razones principales por las que la vivienda es inasequible para ciertas personas o grupos en su país? </w:t>
      </w:r>
      <w:r w:rsidRPr="00437A10">
        <w:rPr>
          <w:rFonts w:ascii="Arial" w:eastAsia="Calibri" w:hAnsi="Arial" w:cs="Arial"/>
          <w:sz w:val="22"/>
          <w:szCs w:val="22"/>
        </w:rPr>
        <w:t>Proporcione, si es posible, también enlaces a estudios (científicos) que hayan analizado tales razones.</w:t>
      </w:r>
    </w:p>
    <w:p w14:paraId="5839401B" w14:textId="23A0B490" w:rsidR="00506C1C" w:rsidRPr="00437A10" w:rsidRDefault="00506C1C" w:rsidP="00621F91">
      <w:pPr>
        <w:spacing w:before="100" w:beforeAutospacing="1" w:after="160" w:line="259" w:lineRule="auto"/>
        <w:jc w:val="both"/>
        <w:rPr>
          <w:rFonts w:ascii="Arial" w:eastAsia="Calibri" w:hAnsi="Arial" w:cs="Arial"/>
          <w:sz w:val="22"/>
          <w:szCs w:val="22"/>
        </w:rPr>
      </w:pPr>
      <w:r w:rsidRPr="00437A10">
        <w:rPr>
          <w:rFonts w:ascii="Arial" w:eastAsia="Calibri" w:hAnsi="Arial" w:cs="Arial"/>
          <w:sz w:val="22"/>
          <w:szCs w:val="22"/>
        </w:rPr>
        <w:t>Identificamos las siguientes:</w:t>
      </w:r>
    </w:p>
    <w:p w14:paraId="4532AE0E" w14:textId="0155EB87" w:rsidR="00A83B64" w:rsidRPr="00437A10" w:rsidRDefault="00AA6BAF" w:rsidP="00506C1C">
      <w:pPr>
        <w:pStyle w:val="ListParagraph"/>
        <w:numPr>
          <w:ilvl w:val="0"/>
          <w:numId w:val="9"/>
        </w:numPr>
        <w:spacing w:before="100" w:beforeAutospacing="1" w:after="160" w:line="259" w:lineRule="auto"/>
        <w:jc w:val="both"/>
        <w:rPr>
          <w:rFonts w:ascii="Arial" w:eastAsia="Calibri" w:hAnsi="Arial" w:cs="Arial"/>
          <w:sz w:val="22"/>
          <w:szCs w:val="22"/>
        </w:rPr>
      </w:pPr>
      <w:r w:rsidRPr="00437A10">
        <w:rPr>
          <w:rFonts w:ascii="Arial" w:eastAsia="Calibri" w:hAnsi="Arial" w:cs="Arial"/>
          <w:sz w:val="22"/>
          <w:szCs w:val="22"/>
        </w:rPr>
        <w:t>Falta de control en el funcionamiento del mercado inmobiliario y en la certificación de habitabilidad de las viviendas ofertadas.</w:t>
      </w:r>
    </w:p>
    <w:p w14:paraId="34456C4F" w14:textId="4F3BB97F" w:rsidR="00AA6BAF" w:rsidRPr="00437A10" w:rsidRDefault="00AA6BAF" w:rsidP="00506C1C">
      <w:pPr>
        <w:pStyle w:val="ListParagraph"/>
        <w:numPr>
          <w:ilvl w:val="0"/>
          <w:numId w:val="9"/>
        </w:numPr>
        <w:spacing w:after="160" w:line="259" w:lineRule="auto"/>
        <w:jc w:val="both"/>
        <w:rPr>
          <w:rFonts w:ascii="Arial" w:eastAsia="Calibri" w:hAnsi="Arial" w:cs="Arial"/>
          <w:sz w:val="22"/>
          <w:szCs w:val="22"/>
        </w:rPr>
      </w:pPr>
      <w:r w:rsidRPr="00437A10">
        <w:rPr>
          <w:rFonts w:ascii="Arial" w:eastAsia="Calibri" w:hAnsi="Arial" w:cs="Arial"/>
          <w:sz w:val="22"/>
          <w:szCs w:val="22"/>
        </w:rPr>
        <w:t xml:space="preserve">Acceso a financiamiento bancario para vivienda </w:t>
      </w:r>
      <w:r w:rsidR="00277CA7" w:rsidRPr="00437A10">
        <w:rPr>
          <w:rFonts w:ascii="Arial" w:eastAsia="Calibri" w:hAnsi="Arial" w:cs="Arial"/>
          <w:sz w:val="22"/>
          <w:szCs w:val="22"/>
        </w:rPr>
        <w:t xml:space="preserve">de interés </w:t>
      </w:r>
      <w:r w:rsidRPr="00437A10">
        <w:rPr>
          <w:rFonts w:ascii="Arial" w:eastAsia="Calibri" w:hAnsi="Arial" w:cs="Arial"/>
          <w:sz w:val="22"/>
          <w:szCs w:val="22"/>
        </w:rPr>
        <w:t>social dirigido únicamente a la población con ingresos económicos medios (el ingreso del jefe(a) y cónyuge debe ser mayor a dos salarios básicos)</w:t>
      </w:r>
      <w:r w:rsidR="00BF2D6F" w:rsidRPr="00437A10">
        <w:rPr>
          <w:rFonts w:ascii="Arial" w:eastAsia="Calibri" w:hAnsi="Arial" w:cs="Arial"/>
          <w:sz w:val="22"/>
          <w:szCs w:val="22"/>
        </w:rPr>
        <w:t>.</w:t>
      </w:r>
    </w:p>
    <w:p w14:paraId="28E702A0" w14:textId="0242671B" w:rsidR="00AA6BAF" w:rsidRPr="00437A10" w:rsidRDefault="00AA6BAF" w:rsidP="00506C1C">
      <w:pPr>
        <w:pStyle w:val="ListParagraph"/>
        <w:numPr>
          <w:ilvl w:val="0"/>
          <w:numId w:val="9"/>
        </w:numPr>
        <w:spacing w:after="160" w:line="259" w:lineRule="auto"/>
        <w:jc w:val="both"/>
        <w:rPr>
          <w:rFonts w:ascii="Arial" w:eastAsia="Calibri" w:hAnsi="Arial" w:cs="Arial"/>
          <w:sz w:val="22"/>
          <w:szCs w:val="22"/>
        </w:rPr>
      </w:pPr>
      <w:r w:rsidRPr="00437A10">
        <w:rPr>
          <w:rFonts w:ascii="Arial" w:eastAsia="Calibri" w:hAnsi="Arial" w:cs="Arial"/>
          <w:sz w:val="22"/>
          <w:szCs w:val="22"/>
        </w:rPr>
        <w:t xml:space="preserve">Restricciones para el apoyo financiero y técnico de organizaciones no gubernamentales sin fines de lucro </w:t>
      </w:r>
      <w:r w:rsidR="00277CA7" w:rsidRPr="00437A10">
        <w:rPr>
          <w:rFonts w:ascii="Arial" w:eastAsia="Calibri" w:hAnsi="Arial" w:cs="Arial"/>
          <w:sz w:val="22"/>
          <w:szCs w:val="22"/>
        </w:rPr>
        <w:t>con relación a la vivienda de carácter social.</w:t>
      </w:r>
    </w:p>
    <w:p w14:paraId="444C2421" w14:textId="77777777" w:rsidR="00A83B64" w:rsidRPr="00437A10" w:rsidRDefault="00A83B64" w:rsidP="00A83B64">
      <w:pPr>
        <w:numPr>
          <w:ilvl w:val="0"/>
          <w:numId w:val="1"/>
        </w:num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¿Qué porcentaje de tierra es propiedad del Estado u otras entidades públicas o está bajo su control, en contraste con entidades privadas (tanto con fines de lucro como sin fines de lucro)? Explique si existen políticas o leyes que buscan controlar el precio de la tierra, prevenir la especulación de la tierra, incluida su oferta y financiación.</w:t>
      </w:r>
    </w:p>
    <w:p w14:paraId="31384E9A" w14:textId="69A32A93" w:rsidR="007D47B3" w:rsidRPr="00437A10" w:rsidRDefault="007D47B3" w:rsidP="007D47B3">
      <w:pPr>
        <w:spacing w:after="160" w:line="259" w:lineRule="auto"/>
        <w:ind w:left="360"/>
        <w:jc w:val="both"/>
        <w:rPr>
          <w:rFonts w:ascii="Arial" w:eastAsia="Calibri" w:hAnsi="Arial" w:cs="Arial"/>
          <w:sz w:val="22"/>
          <w:szCs w:val="22"/>
        </w:rPr>
      </w:pPr>
      <w:r w:rsidRPr="00437A10">
        <w:rPr>
          <w:rFonts w:ascii="Arial" w:eastAsia="Calibri" w:hAnsi="Arial" w:cs="Arial"/>
          <w:sz w:val="22"/>
          <w:szCs w:val="22"/>
        </w:rPr>
        <w:t>Sin respuesta. Estos datos no los tenemos cuantificados e investigados.</w:t>
      </w:r>
    </w:p>
    <w:p w14:paraId="33A54689" w14:textId="069DF154" w:rsidR="00437A10" w:rsidRPr="00437A10" w:rsidRDefault="00437A10" w:rsidP="007D47B3">
      <w:pPr>
        <w:spacing w:after="160" w:line="259" w:lineRule="auto"/>
        <w:ind w:left="360"/>
        <w:jc w:val="both"/>
        <w:rPr>
          <w:rFonts w:ascii="Arial" w:eastAsia="Calibri" w:hAnsi="Arial" w:cs="Arial"/>
          <w:sz w:val="22"/>
          <w:szCs w:val="22"/>
        </w:rPr>
      </w:pPr>
      <w:r w:rsidRPr="00437A10">
        <w:rPr>
          <w:rFonts w:ascii="Arial" w:eastAsia="Calibri" w:hAnsi="Arial" w:cs="Arial"/>
          <w:sz w:val="22"/>
          <w:szCs w:val="22"/>
        </w:rPr>
        <w:t>El mercado del suelo actualmente está dejado completamente al capital privado que obviamente busca la especulación y elevadas plusvalías.</w:t>
      </w:r>
    </w:p>
    <w:p w14:paraId="48102EF4" w14:textId="47901603" w:rsidR="00A83B64" w:rsidRPr="00437A10" w:rsidRDefault="00A83B64" w:rsidP="00A83B64">
      <w:pPr>
        <w:numPr>
          <w:ilvl w:val="0"/>
          <w:numId w:val="1"/>
        </w:num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¿Cuántos hogares han sido desalojados en los últimos diez años por no pagar los gastos de vivienda? Proporcione, si es posible, más información sobre el perfil socioeconómico de los hogares en cuestión.</w:t>
      </w:r>
    </w:p>
    <w:p w14:paraId="7DA94E86" w14:textId="0940A990" w:rsidR="00277CA7" w:rsidRPr="00437A10" w:rsidRDefault="00277CA7" w:rsidP="00277CA7">
      <w:pPr>
        <w:spacing w:after="160" w:line="259" w:lineRule="auto"/>
        <w:contextualSpacing/>
        <w:jc w:val="both"/>
        <w:rPr>
          <w:rFonts w:ascii="Arial" w:eastAsia="Calibri" w:hAnsi="Arial" w:cs="Arial"/>
          <w:sz w:val="22"/>
          <w:szCs w:val="22"/>
        </w:rPr>
      </w:pPr>
    </w:p>
    <w:p w14:paraId="10B5A214" w14:textId="6BE3665C" w:rsidR="00277CA7" w:rsidRPr="00437A10" w:rsidRDefault="00277CA7" w:rsidP="00277CA7">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 xml:space="preserve">De acuerdo a la Encuesta sobre el Cumplimiento de la Ley Nº 1342 y de la Ley de Inquilinato de 1959 (ECLI, 2021), se cuenta con la siguiente información </w:t>
      </w:r>
      <w:r w:rsidR="0092093A" w:rsidRPr="00437A10">
        <w:rPr>
          <w:rFonts w:ascii="Arial" w:eastAsia="Calibri" w:hAnsi="Arial" w:cs="Arial"/>
          <w:sz w:val="22"/>
          <w:szCs w:val="22"/>
        </w:rPr>
        <w:t xml:space="preserve">(cuadro 10.1) </w:t>
      </w:r>
      <w:r w:rsidR="006D322D" w:rsidRPr="00437A10">
        <w:rPr>
          <w:rFonts w:ascii="Arial" w:eastAsia="Calibri" w:hAnsi="Arial" w:cs="Arial"/>
          <w:sz w:val="22"/>
          <w:szCs w:val="22"/>
        </w:rPr>
        <w:t xml:space="preserve">gestionada y referida a </w:t>
      </w:r>
      <w:r w:rsidRPr="00437A10">
        <w:rPr>
          <w:rFonts w:ascii="Arial" w:eastAsia="Calibri" w:hAnsi="Arial" w:cs="Arial"/>
          <w:sz w:val="22"/>
          <w:szCs w:val="22"/>
        </w:rPr>
        <w:t>la Organización de Inquilinos de Bolivia (OINBOL)</w:t>
      </w:r>
      <w:r w:rsidR="0092093A" w:rsidRPr="00437A10">
        <w:rPr>
          <w:rFonts w:ascii="Arial" w:eastAsia="Calibri" w:hAnsi="Arial" w:cs="Arial"/>
          <w:sz w:val="22"/>
          <w:szCs w:val="22"/>
        </w:rPr>
        <w:t>, con apoyo del CEP</w:t>
      </w:r>
      <w:r w:rsidRPr="00437A10">
        <w:rPr>
          <w:rFonts w:ascii="Arial" w:eastAsia="Calibri" w:hAnsi="Arial" w:cs="Arial"/>
          <w:sz w:val="22"/>
          <w:szCs w:val="22"/>
        </w:rPr>
        <w:t xml:space="preserve">, relacionada con el desalojo </w:t>
      </w:r>
      <w:r w:rsidR="006D322D" w:rsidRPr="00437A10">
        <w:rPr>
          <w:rFonts w:ascii="Arial" w:eastAsia="Calibri" w:hAnsi="Arial" w:cs="Arial"/>
          <w:sz w:val="22"/>
          <w:szCs w:val="22"/>
        </w:rPr>
        <w:t xml:space="preserve">(antes y después de la pandemia COVID-19) </w:t>
      </w:r>
      <w:r w:rsidRPr="00437A10">
        <w:rPr>
          <w:rFonts w:ascii="Arial" w:eastAsia="Calibri" w:hAnsi="Arial" w:cs="Arial"/>
          <w:sz w:val="22"/>
          <w:szCs w:val="22"/>
        </w:rPr>
        <w:t xml:space="preserve">y </w:t>
      </w:r>
      <w:r w:rsidR="0092093A" w:rsidRPr="00437A10">
        <w:rPr>
          <w:rFonts w:ascii="Arial" w:eastAsia="Calibri" w:hAnsi="Arial" w:cs="Arial"/>
          <w:sz w:val="22"/>
          <w:szCs w:val="22"/>
        </w:rPr>
        <w:t xml:space="preserve">las </w:t>
      </w:r>
      <w:r w:rsidRPr="00437A10">
        <w:rPr>
          <w:rFonts w:ascii="Arial" w:eastAsia="Calibri" w:hAnsi="Arial" w:cs="Arial"/>
          <w:sz w:val="22"/>
          <w:szCs w:val="22"/>
        </w:rPr>
        <w:t>dificultades económicas del jefe de hogar en situación de inquilinato.</w:t>
      </w:r>
    </w:p>
    <w:p w14:paraId="60CD5267" w14:textId="633427E7" w:rsidR="00277CA7" w:rsidRPr="00437A10" w:rsidRDefault="00277CA7" w:rsidP="00277CA7">
      <w:pPr>
        <w:spacing w:after="160" w:line="259" w:lineRule="auto"/>
        <w:contextualSpacing/>
        <w:jc w:val="both"/>
        <w:rPr>
          <w:rFonts w:ascii="Arial" w:eastAsia="Calibri" w:hAnsi="Arial" w:cs="Arial"/>
          <w:sz w:val="22"/>
          <w:szCs w:val="22"/>
        </w:rPr>
      </w:pPr>
    </w:p>
    <w:p w14:paraId="62EBC17A" w14:textId="74759B74" w:rsidR="001E007A" w:rsidRPr="00437A10" w:rsidRDefault="001E007A" w:rsidP="001E007A">
      <w:pPr>
        <w:spacing w:after="160" w:line="259" w:lineRule="auto"/>
        <w:contextualSpacing/>
        <w:jc w:val="center"/>
        <w:rPr>
          <w:rFonts w:ascii="Arial" w:eastAsia="Calibri" w:hAnsi="Arial" w:cs="Arial"/>
          <w:sz w:val="22"/>
          <w:szCs w:val="22"/>
        </w:rPr>
      </w:pPr>
      <w:r w:rsidRPr="00437A10">
        <w:rPr>
          <w:rFonts w:ascii="Arial" w:eastAsia="Calibri" w:hAnsi="Arial" w:cs="Arial"/>
          <w:sz w:val="22"/>
          <w:szCs w:val="22"/>
        </w:rPr>
        <w:t>Cuadro 10.1. Porcentaje de hogares desalojados y con amenaza de desalojo antes y durante la pandemia COVID-19 y porcentaje de jefes(as) de hogar según sus características econ</w:t>
      </w:r>
      <w:r w:rsidR="00FF40FE" w:rsidRPr="00437A10">
        <w:rPr>
          <w:rFonts w:ascii="Arial" w:eastAsia="Calibri" w:hAnsi="Arial" w:cs="Arial"/>
          <w:sz w:val="22"/>
          <w:szCs w:val="22"/>
        </w:rPr>
        <w:t>ó</w:t>
      </w:r>
      <w:r w:rsidRPr="00437A10">
        <w:rPr>
          <w:rFonts w:ascii="Arial" w:eastAsia="Calibri" w:hAnsi="Arial" w:cs="Arial"/>
          <w:sz w:val="22"/>
          <w:szCs w:val="22"/>
        </w:rPr>
        <w:t>micas</w:t>
      </w:r>
    </w:p>
    <w:tbl>
      <w:tblPr>
        <w:tblStyle w:val="TableGrid"/>
        <w:tblW w:w="8545" w:type="dxa"/>
        <w:tblLook w:val="04A0" w:firstRow="1" w:lastRow="0" w:firstColumn="1" w:lastColumn="0" w:noHBand="0" w:noVBand="1"/>
      </w:tblPr>
      <w:tblGrid>
        <w:gridCol w:w="7277"/>
        <w:gridCol w:w="1268"/>
      </w:tblGrid>
      <w:tr w:rsidR="00277CA7" w:rsidRPr="00437A10" w14:paraId="6F88941B" w14:textId="77777777" w:rsidTr="001E007A">
        <w:tc>
          <w:tcPr>
            <w:tcW w:w="7366" w:type="dxa"/>
          </w:tcPr>
          <w:p w14:paraId="2284FD19" w14:textId="2CEF02BD" w:rsidR="00277CA7" w:rsidRPr="00437A10" w:rsidRDefault="00277CA7" w:rsidP="00277CA7">
            <w:pPr>
              <w:jc w:val="center"/>
              <w:rPr>
                <w:rFonts w:ascii="Arial" w:hAnsi="Arial" w:cs="Arial"/>
                <w:sz w:val="22"/>
                <w:szCs w:val="22"/>
              </w:rPr>
            </w:pPr>
            <w:r w:rsidRPr="00437A10">
              <w:rPr>
                <w:rFonts w:ascii="Arial" w:hAnsi="Arial" w:cs="Arial"/>
                <w:sz w:val="22"/>
                <w:szCs w:val="22"/>
              </w:rPr>
              <w:t>Desalojo y dificultades económicas de los jefes de hogar en situación de inquilinato</w:t>
            </w:r>
          </w:p>
        </w:tc>
        <w:tc>
          <w:tcPr>
            <w:tcW w:w="1179" w:type="dxa"/>
          </w:tcPr>
          <w:p w14:paraId="62EE6AEB" w14:textId="50619D95" w:rsidR="00277CA7" w:rsidRPr="00437A10" w:rsidRDefault="00277CA7" w:rsidP="00277CA7">
            <w:pPr>
              <w:jc w:val="center"/>
              <w:rPr>
                <w:rFonts w:ascii="Arial" w:hAnsi="Arial" w:cs="Arial"/>
                <w:sz w:val="22"/>
                <w:szCs w:val="22"/>
              </w:rPr>
            </w:pPr>
            <w:r w:rsidRPr="00437A10">
              <w:rPr>
                <w:rFonts w:ascii="Arial" w:hAnsi="Arial" w:cs="Arial"/>
                <w:sz w:val="22"/>
                <w:szCs w:val="22"/>
              </w:rPr>
              <w:t>Porcentaje</w:t>
            </w:r>
          </w:p>
        </w:tc>
      </w:tr>
      <w:tr w:rsidR="006D322D" w:rsidRPr="00437A10" w14:paraId="21166EDC" w14:textId="77777777" w:rsidTr="001E007A">
        <w:tc>
          <w:tcPr>
            <w:tcW w:w="7366" w:type="dxa"/>
          </w:tcPr>
          <w:p w14:paraId="37109B4A" w14:textId="3CBC455A" w:rsidR="006D322D" w:rsidRPr="00437A10" w:rsidRDefault="006D322D" w:rsidP="006D322D">
            <w:pPr>
              <w:rPr>
                <w:rFonts w:ascii="Arial" w:hAnsi="Arial" w:cs="Arial"/>
                <w:sz w:val="22"/>
                <w:szCs w:val="22"/>
              </w:rPr>
            </w:pPr>
            <w:r w:rsidRPr="00437A10">
              <w:rPr>
                <w:rFonts w:ascii="Arial" w:hAnsi="Arial" w:cs="Arial"/>
                <w:sz w:val="22"/>
                <w:szCs w:val="22"/>
              </w:rPr>
              <w:t>Desalojo antes de la pandemia (ECLI 2021)</w:t>
            </w:r>
          </w:p>
        </w:tc>
        <w:tc>
          <w:tcPr>
            <w:tcW w:w="1179" w:type="dxa"/>
          </w:tcPr>
          <w:p w14:paraId="13222C9E" w14:textId="1DBD7459" w:rsidR="006D322D" w:rsidRPr="00437A10" w:rsidRDefault="006D322D" w:rsidP="006D322D">
            <w:pPr>
              <w:jc w:val="center"/>
              <w:rPr>
                <w:rFonts w:ascii="Arial" w:hAnsi="Arial" w:cs="Arial"/>
                <w:sz w:val="22"/>
                <w:szCs w:val="22"/>
              </w:rPr>
            </w:pPr>
            <w:r w:rsidRPr="00437A10">
              <w:rPr>
                <w:rFonts w:ascii="Arial" w:hAnsi="Arial" w:cs="Arial"/>
                <w:sz w:val="22"/>
                <w:szCs w:val="22"/>
              </w:rPr>
              <w:t>6.6%</w:t>
            </w:r>
          </w:p>
        </w:tc>
      </w:tr>
      <w:tr w:rsidR="006D322D" w:rsidRPr="00437A10" w14:paraId="5CC4E823" w14:textId="77777777" w:rsidTr="001E007A">
        <w:tc>
          <w:tcPr>
            <w:tcW w:w="7366" w:type="dxa"/>
          </w:tcPr>
          <w:p w14:paraId="5C34C899" w14:textId="08254E55" w:rsidR="006D322D" w:rsidRPr="00437A10" w:rsidRDefault="006D322D" w:rsidP="006D322D">
            <w:pPr>
              <w:rPr>
                <w:rFonts w:ascii="Arial" w:hAnsi="Arial" w:cs="Arial"/>
                <w:sz w:val="22"/>
                <w:szCs w:val="22"/>
              </w:rPr>
            </w:pPr>
            <w:r w:rsidRPr="00437A10">
              <w:rPr>
                <w:rFonts w:ascii="Arial" w:hAnsi="Arial" w:cs="Arial"/>
                <w:sz w:val="22"/>
                <w:szCs w:val="22"/>
              </w:rPr>
              <w:t>Desalojo durante la pandemia (ECLI 2021)</w:t>
            </w:r>
          </w:p>
        </w:tc>
        <w:tc>
          <w:tcPr>
            <w:tcW w:w="1179" w:type="dxa"/>
          </w:tcPr>
          <w:p w14:paraId="7000763D" w14:textId="1A3AB7BF" w:rsidR="006D322D" w:rsidRPr="00437A10" w:rsidRDefault="006D322D" w:rsidP="006D322D">
            <w:pPr>
              <w:jc w:val="center"/>
              <w:rPr>
                <w:rFonts w:ascii="Arial" w:hAnsi="Arial" w:cs="Arial"/>
                <w:sz w:val="22"/>
                <w:szCs w:val="22"/>
              </w:rPr>
            </w:pPr>
            <w:r w:rsidRPr="00437A10">
              <w:rPr>
                <w:rFonts w:ascii="Arial" w:hAnsi="Arial" w:cs="Arial"/>
                <w:sz w:val="22"/>
                <w:szCs w:val="22"/>
              </w:rPr>
              <w:t>11.9%</w:t>
            </w:r>
          </w:p>
        </w:tc>
      </w:tr>
      <w:tr w:rsidR="006D322D" w:rsidRPr="00437A10" w14:paraId="142BA3BA" w14:textId="77777777" w:rsidTr="001E007A">
        <w:tc>
          <w:tcPr>
            <w:tcW w:w="7366" w:type="dxa"/>
          </w:tcPr>
          <w:p w14:paraId="56ED3F51" w14:textId="15131CDA" w:rsidR="006D322D" w:rsidRPr="00437A10" w:rsidRDefault="006D322D" w:rsidP="006D322D">
            <w:pPr>
              <w:rPr>
                <w:rFonts w:ascii="Arial" w:hAnsi="Arial" w:cs="Arial"/>
                <w:sz w:val="22"/>
                <w:szCs w:val="22"/>
              </w:rPr>
            </w:pPr>
            <w:r w:rsidRPr="00437A10">
              <w:rPr>
                <w:rFonts w:ascii="Arial" w:hAnsi="Arial" w:cs="Arial"/>
                <w:sz w:val="22"/>
                <w:szCs w:val="22"/>
              </w:rPr>
              <w:t>Amenaza de desalojo antes de la pandemia (ECLI 2021)</w:t>
            </w:r>
          </w:p>
        </w:tc>
        <w:tc>
          <w:tcPr>
            <w:tcW w:w="1179" w:type="dxa"/>
          </w:tcPr>
          <w:p w14:paraId="66A2F205" w14:textId="19469384" w:rsidR="006D322D" w:rsidRPr="00437A10" w:rsidRDefault="006D322D" w:rsidP="006D322D">
            <w:pPr>
              <w:jc w:val="center"/>
              <w:rPr>
                <w:rFonts w:ascii="Arial" w:hAnsi="Arial" w:cs="Arial"/>
                <w:sz w:val="22"/>
                <w:szCs w:val="22"/>
              </w:rPr>
            </w:pPr>
            <w:r w:rsidRPr="00437A10">
              <w:rPr>
                <w:rFonts w:ascii="Arial" w:hAnsi="Arial" w:cs="Arial"/>
                <w:sz w:val="22"/>
                <w:szCs w:val="22"/>
              </w:rPr>
              <w:t>17%</w:t>
            </w:r>
          </w:p>
        </w:tc>
      </w:tr>
      <w:tr w:rsidR="006D322D" w:rsidRPr="00437A10" w14:paraId="22C093D3" w14:textId="77777777" w:rsidTr="001E007A">
        <w:tc>
          <w:tcPr>
            <w:tcW w:w="7366" w:type="dxa"/>
          </w:tcPr>
          <w:p w14:paraId="6C0A8820" w14:textId="4395EAE5" w:rsidR="006D322D" w:rsidRPr="00437A10" w:rsidRDefault="006D322D" w:rsidP="006D322D">
            <w:pPr>
              <w:rPr>
                <w:rFonts w:ascii="Arial" w:hAnsi="Arial" w:cs="Arial"/>
                <w:sz w:val="22"/>
                <w:szCs w:val="22"/>
              </w:rPr>
            </w:pPr>
            <w:r w:rsidRPr="00437A10">
              <w:rPr>
                <w:rFonts w:ascii="Arial" w:hAnsi="Arial" w:cs="Arial"/>
                <w:sz w:val="22"/>
                <w:szCs w:val="22"/>
              </w:rPr>
              <w:t>Amenaza de desalojo durante la pandemia (ECLI 2021)</w:t>
            </w:r>
          </w:p>
        </w:tc>
        <w:tc>
          <w:tcPr>
            <w:tcW w:w="1179" w:type="dxa"/>
          </w:tcPr>
          <w:p w14:paraId="6B151481" w14:textId="69613904" w:rsidR="006D322D" w:rsidRPr="00437A10" w:rsidRDefault="006D322D" w:rsidP="006D322D">
            <w:pPr>
              <w:jc w:val="center"/>
              <w:rPr>
                <w:rFonts w:ascii="Arial" w:hAnsi="Arial" w:cs="Arial"/>
                <w:sz w:val="22"/>
                <w:szCs w:val="22"/>
              </w:rPr>
            </w:pPr>
            <w:r w:rsidRPr="00437A10">
              <w:rPr>
                <w:rFonts w:ascii="Arial" w:hAnsi="Arial" w:cs="Arial"/>
                <w:sz w:val="22"/>
                <w:szCs w:val="22"/>
              </w:rPr>
              <w:t>32%</w:t>
            </w:r>
          </w:p>
        </w:tc>
      </w:tr>
      <w:tr w:rsidR="00277CA7" w:rsidRPr="00437A10" w14:paraId="3BF5CDD4" w14:textId="77777777" w:rsidTr="001E007A">
        <w:tc>
          <w:tcPr>
            <w:tcW w:w="7366" w:type="dxa"/>
          </w:tcPr>
          <w:p w14:paraId="65A6CEBC" w14:textId="75672276" w:rsidR="00277CA7" w:rsidRPr="00437A10" w:rsidRDefault="00277CA7" w:rsidP="00A211E9">
            <w:pPr>
              <w:jc w:val="both"/>
              <w:rPr>
                <w:rFonts w:ascii="Arial" w:hAnsi="Arial" w:cs="Arial"/>
                <w:sz w:val="22"/>
                <w:szCs w:val="22"/>
              </w:rPr>
            </w:pPr>
            <w:r w:rsidRPr="00437A10">
              <w:rPr>
                <w:rFonts w:ascii="Arial" w:hAnsi="Arial" w:cs="Arial"/>
                <w:sz w:val="22"/>
                <w:szCs w:val="22"/>
              </w:rPr>
              <w:t xml:space="preserve">Ingresos económicos </w:t>
            </w:r>
            <w:r w:rsidR="00BF2D6F" w:rsidRPr="00437A10">
              <w:rPr>
                <w:rFonts w:ascii="Arial" w:hAnsi="Arial" w:cs="Arial"/>
                <w:sz w:val="22"/>
                <w:szCs w:val="22"/>
              </w:rPr>
              <w:t xml:space="preserve">(jefe(a) y cónyuge) </w:t>
            </w:r>
            <w:r w:rsidRPr="00437A10">
              <w:rPr>
                <w:rFonts w:ascii="Arial" w:hAnsi="Arial" w:cs="Arial"/>
                <w:sz w:val="22"/>
                <w:szCs w:val="22"/>
              </w:rPr>
              <w:t>menores a un salario mínimo nacional (EH 2019)</w:t>
            </w:r>
          </w:p>
        </w:tc>
        <w:tc>
          <w:tcPr>
            <w:tcW w:w="1179" w:type="dxa"/>
          </w:tcPr>
          <w:p w14:paraId="4B55F71C" w14:textId="77777777" w:rsidR="00277CA7" w:rsidRPr="00437A10" w:rsidRDefault="00277CA7" w:rsidP="00A211E9">
            <w:pPr>
              <w:jc w:val="center"/>
              <w:rPr>
                <w:rFonts w:ascii="Arial" w:hAnsi="Arial" w:cs="Arial"/>
                <w:sz w:val="22"/>
                <w:szCs w:val="22"/>
              </w:rPr>
            </w:pPr>
            <w:r w:rsidRPr="00437A10">
              <w:rPr>
                <w:rFonts w:ascii="Arial" w:hAnsi="Arial" w:cs="Arial"/>
                <w:sz w:val="22"/>
                <w:szCs w:val="22"/>
              </w:rPr>
              <w:t>32%</w:t>
            </w:r>
          </w:p>
        </w:tc>
      </w:tr>
      <w:tr w:rsidR="00277CA7" w:rsidRPr="00437A10" w14:paraId="5D0DF91C" w14:textId="77777777" w:rsidTr="001E007A">
        <w:tc>
          <w:tcPr>
            <w:tcW w:w="7366" w:type="dxa"/>
          </w:tcPr>
          <w:p w14:paraId="5FE623FE" w14:textId="77777777" w:rsidR="00277CA7" w:rsidRPr="00437A10" w:rsidRDefault="00277CA7" w:rsidP="00A211E9">
            <w:pPr>
              <w:jc w:val="both"/>
              <w:rPr>
                <w:rFonts w:ascii="Arial" w:hAnsi="Arial" w:cs="Arial"/>
                <w:sz w:val="22"/>
                <w:szCs w:val="22"/>
              </w:rPr>
            </w:pPr>
            <w:r w:rsidRPr="00437A10">
              <w:rPr>
                <w:rFonts w:ascii="Arial" w:hAnsi="Arial" w:cs="Arial"/>
                <w:sz w:val="22"/>
                <w:szCs w:val="22"/>
              </w:rPr>
              <w:t>Jefes(as) de hogar que tienen dificultades para pagar el alquiler en época de pandemia (ECLI 2021)</w:t>
            </w:r>
          </w:p>
        </w:tc>
        <w:tc>
          <w:tcPr>
            <w:tcW w:w="1179" w:type="dxa"/>
          </w:tcPr>
          <w:p w14:paraId="1AFFA948" w14:textId="77777777" w:rsidR="00277CA7" w:rsidRPr="00437A10" w:rsidRDefault="00277CA7" w:rsidP="00A211E9">
            <w:pPr>
              <w:jc w:val="center"/>
              <w:rPr>
                <w:rFonts w:ascii="Arial" w:hAnsi="Arial" w:cs="Arial"/>
                <w:sz w:val="22"/>
                <w:szCs w:val="22"/>
              </w:rPr>
            </w:pPr>
            <w:r w:rsidRPr="00437A10">
              <w:rPr>
                <w:rFonts w:ascii="Arial" w:hAnsi="Arial" w:cs="Arial"/>
                <w:sz w:val="22"/>
                <w:szCs w:val="22"/>
              </w:rPr>
              <w:t>56%</w:t>
            </w:r>
          </w:p>
        </w:tc>
      </w:tr>
      <w:tr w:rsidR="00277CA7" w:rsidRPr="00437A10" w14:paraId="417535AB" w14:textId="77777777" w:rsidTr="001E007A">
        <w:tc>
          <w:tcPr>
            <w:tcW w:w="7366" w:type="dxa"/>
          </w:tcPr>
          <w:p w14:paraId="7C1A8BB9" w14:textId="77777777" w:rsidR="00277CA7" w:rsidRPr="00437A10" w:rsidRDefault="00277CA7" w:rsidP="00A211E9">
            <w:pPr>
              <w:jc w:val="both"/>
              <w:rPr>
                <w:rFonts w:ascii="Arial" w:hAnsi="Arial" w:cs="Arial"/>
                <w:sz w:val="22"/>
                <w:szCs w:val="22"/>
              </w:rPr>
            </w:pPr>
            <w:r w:rsidRPr="00437A10">
              <w:rPr>
                <w:rFonts w:ascii="Arial" w:hAnsi="Arial" w:cs="Arial"/>
                <w:sz w:val="22"/>
                <w:szCs w:val="22"/>
              </w:rPr>
              <w:t>Jefes de hogar que tienen dificultades para pagar el alquiler algunas veces en época de pandemia (ECLI 2021)</w:t>
            </w:r>
          </w:p>
        </w:tc>
        <w:tc>
          <w:tcPr>
            <w:tcW w:w="1179" w:type="dxa"/>
          </w:tcPr>
          <w:p w14:paraId="216F2F45" w14:textId="77777777" w:rsidR="00277CA7" w:rsidRPr="00437A10" w:rsidRDefault="00277CA7" w:rsidP="00A211E9">
            <w:pPr>
              <w:jc w:val="center"/>
              <w:rPr>
                <w:rFonts w:ascii="Arial" w:hAnsi="Arial" w:cs="Arial"/>
                <w:sz w:val="22"/>
                <w:szCs w:val="22"/>
              </w:rPr>
            </w:pPr>
            <w:r w:rsidRPr="00437A10">
              <w:rPr>
                <w:rFonts w:ascii="Arial" w:hAnsi="Arial" w:cs="Arial"/>
                <w:sz w:val="22"/>
                <w:szCs w:val="22"/>
              </w:rPr>
              <w:t>5%</w:t>
            </w:r>
          </w:p>
        </w:tc>
      </w:tr>
      <w:tr w:rsidR="00277CA7" w:rsidRPr="00437A10" w14:paraId="2019489C" w14:textId="77777777" w:rsidTr="001E007A">
        <w:tc>
          <w:tcPr>
            <w:tcW w:w="7366" w:type="dxa"/>
          </w:tcPr>
          <w:p w14:paraId="4898C586" w14:textId="77777777" w:rsidR="00277CA7" w:rsidRPr="00437A10" w:rsidRDefault="00277CA7" w:rsidP="00A211E9">
            <w:pPr>
              <w:jc w:val="both"/>
              <w:rPr>
                <w:rFonts w:ascii="Arial" w:hAnsi="Arial" w:cs="Arial"/>
                <w:sz w:val="22"/>
                <w:szCs w:val="22"/>
              </w:rPr>
            </w:pPr>
            <w:r w:rsidRPr="00437A10">
              <w:rPr>
                <w:rFonts w:ascii="Arial" w:hAnsi="Arial" w:cs="Arial"/>
                <w:sz w:val="22"/>
                <w:szCs w:val="22"/>
              </w:rPr>
              <w:t>Pérdida de empleo de los jefes(as) de hogar que tienen dificultades para pagar el alquiler en época de pandemia (ECLI 2021)</w:t>
            </w:r>
          </w:p>
        </w:tc>
        <w:tc>
          <w:tcPr>
            <w:tcW w:w="1179" w:type="dxa"/>
          </w:tcPr>
          <w:p w14:paraId="27DE8ECE" w14:textId="77777777" w:rsidR="00277CA7" w:rsidRPr="00437A10" w:rsidRDefault="00277CA7" w:rsidP="00A211E9">
            <w:pPr>
              <w:jc w:val="center"/>
              <w:rPr>
                <w:rFonts w:ascii="Arial" w:hAnsi="Arial" w:cs="Arial"/>
                <w:sz w:val="22"/>
                <w:szCs w:val="22"/>
              </w:rPr>
            </w:pPr>
            <w:r w:rsidRPr="00437A10">
              <w:rPr>
                <w:rFonts w:ascii="Arial" w:hAnsi="Arial" w:cs="Arial"/>
                <w:sz w:val="22"/>
                <w:szCs w:val="22"/>
              </w:rPr>
              <w:t>37%</w:t>
            </w:r>
          </w:p>
        </w:tc>
      </w:tr>
      <w:tr w:rsidR="00277CA7" w:rsidRPr="00437A10" w14:paraId="25948C8F" w14:textId="77777777" w:rsidTr="001E007A">
        <w:tc>
          <w:tcPr>
            <w:tcW w:w="7366" w:type="dxa"/>
          </w:tcPr>
          <w:p w14:paraId="05033F00" w14:textId="77777777" w:rsidR="00277CA7" w:rsidRPr="00437A10" w:rsidRDefault="00277CA7" w:rsidP="00A211E9">
            <w:pPr>
              <w:jc w:val="both"/>
              <w:rPr>
                <w:rFonts w:ascii="Arial" w:hAnsi="Arial" w:cs="Arial"/>
                <w:sz w:val="22"/>
                <w:szCs w:val="22"/>
              </w:rPr>
            </w:pPr>
            <w:r w:rsidRPr="00437A10">
              <w:rPr>
                <w:rFonts w:ascii="Arial" w:hAnsi="Arial" w:cs="Arial"/>
                <w:sz w:val="22"/>
                <w:szCs w:val="22"/>
              </w:rPr>
              <w:t>Desempleo total de los jefes(as) de hogar que tienen dificultades para pagar el alquiler en época de pandemia (ECLI 2021)</w:t>
            </w:r>
          </w:p>
        </w:tc>
        <w:tc>
          <w:tcPr>
            <w:tcW w:w="1179" w:type="dxa"/>
          </w:tcPr>
          <w:p w14:paraId="68948A8F" w14:textId="77777777" w:rsidR="00277CA7" w:rsidRPr="00437A10" w:rsidRDefault="00277CA7" w:rsidP="00A211E9">
            <w:pPr>
              <w:jc w:val="center"/>
              <w:rPr>
                <w:rFonts w:ascii="Arial" w:hAnsi="Arial" w:cs="Arial"/>
                <w:sz w:val="22"/>
                <w:szCs w:val="22"/>
              </w:rPr>
            </w:pPr>
            <w:r w:rsidRPr="00437A10">
              <w:rPr>
                <w:rFonts w:ascii="Arial" w:hAnsi="Arial" w:cs="Arial"/>
                <w:sz w:val="22"/>
                <w:szCs w:val="22"/>
              </w:rPr>
              <w:t>15.7%</w:t>
            </w:r>
          </w:p>
        </w:tc>
      </w:tr>
      <w:tr w:rsidR="00277CA7" w:rsidRPr="00437A10" w14:paraId="28887AA1" w14:textId="77777777" w:rsidTr="001E007A">
        <w:tc>
          <w:tcPr>
            <w:tcW w:w="7366" w:type="dxa"/>
          </w:tcPr>
          <w:p w14:paraId="4EE1000C" w14:textId="77777777" w:rsidR="00277CA7" w:rsidRPr="00437A10" w:rsidRDefault="00277CA7" w:rsidP="00A211E9">
            <w:pPr>
              <w:jc w:val="both"/>
              <w:rPr>
                <w:rFonts w:ascii="Arial" w:hAnsi="Arial" w:cs="Arial"/>
                <w:sz w:val="22"/>
                <w:szCs w:val="22"/>
              </w:rPr>
            </w:pPr>
            <w:r w:rsidRPr="00437A10">
              <w:rPr>
                <w:rFonts w:ascii="Arial" w:hAnsi="Arial" w:cs="Arial"/>
                <w:sz w:val="22"/>
                <w:szCs w:val="22"/>
              </w:rPr>
              <w:t>Disminución de ingresos económicos de los jefes(as) de hogar que tienen dificultades para pagar el alquiler en época de pandemia (ECLI 2021)</w:t>
            </w:r>
          </w:p>
        </w:tc>
        <w:tc>
          <w:tcPr>
            <w:tcW w:w="1179" w:type="dxa"/>
          </w:tcPr>
          <w:p w14:paraId="28CBABBF" w14:textId="77777777" w:rsidR="00277CA7" w:rsidRPr="00437A10" w:rsidRDefault="00277CA7" w:rsidP="00A211E9">
            <w:pPr>
              <w:jc w:val="center"/>
              <w:rPr>
                <w:rFonts w:ascii="Arial" w:hAnsi="Arial" w:cs="Arial"/>
                <w:sz w:val="22"/>
                <w:szCs w:val="22"/>
              </w:rPr>
            </w:pPr>
            <w:r w:rsidRPr="00437A10">
              <w:rPr>
                <w:rFonts w:ascii="Arial" w:hAnsi="Arial" w:cs="Arial"/>
                <w:sz w:val="22"/>
                <w:szCs w:val="22"/>
              </w:rPr>
              <w:t>51%</w:t>
            </w:r>
          </w:p>
        </w:tc>
      </w:tr>
      <w:tr w:rsidR="00277CA7" w:rsidRPr="00437A10" w14:paraId="70D3C4A3" w14:textId="77777777" w:rsidTr="001E007A">
        <w:tc>
          <w:tcPr>
            <w:tcW w:w="7366" w:type="dxa"/>
          </w:tcPr>
          <w:p w14:paraId="16D54DD4" w14:textId="77777777" w:rsidR="00277CA7" w:rsidRPr="00437A10" w:rsidRDefault="00277CA7" w:rsidP="00A211E9">
            <w:pPr>
              <w:jc w:val="both"/>
              <w:rPr>
                <w:rFonts w:ascii="Arial" w:hAnsi="Arial" w:cs="Arial"/>
                <w:sz w:val="22"/>
                <w:szCs w:val="22"/>
              </w:rPr>
            </w:pPr>
            <w:r w:rsidRPr="00437A10">
              <w:rPr>
                <w:rFonts w:ascii="Arial" w:hAnsi="Arial" w:cs="Arial"/>
                <w:sz w:val="22"/>
                <w:szCs w:val="22"/>
              </w:rPr>
              <w:t>Pérdida de empleo o disminución de ingresos y/o fallecimiento o enfermedad grave de los jefes(as) de hogar que tienen dificultades para pagar el alquiler en época de pandemia (ECLI 2021)</w:t>
            </w:r>
          </w:p>
        </w:tc>
        <w:tc>
          <w:tcPr>
            <w:tcW w:w="1179" w:type="dxa"/>
          </w:tcPr>
          <w:p w14:paraId="1017819B" w14:textId="77777777" w:rsidR="00277CA7" w:rsidRPr="00437A10" w:rsidRDefault="00277CA7" w:rsidP="00A211E9">
            <w:pPr>
              <w:jc w:val="center"/>
              <w:rPr>
                <w:rFonts w:ascii="Arial" w:hAnsi="Arial" w:cs="Arial"/>
                <w:sz w:val="22"/>
                <w:szCs w:val="22"/>
              </w:rPr>
            </w:pPr>
            <w:r w:rsidRPr="00437A10">
              <w:rPr>
                <w:rFonts w:ascii="Arial" w:hAnsi="Arial" w:cs="Arial"/>
                <w:sz w:val="22"/>
                <w:szCs w:val="22"/>
              </w:rPr>
              <w:t>11%</w:t>
            </w:r>
          </w:p>
        </w:tc>
      </w:tr>
    </w:tbl>
    <w:p w14:paraId="131D04DB" w14:textId="465FEBC9" w:rsidR="00277CA7" w:rsidRPr="00437A10" w:rsidRDefault="006D322D" w:rsidP="00277CA7">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Fuente: Quillaguam</w:t>
      </w:r>
      <w:r w:rsidR="00EB6039" w:rsidRPr="00437A10">
        <w:rPr>
          <w:rFonts w:ascii="Arial" w:eastAsia="Calibri" w:hAnsi="Arial" w:cs="Arial"/>
          <w:sz w:val="22"/>
          <w:szCs w:val="22"/>
        </w:rPr>
        <w:t>án, 2022</w:t>
      </w:r>
      <w:r w:rsidRPr="00437A10">
        <w:rPr>
          <w:rFonts w:ascii="Arial" w:eastAsia="Calibri" w:hAnsi="Arial" w:cs="Arial"/>
          <w:sz w:val="22"/>
          <w:szCs w:val="22"/>
        </w:rPr>
        <w:t>a</w:t>
      </w:r>
    </w:p>
    <w:p w14:paraId="738F3C44" w14:textId="09A8314E" w:rsidR="006D322D" w:rsidRPr="00437A10" w:rsidRDefault="006D322D" w:rsidP="00277CA7">
      <w:pPr>
        <w:spacing w:after="160" w:line="259" w:lineRule="auto"/>
        <w:contextualSpacing/>
        <w:jc w:val="both"/>
        <w:rPr>
          <w:rFonts w:ascii="Arial" w:eastAsia="Calibri" w:hAnsi="Arial" w:cs="Arial"/>
          <w:sz w:val="22"/>
          <w:szCs w:val="22"/>
        </w:rPr>
      </w:pPr>
    </w:p>
    <w:p w14:paraId="1AB76B7C" w14:textId="77777777" w:rsidR="00BF2D6F" w:rsidRPr="00437A10" w:rsidRDefault="006D322D" w:rsidP="00BF2D6F">
      <w:pPr>
        <w:jc w:val="both"/>
        <w:rPr>
          <w:rFonts w:ascii="Arial" w:eastAsia="Calibri" w:hAnsi="Arial" w:cs="Arial"/>
          <w:sz w:val="22"/>
          <w:szCs w:val="22"/>
        </w:rPr>
      </w:pPr>
      <w:r w:rsidRPr="00437A10">
        <w:rPr>
          <w:rFonts w:ascii="Arial" w:eastAsia="Calibri" w:hAnsi="Arial" w:cs="Arial"/>
          <w:sz w:val="22"/>
          <w:szCs w:val="22"/>
        </w:rPr>
        <w:t>Por otra parte, según la Encuesta sobre Violencias Sociales en Tiempos de Pandemia</w:t>
      </w:r>
      <w:r w:rsidR="0092093A" w:rsidRPr="00437A10">
        <w:rPr>
          <w:rFonts w:ascii="Arial" w:eastAsia="Calibri" w:hAnsi="Arial" w:cs="Arial"/>
          <w:sz w:val="22"/>
          <w:szCs w:val="22"/>
        </w:rPr>
        <w:t xml:space="preserve"> (2022)</w:t>
      </w:r>
      <w:r w:rsidRPr="00437A10">
        <w:rPr>
          <w:rFonts w:ascii="Arial" w:eastAsia="Calibri" w:hAnsi="Arial" w:cs="Arial"/>
          <w:sz w:val="22"/>
          <w:szCs w:val="22"/>
        </w:rPr>
        <w:t>, Coordinada por Alejandra Ramírez y financiada por la Agencia Universitaria de la Francofonía</w:t>
      </w:r>
      <w:r w:rsidR="0092093A" w:rsidRPr="00437A10">
        <w:rPr>
          <w:rFonts w:ascii="Arial" w:eastAsia="Calibri" w:hAnsi="Arial" w:cs="Arial"/>
          <w:sz w:val="22"/>
          <w:szCs w:val="22"/>
        </w:rPr>
        <w:t>, se estima</w:t>
      </w:r>
      <w:r w:rsidR="0085201B" w:rsidRPr="00437A10">
        <w:rPr>
          <w:rFonts w:ascii="Arial" w:eastAsia="Calibri" w:hAnsi="Arial" w:cs="Arial"/>
          <w:sz w:val="22"/>
          <w:szCs w:val="22"/>
        </w:rPr>
        <w:t>n,</w:t>
      </w:r>
      <w:r w:rsidR="0092093A" w:rsidRPr="00437A10">
        <w:rPr>
          <w:rFonts w:ascii="Arial" w:eastAsia="Calibri" w:hAnsi="Arial" w:cs="Arial"/>
          <w:sz w:val="22"/>
          <w:szCs w:val="22"/>
        </w:rPr>
        <w:t xml:space="preserve"> para el área metropolitana de Cochabamba, porcentajes de desalojo y amenaza de desalojo similares a la información de OINBOL</w:t>
      </w:r>
      <w:r w:rsidR="0085201B" w:rsidRPr="00437A10">
        <w:rPr>
          <w:rFonts w:ascii="Arial" w:eastAsia="Calibri" w:hAnsi="Arial" w:cs="Arial"/>
          <w:sz w:val="22"/>
          <w:szCs w:val="22"/>
        </w:rPr>
        <w:t xml:space="preserve">. </w:t>
      </w:r>
    </w:p>
    <w:p w14:paraId="590BE3AA" w14:textId="556D8D81" w:rsidR="0085201B" w:rsidRPr="00437A10" w:rsidRDefault="00BF2D6F" w:rsidP="00BF2D6F">
      <w:pPr>
        <w:jc w:val="both"/>
        <w:rPr>
          <w:rFonts w:ascii="Arial" w:hAnsi="Arial" w:cs="Arial"/>
          <w:sz w:val="22"/>
          <w:szCs w:val="22"/>
        </w:rPr>
      </w:pPr>
      <w:r w:rsidRPr="00437A10">
        <w:rPr>
          <w:rFonts w:ascii="Arial" w:eastAsia="Calibri" w:hAnsi="Arial" w:cs="Arial"/>
          <w:sz w:val="22"/>
          <w:szCs w:val="22"/>
        </w:rPr>
        <w:t>De la mencionada encuesta se obtiene que e</w:t>
      </w:r>
      <w:r w:rsidR="0085201B" w:rsidRPr="00437A10">
        <w:rPr>
          <w:rFonts w:ascii="Arial" w:hAnsi="Arial" w:cs="Arial"/>
          <w:sz w:val="22"/>
          <w:szCs w:val="22"/>
        </w:rPr>
        <w:t>l 36% de los hogares entrevistados habitan viviendas alquiladas, en contrato anticrético o mixto, o prestadas. De estos hogares, el 11% sufrió amenaza de desalojo y un 5% fue desalojado de la vivienda durante la pandemia. Del total de los hogares que sufrieron amenaza de desalojo, el 68% corresponde a viviendas alquiladas, el 20% a viviendas prestadas y el 12% a viviendas en contrato anticrético o mixto. La mayor violencia se dio a través de agresiones verbales (63%), seguido del maltrato psicológico por el corte de servicios básicos o prohibición de ingreso a ambientes (30%) y finalmente a través de agresiones físicas (7%). Del total de hogares que han sufrido desalojo, el 72% habita viviendas alquiladas, el 16% viviendas en contrato anticrético o mixto y el 12% viviendas prestadas (Quillaguam</w:t>
      </w:r>
      <w:r w:rsidR="00FF40FE" w:rsidRPr="00437A10">
        <w:rPr>
          <w:rFonts w:ascii="Arial" w:hAnsi="Arial" w:cs="Arial"/>
          <w:sz w:val="22"/>
          <w:szCs w:val="22"/>
        </w:rPr>
        <w:t>án 2023</w:t>
      </w:r>
      <w:r w:rsidR="001E007A" w:rsidRPr="00437A10">
        <w:rPr>
          <w:rFonts w:ascii="Arial" w:hAnsi="Arial" w:cs="Arial"/>
          <w:sz w:val="22"/>
          <w:szCs w:val="22"/>
        </w:rPr>
        <w:t>b</w:t>
      </w:r>
      <w:r w:rsidR="0085201B" w:rsidRPr="00437A10">
        <w:rPr>
          <w:rFonts w:ascii="Arial" w:hAnsi="Arial" w:cs="Arial"/>
          <w:sz w:val="22"/>
          <w:szCs w:val="22"/>
        </w:rPr>
        <w:t>).</w:t>
      </w:r>
    </w:p>
    <w:p w14:paraId="66DA7D48" w14:textId="77777777" w:rsidR="00437A10" w:rsidRPr="00437A10" w:rsidRDefault="00437A10" w:rsidP="00BF2D6F">
      <w:pPr>
        <w:jc w:val="both"/>
        <w:rPr>
          <w:rFonts w:ascii="Arial" w:hAnsi="Arial" w:cs="Arial"/>
          <w:sz w:val="22"/>
          <w:szCs w:val="22"/>
        </w:rPr>
      </w:pPr>
    </w:p>
    <w:p w14:paraId="2AE33B92" w14:textId="77777777" w:rsidR="00A83B64" w:rsidRPr="00437A10" w:rsidRDefault="00A83B64" w:rsidP="00437A10">
      <w:pPr>
        <w:numPr>
          <w:ilvl w:val="0"/>
          <w:numId w:val="1"/>
        </w:numPr>
        <w:spacing w:before="100" w:beforeAutospacing="1" w:after="160" w:line="259" w:lineRule="auto"/>
        <w:contextualSpacing/>
        <w:jc w:val="both"/>
        <w:rPr>
          <w:rFonts w:ascii="Arial" w:eastAsia="Calibri" w:hAnsi="Arial" w:cs="Arial"/>
          <w:sz w:val="22"/>
          <w:szCs w:val="22"/>
        </w:rPr>
      </w:pPr>
      <w:r w:rsidRPr="00437A10">
        <w:rPr>
          <w:rFonts w:ascii="Arial" w:eastAsia="Calibri" w:hAnsi="Arial" w:cs="Arial"/>
          <w:sz w:val="22"/>
          <w:szCs w:val="22"/>
        </w:rPr>
        <w:t>¿Cuántos individuos, hogares o grupos se han quedado sin hogar durante los últimos diez años debido a la incapacidad de pagar una vivienda? Sírvase proporcionar un desglose de las características socioeconómicas de esas personas.</w:t>
      </w:r>
    </w:p>
    <w:p w14:paraId="6A712A66" w14:textId="13A4EF67" w:rsidR="00A83B64" w:rsidRPr="00437A10" w:rsidRDefault="007D47B3" w:rsidP="007D47B3">
      <w:pPr>
        <w:spacing w:after="160" w:line="259" w:lineRule="auto"/>
        <w:jc w:val="both"/>
        <w:rPr>
          <w:rFonts w:ascii="Arial" w:eastAsia="Calibri" w:hAnsi="Arial" w:cs="Arial"/>
          <w:sz w:val="22"/>
          <w:szCs w:val="22"/>
        </w:rPr>
      </w:pPr>
      <w:r w:rsidRPr="00437A10">
        <w:rPr>
          <w:rFonts w:ascii="Arial" w:eastAsia="Calibri" w:hAnsi="Arial" w:cs="Arial"/>
          <w:sz w:val="22"/>
          <w:szCs w:val="22"/>
        </w:rPr>
        <w:t>Sin respuesta. Estos datos no los tenemos cuantificados e investigados.</w:t>
      </w:r>
    </w:p>
    <w:p w14:paraId="12748D82" w14:textId="3D30959C" w:rsidR="00A83B64" w:rsidRPr="00437A10" w:rsidRDefault="00A83B64" w:rsidP="00A83B64">
      <w:pPr>
        <w:numPr>
          <w:ilvl w:val="0"/>
          <w:numId w:val="1"/>
        </w:num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Describa cómo la falta de asequibilidad de la vivienda afecta la capacidad de las personas y las familias para disfrutar de sus otros derechos humanos, incluidos los derechos al trabajo, la salud, la educación y el acceso a la seguridad personal en todas sus dimensiones.</w:t>
      </w:r>
    </w:p>
    <w:p w14:paraId="64ADD674" w14:textId="643C8133" w:rsidR="00E404C0" w:rsidRPr="00437A10" w:rsidRDefault="00E404C0" w:rsidP="00621F91">
      <w:pPr>
        <w:spacing w:before="100" w:beforeAutospacing="1"/>
        <w:jc w:val="both"/>
        <w:rPr>
          <w:rFonts w:ascii="Arial" w:hAnsi="Arial" w:cs="Arial"/>
          <w:sz w:val="22"/>
          <w:szCs w:val="22"/>
        </w:rPr>
      </w:pPr>
      <w:r w:rsidRPr="00437A10">
        <w:rPr>
          <w:rFonts w:ascii="Arial" w:eastAsia="Calibri" w:hAnsi="Arial" w:cs="Arial"/>
          <w:sz w:val="22"/>
          <w:szCs w:val="22"/>
        </w:rPr>
        <w:t xml:space="preserve">De acuerdo a la Encuesta sobre el Cumplimiento de la Ley Nº 1342 y de la Ley de Inquilinato de 1959 (ECLI, 2021), </w:t>
      </w:r>
      <w:r w:rsidRPr="00437A10">
        <w:rPr>
          <w:rFonts w:ascii="Arial" w:hAnsi="Arial" w:cs="Arial"/>
          <w:sz w:val="22"/>
          <w:szCs w:val="22"/>
        </w:rPr>
        <w:t>al presentarse dificultades para el pago de alquiler, los hogares donde el jefe(a) de hogar perdió su empleo, principalmente, emprendieron actividades independientes, utilizaron sus ahorros o acudieron al préstamo, los demás utilizaron el dinero que estaba destinado a la alimentación, educación u otra actividad para el pago de alquiler o consiguieron un empleo formal (cuadro 2). Por otra parte, la mayoría de los hogares que tuvieron una disminución en sus ingresos económicos, mantuvieron la actividad independiente o su empleo formal como fuente de ingresos y los demás recurrieron a préstamos, ahorros familiares o al gasto de recursos destinados a otros derechos básicos. A aquellos que, además de sufrir la pérdida del empleo o la disminución de recursos económicos, les afectó también una enfermedad grave o el fallecimiento de algún familiar, destinaron generalmente los recursos de sus derechos básicos al pago de alquiler. En sus declaraciones se evidencia la dificultad para encontrar un nuevo empleo, más aún si son adultos mayores, y las consecuencias de la disminución de ingresos económicos como las amenazas de desalojo o el desalojo por parte de los arrendadores (Quillaguamán, 2022</w:t>
      </w:r>
      <w:r w:rsidR="001E007A" w:rsidRPr="00437A10">
        <w:rPr>
          <w:rFonts w:ascii="Arial" w:hAnsi="Arial" w:cs="Arial"/>
          <w:sz w:val="22"/>
          <w:szCs w:val="22"/>
        </w:rPr>
        <w:t>(a)</w:t>
      </w:r>
      <w:r w:rsidRPr="00437A10">
        <w:rPr>
          <w:rFonts w:ascii="Arial" w:hAnsi="Arial" w:cs="Arial"/>
          <w:sz w:val="22"/>
          <w:szCs w:val="22"/>
        </w:rPr>
        <w:t>).</w:t>
      </w:r>
    </w:p>
    <w:p w14:paraId="7C091AF2" w14:textId="77777777" w:rsidR="00E404C0" w:rsidRPr="00437A10" w:rsidRDefault="00E404C0" w:rsidP="00E404C0">
      <w:pPr>
        <w:jc w:val="both"/>
        <w:rPr>
          <w:rFonts w:ascii="Arial" w:hAnsi="Arial" w:cs="Arial"/>
          <w:sz w:val="24"/>
          <w:szCs w:val="24"/>
        </w:rPr>
      </w:pPr>
    </w:p>
    <w:p w14:paraId="25B33AA3" w14:textId="11BC9A18" w:rsidR="00E404C0" w:rsidRPr="00437A10" w:rsidRDefault="00E404C0" w:rsidP="00E404C0">
      <w:pPr>
        <w:jc w:val="both"/>
        <w:rPr>
          <w:rFonts w:ascii="Arial" w:hAnsi="Arial" w:cs="Arial"/>
          <w:sz w:val="22"/>
          <w:szCs w:val="22"/>
        </w:rPr>
      </w:pPr>
      <w:r w:rsidRPr="00437A10">
        <w:rPr>
          <w:rFonts w:ascii="Arial" w:hAnsi="Arial" w:cs="Arial"/>
          <w:sz w:val="22"/>
          <w:szCs w:val="22"/>
        </w:rPr>
        <w:t>Cuadro 12.1. Porcentaje de hogares en situación de inquilinato según las causas que dificultan el pago normal del canon de alquiler y la fuente de ingresos, 2021</w:t>
      </w:r>
    </w:p>
    <w:tbl>
      <w:tblPr>
        <w:tblW w:w="8872" w:type="dxa"/>
        <w:tblInd w:w="-5" w:type="dxa"/>
        <w:tblCellMar>
          <w:left w:w="70" w:type="dxa"/>
          <w:right w:w="70" w:type="dxa"/>
        </w:tblCellMar>
        <w:tblLook w:val="04A0" w:firstRow="1" w:lastRow="0" w:firstColumn="1" w:lastColumn="0" w:noHBand="0" w:noVBand="1"/>
      </w:tblPr>
      <w:tblGrid>
        <w:gridCol w:w="893"/>
        <w:gridCol w:w="1507"/>
        <w:gridCol w:w="950"/>
        <w:gridCol w:w="1012"/>
        <w:gridCol w:w="807"/>
        <w:gridCol w:w="1200"/>
        <w:gridCol w:w="1201"/>
        <w:gridCol w:w="586"/>
        <w:gridCol w:w="7"/>
        <w:gridCol w:w="702"/>
        <w:gridCol w:w="7"/>
      </w:tblGrid>
      <w:tr w:rsidR="00E404C0" w:rsidRPr="00437A10" w14:paraId="0A2B9D6E" w14:textId="77777777" w:rsidTr="00A211E9">
        <w:trPr>
          <w:trHeight w:val="300"/>
        </w:trPr>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7DD3742" w14:textId="77777777" w:rsidR="00E404C0" w:rsidRPr="00437A10" w:rsidRDefault="00E404C0" w:rsidP="00A211E9">
            <w:pPr>
              <w:rPr>
                <w:rFonts w:ascii="Arial" w:hAnsi="Arial" w:cs="Arial"/>
                <w:sz w:val="16"/>
                <w:szCs w:val="16"/>
                <w:lang w:eastAsia="es-BO"/>
              </w:rPr>
            </w:pPr>
            <w:r w:rsidRPr="00437A10">
              <w:rPr>
                <w:rFonts w:ascii="Arial" w:hAnsi="Arial" w:cs="Arial"/>
                <w:sz w:val="16"/>
                <w:szCs w:val="16"/>
                <w:lang w:eastAsia="es-BO"/>
              </w:rPr>
              <w:t> </w:t>
            </w:r>
          </w:p>
        </w:tc>
        <w:tc>
          <w:tcPr>
            <w:tcW w:w="5611" w:type="dxa"/>
            <w:gridSpan w:val="7"/>
            <w:tcBorders>
              <w:top w:val="single" w:sz="4" w:space="0" w:color="auto"/>
              <w:left w:val="nil"/>
              <w:bottom w:val="single" w:sz="4" w:space="0" w:color="auto"/>
              <w:right w:val="single" w:sz="4" w:space="0" w:color="auto"/>
            </w:tcBorders>
            <w:shd w:val="clear" w:color="auto" w:fill="auto"/>
            <w:hideMark/>
          </w:tcPr>
          <w:p w14:paraId="2C9DDA16" w14:textId="77777777" w:rsidR="00E404C0" w:rsidRPr="00437A10" w:rsidRDefault="00E404C0" w:rsidP="00A211E9">
            <w:pPr>
              <w:rPr>
                <w:rFonts w:ascii="Arial" w:hAnsi="Arial" w:cs="Arial"/>
                <w:sz w:val="16"/>
                <w:szCs w:val="16"/>
                <w:lang w:eastAsia="es-BO"/>
              </w:rPr>
            </w:pPr>
            <w:r w:rsidRPr="00437A10">
              <w:rPr>
                <w:rFonts w:ascii="Arial" w:hAnsi="Arial" w:cs="Arial"/>
                <w:sz w:val="16"/>
                <w:szCs w:val="16"/>
                <w:lang w:eastAsia="es-BO"/>
              </w:rPr>
              <w:t>Si tiene dificultades para pagar el alquiler o no está pudiendo pagarlo ¿cuál es la razón?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C4422D" w14:textId="77777777" w:rsidR="00E404C0" w:rsidRPr="00437A10" w:rsidRDefault="00E404C0" w:rsidP="00A211E9">
            <w:pPr>
              <w:rPr>
                <w:rFonts w:ascii="Arial" w:hAnsi="Arial" w:cs="Arial"/>
                <w:sz w:val="16"/>
                <w:szCs w:val="16"/>
                <w:lang w:eastAsia="es-BO"/>
              </w:rPr>
            </w:pPr>
          </w:p>
        </w:tc>
      </w:tr>
      <w:tr w:rsidR="00E404C0" w:rsidRPr="00437A10" w14:paraId="230B056D" w14:textId="77777777" w:rsidTr="00A211E9">
        <w:trPr>
          <w:gridAfter w:val="1"/>
          <w:wAfter w:w="7" w:type="dxa"/>
          <w:trHeight w:val="1833"/>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14:paraId="464339B6" w14:textId="77777777" w:rsidR="00E404C0" w:rsidRPr="00437A10" w:rsidRDefault="00E404C0" w:rsidP="00A211E9">
            <w:pPr>
              <w:rPr>
                <w:rFonts w:ascii="Arial" w:hAnsi="Arial" w:cs="Arial"/>
                <w:sz w:val="16"/>
                <w:szCs w:val="16"/>
                <w:lang w:eastAsia="es-BO"/>
              </w:rPr>
            </w:pPr>
          </w:p>
        </w:tc>
        <w:tc>
          <w:tcPr>
            <w:tcW w:w="843" w:type="dxa"/>
            <w:tcBorders>
              <w:top w:val="nil"/>
              <w:left w:val="nil"/>
              <w:bottom w:val="single" w:sz="12" w:space="0" w:color="auto"/>
              <w:right w:val="single" w:sz="4" w:space="0" w:color="auto"/>
            </w:tcBorders>
            <w:shd w:val="clear" w:color="auto" w:fill="auto"/>
            <w:hideMark/>
          </w:tcPr>
          <w:p w14:paraId="1C09D02A" w14:textId="77777777" w:rsidR="00E404C0" w:rsidRPr="00437A10" w:rsidRDefault="00E404C0" w:rsidP="00A211E9">
            <w:pPr>
              <w:rPr>
                <w:rFonts w:ascii="Arial" w:hAnsi="Arial" w:cs="Arial"/>
                <w:sz w:val="16"/>
                <w:szCs w:val="16"/>
                <w:lang w:eastAsia="es-BO"/>
              </w:rPr>
            </w:pPr>
            <w:r w:rsidRPr="00437A10">
              <w:rPr>
                <w:rFonts w:ascii="Arial" w:hAnsi="Arial" w:cs="Arial"/>
                <w:sz w:val="16"/>
                <w:szCs w:val="16"/>
                <w:lang w:eastAsia="es-BO"/>
              </w:rPr>
              <w:t>Pérdida de empleo o suspensión de actividad económica</w:t>
            </w:r>
          </w:p>
        </w:tc>
        <w:tc>
          <w:tcPr>
            <w:tcW w:w="967" w:type="dxa"/>
            <w:tcBorders>
              <w:top w:val="nil"/>
              <w:left w:val="nil"/>
              <w:bottom w:val="single" w:sz="4" w:space="0" w:color="auto"/>
              <w:right w:val="single" w:sz="4" w:space="0" w:color="auto"/>
            </w:tcBorders>
            <w:shd w:val="clear" w:color="auto" w:fill="auto"/>
            <w:hideMark/>
          </w:tcPr>
          <w:p w14:paraId="3F8394F4" w14:textId="77777777" w:rsidR="00E404C0" w:rsidRPr="00437A10" w:rsidRDefault="00E404C0" w:rsidP="00A211E9">
            <w:pPr>
              <w:rPr>
                <w:rFonts w:ascii="Arial" w:hAnsi="Arial" w:cs="Arial"/>
                <w:sz w:val="16"/>
                <w:szCs w:val="16"/>
                <w:lang w:eastAsia="es-BO"/>
              </w:rPr>
            </w:pPr>
            <w:r w:rsidRPr="00437A10">
              <w:rPr>
                <w:rFonts w:ascii="Arial" w:hAnsi="Arial" w:cs="Arial"/>
                <w:sz w:val="16"/>
                <w:szCs w:val="16"/>
                <w:lang w:eastAsia="es-BO"/>
              </w:rPr>
              <w:t>Disminución de ingresos económicos</w:t>
            </w:r>
          </w:p>
        </w:tc>
        <w:tc>
          <w:tcPr>
            <w:tcW w:w="807" w:type="dxa"/>
            <w:tcBorders>
              <w:top w:val="nil"/>
              <w:left w:val="nil"/>
              <w:bottom w:val="single" w:sz="4" w:space="0" w:color="auto"/>
              <w:right w:val="single" w:sz="4" w:space="0" w:color="auto"/>
            </w:tcBorders>
            <w:shd w:val="clear" w:color="auto" w:fill="auto"/>
            <w:hideMark/>
          </w:tcPr>
          <w:p w14:paraId="35F6293C" w14:textId="77777777" w:rsidR="00E404C0" w:rsidRPr="00437A10" w:rsidRDefault="00E404C0" w:rsidP="00A211E9">
            <w:pPr>
              <w:rPr>
                <w:rFonts w:ascii="Arial" w:hAnsi="Arial" w:cs="Arial"/>
                <w:sz w:val="16"/>
                <w:szCs w:val="16"/>
                <w:lang w:eastAsia="es-BO"/>
              </w:rPr>
            </w:pPr>
            <w:r w:rsidRPr="00437A10">
              <w:rPr>
                <w:rFonts w:ascii="Arial" w:hAnsi="Arial" w:cs="Arial"/>
                <w:sz w:val="16"/>
                <w:szCs w:val="16"/>
                <w:lang w:eastAsia="es-BO"/>
              </w:rPr>
              <w:t>Falta de pago en la empresa o lugar de trabajo</w:t>
            </w:r>
          </w:p>
        </w:tc>
        <w:tc>
          <w:tcPr>
            <w:tcW w:w="1200" w:type="dxa"/>
            <w:tcBorders>
              <w:top w:val="nil"/>
              <w:left w:val="nil"/>
              <w:bottom w:val="single" w:sz="12" w:space="0" w:color="auto"/>
              <w:right w:val="single" w:sz="4" w:space="0" w:color="auto"/>
            </w:tcBorders>
            <w:shd w:val="clear" w:color="auto" w:fill="auto"/>
            <w:hideMark/>
          </w:tcPr>
          <w:p w14:paraId="3F98BF69" w14:textId="77777777" w:rsidR="00E404C0" w:rsidRPr="00437A10" w:rsidRDefault="00E404C0" w:rsidP="00A211E9">
            <w:pPr>
              <w:rPr>
                <w:rFonts w:ascii="Arial" w:hAnsi="Arial" w:cs="Arial"/>
                <w:sz w:val="16"/>
                <w:szCs w:val="16"/>
                <w:lang w:eastAsia="es-BO"/>
              </w:rPr>
            </w:pPr>
            <w:r w:rsidRPr="00437A10">
              <w:rPr>
                <w:rFonts w:ascii="Arial" w:hAnsi="Arial" w:cs="Arial"/>
                <w:sz w:val="16"/>
                <w:szCs w:val="16"/>
                <w:lang w:eastAsia="es-BO"/>
              </w:rPr>
              <w:t>Pérdida de empleo, suspensión de actividad económica, disminución de ingresos, fallecimiento o enfermedad grave</w:t>
            </w:r>
          </w:p>
        </w:tc>
        <w:tc>
          <w:tcPr>
            <w:tcW w:w="1201" w:type="dxa"/>
            <w:tcBorders>
              <w:top w:val="nil"/>
              <w:left w:val="nil"/>
              <w:bottom w:val="single" w:sz="4" w:space="0" w:color="auto"/>
              <w:right w:val="single" w:sz="4" w:space="0" w:color="auto"/>
            </w:tcBorders>
            <w:shd w:val="clear" w:color="auto" w:fill="auto"/>
            <w:hideMark/>
          </w:tcPr>
          <w:p w14:paraId="61F3E61A" w14:textId="77777777" w:rsidR="00E404C0" w:rsidRPr="00437A10" w:rsidRDefault="00E404C0" w:rsidP="00A211E9">
            <w:pPr>
              <w:rPr>
                <w:rFonts w:ascii="Arial" w:hAnsi="Arial" w:cs="Arial"/>
                <w:sz w:val="16"/>
                <w:szCs w:val="16"/>
                <w:lang w:eastAsia="es-BO"/>
              </w:rPr>
            </w:pPr>
            <w:r w:rsidRPr="00437A10">
              <w:rPr>
                <w:rFonts w:ascii="Arial" w:hAnsi="Arial" w:cs="Arial"/>
                <w:sz w:val="16"/>
                <w:szCs w:val="16"/>
                <w:lang w:eastAsia="es-BO"/>
              </w:rPr>
              <w:t>Fallecimiento de uno o más familiares o enfermedad grave</w:t>
            </w:r>
          </w:p>
        </w:tc>
        <w:tc>
          <w:tcPr>
            <w:tcW w:w="586" w:type="dxa"/>
            <w:tcBorders>
              <w:top w:val="nil"/>
              <w:left w:val="nil"/>
              <w:bottom w:val="single" w:sz="4" w:space="0" w:color="auto"/>
              <w:right w:val="single" w:sz="4" w:space="0" w:color="auto"/>
            </w:tcBorders>
            <w:shd w:val="clear" w:color="auto" w:fill="auto"/>
            <w:hideMark/>
          </w:tcPr>
          <w:p w14:paraId="64CF4DCF" w14:textId="77777777" w:rsidR="00E404C0" w:rsidRPr="00437A10" w:rsidRDefault="00E404C0" w:rsidP="00A211E9">
            <w:pPr>
              <w:rPr>
                <w:rFonts w:ascii="Arial" w:hAnsi="Arial" w:cs="Arial"/>
                <w:sz w:val="16"/>
                <w:szCs w:val="16"/>
                <w:lang w:eastAsia="es-BO"/>
              </w:rPr>
            </w:pPr>
            <w:r w:rsidRPr="00437A10">
              <w:rPr>
                <w:rFonts w:ascii="Arial" w:hAnsi="Arial" w:cs="Arial"/>
                <w:sz w:val="16"/>
                <w:szCs w:val="16"/>
                <w:lang w:eastAsia="es-BO"/>
              </w:rPr>
              <w:t>Otro</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FE8DA48" w14:textId="77777777" w:rsidR="00E404C0" w:rsidRPr="00437A10" w:rsidRDefault="00E404C0" w:rsidP="00A211E9">
            <w:pPr>
              <w:rPr>
                <w:rFonts w:ascii="Arial" w:hAnsi="Arial" w:cs="Arial"/>
                <w:sz w:val="16"/>
                <w:szCs w:val="16"/>
                <w:lang w:eastAsia="es-BO"/>
              </w:rPr>
            </w:pPr>
            <w:r w:rsidRPr="00437A10">
              <w:rPr>
                <w:rFonts w:ascii="Arial" w:hAnsi="Arial" w:cs="Arial"/>
                <w:sz w:val="16"/>
                <w:szCs w:val="16"/>
                <w:lang w:eastAsia="es-BO"/>
              </w:rPr>
              <w:t>Total</w:t>
            </w:r>
          </w:p>
        </w:tc>
      </w:tr>
      <w:tr w:rsidR="00E404C0" w:rsidRPr="00437A10" w14:paraId="0EAC5FEF" w14:textId="77777777" w:rsidTr="00A211E9">
        <w:trPr>
          <w:gridAfter w:val="1"/>
          <w:wAfter w:w="7" w:type="dxa"/>
          <w:trHeight w:val="265"/>
        </w:trPr>
        <w:tc>
          <w:tcPr>
            <w:tcW w:w="933" w:type="dxa"/>
            <w:vMerge w:val="restart"/>
            <w:tcBorders>
              <w:top w:val="nil"/>
              <w:left w:val="single" w:sz="4" w:space="0" w:color="auto"/>
              <w:right w:val="single" w:sz="4" w:space="0" w:color="auto"/>
            </w:tcBorders>
            <w:shd w:val="clear" w:color="auto" w:fill="auto"/>
            <w:hideMark/>
          </w:tcPr>
          <w:p w14:paraId="78DBF771" w14:textId="77777777" w:rsidR="00E404C0" w:rsidRPr="00437A10" w:rsidRDefault="00E404C0" w:rsidP="00A211E9">
            <w:pPr>
              <w:rPr>
                <w:rFonts w:ascii="Arial" w:hAnsi="Arial" w:cs="Arial"/>
                <w:sz w:val="16"/>
                <w:szCs w:val="16"/>
                <w:lang w:eastAsia="es-BO"/>
              </w:rPr>
            </w:pPr>
            <w:r w:rsidRPr="00437A10">
              <w:rPr>
                <w:rFonts w:ascii="Arial" w:hAnsi="Arial" w:cs="Arial"/>
                <w:sz w:val="16"/>
                <w:szCs w:val="16"/>
                <w:lang w:eastAsia="es-BO"/>
              </w:rPr>
              <w:t>Si está pagando el alquiler ¿de dónde obtiene sus ingresos para este pago?</w:t>
            </w:r>
          </w:p>
          <w:p w14:paraId="29B0A9E1" w14:textId="77777777" w:rsidR="00E404C0" w:rsidRPr="00437A10" w:rsidRDefault="00E404C0" w:rsidP="00A211E9">
            <w:pPr>
              <w:rPr>
                <w:rFonts w:ascii="Arial" w:hAnsi="Arial" w:cs="Arial"/>
                <w:sz w:val="16"/>
                <w:szCs w:val="16"/>
                <w:lang w:eastAsia="es-BO"/>
              </w:rPr>
            </w:pPr>
            <w:r w:rsidRPr="00437A10">
              <w:rPr>
                <w:rFonts w:ascii="Arial" w:hAnsi="Arial" w:cs="Arial"/>
                <w:sz w:val="16"/>
                <w:szCs w:val="16"/>
                <w:lang w:eastAsia="es-BO"/>
              </w:rPr>
              <w:t> </w:t>
            </w:r>
          </w:p>
          <w:p w14:paraId="7971F214" w14:textId="77777777" w:rsidR="00E404C0" w:rsidRPr="00437A10" w:rsidRDefault="00E404C0" w:rsidP="00A211E9">
            <w:pPr>
              <w:rPr>
                <w:rFonts w:ascii="Arial" w:hAnsi="Arial" w:cs="Arial"/>
                <w:sz w:val="16"/>
                <w:szCs w:val="16"/>
                <w:lang w:eastAsia="es-BO"/>
              </w:rPr>
            </w:pPr>
            <w:r w:rsidRPr="00437A10">
              <w:rPr>
                <w:rFonts w:ascii="Arial" w:hAnsi="Arial" w:cs="Arial"/>
                <w:sz w:val="16"/>
                <w:szCs w:val="16"/>
                <w:lang w:eastAsia="es-BO"/>
              </w:rPr>
              <w:t> </w:t>
            </w:r>
          </w:p>
          <w:p w14:paraId="2360E533" w14:textId="77777777" w:rsidR="00E404C0" w:rsidRPr="00437A10" w:rsidRDefault="00E404C0" w:rsidP="00A211E9">
            <w:pPr>
              <w:rPr>
                <w:rFonts w:ascii="Arial" w:hAnsi="Arial" w:cs="Arial"/>
                <w:sz w:val="16"/>
                <w:szCs w:val="16"/>
                <w:lang w:eastAsia="es-BO"/>
              </w:rPr>
            </w:pPr>
            <w:r w:rsidRPr="00437A10">
              <w:rPr>
                <w:rFonts w:ascii="Arial" w:hAnsi="Arial" w:cs="Arial"/>
                <w:sz w:val="16"/>
                <w:szCs w:val="16"/>
                <w:lang w:eastAsia="es-BO"/>
              </w:rPr>
              <w:t> </w:t>
            </w:r>
          </w:p>
          <w:p w14:paraId="574599C9" w14:textId="77777777" w:rsidR="00E404C0" w:rsidRPr="00437A10" w:rsidRDefault="00E404C0" w:rsidP="00A211E9">
            <w:pPr>
              <w:rPr>
                <w:rFonts w:ascii="Arial" w:hAnsi="Arial" w:cs="Arial"/>
                <w:sz w:val="16"/>
                <w:szCs w:val="16"/>
                <w:lang w:eastAsia="es-BO"/>
              </w:rPr>
            </w:pPr>
            <w:r w:rsidRPr="00437A10">
              <w:rPr>
                <w:rFonts w:ascii="Arial" w:hAnsi="Arial" w:cs="Arial"/>
                <w:sz w:val="16"/>
                <w:szCs w:val="16"/>
                <w:lang w:eastAsia="es-BO"/>
              </w:rPr>
              <w:t> </w:t>
            </w:r>
          </w:p>
          <w:p w14:paraId="2429A011" w14:textId="77777777" w:rsidR="00E404C0" w:rsidRPr="00437A10" w:rsidRDefault="00E404C0" w:rsidP="00A211E9">
            <w:pPr>
              <w:rPr>
                <w:rFonts w:ascii="Arial" w:hAnsi="Arial" w:cs="Arial"/>
                <w:sz w:val="16"/>
                <w:szCs w:val="16"/>
                <w:lang w:eastAsia="es-BO"/>
              </w:rPr>
            </w:pPr>
            <w:r w:rsidRPr="00437A10">
              <w:rPr>
                <w:rFonts w:ascii="Arial" w:hAnsi="Arial" w:cs="Arial"/>
                <w:sz w:val="16"/>
                <w:szCs w:val="16"/>
                <w:lang w:eastAsia="es-BO"/>
              </w:rPr>
              <w:t> </w:t>
            </w:r>
          </w:p>
          <w:p w14:paraId="6BEE832A" w14:textId="77777777" w:rsidR="00E404C0" w:rsidRPr="00437A10" w:rsidRDefault="00E404C0" w:rsidP="00A211E9">
            <w:pPr>
              <w:rPr>
                <w:rFonts w:ascii="Arial" w:hAnsi="Arial" w:cs="Arial"/>
                <w:sz w:val="16"/>
                <w:szCs w:val="16"/>
                <w:lang w:eastAsia="es-BO"/>
              </w:rPr>
            </w:pPr>
            <w:r w:rsidRPr="00437A10">
              <w:rPr>
                <w:rFonts w:ascii="Arial" w:hAnsi="Arial" w:cs="Arial"/>
                <w:sz w:val="16"/>
                <w:szCs w:val="16"/>
                <w:lang w:eastAsia="es-BO"/>
              </w:rPr>
              <w:t> </w:t>
            </w:r>
          </w:p>
          <w:p w14:paraId="382ADE0A" w14:textId="77777777" w:rsidR="00E404C0" w:rsidRPr="00437A10" w:rsidRDefault="00E404C0" w:rsidP="00A211E9">
            <w:pPr>
              <w:rPr>
                <w:rFonts w:ascii="Arial" w:hAnsi="Arial" w:cs="Arial"/>
                <w:sz w:val="16"/>
                <w:szCs w:val="16"/>
                <w:lang w:eastAsia="es-BO"/>
              </w:rPr>
            </w:pPr>
            <w:r w:rsidRPr="00437A10">
              <w:rPr>
                <w:rFonts w:ascii="Arial" w:hAnsi="Arial" w:cs="Arial"/>
                <w:sz w:val="16"/>
                <w:szCs w:val="16"/>
                <w:lang w:eastAsia="es-BO"/>
              </w:rPr>
              <w:t> </w:t>
            </w:r>
          </w:p>
          <w:p w14:paraId="5F95022B" w14:textId="77777777" w:rsidR="00E404C0" w:rsidRPr="00437A10" w:rsidRDefault="00E404C0" w:rsidP="00A211E9">
            <w:pPr>
              <w:rPr>
                <w:rFonts w:ascii="Arial" w:hAnsi="Arial" w:cs="Arial"/>
                <w:sz w:val="16"/>
                <w:szCs w:val="16"/>
                <w:lang w:eastAsia="es-BO"/>
              </w:rPr>
            </w:pPr>
            <w:r w:rsidRPr="00437A10">
              <w:rPr>
                <w:rFonts w:ascii="Arial" w:hAnsi="Arial" w:cs="Arial"/>
                <w:sz w:val="16"/>
                <w:szCs w:val="16"/>
                <w:lang w:eastAsia="es-BO"/>
              </w:rPr>
              <w:t> </w:t>
            </w:r>
          </w:p>
          <w:p w14:paraId="728111F8" w14:textId="77777777" w:rsidR="00E404C0" w:rsidRPr="00437A10" w:rsidRDefault="00E404C0" w:rsidP="00A211E9">
            <w:pPr>
              <w:rPr>
                <w:rFonts w:ascii="Arial" w:hAnsi="Arial" w:cs="Arial"/>
                <w:sz w:val="16"/>
                <w:szCs w:val="16"/>
                <w:lang w:eastAsia="es-BO"/>
              </w:rPr>
            </w:pPr>
            <w:r w:rsidRPr="00437A10">
              <w:rPr>
                <w:rFonts w:ascii="Arial" w:hAnsi="Arial" w:cs="Arial"/>
                <w:sz w:val="16"/>
                <w:szCs w:val="16"/>
                <w:lang w:eastAsia="es-BO"/>
              </w:rPr>
              <w:t> </w:t>
            </w:r>
          </w:p>
          <w:p w14:paraId="5C9B5BF1" w14:textId="77777777" w:rsidR="00E404C0" w:rsidRPr="00437A10" w:rsidRDefault="00E404C0" w:rsidP="00A211E9">
            <w:pPr>
              <w:rPr>
                <w:rFonts w:ascii="Arial" w:hAnsi="Arial" w:cs="Arial"/>
                <w:sz w:val="16"/>
                <w:szCs w:val="16"/>
                <w:lang w:eastAsia="es-BO"/>
              </w:rPr>
            </w:pPr>
            <w:r w:rsidRPr="00437A10">
              <w:rPr>
                <w:rFonts w:ascii="Arial" w:hAnsi="Arial" w:cs="Arial"/>
                <w:sz w:val="16"/>
                <w:szCs w:val="16"/>
                <w:lang w:eastAsia="es-BO"/>
              </w:rPr>
              <w:t> </w:t>
            </w:r>
          </w:p>
        </w:tc>
        <w:tc>
          <w:tcPr>
            <w:tcW w:w="1619" w:type="dxa"/>
            <w:tcBorders>
              <w:top w:val="nil"/>
              <w:left w:val="nil"/>
              <w:bottom w:val="single" w:sz="4" w:space="0" w:color="auto"/>
              <w:right w:val="single" w:sz="12" w:space="0" w:color="auto"/>
            </w:tcBorders>
            <w:shd w:val="clear" w:color="auto" w:fill="auto"/>
            <w:vAlign w:val="bottom"/>
            <w:hideMark/>
          </w:tcPr>
          <w:p w14:paraId="4F230856" w14:textId="77777777" w:rsidR="00E404C0" w:rsidRPr="00437A10" w:rsidRDefault="00E404C0" w:rsidP="00A211E9">
            <w:pPr>
              <w:jc w:val="center"/>
              <w:rPr>
                <w:rFonts w:ascii="Arial" w:hAnsi="Arial" w:cs="Arial"/>
                <w:sz w:val="16"/>
                <w:szCs w:val="16"/>
                <w:lang w:eastAsia="es-BO"/>
              </w:rPr>
            </w:pPr>
            <w:r w:rsidRPr="00437A10">
              <w:rPr>
                <w:rFonts w:ascii="Arial" w:hAnsi="Arial" w:cs="Arial"/>
                <w:sz w:val="16"/>
                <w:szCs w:val="16"/>
                <w:lang w:eastAsia="es-BO"/>
              </w:rPr>
              <w:t>Préstamo</w:t>
            </w:r>
          </w:p>
        </w:tc>
        <w:tc>
          <w:tcPr>
            <w:tcW w:w="84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E03B8A4"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2,9</w:t>
            </w:r>
          </w:p>
        </w:tc>
        <w:tc>
          <w:tcPr>
            <w:tcW w:w="967" w:type="dxa"/>
            <w:tcBorders>
              <w:top w:val="nil"/>
              <w:left w:val="single" w:sz="12" w:space="0" w:color="auto"/>
              <w:bottom w:val="single" w:sz="4" w:space="0" w:color="auto"/>
              <w:right w:val="single" w:sz="4" w:space="0" w:color="auto"/>
            </w:tcBorders>
            <w:shd w:val="clear" w:color="auto" w:fill="auto"/>
            <w:noWrap/>
            <w:vAlign w:val="center"/>
            <w:hideMark/>
          </w:tcPr>
          <w:p w14:paraId="3FCF268C"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3,6</w:t>
            </w:r>
          </w:p>
        </w:tc>
        <w:tc>
          <w:tcPr>
            <w:tcW w:w="807" w:type="dxa"/>
            <w:tcBorders>
              <w:top w:val="nil"/>
              <w:left w:val="nil"/>
              <w:bottom w:val="single" w:sz="4" w:space="0" w:color="auto"/>
              <w:right w:val="single" w:sz="12" w:space="0" w:color="auto"/>
            </w:tcBorders>
            <w:shd w:val="clear" w:color="auto" w:fill="auto"/>
            <w:noWrap/>
            <w:vAlign w:val="center"/>
            <w:hideMark/>
          </w:tcPr>
          <w:p w14:paraId="0906A0D4"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120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5E54A1EE"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0,7</w:t>
            </w:r>
          </w:p>
        </w:tc>
        <w:tc>
          <w:tcPr>
            <w:tcW w:w="1201" w:type="dxa"/>
            <w:tcBorders>
              <w:top w:val="nil"/>
              <w:left w:val="single" w:sz="12" w:space="0" w:color="auto"/>
              <w:bottom w:val="single" w:sz="4" w:space="0" w:color="auto"/>
              <w:right w:val="single" w:sz="4" w:space="0" w:color="auto"/>
            </w:tcBorders>
            <w:shd w:val="clear" w:color="auto" w:fill="auto"/>
            <w:noWrap/>
            <w:vAlign w:val="center"/>
            <w:hideMark/>
          </w:tcPr>
          <w:p w14:paraId="6FD51B26"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586" w:type="dxa"/>
            <w:tcBorders>
              <w:top w:val="nil"/>
              <w:left w:val="nil"/>
              <w:bottom w:val="single" w:sz="4" w:space="0" w:color="auto"/>
              <w:right w:val="single" w:sz="4" w:space="0" w:color="auto"/>
            </w:tcBorders>
            <w:shd w:val="clear" w:color="auto" w:fill="auto"/>
            <w:noWrap/>
            <w:vAlign w:val="center"/>
            <w:hideMark/>
          </w:tcPr>
          <w:p w14:paraId="5D7F6C07"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C601FAE"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7,1</w:t>
            </w:r>
          </w:p>
        </w:tc>
      </w:tr>
      <w:tr w:rsidR="00E404C0" w:rsidRPr="00437A10" w14:paraId="467A1B0B" w14:textId="77777777" w:rsidTr="00A211E9">
        <w:trPr>
          <w:gridAfter w:val="1"/>
          <w:wAfter w:w="7" w:type="dxa"/>
          <w:trHeight w:val="411"/>
        </w:trPr>
        <w:tc>
          <w:tcPr>
            <w:tcW w:w="933" w:type="dxa"/>
            <w:vMerge/>
            <w:tcBorders>
              <w:left w:val="single" w:sz="4" w:space="0" w:color="auto"/>
              <w:right w:val="single" w:sz="4" w:space="0" w:color="auto"/>
            </w:tcBorders>
            <w:shd w:val="clear" w:color="auto" w:fill="auto"/>
            <w:vAlign w:val="bottom"/>
            <w:hideMark/>
          </w:tcPr>
          <w:p w14:paraId="05E901E9" w14:textId="77777777" w:rsidR="00E404C0" w:rsidRPr="00437A10" w:rsidRDefault="00E404C0" w:rsidP="00A211E9">
            <w:pPr>
              <w:jc w:val="center"/>
              <w:rPr>
                <w:rFonts w:ascii="Arial" w:hAnsi="Arial" w:cs="Arial"/>
                <w:sz w:val="16"/>
                <w:szCs w:val="16"/>
                <w:lang w:eastAsia="es-BO"/>
              </w:rPr>
            </w:pPr>
          </w:p>
        </w:tc>
        <w:tc>
          <w:tcPr>
            <w:tcW w:w="1619" w:type="dxa"/>
            <w:tcBorders>
              <w:top w:val="nil"/>
              <w:left w:val="nil"/>
              <w:bottom w:val="single" w:sz="4" w:space="0" w:color="auto"/>
              <w:right w:val="single" w:sz="12" w:space="0" w:color="auto"/>
            </w:tcBorders>
            <w:shd w:val="clear" w:color="auto" w:fill="auto"/>
            <w:vAlign w:val="bottom"/>
            <w:hideMark/>
          </w:tcPr>
          <w:p w14:paraId="56FAEFF4" w14:textId="77777777" w:rsidR="00E404C0" w:rsidRPr="00437A10" w:rsidRDefault="00E404C0" w:rsidP="00A211E9">
            <w:pPr>
              <w:jc w:val="center"/>
              <w:rPr>
                <w:rFonts w:ascii="Arial" w:hAnsi="Arial" w:cs="Arial"/>
                <w:sz w:val="16"/>
                <w:szCs w:val="16"/>
                <w:lang w:eastAsia="es-BO"/>
              </w:rPr>
            </w:pPr>
            <w:r w:rsidRPr="00437A10">
              <w:rPr>
                <w:rFonts w:ascii="Arial" w:hAnsi="Arial" w:cs="Arial"/>
                <w:sz w:val="16"/>
                <w:szCs w:val="16"/>
                <w:lang w:eastAsia="es-BO"/>
              </w:rPr>
              <w:t>Ahorros familiares</w:t>
            </w:r>
          </w:p>
        </w:tc>
        <w:tc>
          <w:tcPr>
            <w:tcW w:w="843" w:type="dxa"/>
            <w:tcBorders>
              <w:top w:val="single" w:sz="4" w:space="0" w:color="auto"/>
              <w:left w:val="single" w:sz="12" w:space="0" w:color="auto"/>
              <w:bottom w:val="single" w:sz="4" w:space="0" w:color="auto"/>
              <w:right w:val="single" w:sz="12" w:space="0" w:color="auto"/>
            </w:tcBorders>
            <w:shd w:val="clear" w:color="auto" w:fill="D9D9D9" w:themeFill="background1" w:themeFillShade="D9"/>
            <w:noWrap/>
            <w:vAlign w:val="center"/>
            <w:hideMark/>
          </w:tcPr>
          <w:p w14:paraId="73D45933"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7,1</w:t>
            </w:r>
          </w:p>
        </w:tc>
        <w:tc>
          <w:tcPr>
            <w:tcW w:w="967" w:type="dxa"/>
            <w:tcBorders>
              <w:top w:val="nil"/>
              <w:left w:val="single" w:sz="12" w:space="0" w:color="auto"/>
              <w:bottom w:val="single" w:sz="4" w:space="0" w:color="auto"/>
              <w:right w:val="single" w:sz="4" w:space="0" w:color="auto"/>
            </w:tcBorders>
            <w:shd w:val="clear" w:color="auto" w:fill="auto"/>
            <w:noWrap/>
            <w:vAlign w:val="center"/>
            <w:hideMark/>
          </w:tcPr>
          <w:p w14:paraId="346EF982"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5,0</w:t>
            </w:r>
          </w:p>
        </w:tc>
        <w:tc>
          <w:tcPr>
            <w:tcW w:w="807" w:type="dxa"/>
            <w:tcBorders>
              <w:top w:val="nil"/>
              <w:left w:val="nil"/>
              <w:bottom w:val="single" w:sz="4" w:space="0" w:color="auto"/>
              <w:right w:val="single" w:sz="12" w:space="0" w:color="auto"/>
            </w:tcBorders>
            <w:shd w:val="clear" w:color="auto" w:fill="auto"/>
            <w:noWrap/>
            <w:vAlign w:val="center"/>
            <w:hideMark/>
          </w:tcPr>
          <w:p w14:paraId="2066ACFF"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120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E077207"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1201" w:type="dxa"/>
            <w:tcBorders>
              <w:top w:val="nil"/>
              <w:left w:val="single" w:sz="12" w:space="0" w:color="auto"/>
              <w:bottom w:val="single" w:sz="4" w:space="0" w:color="auto"/>
              <w:right w:val="single" w:sz="4" w:space="0" w:color="auto"/>
            </w:tcBorders>
            <w:shd w:val="clear" w:color="auto" w:fill="auto"/>
            <w:noWrap/>
            <w:vAlign w:val="center"/>
            <w:hideMark/>
          </w:tcPr>
          <w:p w14:paraId="1EAE43A6"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586" w:type="dxa"/>
            <w:tcBorders>
              <w:top w:val="nil"/>
              <w:left w:val="nil"/>
              <w:bottom w:val="single" w:sz="4" w:space="0" w:color="auto"/>
              <w:right w:val="single" w:sz="4" w:space="0" w:color="auto"/>
            </w:tcBorders>
            <w:shd w:val="clear" w:color="auto" w:fill="auto"/>
            <w:noWrap/>
            <w:vAlign w:val="center"/>
            <w:hideMark/>
          </w:tcPr>
          <w:p w14:paraId="1E65E743"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665B268"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12,1</w:t>
            </w:r>
          </w:p>
        </w:tc>
      </w:tr>
      <w:tr w:rsidR="00E404C0" w:rsidRPr="00437A10" w14:paraId="0AA67B64" w14:textId="77777777" w:rsidTr="00A211E9">
        <w:trPr>
          <w:gridAfter w:val="1"/>
          <w:wAfter w:w="7" w:type="dxa"/>
          <w:trHeight w:val="842"/>
        </w:trPr>
        <w:tc>
          <w:tcPr>
            <w:tcW w:w="933" w:type="dxa"/>
            <w:vMerge/>
            <w:tcBorders>
              <w:left w:val="single" w:sz="4" w:space="0" w:color="auto"/>
              <w:right w:val="single" w:sz="4" w:space="0" w:color="auto"/>
            </w:tcBorders>
            <w:shd w:val="clear" w:color="auto" w:fill="auto"/>
            <w:vAlign w:val="bottom"/>
            <w:hideMark/>
          </w:tcPr>
          <w:p w14:paraId="556C57FA" w14:textId="77777777" w:rsidR="00E404C0" w:rsidRPr="00437A10" w:rsidRDefault="00E404C0" w:rsidP="00A211E9">
            <w:pPr>
              <w:jc w:val="center"/>
              <w:rPr>
                <w:rFonts w:ascii="Arial" w:hAnsi="Arial" w:cs="Arial"/>
                <w:sz w:val="16"/>
                <w:szCs w:val="16"/>
                <w:lang w:eastAsia="es-BO"/>
              </w:rPr>
            </w:pPr>
          </w:p>
        </w:tc>
        <w:tc>
          <w:tcPr>
            <w:tcW w:w="1619" w:type="dxa"/>
            <w:tcBorders>
              <w:top w:val="nil"/>
              <w:left w:val="nil"/>
              <w:bottom w:val="single" w:sz="4" w:space="0" w:color="auto"/>
              <w:right w:val="single" w:sz="12" w:space="0" w:color="auto"/>
            </w:tcBorders>
            <w:shd w:val="clear" w:color="auto" w:fill="auto"/>
            <w:vAlign w:val="bottom"/>
            <w:hideMark/>
          </w:tcPr>
          <w:p w14:paraId="3877E9A3" w14:textId="77777777" w:rsidR="00E404C0" w:rsidRPr="00437A10" w:rsidRDefault="00E404C0" w:rsidP="00A211E9">
            <w:pPr>
              <w:jc w:val="center"/>
              <w:rPr>
                <w:rFonts w:ascii="Arial" w:hAnsi="Arial" w:cs="Arial"/>
                <w:sz w:val="16"/>
                <w:szCs w:val="16"/>
                <w:lang w:eastAsia="es-BO"/>
              </w:rPr>
            </w:pPr>
            <w:r w:rsidRPr="00437A10">
              <w:rPr>
                <w:rFonts w:ascii="Arial" w:hAnsi="Arial" w:cs="Arial"/>
                <w:sz w:val="16"/>
                <w:szCs w:val="16"/>
                <w:lang w:eastAsia="es-BO"/>
              </w:rPr>
              <w:t>Capital destinado a otra actividad (educación, salud, alimentación, negocio, etc.)</w:t>
            </w:r>
          </w:p>
        </w:tc>
        <w:tc>
          <w:tcPr>
            <w:tcW w:w="843"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6B4AE78E"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2,9</w:t>
            </w:r>
          </w:p>
        </w:tc>
        <w:tc>
          <w:tcPr>
            <w:tcW w:w="967" w:type="dxa"/>
            <w:tcBorders>
              <w:top w:val="nil"/>
              <w:left w:val="single" w:sz="12" w:space="0" w:color="auto"/>
              <w:bottom w:val="single" w:sz="4" w:space="0" w:color="auto"/>
              <w:right w:val="single" w:sz="4" w:space="0" w:color="auto"/>
            </w:tcBorders>
            <w:shd w:val="clear" w:color="auto" w:fill="auto"/>
            <w:noWrap/>
            <w:vAlign w:val="center"/>
            <w:hideMark/>
          </w:tcPr>
          <w:p w14:paraId="33A22E85"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2,1</w:t>
            </w:r>
          </w:p>
        </w:tc>
        <w:tc>
          <w:tcPr>
            <w:tcW w:w="807" w:type="dxa"/>
            <w:tcBorders>
              <w:top w:val="nil"/>
              <w:left w:val="nil"/>
              <w:bottom w:val="single" w:sz="4" w:space="0" w:color="auto"/>
              <w:right w:val="single" w:sz="12" w:space="0" w:color="auto"/>
            </w:tcBorders>
            <w:shd w:val="clear" w:color="auto" w:fill="auto"/>
            <w:noWrap/>
            <w:vAlign w:val="center"/>
            <w:hideMark/>
          </w:tcPr>
          <w:p w14:paraId="6FDF6893"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1200"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68BBBB72"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1,4</w:t>
            </w:r>
          </w:p>
        </w:tc>
        <w:tc>
          <w:tcPr>
            <w:tcW w:w="1201" w:type="dxa"/>
            <w:tcBorders>
              <w:top w:val="nil"/>
              <w:left w:val="single" w:sz="12" w:space="0" w:color="auto"/>
              <w:bottom w:val="single" w:sz="4" w:space="0" w:color="auto"/>
              <w:right w:val="single" w:sz="4" w:space="0" w:color="auto"/>
            </w:tcBorders>
            <w:shd w:val="clear" w:color="auto" w:fill="auto"/>
            <w:noWrap/>
            <w:vAlign w:val="center"/>
            <w:hideMark/>
          </w:tcPr>
          <w:p w14:paraId="051301EC"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586" w:type="dxa"/>
            <w:tcBorders>
              <w:top w:val="nil"/>
              <w:left w:val="nil"/>
              <w:bottom w:val="single" w:sz="4" w:space="0" w:color="auto"/>
              <w:right w:val="single" w:sz="4" w:space="0" w:color="auto"/>
            </w:tcBorders>
            <w:shd w:val="clear" w:color="auto" w:fill="auto"/>
            <w:noWrap/>
            <w:vAlign w:val="center"/>
            <w:hideMark/>
          </w:tcPr>
          <w:p w14:paraId="453D77BA"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226EEDD"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6,4</w:t>
            </w:r>
          </w:p>
        </w:tc>
      </w:tr>
      <w:tr w:rsidR="00E404C0" w:rsidRPr="00437A10" w14:paraId="19880075" w14:textId="77777777" w:rsidTr="00A211E9">
        <w:trPr>
          <w:gridAfter w:val="1"/>
          <w:wAfter w:w="7" w:type="dxa"/>
          <w:trHeight w:val="716"/>
        </w:trPr>
        <w:tc>
          <w:tcPr>
            <w:tcW w:w="933" w:type="dxa"/>
            <w:vMerge/>
            <w:tcBorders>
              <w:left w:val="single" w:sz="4" w:space="0" w:color="auto"/>
              <w:right w:val="single" w:sz="4" w:space="0" w:color="auto"/>
            </w:tcBorders>
            <w:shd w:val="clear" w:color="auto" w:fill="auto"/>
            <w:vAlign w:val="bottom"/>
            <w:hideMark/>
          </w:tcPr>
          <w:p w14:paraId="2FD85C68" w14:textId="77777777" w:rsidR="00E404C0" w:rsidRPr="00437A10" w:rsidRDefault="00E404C0" w:rsidP="00A211E9">
            <w:pPr>
              <w:jc w:val="center"/>
              <w:rPr>
                <w:rFonts w:ascii="Arial" w:hAnsi="Arial" w:cs="Arial"/>
                <w:sz w:val="16"/>
                <w:szCs w:val="16"/>
                <w:lang w:eastAsia="es-BO"/>
              </w:rPr>
            </w:pPr>
          </w:p>
        </w:tc>
        <w:tc>
          <w:tcPr>
            <w:tcW w:w="1619" w:type="dxa"/>
            <w:tcBorders>
              <w:top w:val="nil"/>
              <w:left w:val="nil"/>
              <w:bottom w:val="single" w:sz="4" w:space="0" w:color="auto"/>
              <w:right w:val="single" w:sz="4" w:space="0" w:color="auto"/>
            </w:tcBorders>
            <w:shd w:val="clear" w:color="auto" w:fill="auto"/>
            <w:vAlign w:val="bottom"/>
            <w:hideMark/>
          </w:tcPr>
          <w:p w14:paraId="1A5DDAA6" w14:textId="77777777" w:rsidR="00E404C0" w:rsidRPr="00437A10" w:rsidRDefault="00E404C0" w:rsidP="00A211E9">
            <w:pPr>
              <w:jc w:val="center"/>
              <w:rPr>
                <w:rFonts w:ascii="Arial" w:hAnsi="Arial" w:cs="Arial"/>
                <w:sz w:val="16"/>
                <w:szCs w:val="16"/>
                <w:lang w:eastAsia="es-BO"/>
              </w:rPr>
            </w:pPr>
            <w:r w:rsidRPr="00437A10">
              <w:rPr>
                <w:rFonts w:ascii="Arial" w:hAnsi="Arial" w:cs="Arial"/>
                <w:sz w:val="16"/>
                <w:szCs w:val="16"/>
                <w:lang w:eastAsia="es-BO"/>
              </w:rPr>
              <w:t>Empleo formal o tradicional en institución pública o privada</w:t>
            </w:r>
          </w:p>
        </w:tc>
        <w:tc>
          <w:tcPr>
            <w:tcW w:w="843" w:type="dxa"/>
            <w:tcBorders>
              <w:top w:val="single" w:sz="12" w:space="0" w:color="auto"/>
              <w:left w:val="nil"/>
              <w:bottom w:val="single" w:sz="4" w:space="0" w:color="auto"/>
              <w:right w:val="single" w:sz="4" w:space="0" w:color="auto"/>
            </w:tcBorders>
            <w:shd w:val="clear" w:color="auto" w:fill="auto"/>
            <w:noWrap/>
            <w:vAlign w:val="center"/>
            <w:hideMark/>
          </w:tcPr>
          <w:p w14:paraId="1D99D61E"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0,7</w:t>
            </w:r>
          </w:p>
        </w:tc>
        <w:tc>
          <w:tcPr>
            <w:tcW w:w="967" w:type="dxa"/>
            <w:tcBorders>
              <w:top w:val="nil"/>
              <w:left w:val="nil"/>
              <w:bottom w:val="single" w:sz="4" w:space="0" w:color="auto"/>
              <w:right w:val="single" w:sz="4" w:space="0" w:color="auto"/>
            </w:tcBorders>
            <w:shd w:val="clear" w:color="auto" w:fill="D9D9D9" w:themeFill="background1" w:themeFillShade="D9"/>
            <w:noWrap/>
            <w:vAlign w:val="center"/>
            <w:hideMark/>
          </w:tcPr>
          <w:p w14:paraId="31B7FF23"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6,4</w:t>
            </w:r>
          </w:p>
        </w:tc>
        <w:tc>
          <w:tcPr>
            <w:tcW w:w="807" w:type="dxa"/>
            <w:tcBorders>
              <w:top w:val="nil"/>
              <w:left w:val="nil"/>
              <w:bottom w:val="single" w:sz="4" w:space="0" w:color="auto"/>
              <w:right w:val="single" w:sz="4" w:space="0" w:color="auto"/>
            </w:tcBorders>
            <w:shd w:val="clear" w:color="auto" w:fill="auto"/>
            <w:noWrap/>
            <w:vAlign w:val="center"/>
            <w:hideMark/>
          </w:tcPr>
          <w:p w14:paraId="7AC3AB11"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2,1</w:t>
            </w:r>
          </w:p>
        </w:tc>
        <w:tc>
          <w:tcPr>
            <w:tcW w:w="1200" w:type="dxa"/>
            <w:tcBorders>
              <w:top w:val="single" w:sz="12" w:space="0" w:color="auto"/>
              <w:left w:val="nil"/>
              <w:bottom w:val="single" w:sz="4" w:space="0" w:color="auto"/>
              <w:right w:val="single" w:sz="4" w:space="0" w:color="auto"/>
            </w:tcBorders>
            <w:shd w:val="clear" w:color="auto" w:fill="auto"/>
            <w:noWrap/>
            <w:vAlign w:val="center"/>
            <w:hideMark/>
          </w:tcPr>
          <w:p w14:paraId="3F86A4B6"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0,7</w:t>
            </w:r>
          </w:p>
        </w:tc>
        <w:tc>
          <w:tcPr>
            <w:tcW w:w="1201" w:type="dxa"/>
            <w:tcBorders>
              <w:top w:val="nil"/>
              <w:left w:val="nil"/>
              <w:bottom w:val="single" w:sz="4" w:space="0" w:color="auto"/>
              <w:right w:val="single" w:sz="4" w:space="0" w:color="auto"/>
            </w:tcBorders>
            <w:shd w:val="clear" w:color="auto" w:fill="auto"/>
            <w:noWrap/>
            <w:vAlign w:val="center"/>
            <w:hideMark/>
          </w:tcPr>
          <w:p w14:paraId="2B69A592"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0,7</w:t>
            </w:r>
          </w:p>
        </w:tc>
        <w:tc>
          <w:tcPr>
            <w:tcW w:w="586" w:type="dxa"/>
            <w:tcBorders>
              <w:top w:val="nil"/>
              <w:left w:val="nil"/>
              <w:bottom w:val="single" w:sz="4" w:space="0" w:color="auto"/>
              <w:right w:val="single" w:sz="4" w:space="0" w:color="auto"/>
            </w:tcBorders>
            <w:shd w:val="clear" w:color="auto" w:fill="auto"/>
            <w:noWrap/>
            <w:vAlign w:val="center"/>
            <w:hideMark/>
          </w:tcPr>
          <w:p w14:paraId="0F01A882"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DAA4E3B"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10,7</w:t>
            </w:r>
          </w:p>
        </w:tc>
      </w:tr>
      <w:tr w:rsidR="00E404C0" w:rsidRPr="00437A10" w14:paraId="43D2C024" w14:textId="77777777" w:rsidTr="00A211E9">
        <w:trPr>
          <w:gridAfter w:val="1"/>
          <w:wAfter w:w="7" w:type="dxa"/>
          <w:trHeight w:val="401"/>
        </w:trPr>
        <w:tc>
          <w:tcPr>
            <w:tcW w:w="933" w:type="dxa"/>
            <w:vMerge/>
            <w:tcBorders>
              <w:left w:val="single" w:sz="4" w:space="0" w:color="auto"/>
              <w:right w:val="single" w:sz="4" w:space="0" w:color="auto"/>
            </w:tcBorders>
            <w:shd w:val="clear" w:color="auto" w:fill="auto"/>
            <w:vAlign w:val="bottom"/>
            <w:hideMark/>
          </w:tcPr>
          <w:p w14:paraId="118645E0" w14:textId="77777777" w:rsidR="00E404C0" w:rsidRPr="00437A10" w:rsidRDefault="00E404C0" w:rsidP="00A211E9">
            <w:pPr>
              <w:jc w:val="center"/>
              <w:rPr>
                <w:rFonts w:ascii="Arial" w:hAnsi="Arial" w:cs="Arial"/>
                <w:sz w:val="16"/>
                <w:szCs w:val="16"/>
                <w:lang w:eastAsia="es-BO"/>
              </w:rPr>
            </w:pPr>
          </w:p>
        </w:tc>
        <w:tc>
          <w:tcPr>
            <w:tcW w:w="1619" w:type="dxa"/>
            <w:tcBorders>
              <w:top w:val="nil"/>
              <w:left w:val="nil"/>
              <w:bottom w:val="single" w:sz="4" w:space="0" w:color="auto"/>
              <w:right w:val="single" w:sz="4" w:space="0" w:color="auto"/>
            </w:tcBorders>
            <w:shd w:val="clear" w:color="auto" w:fill="auto"/>
            <w:vAlign w:val="bottom"/>
            <w:hideMark/>
          </w:tcPr>
          <w:p w14:paraId="67334CC8" w14:textId="77777777" w:rsidR="00E404C0" w:rsidRPr="00437A10" w:rsidRDefault="00E404C0" w:rsidP="00A211E9">
            <w:pPr>
              <w:jc w:val="center"/>
              <w:rPr>
                <w:rFonts w:ascii="Arial" w:hAnsi="Arial" w:cs="Arial"/>
                <w:sz w:val="16"/>
                <w:szCs w:val="16"/>
                <w:lang w:eastAsia="es-BO"/>
              </w:rPr>
            </w:pPr>
            <w:r w:rsidRPr="00437A10">
              <w:rPr>
                <w:rFonts w:ascii="Arial" w:hAnsi="Arial" w:cs="Arial"/>
                <w:sz w:val="16"/>
                <w:szCs w:val="16"/>
                <w:lang w:eastAsia="es-BO"/>
              </w:rPr>
              <w:t>Actividad independiente</w:t>
            </w:r>
          </w:p>
        </w:tc>
        <w:tc>
          <w:tcPr>
            <w:tcW w:w="843" w:type="dxa"/>
            <w:tcBorders>
              <w:top w:val="nil"/>
              <w:left w:val="nil"/>
              <w:bottom w:val="single" w:sz="4" w:space="0" w:color="auto"/>
              <w:right w:val="single" w:sz="4" w:space="0" w:color="auto"/>
            </w:tcBorders>
            <w:shd w:val="clear" w:color="auto" w:fill="D9D9D9" w:themeFill="background1" w:themeFillShade="D9"/>
            <w:noWrap/>
            <w:vAlign w:val="center"/>
            <w:hideMark/>
          </w:tcPr>
          <w:p w14:paraId="36158D84"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12,1</w:t>
            </w:r>
          </w:p>
        </w:tc>
        <w:tc>
          <w:tcPr>
            <w:tcW w:w="967" w:type="dxa"/>
            <w:tcBorders>
              <w:top w:val="nil"/>
              <w:left w:val="nil"/>
              <w:bottom w:val="single" w:sz="4" w:space="0" w:color="auto"/>
              <w:right w:val="single" w:sz="4" w:space="0" w:color="auto"/>
            </w:tcBorders>
            <w:shd w:val="clear" w:color="auto" w:fill="D9D9D9" w:themeFill="background1" w:themeFillShade="D9"/>
            <w:noWrap/>
            <w:vAlign w:val="center"/>
            <w:hideMark/>
          </w:tcPr>
          <w:p w14:paraId="73E2DA44"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35,0</w:t>
            </w:r>
          </w:p>
        </w:tc>
        <w:tc>
          <w:tcPr>
            <w:tcW w:w="807" w:type="dxa"/>
            <w:tcBorders>
              <w:top w:val="nil"/>
              <w:left w:val="nil"/>
              <w:bottom w:val="single" w:sz="4" w:space="0" w:color="auto"/>
              <w:right w:val="single" w:sz="4" w:space="0" w:color="auto"/>
            </w:tcBorders>
            <w:shd w:val="clear" w:color="auto" w:fill="auto"/>
            <w:noWrap/>
            <w:vAlign w:val="center"/>
            <w:hideMark/>
          </w:tcPr>
          <w:p w14:paraId="60DC5052"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7F025019"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0,7</w:t>
            </w:r>
          </w:p>
        </w:tc>
        <w:tc>
          <w:tcPr>
            <w:tcW w:w="1201" w:type="dxa"/>
            <w:tcBorders>
              <w:top w:val="nil"/>
              <w:left w:val="nil"/>
              <w:bottom w:val="single" w:sz="4" w:space="0" w:color="auto"/>
              <w:right w:val="single" w:sz="4" w:space="0" w:color="auto"/>
            </w:tcBorders>
            <w:shd w:val="clear" w:color="auto" w:fill="D9D9D9" w:themeFill="background1" w:themeFillShade="D9"/>
            <w:noWrap/>
            <w:vAlign w:val="center"/>
            <w:hideMark/>
          </w:tcPr>
          <w:p w14:paraId="16C7C805"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1,4</w:t>
            </w:r>
          </w:p>
        </w:tc>
        <w:tc>
          <w:tcPr>
            <w:tcW w:w="586" w:type="dxa"/>
            <w:tcBorders>
              <w:top w:val="nil"/>
              <w:left w:val="nil"/>
              <w:bottom w:val="single" w:sz="4" w:space="0" w:color="auto"/>
              <w:right w:val="single" w:sz="4" w:space="0" w:color="auto"/>
            </w:tcBorders>
            <w:shd w:val="clear" w:color="auto" w:fill="auto"/>
            <w:noWrap/>
            <w:vAlign w:val="center"/>
            <w:hideMark/>
          </w:tcPr>
          <w:p w14:paraId="095121E4"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1,4</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88DD28A"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52,9</w:t>
            </w:r>
          </w:p>
        </w:tc>
      </w:tr>
      <w:tr w:rsidR="00E404C0" w:rsidRPr="00437A10" w14:paraId="04860582" w14:textId="77777777" w:rsidTr="00A211E9">
        <w:trPr>
          <w:gridAfter w:val="1"/>
          <w:wAfter w:w="7" w:type="dxa"/>
          <w:trHeight w:val="278"/>
        </w:trPr>
        <w:tc>
          <w:tcPr>
            <w:tcW w:w="933" w:type="dxa"/>
            <w:vMerge/>
            <w:tcBorders>
              <w:left w:val="single" w:sz="4" w:space="0" w:color="auto"/>
              <w:right w:val="single" w:sz="4" w:space="0" w:color="auto"/>
            </w:tcBorders>
            <w:shd w:val="clear" w:color="auto" w:fill="auto"/>
            <w:vAlign w:val="bottom"/>
            <w:hideMark/>
          </w:tcPr>
          <w:p w14:paraId="0721EDEA" w14:textId="77777777" w:rsidR="00E404C0" w:rsidRPr="00437A10" w:rsidRDefault="00E404C0" w:rsidP="00A211E9">
            <w:pPr>
              <w:jc w:val="center"/>
              <w:rPr>
                <w:rFonts w:ascii="Arial" w:hAnsi="Arial" w:cs="Arial"/>
                <w:sz w:val="16"/>
                <w:szCs w:val="16"/>
                <w:lang w:eastAsia="es-BO"/>
              </w:rPr>
            </w:pPr>
          </w:p>
        </w:tc>
        <w:tc>
          <w:tcPr>
            <w:tcW w:w="1619" w:type="dxa"/>
            <w:tcBorders>
              <w:top w:val="nil"/>
              <w:left w:val="nil"/>
              <w:bottom w:val="single" w:sz="4" w:space="0" w:color="auto"/>
              <w:right w:val="single" w:sz="4" w:space="0" w:color="auto"/>
            </w:tcBorders>
            <w:shd w:val="clear" w:color="auto" w:fill="auto"/>
            <w:vAlign w:val="bottom"/>
            <w:hideMark/>
          </w:tcPr>
          <w:p w14:paraId="3BB0CC67" w14:textId="77777777" w:rsidR="00E404C0" w:rsidRPr="00437A10" w:rsidRDefault="00E404C0" w:rsidP="00A211E9">
            <w:pPr>
              <w:jc w:val="center"/>
              <w:rPr>
                <w:rFonts w:ascii="Arial" w:hAnsi="Arial" w:cs="Arial"/>
                <w:sz w:val="16"/>
                <w:szCs w:val="16"/>
                <w:lang w:eastAsia="es-BO"/>
              </w:rPr>
            </w:pPr>
            <w:r w:rsidRPr="00437A10">
              <w:rPr>
                <w:rFonts w:ascii="Arial" w:hAnsi="Arial" w:cs="Arial"/>
                <w:sz w:val="16"/>
                <w:szCs w:val="16"/>
                <w:lang w:eastAsia="es-BO"/>
              </w:rPr>
              <w:t>Renta o jubilación</w:t>
            </w:r>
          </w:p>
        </w:tc>
        <w:tc>
          <w:tcPr>
            <w:tcW w:w="843" w:type="dxa"/>
            <w:tcBorders>
              <w:top w:val="nil"/>
              <w:left w:val="nil"/>
              <w:bottom w:val="single" w:sz="4" w:space="0" w:color="auto"/>
              <w:right w:val="single" w:sz="4" w:space="0" w:color="auto"/>
            </w:tcBorders>
            <w:shd w:val="clear" w:color="auto" w:fill="auto"/>
            <w:noWrap/>
            <w:vAlign w:val="center"/>
            <w:hideMark/>
          </w:tcPr>
          <w:p w14:paraId="089E4D35"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0,7</w:t>
            </w:r>
          </w:p>
        </w:tc>
        <w:tc>
          <w:tcPr>
            <w:tcW w:w="967" w:type="dxa"/>
            <w:tcBorders>
              <w:top w:val="nil"/>
              <w:left w:val="nil"/>
              <w:bottom w:val="single" w:sz="4" w:space="0" w:color="auto"/>
              <w:right w:val="single" w:sz="4" w:space="0" w:color="auto"/>
            </w:tcBorders>
            <w:shd w:val="clear" w:color="auto" w:fill="auto"/>
            <w:noWrap/>
            <w:vAlign w:val="center"/>
            <w:hideMark/>
          </w:tcPr>
          <w:p w14:paraId="3C04B02A"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807" w:type="dxa"/>
            <w:tcBorders>
              <w:top w:val="nil"/>
              <w:left w:val="nil"/>
              <w:bottom w:val="single" w:sz="4" w:space="0" w:color="auto"/>
              <w:right w:val="single" w:sz="4" w:space="0" w:color="auto"/>
            </w:tcBorders>
            <w:shd w:val="clear" w:color="auto" w:fill="auto"/>
            <w:noWrap/>
            <w:vAlign w:val="center"/>
            <w:hideMark/>
          </w:tcPr>
          <w:p w14:paraId="1AE700CB"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1200" w:type="dxa"/>
            <w:tcBorders>
              <w:top w:val="nil"/>
              <w:left w:val="nil"/>
              <w:bottom w:val="single" w:sz="4" w:space="0" w:color="auto"/>
              <w:right w:val="single" w:sz="4" w:space="0" w:color="auto"/>
            </w:tcBorders>
            <w:shd w:val="clear" w:color="auto" w:fill="auto"/>
            <w:noWrap/>
            <w:vAlign w:val="center"/>
            <w:hideMark/>
          </w:tcPr>
          <w:p w14:paraId="2B1634CE"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0,7</w:t>
            </w:r>
          </w:p>
        </w:tc>
        <w:tc>
          <w:tcPr>
            <w:tcW w:w="1201" w:type="dxa"/>
            <w:tcBorders>
              <w:top w:val="nil"/>
              <w:left w:val="nil"/>
              <w:bottom w:val="single" w:sz="4" w:space="0" w:color="auto"/>
              <w:right w:val="single" w:sz="4" w:space="0" w:color="auto"/>
            </w:tcBorders>
            <w:shd w:val="clear" w:color="auto" w:fill="auto"/>
            <w:noWrap/>
            <w:vAlign w:val="center"/>
            <w:hideMark/>
          </w:tcPr>
          <w:p w14:paraId="0DF47A23"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586" w:type="dxa"/>
            <w:tcBorders>
              <w:top w:val="nil"/>
              <w:left w:val="nil"/>
              <w:bottom w:val="single" w:sz="4" w:space="0" w:color="auto"/>
              <w:right w:val="single" w:sz="4" w:space="0" w:color="auto"/>
            </w:tcBorders>
            <w:shd w:val="clear" w:color="auto" w:fill="auto"/>
            <w:noWrap/>
            <w:vAlign w:val="center"/>
            <w:hideMark/>
          </w:tcPr>
          <w:p w14:paraId="76FE4623"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3D59A1D"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1,4</w:t>
            </w:r>
          </w:p>
        </w:tc>
      </w:tr>
      <w:tr w:rsidR="00E404C0" w:rsidRPr="00437A10" w14:paraId="2E8C17AF" w14:textId="77777777" w:rsidTr="00A211E9">
        <w:trPr>
          <w:gridAfter w:val="1"/>
          <w:wAfter w:w="7" w:type="dxa"/>
          <w:trHeight w:val="309"/>
        </w:trPr>
        <w:tc>
          <w:tcPr>
            <w:tcW w:w="933" w:type="dxa"/>
            <w:vMerge/>
            <w:tcBorders>
              <w:left w:val="single" w:sz="4" w:space="0" w:color="auto"/>
              <w:right w:val="single" w:sz="4" w:space="0" w:color="auto"/>
            </w:tcBorders>
            <w:shd w:val="clear" w:color="auto" w:fill="auto"/>
            <w:vAlign w:val="bottom"/>
            <w:hideMark/>
          </w:tcPr>
          <w:p w14:paraId="248DFDD5" w14:textId="77777777" w:rsidR="00E404C0" w:rsidRPr="00437A10" w:rsidRDefault="00E404C0" w:rsidP="00A211E9">
            <w:pPr>
              <w:jc w:val="center"/>
              <w:rPr>
                <w:rFonts w:ascii="Arial" w:hAnsi="Arial" w:cs="Arial"/>
                <w:sz w:val="16"/>
                <w:szCs w:val="16"/>
                <w:lang w:eastAsia="es-BO"/>
              </w:rPr>
            </w:pPr>
          </w:p>
        </w:tc>
        <w:tc>
          <w:tcPr>
            <w:tcW w:w="1619" w:type="dxa"/>
            <w:tcBorders>
              <w:top w:val="nil"/>
              <w:left w:val="nil"/>
              <w:bottom w:val="single" w:sz="4" w:space="0" w:color="auto"/>
              <w:right w:val="single" w:sz="4" w:space="0" w:color="auto"/>
            </w:tcBorders>
            <w:shd w:val="clear" w:color="auto" w:fill="auto"/>
            <w:vAlign w:val="bottom"/>
            <w:hideMark/>
          </w:tcPr>
          <w:p w14:paraId="764F914B" w14:textId="77777777" w:rsidR="00E404C0" w:rsidRPr="00437A10" w:rsidRDefault="00E404C0" w:rsidP="00A211E9">
            <w:pPr>
              <w:jc w:val="center"/>
              <w:rPr>
                <w:rFonts w:ascii="Arial" w:hAnsi="Arial" w:cs="Arial"/>
                <w:sz w:val="16"/>
                <w:szCs w:val="16"/>
                <w:lang w:eastAsia="es-BO"/>
              </w:rPr>
            </w:pPr>
            <w:r w:rsidRPr="00437A10">
              <w:rPr>
                <w:rFonts w:ascii="Arial" w:hAnsi="Arial" w:cs="Arial"/>
                <w:sz w:val="16"/>
                <w:szCs w:val="16"/>
                <w:lang w:eastAsia="es-BO"/>
              </w:rPr>
              <w:t>Préstamo y actividad independiente</w:t>
            </w:r>
          </w:p>
        </w:tc>
        <w:tc>
          <w:tcPr>
            <w:tcW w:w="843" w:type="dxa"/>
            <w:tcBorders>
              <w:top w:val="nil"/>
              <w:left w:val="nil"/>
              <w:bottom w:val="single" w:sz="12" w:space="0" w:color="auto"/>
              <w:right w:val="single" w:sz="4" w:space="0" w:color="auto"/>
            </w:tcBorders>
            <w:shd w:val="clear" w:color="auto" w:fill="D9D9D9" w:themeFill="background1" w:themeFillShade="D9"/>
            <w:noWrap/>
            <w:vAlign w:val="center"/>
            <w:hideMark/>
          </w:tcPr>
          <w:p w14:paraId="6585DDEF"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shd w:val="clear" w:color="auto" w:fill="D9D9D9" w:themeFill="background1" w:themeFillShade="D9"/>
                <w:lang w:eastAsia="es-BO"/>
              </w:rPr>
              <w:t>5</w:t>
            </w:r>
            <w:r w:rsidRPr="00437A10">
              <w:rPr>
                <w:rFonts w:ascii="Arial" w:hAnsi="Arial" w:cs="Arial"/>
                <w:sz w:val="16"/>
                <w:szCs w:val="16"/>
                <w:lang w:eastAsia="es-BO"/>
              </w:rPr>
              <w:t>,7</w:t>
            </w:r>
          </w:p>
        </w:tc>
        <w:tc>
          <w:tcPr>
            <w:tcW w:w="967" w:type="dxa"/>
            <w:tcBorders>
              <w:top w:val="nil"/>
              <w:left w:val="nil"/>
              <w:bottom w:val="single" w:sz="4" w:space="0" w:color="auto"/>
              <w:right w:val="single" w:sz="4" w:space="0" w:color="auto"/>
            </w:tcBorders>
            <w:shd w:val="clear" w:color="auto" w:fill="auto"/>
            <w:noWrap/>
            <w:vAlign w:val="center"/>
            <w:hideMark/>
          </w:tcPr>
          <w:p w14:paraId="5BA0050C"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807" w:type="dxa"/>
            <w:tcBorders>
              <w:top w:val="nil"/>
              <w:left w:val="nil"/>
              <w:bottom w:val="single" w:sz="4" w:space="0" w:color="auto"/>
              <w:right w:val="single" w:sz="4" w:space="0" w:color="auto"/>
            </w:tcBorders>
            <w:shd w:val="clear" w:color="auto" w:fill="auto"/>
            <w:noWrap/>
            <w:vAlign w:val="center"/>
            <w:hideMark/>
          </w:tcPr>
          <w:p w14:paraId="24EE746E"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1200" w:type="dxa"/>
            <w:tcBorders>
              <w:top w:val="nil"/>
              <w:left w:val="nil"/>
              <w:bottom w:val="single" w:sz="4" w:space="0" w:color="auto"/>
              <w:right w:val="single" w:sz="4" w:space="0" w:color="auto"/>
            </w:tcBorders>
            <w:shd w:val="clear" w:color="auto" w:fill="auto"/>
            <w:noWrap/>
            <w:vAlign w:val="center"/>
            <w:hideMark/>
          </w:tcPr>
          <w:p w14:paraId="6AF555FB"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0,7</w:t>
            </w:r>
          </w:p>
        </w:tc>
        <w:tc>
          <w:tcPr>
            <w:tcW w:w="1201" w:type="dxa"/>
            <w:tcBorders>
              <w:top w:val="nil"/>
              <w:left w:val="nil"/>
              <w:bottom w:val="single" w:sz="4" w:space="0" w:color="auto"/>
              <w:right w:val="single" w:sz="4" w:space="0" w:color="auto"/>
            </w:tcBorders>
            <w:shd w:val="clear" w:color="auto" w:fill="auto"/>
            <w:noWrap/>
            <w:vAlign w:val="center"/>
            <w:hideMark/>
          </w:tcPr>
          <w:p w14:paraId="60F07CF6"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586" w:type="dxa"/>
            <w:tcBorders>
              <w:top w:val="nil"/>
              <w:left w:val="nil"/>
              <w:bottom w:val="single" w:sz="4" w:space="0" w:color="auto"/>
              <w:right w:val="single" w:sz="4" w:space="0" w:color="auto"/>
            </w:tcBorders>
            <w:shd w:val="clear" w:color="auto" w:fill="auto"/>
            <w:noWrap/>
            <w:vAlign w:val="center"/>
            <w:hideMark/>
          </w:tcPr>
          <w:p w14:paraId="04F6D019"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B9A03AF"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6,4</w:t>
            </w:r>
          </w:p>
        </w:tc>
      </w:tr>
      <w:tr w:rsidR="00E404C0" w:rsidRPr="00437A10" w14:paraId="7F81CD41" w14:textId="77777777" w:rsidTr="00A211E9">
        <w:trPr>
          <w:gridAfter w:val="1"/>
          <w:wAfter w:w="7" w:type="dxa"/>
          <w:trHeight w:val="543"/>
        </w:trPr>
        <w:tc>
          <w:tcPr>
            <w:tcW w:w="933" w:type="dxa"/>
            <w:vMerge/>
            <w:tcBorders>
              <w:left w:val="single" w:sz="4" w:space="0" w:color="auto"/>
              <w:right w:val="single" w:sz="4" w:space="0" w:color="auto"/>
            </w:tcBorders>
            <w:shd w:val="clear" w:color="auto" w:fill="auto"/>
            <w:vAlign w:val="bottom"/>
            <w:hideMark/>
          </w:tcPr>
          <w:p w14:paraId="4F755683" w14:textId="77777777" w:rsidR="00E404C0" w:rsidRPr="00437A10" w:rsidRDefault="00E404C0" w:rsidP="00A211E9">
            <w:pPr>
              <w:jc w:val="center"/>
              <w:rPr>
                <w:rFonts w:ascii="Arial" w:hAnsi="Arial" w:cs="Arial"/>
                <w:sz w:val="16"/>
                <w:szCs w:val="16"/>
                <w:lang w:eastAsia="es-BO"/>
              </w:rPr>
            </w:pPr>
          </w:p>
        </w:tc>
        <w:tc>
          <w:tcPr>
            <w:tcW w:w="1619" w:type="dxa"/>
            <w:tcBorders>
              <w:top w:val="nil"/>
              <w:left w:val="nil"/>
              <w:bottom w:val="single" w:sz="4" w:space="0" w:color="auto"/>
              <w:right w:val="single" w:sz="12" w:space="0" w:color="auto"/>
            </w:tcBorders>
            <w:shd w:val="clear" w:color="auto" w:fill="auto"/>
            <w:vAlign w:val="bottom"/>
            <w:hideMark/>
          </w:tcPr>
          <w:p w14:paraId="6384B36F" w14:textId="77777777" w:rsidR="00E404C0" w:rsidRPr="00437A10" w:rsidRDefault="00E404C0" w:rsidP="00A211E9">
            <w:pPr>
              <w:jc w:val="center"/>
              <w:rPr>
                <w:rFonts w:ascii="Arial" w:hAnsi="Arial" w:cs="Arial"/>
                <w:sz w:val="16"/>
                <w:szCs w:val="16"/>
                <w:lang w:eastAsia="es-BO"/>
              </w:rPr>
            </w:pPr>
            <w:r w:rsidRPr="00437A10">
              <w:rPr>
                <w:rFonts w:ascii="Arial" w:hAnsi="Arial" w:cs="Arial"/>
                <w:sz w:val="16"/>
                <w:szCs w:val="16"/>
                <w:lang w:eastAsia="es-BO"/>
              </w:rPr>
              <w:t>Ahorros familiares y capital destinado a otra actividad</w:t>
            </w:r>
          </w:p>
        </w:tc>
        <w:tc>
          <w:tcPr>
            <w:tcW w:w="8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4E48CFA"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0,7</w:t>
            </w:r>
          </w:p>
        </w:tc>
        <w:tc>
          <w:tcPr>
            <w:tcW w:w="967" w:type="dxa"/>
            <w:tcBorders>
              <w:top w:val="nil"/>
              <w:left w:val="single" w:sz="12" w:space="0" w:color="auto"/>
              <w:bottom w:val="single" w:sz="4" w:space="0" w:color="auto"/>
              <w:right w:val="single" w:sz="4" w:space="0" w:color="auto"/>
            </w:tcBorders>
            <w:shd w:val="clear" w:color="auto" w:fill="auto"/>
            <w:noWrap/>
            <w:vAlign w:val="center"/>
            <w:hideMark/>
          </w:tcPr>
          <w:p w14:paraId="7F0142FC"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807" w:type="dxa"/>
            <w:tcBorders>
              <w:top w:val="nil"/>
              <w:left w:val="nil"/>
              <w:bottom w:val="single" w:sz="4" w:space="0" w:color="auto"/>
              <w:right w:val="single" w:sz="4" w:space="0" w:color="auto"/>
            </w:tcBorders>
            <w:shd w:val="clear" w:color="auto" w:fill="auto"/>
            <w:noWrap/>
            <w:vAlign w:val="center"/>
            <w:hideMark/>
          </w:tcPr>
          <w:p w14:paraId="6E73BA9A"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1200" w:type="dxa"/>
            <w:tcBorders>
              <w:top w:val="nil"/>
              <w:left w:val="nil"/>
              <w:bottom w:val="single" w:sz="4" w:space="0" w:color="auto"/>
              <w:right w:val="single" w:sz="4" w:space="0" w:color="auto"/>
            </w:tcBorders>
            <w:shd w:val="clear" w:color="auto" w:fill="auto"/>
            <w:noWrap/>
            <w:vAlign w:val="center"/>
            <w:hideMark/>
          </w:tcPr>
          <w:p w14:paraId="68CA85ED"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1201" w:type="dxa"/>
            <w:tcBorders>
              <w:top w:val="nil"/>
              <w:left w:val="nil"/>
              <w:bottom w:val="single" w:sz="4" w:space="0" w:color="auto"/>
              <w:right w:val="single" w:sz="4" w:space="0" w:color="auto"/>
            </w:tcBorders>
            <w:shd w:val="clear" w:color="auto" w:fill="auto"/>
            <w:noWrap/>
            <w:vAlign w:val="center"/>
            <w:hideMark/>
          </w:tcPr>
          <w:p w14:paraId="3C80C92A"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586" w:type="dxa"/>
            <w:tcBorders>
              <w:top w:val="nil"/>
              <w:left w:val="nil"/>
              <w:bottom w:val="single" w:sz="4" w:space="0" w:color="auto"/>
              <w:right w:val="single" w:sz="4" w:space="0" w:color="auto"/>
            </w:tcBorders>
            <w:shd w:val="clear" w:color="auto" w:fill="auto"/>
            <w:noWrap/>
            <w:vAlign w:val="center"/>
            <w:hideMark/>
          </w:tcPr>
          <w:p w14:paraId="33B21199"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159DD0B"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0,7</w:t>
            </w:r>
          </w:p>
        </w:tc>
      </w:tr>
      <w:tr w:rsidR="00E404C0" w:rsidRPr="00437A10" w14:paraId="4205E482" w14:textId="77777777" w:rsidTr="00A211E9">
        <w:trPr>
          <w:gridAfter w:val="1"/>
          <w:wAfter w:w="7" w:type="dxa"/>
          <w:trHeight w:val="558"/>
        </w:trPr>
        <w:tc>
          <w:tcPr>
            <w:tcW w:w="933" w:type="dxa"/>
            <w:vMerge/>
            <w:tcBorders>
              <w:left w:val="single" w:sz="4" w:space="0" w:color="auto"/>
              <w:right w:val="single" w:sz="4" w:space="0" w:color="auto"/>
            </w:tcBorders>
            <w:shd w:val="clear" w:color="auto" w:fill="auto"/>
            <w:vAlign w:val="bottom"/>
            <w:hideMark/>
          </w:tcPr>
          <w:p w14:paraId="31AC23C9" w14:textId="77777777" w:rsidR="00E404C0" w:rsidRPr="00437A10" w:rsidRDefault="00E404C0" w:rsidP="00A211E9">
            <w:pPr>
              <w:jc w:val="center"/>
              <w:rPr>
                <w:rFonts w:ascii="Arial" w:hAnsi="Arial" w:cs="Arial"/>
                <w:sz w:val="16"/>
                <w:szCs w:val="16"/>
                <w:lang w:eastAsia="es-BO"/>
              </w:rPr>
            </w:pPr>
          </w:p>
        </w:tc>
        <w:tc>
          <w:tcPr>
            <w:tcW w:w="1619" w:type="dxa"/>
            <w:tcBorders>
              <w:top w:val="nil"/>
              <w:left w:val="nil"/>
              <w:bottom w:val="single" w:sz="4" w:space="0" w:color="auto"/>
              <w:right w:val="single" w:sz="4" w:space="0" w:color="auto"/>
            </w:tcBorders>
            <w:shd w:val="clear" w:color="auto" w:fill="auto"/>
            <w:vAlign w:val="bottom"/>
            <w:hideMark/>
          </w:tcPr>
          <w:p w14:paraId="33E5A286" w14:textId="77777777" w:rsidR="00E404C0" w:rsidRPr="00437A10" w:rsidRDefault="00E404C0" w:rsidP="00A211E9">
            <w:pPr>
              <w:jc w:val="center"/>
              <w:rPr>
                <w:rFonts w:ascii="Arial" w:hAnsi="Arial" w:cs="Arial"/>
                <w:sz w:val="16"/>
                <w:szCs w:val="16"/>
                <w:lang w:eastAsia="es-BO"/>
              </w:rPr>
            </w:pPr>
            <w:r w:rsidRPr="00437A10">
              <w:rPr>
                <w:rFonts w:ascii="Arial" w:hAnsi="Arial" w:cs="Arial"/>
                <w:sz w:val="16"/>
                <w:szCs w:val="16"/>
                <w:lang w:eastAsia="es-BO"/>
              </w:rPr>
              <w:t>Ahorros familiares y actividad independiente</w:t>
            </w:r>
          </w:p>
        </w:tc>
        <w:tc>
          <w:tcPr>
            <w:tcW w:w="843" w:type="dxa"/>
            <w:tcBorders>
              <w:top w:val="single" w:sz="12" w:space="0" w:color="auto"/>
              <w:left w:val="nil"/>
              <w:bottom w:val="single" w:sz="4" w:space="0" w:color="auto"/>
              <w:right w:val="single" w:sz="4" w:space="0" w:color="auto"/>
            </w:tcBorders>
            <w:shd w:val="clear" w:color="auto" w:fill="auto"/>
            <w:noWrap/>
            <w:vAlign w:val="center"/>
            <w:hideMark/>
          </w:tcPr>
          <w:p w14:paraId="0B98B39E"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0,7</w:t>
            </w:r>
          </w:p>
        </w:tc>
        <w:tc>
          <w:tcPr>
            <w:tcW w:w="967" w:type="dxa"/>
            <w:tcBorders>
              <w:top w:val="nil"/>
              <w:left w:val="nil"/>
              <w:bottom w:val="single" w:sz="4" w:space="0" w:color="auto"/>
              <w:right w:val="single" w:sz="4" w:space="0" w:color="auto"/>
            </w:tcBorders>
            <w:shd w:val="clear" w:color="auto" w:fill="auto"/>
            <w:noWrap/>
            <w:vAlign w:val="center"/>
            <w:hideMark/>
          </w:tcPr>
          <w:p w14:paraId="7C2F6C11"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807" w:type="dxa"/>
            <w:tcBorders>
              <w:top w:val="nil"/>
              <w:left w:val="nil"/>
              <w:bottom w:val="single" w:sz="4" w:space="0" w:color="auto"/>
              <w:right w:val="single" w:sz="4" w:space="0" w:color="auto"/>
            </w:tcBorders>
            <w:shd w:val="clear" w:color="auto" w:fill="auto"/>
            <w:noWrap/>
            <w:vAlign w:val="center"/>
            <w:hideMark/>
          </w:tcPr>
          <w:p w14:paraId="4251C6CE"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1200" w:type="dxa"/>
            <w:tcBorders>
              <w:top w:val="nil"/>
              <w:left w:val="nil"/>
              <w:bottom w:val="single" w:sz="4" w:space="0" w:color="auto"/>
              <w:right w:val="single" w:sz="4" w:space="0" w:color="auto"/>
            </w:tcBorders>
            <w:shd w:val="clear" w:color="auto" w:fill="auto"/>
            <w:noWrap/>
            <w:vAlign w:val="center"/>
            <w:hideMark/>
          </w:tcPr>
          <w:p w14:paraId="5644A5C6"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1201" w:type="dxa"/>
            <w:tcBorders>
              <w:top w:val="nil"/>
              <w:left w:val="nil"/>
              <w:bottom w:val="single" w:sz="4" w:space="0" w:color="auto"/>
              <w:right w:val="single" w:sz="4" w:space="0" w:color="auto"/>
            </w:tcBorders>
            <w:shd w:val="clear" w:color="auto" w:fill="auto"/>
            <w:noWrap/>
            <w:vAlign w:val="center"/>
            <w:hideMark/>
          </w:tcPr>
          <w:p w14:paraId="22988E13"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586" w:type="dxa"/>
            <w:tcBorders>
              <w:top w:val="nil"/>
              <w:left w:val="nil"/>
              <w:bottom w:val="single" w:sz="4" w:space="0" w:color="auto"/>
              <w:right w:val="single" w:sz="4" w:space="0" w:color="auto"/>
            </w:tcBorders>
            <w:shd w:val="clear" w:color="auto" w:fill="auto"/>
            <w:noWrap/>
            <w:vAlign w:val="center"/>
            <w:hideMark/>
          </w:tcPr>
          <w:p w14:paraId="518F2D04"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CBEE28B"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0,7</w:t>
            </w:r>
          </w:p>
        </w:tc>
      </w:tr>
      <w:tr w:rsidR="00E404C0" w:rsidRPr="00437A10" w14:paraId="2C14710A" w14:textId="77777777" w:rsidTr="00A211E9">
        <w:trPr>
          <w:gridAfter w:val="1"/>
          <w:wAfter w:w="7" w:type="dxa"/>
          <w:trHeight w:val="668"/>
        </w:trPr>
        <w:tc>
          <w:tcPr>
            <w:tcW w:w="933" w:type="dxa"/>
            <w:vMerge/>
            <w:tcBorders>
              <w:left w:val="single" w:sz="4" w:space="0" w:color="auto"/>
              <w:right w:val="single" w:sz="4" w:space="0" w:color="auto"/>
            </w:tcBorders>
            <w:shd w:val="clear" w:color="auto" w:fill="auto"/>
            <w:vAlign w:val="bottom"/>
            <w:hideMark/>
          </w:tcPr>
          <w:p w14:paraId="771C2C5C" w14:textId="77777777" w:rsidR="00E404C0" w:rsidRPr="00437A10" w:rsidRDefault="00E404C0" w:rsidP="00A211E9">
            <w:pPr>
              <w:jc w:val="center"/>
              <w:rPr>
                <w:rFonts w:ascii="Arial" w:hAnsi="Arial" w:cs="Arial"/>
                <w:sz w:val="16"/>
                <w:szCs w:val="16"/>
                <w:lang w:eastAsia="es-BO"/>
              </w:rPr>
            </w:pPr>
          </w:p>
        </w:tc>
        <w:tc>
          <w:tcPr>
            <w:tcW w:w="1619" w:type="dxa"/>
            <w:tcBorders>
              <w:top w:val="nil"/>
              <w:left w:val="nil"/>
              <w:bottom w:val="single" w:sz="4" w:space="0" w:color="auto"/>
              <w:right w:val="single" w:sz="4" w:space="0" w:color="auto"/>
            </w:tcBorders>
            <w:shd w:val="clear" w:color="auto" w:fill="auto"/>
            <w:vAlign w:val="bottom"/>
            <w:hideMark/>
          </w:tcPr>
          <w:p w14:paraId="0EDEBD29" w14:textId="77777777" w:rsidR="00E404C0" w:rsidRPr="00437A10" w:rsidRDefault="00E404C0" w:rsidP="00A211E9">
            <w:pPr>
              <w:jc w:val="center"/>
              <w:rPr>
                <w:rFonts w:ascii="Arial" w:hAnsi="Arial" w:cs="Arial"/>
                <w:sz w:val="16"/>
                <w:szCs w:val="16"/>
                <w:lang w:eastAsia="es-BO"/>
              </w:rPr>
            </w:pPr>
            <w:r w:rsidRPr="00437A10">
              <w:rPr>
                <w:rFonts w:ascii="Arial" w:hAnsi="Arial" w:cs="Arial"/>
                <w:sz w:val="16"/>
                <w:szCs w:val="16"/>
                <w:lang w:eastAsia="es-BO"/>
              </w:rPr>
              <w:t>Capital destinado a otra actividad y actividad independiente</w:t>
            </w:r>
          </w:p>
        </w:tc>
        <w:tc>
          <w:tcPr>
            <w:tcW w:w="843" w:type="dxa"/>
            <w:tcBorders>
              <w:top w:val="nil"/>
              <w:left w:val="nil"/>
              <w:bottom w:val="single" w:sz="4" w:space="0" w:color="auto"/>
              <w:right w:val="single" w:sz="4" w:space="0" w:color="auto"/>
            </w:tcBorders>
            <w:shd w:val="clear" w:color="auto" w:fill="auto"/>
            <w:noWrap/>
            <w:vAlign w:val="center"/>
            <w:hideMark/>
          </w:tcPr>
          <w:p w14:paraId="120B8B90"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0,7</w:t>
            </w:r>
          </w:p>
        </w:tc>
        <w:tc>
          <w:tcPr>
            <w:tcW w:w="967" w:type="dxa"/>
            <w:tcBorders>
              <w:top w:val="nil"/>
              <w:left w:val="nil"/>
              <w:bottom w:val="single" w:sz="4" w:space="0" w:color="auto"/>
              <w:right w:val="single" w:sz="4" w:space="0" w:color="auto"/>
            </w:tcBorders>
            <w:shd w:val="clear" w:color="auto" w:fill="auto"/>
            <w:noWrap/>
            <w:vAlign w:val="center"/>
            <w:hideMark/>
          </w:tcPr>
          <w:p w14:paraId="5FF5D998"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807" w:type="dxa"/>
            <w:tcBorders>
              <w:top w:val="nil"/>
              <w:left w:val="nil"/>
              <w:bottom w:val="single" w:sz="4" w:space="0" w:color="auto"/>
              <w:right w:val="single" w:sz="4" w:space="0" w:color="auto"/>
            </w:tcBorders>
            <w:shd w:val="clear" w:color="auto" w:fill="auto"/>
            <w:noWrap/>
            <w:vAlign w:val="center"/>
            <w:hideMark/>
          </w:tcPr>
          <w:p w14:paraId="75A98497"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1200" w:type="dxa"/>
            <w:tcBorders>
              <w:top w:val="nil"/>
              <w:left w:val="nil"/>
              <w:bottom w:val="single" w:sz="4" w:space="0" w:color="auto"/>
              <w:right w:val="single" w:sz="4" w:space="0" w:color="auto"/>
            </w:tcBorders>
            <w:shd w:val="clear" w:color="auto" w:fill="auto"/>
            <w:noWrap/>
            <w:vAlign w:val="center"/>
            <w:hideMark/>
          </w:tcPr>
          <w:p w14:paraId="03509609"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1201" w:type="dxa"/>
            <w:tcBorders>
              <w:top w:val="nil"/>
              <w:left w:val="nil"/>
              <w:bottom w:val="single" w:sz="4" w:space="0" w:color="auto"/>
              <w:right w:val="single" w:sz="4" w:space="0" w:color="auto"/>
            </w:tcBorders>
            <w:shd w:val="clear" w:color="auto" w:fill="auto"/>
            <w:noWrap/>
            <w:vAlign w:val="center"/>
            <w:hideMark/>
          </w:tcPr>
          <w:p w14:paraId="45989071"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586" w:type="dxa"/>
            <w:tcBorders>
              <w:top w:val="nil"/>
              <w:left w:val="nil"/>
              <w:bottom w:val="single" w:sz="4" w:space="0" w:color="auto"/>
              <w:right w:val="single" w:sz="4" w:space="0" w:color="auto"/>
            </w:tcBorders>
            <w:shd w:val="clear" w:color="auto" w:fill="auto"/>
            <w:noWrap/>
            <w:vAlign w:val="center"/>
            <w:hideMark/>
          </w:tcPr>
          <w:p w14:paraId="08EA093C"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5710689"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0,7</w:t>
            </w:r>
          </w:p>
        </w:tc>
      </w:tr>
      <w:tr w:rsidR="00E404C0" w:rsidRPr="00437A10" w14:paraId="44304B43" w14:textId="77777777" w:rsidTr="00A211E9">
        <w:trPr>
          <w:gridAfter w:val="1"/>
          <w:wAfter w:w="7" w:type="dxa"/>
          <w:trHeight w:val="300"/>
        </w:trPr>
        <w:tc>
          <w:tcPr>
            <w:tcW w:w="933" w:type="dxa"/>
            <w:vMerge/>
            <w:tcBorders>
              <w:left w:val="single" w:sz="4" w:space="0" w:color="auto"/>
              <w:bottom w:val="nil"/>
              <w:right w:val="single" w:sz="4" w:space="0" w:color="auto"/>
            </w:tcBorders>
            <w:shd w:val="clear" w:color="auto" w:fill="auto"/>
            <w:vAlign w:val="bottom"/>
            <w:hideMark/>
          </w:tcPr>
          <w:p w14:paraId="27415A1C" w14:textId="77777777" w:rsidR="00E404C0" w:rsidRPr="00437A10" w:rsidRDefault="00E404C0" w:rsidP="00A211E9">
            <w:pPr>
              <w:jc w:val="center"/>
              <w:rPr>
                <w:rFonts w:ascii="Arial" w:hAnsi="Arial" w:cs="Arial"/>
                <w:sz w:val="16"/>
                <w:szCs w:val="16"/>
                <w:lang w:eastAsia="es-BO"/>
              </w:rPr>
            </w:pPr>
          </w:p>
        </w:tc>
        <w:tc>
          <w:tcPr>
            <w:tcW w:w="1619" w:type="dxa"/>
            <w:tcBorders>
              <w:top w:val="nil"/>
              <w:left w:val="nil"/>
              <w:bottom w:val="single" w:sz="4" w:space="0" w:color="auto"/>
              <w:right w:val="single" w:sz="4" w:space="0" w:color="auto"/>
            </w:tcBorders>
            <w:shd w:val="clear" w:color="auto" w:fill="auto"/>
            <w:vAlign w:val="bottom"/>
            <w:hideMark/>
          </w:tcPr>
          <w:p w14:paraId="112AB6F9" w14:textId="77777777" w:rsidR="00E404C0" w:rsidRPr="00437A10" w:rsidRDefault="00E404C0" w:rsidP="00A211E9">
            <w:pPr>
              <w:jc w:val="center"/>
              <w:rPr>
                <w:rFonts w:ascii="Arial" w:hAnsi="Arial" w:cs="Arial"/>
                <w:sz w:val="16"/>
                <w:szCs w:val="16"/>
                <w:lang w:eastAsia="es-BO"/>
              </w:rPr>
            </w:pPr>
            <w:r w:rsidRPr="00437A10">
              <w:rPr>
                <w:rFonts w:ascii="Arial" w:hAnsi="Arial" w:cs="Arial"/>
                <w:sz w:val="16"/>
                <w:szCs w:val="16"/>
                <w:lang w:eastAsia="es-BO"/>
              </w:rPr>
              <w:t>Otro</w:t>
            </w:r>
          </w:p>
        </w:tc>
        <w:tc>
          <w:tcPr>
            <w:tcW w:w="843" w:type="dxa"/>
            <w:tcBorders>
              <w:top w:val="nil"/>
              <w:left w:val="nil"/>
              <w:bottom w:val="single" w:sz="4" w:space="0" w:color="auto"/>
              <w:right w:val="single" w:sz="4" w:space="0" w:color="auto"/>
            </w:tcBorders>
            <w:shd w:val="clear" w:color="auto" w:fill="auto"/>
            <w:noWrap/>
            <w:vAlign w:val="center"/>
            <w:hideMark/>
          </w:tcPr>
          <w:p w14:paraId="2EBA16EB"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967" w:type="dxa"/>
            <w:tcBorders>
              <w:top w:val="nil"/>
              <w:left w:val="nil"/>
              <w:bottom w:val="single" w:sz="4" w:space="0" w:color="auto"/>
              <w:right w:val="single" w:sz="4" w:space="0" w:color="auto"/>
            </w:tcBorders>
            <w:shd w:val="clear" w:color="auto" w:fill="auto"/>
            <w:noWrap/>
            <w:vAlign w:val="center"/>
            <w:hideMark/>
          </w:tcPr>
          <w:p w14:paraId="340E1282"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0,7</w:t>
            </w:r>
          </w:p>
        </w:tc>
        <w:tc>
          <w:tcPr>
            <w:tcW w:w="807" w:type="dxa"/>
            <w:tcBorders>
              <w:top w:val="nil"/>
              <w:left w:val="nil"/>
              <w:bottom w:val="single" w:sz="4" w:space="0" w:color="auto"/>
              <w:right w:val="single" w:sz="4" w:space="0" w:color="auto"/>
            </w:tcBorders>
            <w:shd w:val="clear" w:color="auto" w:fill="auto"/>
            <w:noWrap/>
            <w:vAlign w:val="center"/>
            <w:hideMark/>
          </w:tcPr>
          <w:p w14:paraId="1AE8D69A"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1200" w:type="dxa"/>
            <w:tcBorders>
              <w:top w:val="nil"/>
              <w:left w:val="nil"/>
              <w:bottom w:val="single" w:sz="4" w:space="0" w:color="auto"/>
              <w:right w:val="single" w:sz="4" w:space="0" w:color="auto"/>
            </w:tcBorders>
            <w:shd w:val="clear" w:color="auto" w:fill="auto"/>
            <w:noWrap/>
            <w:vAlign w:val="center"/>
            <w:hideMark/>
          </w:tcPr>
          <w:p w14:paraId="717D8F75"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1201" w:type="dxa"/>
            <w:tcBorders>
              <w:top w:val="nil"/>
              <w:left w:val="nil"/>
              <w:bottom w:val="single" w:sz="4" w:space="0" w:color="auto"/>
              <w:right w:val="single" w:sz="4" w:space="0" w:color="auto"/>
            </w:tcBorders>
            <w:shd w:val="clear" w:color="auto" w:fill="auto"/>
            <w:noWrap/>
            <w:vAlign w:val="center"/>
            <w:hideMark/>
          </w:tcPr>
          <w:p w14:paraId="78F58093"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586" w:type="dxa"/>
            <w:tcBorders>
              <w:top w:val="nil"/>
              <w:left w:val="nil"/>
              <w:bottom w:val="single" w:sz="4" w:space="0" w:color="auto"/>
              <w:right w:val="single" w:sz="4" w:space="0" w:color="auto"/>
            </w:tcBorders>
            <w:shd w:val="clear" w:color="auto" w:fill="auto"/>
            <w:noWrap/>
            <w:vAlign w:val="center"/>
            <w:hideMark/>
          </w:tcPr>
          <w:p w14:paraId="7D527804"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FD331F4"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0,7</w:t>
            </w:r>
          </w:p>
        </w:tc>
      </w:tr>
      <w:tr w:rsidR="00E404C0" w:rsidRPr="00437A10" w14:paraId="4C24E02E" w14:textId="77777777" w:rsidTr="00A211E9">
        <w:trPr>
          <w:gridAfter w:val="1"/>
          <w:wAfter w:w="7" w:type="dxa"/>
          <w:trHeight w:val="300"/>
        </w:trPr>
        <w:tc>
          <w:tcPr>
            <w:tcW w:w="933" w:type="dxa"/>
            <w:tcBorders>
              <w:top w:val="nil"/>
              <w:left w:val="single" w:sz="4" w:space="0" w:color="auto"/>
              <w:bottom w:val="single" w:sz="4" w:space="0" w:color="auto"/>
              <w:right w:val="single" w:sz="4" w:space="0" w:color="auto"/>
            </w:tcBorders>
            <w:shd w:val="clear" w:color="auto" w:fill="auto"/>
            <w:vAlign w:val="bottom"/>
            <w:hideMark/>
          </w:tcPr>
          <w:p w14:paraId="0BC41938" w14:textId="77777777" w:rsidR="00E404C0" w:rsidRPr="00437A10" w:rsidRDefault="00E404C0" w:rsidP="00A211E9">
            <w:pPr>
              <w:jc w:val="center"/>
              <w:rPr>
                <w:rFonts w:ascii="Arial" w:hAnsi="Arial" w:cs="Arial"/>
                <w:sz w:val="16"/>
                <w:szCs w:val="16"/>
                <w:lang w:eastAsia="es-BO"/>
              </w:rPr>
            </w:pPr>
            <w:r w:rsidRPr="00437A10">
              <w:rPr>
                <w:rFonts w:ascii="Arial" w:hAnsi="Arial" w:cs="Arial"/>
                <w:sz w:val="16"/>
                <w:szCs w:val="16"/>
                <w:lang w:eastAsia="es-BO"/>
              </w:rPr>
              <w:t> </w:t>
            </w:r>
          </w:p>
        </w:tc>
        <w:tc>
          <w:tcPr>
            <w:tcW w:w="1619" w:type="dxa"/>
            <w:tcBorders>
              <w:top w:val="nil"/>
              <w:left w:val="nil"/>
              <w:bottom w:val="single" w:sz="4" w:space="0" w:color="auto"/>
              <w:right w:val="single" w:sz="4" w:space="0" w:color="auto"/>
            </w:tcBorders>
            <w:shd w:val="clear" w:color="auto" w:fill="auto"/>
            <w:vAlign w:val="bottom"/>
            <w:hideMark/>
          </w:tcPr>
          <w:p w14:paraId="7D081E94" w14:textId="77777777" w:rsidR="00E404C0" w:rsidRPr="00437A10" w:rsidRDefault="00E404C0" w:rsidP="00A211E9">
            <w:pPr>
              <w:jc w:val="center"/>
              <w:rPr>
                <w:rFonts w:ascii="Arial" w:hAnsi="Arial" w:cs="Arial"/>
                <w:sz w:val="16"/>
                <w:szCs w:val="16"/>
                <w:lang w:eastAsia="es-BO"/>
              </w:rPr>
            </w:pPr>
            <w:r w:rsidRPr="00437A10">
              <w:rPr>
                <w:rFonts w:ascii="Arial" w:hAnsi="Arial" w:cs="Arial"/>
                <w:sz w:val="16"/>
                <w:szCs w:val="16"/>
                <w:lang w:eastAsia="es-BO"/>
              </w:rPr>
              <w:t>Total</w:t>
            </w:r>
          </w:p>
        </w:tc>
        <w:tc>
          <w:tcPr>
            <w:tcW w:w="843" w:type="dxa"/>
            <w:tcBorders>
              <w:top w:val="nil"/>
              <w:left w:val="nil"/>
              <w:bottom w:val="single" w:sz="4" w:space="0" w:color="auto"/>
              <w:right w:val="single" w:sz="4" w:space="0" w:color="auto"/>
            </w:tcBorders>
            <w:shd w:val="clear" w:color="auto" w:fill="auto"/>
            <w:noWrap/>
            <w:vAlign w:val="center"/>
            <w:hideMark/>
          </w:tcPr>
          <w:p w14:paraId="3B8A1E89"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28,6</w:t>
            </w:r>
          </w:p>
        </w:tc>
        <w:tc>
          <w:tcPr>
            <w:tcW w:w="967" w:type="dxa"/>
            <w:tcBorders>
              <w:top w:val="nil"/>
              <w:left w:val="nil"/>
              <w:bottom w:val="single" w:sz="4" w:space="0" w:color="auto"/>
              <w:right w:val="single" w:sz="4" w:space="0" w:color="auto"/>
            </w:tcBorders>
            <w:shd w:val="clear" w:color="auto" w:fill="auto"/>
            <w:noWrap/>
            <w:vAlign w:val="center"/>
            <w:hideMark/>
          </w:tcPr>
          <w:p w14:paraId="3CC23088"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52,9</w:t>
            </w:r>
          </w:p>
        </w:tc>
        <w:tc>
          <w:tcPr>
            <w:tcW w:w="807" w:type="dxa"/>
            <w:tcBorders>
              <w:top w:val="nil"/>
              <w:left w:val="nil"/>
              <w:bottom w:val="single" w:sz="4" w:space="0" w:color="auto"/>
              <w:right w:val="single" w:sz="4" w:space="0" w:color="auto"/>
            </w:tcBorders>
            <w:shd w:val="clear" w:color="auto" w:fill="auto"/>
            <w:noWrap/>
            <w:vAlign w:val="center"/>
            <w:hideMark/>
          </w:tcPr>
          <w:p w14:paraId="00CCA52E"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45E98C09"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4,3</w:t>
            </w:r>
          </w:p>
        </w:tc>
        <w:tc>
          <w:tcPr>
            <w:tcW w:w="1201" w:type="dxa"/>
            <w:tcBorders>
              <w:top w:val="nil"/>
              <w:left w:val="nil"/>
              <w:bottom w:val="single" w:sz="4" w:space="0" w:color="auto"/>
              <w:right w:val="single" w:sz="4" w:space="0" w:color="auto"/>
            </w:tcBorders>
            <w:shd w:val="clear" w:color="auto" w:fill="auto"/>
            <w:noWrap/>
            <w:vAlign w:val="center"/>
            <w:hideMark/>
          </w:tcPr>
          <w:p w14:paraId="2BAE0333"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2,1</w:t>
            </w:r>
          </w:p>
        </w:tc>
        <w:tc>
          <w:tcPr>
            <w:tcW w:w="586" w:type="dxa"/>
            <w:tcBorders>
              <w:top w:val="nil"/>
              <w:left w:val="nil"/>
              <w:bottom w:val="single" w:sz="4" w:space="0" w:color="auto"/>
              <w:right w:val="single" w:sz="4" w:space="0" w:color="auto"/>
            </w:tcBorders>
            <w:shd w:val="clear" w:color="auto" w:fill="auto"/>
            <w:noWrap/>
            <w:vAlign w:val="center"/>
            <w:hideMark/>
          </w:tcPr>
          <w:p w14:paraId="4DBD76DF"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1,4</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8861D74" w14:textId="77777777" w:rsidR="00E404C0" w:rsidRPr="00437A10" w:rsidRDefault="00E404C0" w:rsidP="00A211E9">
            <w:pPr>
              <w:jc w:val="right"/>
              <w:rPr>
                <w:rFonts w:ascii="Arial" w:hAnsi="Arial" w:cs="Arial"/>
                <w:sz w:val="16"/>
                <w:szCs w:val="16"/>
                <w:lang w:eastAsia="es-BO"/>
              </w:rPr>
            </w:pPr>
            <w:r w:rsidRPr="00437A10">
              <w:rPr>
                <w:rFonts w:ascii="Arial" w:hAnsi="Arial" w:cs="Arial"/>
                <w:sz w:val="16"/>
                <w:szCs w:val="16"/>
                <w:lang w:eastAsia="es-BO"/>
              </w:rPr>
              <w:t>100,0</w:t>
            </w:r>
          </w:p>
        </w:tc>
      </w:tr>
    </w:tbl>
    <w:p w14:paraId="1C6570C5" w14:textId="7FF46760" w:rsidR="00A83B64" w:rsidRPr="00437A10" w:rsidRDefault="00E404C0" w:rsidP="00E404C0">
      <w:pPr>
        <w:spacing w:after="160" w:line="259" w:lineRule="auto"/>
        <w:jc w:val="both"/>
        <w:rPr>
          <w:rFonts w:ascii="Arial" w:eastAsia="Calibri" w:hAnsi="Arial" w:cs="Arial"/>
          <w:sz w:val="22"/>
          <w:szCs w:val="22"/>
        </w:rPr>
      </w:pPr>
      <w:r w:rsidRPr="00437A10">
        <w:rPr>
          <w:rFonts w:ascii="Arial" w:hAnsi="Arial" w:cs="Arial"/>
          <w:sz w:val="22"/>
          <w:szCs w:val="22"/>
        </w:rPr>
        <w:t>Fuente: Quillaguamán, 2022</w:t>
      </w:r>
      <w:r w:rsidR="00EB6039" w:rsidRPr="00437A10">
        <w:rPr>
          <w:rFonts w:ascii="Arial" w:hAnsi="Arial" w:cs="Arial"/>
          <w:sz w:val="22"/>
          <w:szCs w:val="22"/>
        </w:rPr>
        <w:t>a</w:t>
      </w:r>
      <w:r w:rsidRPr="00437A10">
        <w:rPr>
          <w:rFonts w:ascii="Arial" w:hAnsi="Arial" w:cs="Arial"/>
          <w:sz w:val="22"/>
          <w:szCs w:val="22"/>
        </w:rPr>
        <w:t>.</w:t>
      </w:r>
    </w:p>
    <w:p w14:paraId="7AA40669" w14:textId="77777777" w:rsidR="00A83B64" w:rsidRPr="00437A10" w:rsidRDefault="00A83B64" w:rsidP="00A83B64">
      <w:pPr>
        <w:spacing w:after="160" w:line="259" w:lineRule="auto"/>
        <w:jc w:val="both"/>
        <w:rPr>
          <w:rFonts w:ascii="Arial" w:eastAsia="Calibri" w:hAnsi="Arial" w:cs="Arial"/>
          <w:b/>
          <w:sz w:val="22"/>
          <w:szCs w:val="22"/>
          <w:lang w:val="es-BO"/>
        </w:rPr>
      </w:pPr>
      <w:r w:rsidRPr="00437A10">
        <w:rPr>
          <w:rFonts w:ascii="Arial" w:eastAsia="Calibri" w:hAnsi="Arial" w:cs="Arial"/>
          <w:b/>
          <w:sz w:val="22"/>
          <w:szCs w:val="22"/>
          <w:lang w:val="es-BO"/>
        </w:rPr>
        <w:t>Leyes, políticas, programas y prácticas destinadas a garantizar que la vivienda sea asequible para todos sin discriminación</w:t>
      </w:r>
    </w:p>
    <w:p w14:paraId="0196E9FA" w14:textId="77777777" w:rsidR="00A83B64" w:rsidRPr="00437A10" w:rsidRDefault="00A83B64" w:rsidP="00A83B64">
      <w:pPr>
        <w:numPr>
          <w:ilvl w:val="0"/>
          <w:numId w:val="1"/>
        </w:numPr>
        <w:spacing w:after="160" w:line="259" w:lineRule="auto"/>
        <w:contextualSpacing/>
        <w:jc w:val="both"/>
        <w:rPr>
          <w:rFonts w:ascii="Arial" w:eastAsia="Calibri" w:hAnsi="Arial" w:cs="Arial"/>
          <w:sz w:val="22"/>
          <w:szCs w:val="22"/>
          <w:lang w:val="en-US"/>
        </w:rPr>
      </w:pPr>
      <w:r w:rsidRPr="00437A10">
        <w:rPr>
          <w:rFonts w:ascii="Arial" w:eastAsia="Calibri" w:hAnsi="Arial" w:cs="Arial"/>
          <w:sz w:val="22"/>
          <w:szCs w:val="22"/>
          <w:lang w:val="es-BO"/>
        </w:rPr>
        <w:t xml:space="preserve">Comparta una descripción general de las leyes, políticas, programas y prácticas adoptadas en su país/región/ciudad para garantizar que la vivienda sea asequible para todos sin discriminación. </w:t>
      </w:r>
      <w:r w:rsidRPr="00437A10">
        <w:rPr>
          <w:rFonts w:ascii="Arial" w:eastAsia="Calibri" w:hAnsi="Arial" w:cs="Arial"/>
          <w:sz w:val="22"/>
          <w:szCs w:val="22"/>
          <w:lang w:val="en-US"/>
        </w:rPr>
        <w:t>Proporcione enlaces a textos oficiales relevantes.</w:t>
      </w:r>
    </w:p>
    <w:p w14:paraId="159ACACE" w14:textId="77777777" w:rsidR="00A83B64" w:rsidRPr="00437A10" w:rsidRDefault="00A83B64" w:rsidP="00A83B64">
      <w:pPr>
        <w:spacing w:after="160" w:line="259" w:lineRule="auto"/>
        <w:ind w:left="720"/>
        <w:jc w:val="both"/>
        <w:rPr>
          <w:rFonts w:ascii="Arial" w:eastAsia="Calibri" w:hAnsi="Arial" w:cs="Arial"/>
          <w:sz w:val="22"/>
          <w:szCs w:val="22"/>
          <w:lang w:val="es-BO"/>
        </w:rPr>
      </w:pPr>
      <w:r w:rsidRPr="00437A10">
        <w:rPr>
          <w:rFonts w:ascii="Arial" w:eastAsia="Calibri" w:hAnsi="Arial" w:cs="Arial"/>
          <w:sz w:val="22"/>
          <w:szCs w:val="22"/>
          <w:lang w:val="es-BO"/>
        </w:rPr>
        <w:t>(por ejemplo, vivienda asequible, subsidios de costos sociales y de energía, hipoteca preferencial, esquemas de apoyo a la construcción, provisión de vivienda social y pública, de terrenos con servicios para la autoconstrucción, medidas de contención y control de alquileres, impuestos, medidas para reducir la vacante de viviendas, multi- iniciativas de las partes interesadas por parte del Estado, los gobiernos locales, la industria de la construcción, los proveedores de viviendas, los sindicatos de inquilinos, etc. ).</w:t>
      </w:r>
    </w:p>
    <w:p w14:paraId="43A6FE02" w14:textId="2FE26FD0" w:rsidR="002931B9" w:rsidRPr="00437A10" w:rsidRDefault="002931B9" w:rsidP="002931B9">
      <w:pPr>
        <w:shd w:val="clear" w:color="auto" w:fill="FFFFFF"/>
        <w:jc w:val="both"/>
        <w:rPr>
          <w:rFonts w:ascii="Arial" w:eastAsia="Calibri" w:hAnsi="Arial" w:cs="Arial"/>
          <w:sz w:val="22"/>
          <w:szCs w:val="22"/>
        </w:rPr>
      </w:pPr>
      <w:r w:rsidRPr="00437A10">
        <w:rPr>
          <w:rFonts w:ascii="Arial" w:eastAsia="Calibri" w:hAnsi="Arial" w:cs="Arial"/>
          <w:sz w:val="22"/>
          <w:szCs w:val="22"/>
        </w:rPr>
        <w:t>Respecto a los decretos y leyes que a nivel nacional regulan y promueven a la vivienda en Bolivia se tiene un marco normativo que rige a las políticas públicas y están orientadas a hacer frente al déficit cuantitativo de viviendas, es decir, otorgar viviendas a las personas que no tienen ningún acceso a ellas, personas de bajos niveles de ingreso y altamente vulnerables que acceden a programas de subsidios. Así mismo, para la adquisición de vivienda en zonas urbanas el Estado estaría otorgando créditos a tasas de interés de entre un 5% y 6%, que son mucho más bajas que las que se obtienen en el mercado privado.</w:t>
      </w:r>
    </w:p>
    <w:p w14:paraId="4A847B9E" w14:textId="77777777" w:rsidR="002931B9" w:rsidRPr="00437A10" w:rsidRDefault="002931B9" w:rsidP="003B10B8">
      <w:pPr>
        <w:shd w:val="clear" w:color="auto" w:fill="FFFFFF"/>
        <w:spacing w:before="100" w:beforeAutospacing="1"/>
        <w:jc w:val="both"/>
        <w:rPr>
          <w:rFonts w:ascii="Arial" w:eastAsia="Calibri" w:hAnsi="Arial" w:cs="Arial"/>
          <w:sz w:val="22"/>
          <w:szCs w:val="22"/>
        </w:rPr>
      </w:pPr>
      <w:r w:rsidRPr="00437A10">
        <w:rPr>
          <w:rFonts w:ascii="Arial" w:eastAsia="Calibri" w:hAnsi="Arial" w:cs="Arial"/>
          <w:sz w:val="22"/>
          <w:szCs w:val="22"/>
        </w:rPr>
        <w:t>Este marco normativo está integrado por:</w:t>
      </w:r>
    </w:p>
    <w:p w14:paraId="5AA7E207" w14:textId="1449E39B" w:rsidR="00657014" w:rsidRPr="00437A10" w:rsidRDefault="003B10B8" w:rsidP="003B10B8">
      <w:pPr>
        <w:pStyle w:val="Default"/>
        <w:numPr>
          <w:ilvl w:val="0"/>
          <w:numId w:val="2"/>
        </w:numPr>
        <w:spacing w:before="100" w:beforeAutospacing="1" w:after="100" w:afterAutospacing="1"/>
        <w:jc w:val="both"/>
        <w:rPr>
          <w:rFonts w:ascii="Arial" w:eastAsia="Calibri" w:hAnsi="Arial" w:cs="Arial"/>
          <w:color w:val="auto"/>
          <w:sz w:val="22"/>
          <w:szCs w:val="22"/>
        </w:rPr>
      </w:pPr>
      <w:r w:rsidRPr="00437A10">
        <w:rPr>
          <w:rFonts w:ascii="Arial" w:eastAsia="Calibri" w:hAnsi="Arial" w:cs="Arial"/>
          <w:color w:val="auto"/>
          <w:sz w:val="22"/>
          <w:szCs w:val="22"/>
        </w:rPr>
        <w:t>Ley del Inquilinato: De</w:t>
      </w:r>
      <w:r w:rsidR="00657014" w:rsidRPr="00437A10">
        <w:rPr>
          <w:rFonts w:ascii="Arial" w:eastAsia="Calibri" w:hAnsi="Arial" w:cs="Arial"/>
          <w:color w:val="auto"/>
          <w:sz w:val="22"/>
          <w:szCs w:val="22"/>
        </w:rPr>
        <w:t xml:space="preserve"> diciembre de 1959, </w:t>
      </w:r>
      <w:r w:rsidRPr="00437A10">
        <w:rPr>
          <w:rFonts w:ascii="Arial" w:eastAsia="Calibri" w:hAnsi="Arial" w:cs="Arial"/>
          <w:color w:val="auto"/>
          <w:sz w:val="22"/>
          <w:szCs w:val="22"/>
        </w:rPr>
        <w:t xml:space="preserve">tiene como objetivo establecer </w:t>
      </w:r>
      <w:r w:rsidR="00657014" w:rsidRPr="00437A10">
        <w:rPr>
          <w:rFonts w:ascii="Arial" w:eastAsia="Calibri" w:hAnsi="Arial" w:cs="Arial"/>
          <w:color w:val="auto"/>
          <w:sz w:val="22"/>
          <w:szCs w:val="22"/>
        </w:rPr>
        <w:t>el derecho a la vivienda de orden público y reconoce un régimen legal especial</w:t>
      </w:r>
      <w:r w:rsidRPr="00437A10">
        <w:rPr>
          <w:rFonts w:ascii="Arial" w:eastAsia="Calibri" w:hAnsi="Arial" w:cs="Arial"/>
          <w:color w:val="auto"/>
          <w:sz w:val="22"/>
          <w:szCs w:val="22"/>
          <w:lang w:val="es"/>
        </w:rPr>
        <w:t xml:space="preserve"> respecto a la vivienda temporal</w:t>
      </w:r>
      <w:r w:rsidR="00657014" w:rsidRPr="00437A10">
        <w:rPr>
          <w:rFonts w:ascii="Arial" w:eastAsia="Calibri" w:hAnsi="Arial" w:cs="Arial"/>
          <w:color w:val="auto"/>
          <w:sz w:val="22"/>
          <w:szCs w:val="22"/>
        </w:rPr>
        <w:t>, sin embargo, muchos de los aspectos de esta norma a la fecha están desactualizados, así como las reglas del desahucio, sin considerar además que las comisarías de vivienda, instancias municipales de reclamación a la fecha no existen.</w:t>
      </w:r>
    </w:p>
    <w:p w14:paraId="57873616" w14:textId="5DF35244" w:rsidR="002931B9" w:rsidRPr="00437A10" w:rsidRDefault="002931B9" w:rsidP="003B10B8">
      <w:pPr>
        <w:numPr>
          <w:ilvl w:val="0"/>
          <w:numId w:val="2"/>
        </w:numPr>
        <w:shd w:val="clear" w:color="auto" w:fill="FFFFFF"/>
        <w:spacing w:before="240" w:after="100" w:afterAutospacing="1"/>
        <w:jc w:val="both"/>
        <w:rPr>
          <w:rFonts w:ascii="Arial" w:eastAsia="Calibri" w:hAnsi="Arial" w:cs="Arial"/>
          <w:sz w:val="22"/>
          <w:szCs w:val="22"/>
        </w:rPr>
      </w:pPr>
      <w:r w:rsidRPr="00437A10">
        <w:rPr>
          <w:rFonts w:ascii="Arial" w:eastAsia="Calibri" w:hAnsi="Arial" w:cs="Arial"/>
          <w:sz w:val="22"/>
          <w:szCs w:val="22"/>
        </w:rPr>
        <w:t xml:space="preserve">Decreto Supremo Nº 986: De septiembre de 2011, tiene como objeto principal crear la Agencia Estatal de Vivienda, como entidad encargada de la dotación de soluciones habitacionales y hábitat a la población de bajos niveles de ingreso y altamente vulnerables del Estado Plurinacional de Bolivia. </w:t>
      </w:r>
      <w:r w:rsidR="00042801" w:rsidRPr="00437A10">
        <w:rPr>
          <w:rFonts w:ascii="Arial" w:eastAsia="Calibri" w:hAnsi="Arial" w:cs="Arial"/>
          <w:sz w:val="22"/>
          <w:szCs w:val="22"/>
        </w:rPr>
        <w:t xml:space="preserve"> </w:t>
      </w:r>
      <w:hyperlink r:id="rId15" w:history="1">
        <w:r w:rsidR="00042801" w:rsidRPr="00437A10">
          <w:rPr>
            <w:rStyle w:val="Hyperlink"/>
            <w:rFonts w:ascii="Arial" w:eastAsia="Calibri" w:hAnsi="Arial" w:cs="Arial"/>
            <w:color w:val="auto"/>
            <w:sz w:val="22"/>
            <w:szCs w:val="22"/>
          </w:rPr>
          <w:t>http://www.gacetaoficialdebolivia.gob.bo/edicions/view/297NEC</w:t>
        </w:r>
      </w:hyperlink>
    </w:p>
    <w:p w14:paraId="7932D416" w14:textId="07222149" w:rsidR="002931B9" w:rsidRPr="00437A10" w:rsidRDefault="002931B9" w:rsidP="00042801">
      <w:pPr>
        <w:numPr>
          <w:ilvl w:val="0"/>
          <w:numId w:val="2"/>
        </w:numPr>
        <w:shd w:val="clear" w:color="auto" w:fill="FFFFFF"/>
        <w:spacing w:before="240"/>
        <w:jc w:val="both"/>
        <w:rPr>
          <w:rFonts w:ascii="Arial" w:eastAsia="Calibri" w:hAnsi="Arial" w:cs="Arial"/>
          <w:sz w:val="22"/>
          <w:szCs w:val="22"/>
        </w:rPr>
      </w:pPr>
      <w:r w:rsidRPr="00437A10">
        <w:rPr>
          <w:rFonts w:ascii="Arial" w:eastAsia="Calibri" w:hAnsi="Arial" w:cs="Arial"/>
          <w:sz w:val="22"/>
          <w:szCs w:val="22"/>
        </w:rPr>
        <w:t xml:space="preserve">Decreto Supremo Nº 1842: De diciembre del 2013, tiene como objetivo establecer el régimen de tasas de interés activas para el financiamiento destinado a vivienda de interés social y determinar los niveles mínimos de cartera de créditos para los préstamos destinados al sector productivo y de vivienda de interés social, que deberán mantener las entidades de intermediación financiera. </w:t>
      </w:r>
    </w:p>
    <w:p w14:paraId="1CEE2F6E" w14:textId="120763D9" w:rsidR="00042801" w:rsidRPr="00437A10" w:rsidRDefault="0068271B" w:rsidP="00042801">
      <w:pPr>
        <w:shd w:val="clear" w:color="auto" w:fill="FFFFFF"/>
        <w:spacing w:after="100" w:afterAutospacing="1"/>
        <w:ind w:left="720"/>
        <w:jc w:val="both"/>
        <w:rPr>
          <w:rFonts w:ascii="Arial" w:eastAsia="Calibri" w:hAnsi="Arial" w:cs="Arial"/>
          <w:sz w:val="22"/>
          <w:szCs w:val="22"/>
        </w:rPr>
      </w:pPr>
      <w:hyperlink r:id="rId16" w:history="1">
        <w:r w:rsidR="00042801" w:rsidRPr="00437A10">
          <w:rPr>
            <w:rStyle w:val="Hyperlink"/>
            <w:rFonts w:ascii="Arial" w:eastAsia="Calibri" w:hAnsi="Arial" w:cs="Arial"/>
            <w:color w:val="auto"/>
            <w:sz w:val="22"/>
            <w:szCs w:val="22"/>
          </w:rPr>
          <w:t>http://www.gacetaoficialdebolivia.gob.bo/normas/buscar/1842</w:t>
        </w:r>
      </w:hyperlink>
    </w:p>
    <w:p w14:paraId="2DFF57FD" w14:textId="45F1A87B" w:rsidR="002931B9" w:rsidRPr="00437A10" w:rsidRDefault="002931B9" w:rsidP="00042801">
      <w:pPr>
        <w:numPr>
          <w:ilvl w:val="0"/>
          <w:numId w:val="2"/>
        </w:numPr>
        <w:shd w:val="clear" w:color="auto" w:fill="FFFFFF"/>
        <w:jc w:val="both"/>
        <w:rPr>
          <w:rFonts w:ascii="Arial" w:eastAsia="Calibri" w:hAnsi="Arial" w:cs="Arial"/>
          <w:sz w:val="22"/>
          <w:szCs w:val="22"/>
        </w:rPr>
      </w:pPr>
      <w:r w:rsidRPr="00437A10">
        <w:rPr>
          <w:rFonts w:ascii="Arial" w:eastAsia="Calibri" w:hAnsi="Arial" w:cs="Arial"/>
          <w:sz w:val="22"/>
          <w:szCs w:val="22"/>
        </w:rPr>
        <w:t>Ley Nº 959: De junio del 2017, tiene como objetivo promover la implementación de programas y proyectos de vivienda social, destinados preferentemente a familias de escasos recursos y grupos menos favorecidos, a través de la transferencia de terrenos y la utilización de recursos del Impuesto Directo a los Hidrocarburos (IDH).</w:t>
      </w:r>
    </w:p>
    <w:p w14:paraId="62D940F0" w14:textId="244C9C47" w:rsidR="00042801" w:rsidRPr="00437A10" w:rsidRDefault="0068271B" w:rsidP="00042801">
      <w:pPr>
        <w:shd w:val="clear" w:color="auto" w:fill="FFFFFF"/>
        <w:spacing w:after="100" w:afterAutospacing="1"/>
        <w:ind w:left="720"/>
        <w:jc w:val="both"/>
        <w:rPr>
          <w:rFonts w:ascii="Arial" w:eastAsia="Calibri" w:hAnsi="Arial" w:cs="Arial"/>
          <w:sz w:val="22"/>
          <w:szCs w:val="22"/>
        </w:rPr>
      </w:pPr>
      <w:hyperlink r:id="rId17" w:history="1">
        <w:r w:rsidR="00042801" w:rsidRPr="00437A10">
          <w:rPr>
            <w:rStyle w:val="Hyperlink"/>
            <w:rFonts w:ascii="Arial" w:eastAsia="Calibri" w:hAnsi="Arial" w:cs="Arial"/>
            <w:color w:val="auto"/>
            <w:sz w:val="22"/>
            <w:szCs w:val="22"/>
          </w:rPr>
          <w:t>http://gacetaoficialdebolivia.gob.bo/normas/buscar/959</w:t>
        </w:r>
      </w:hyperlink>
    </w:p>
    <w:p w14:paraId="37DF5276" w14:textId="11C4284A" w:rsidR="002931B9" w:rsidRPr="00437A10" w:rsidRDefault="002931B9" w:rsidP="002931B9">
      <w:pPr>
        <w:numPr>
          <w:ilvl w:val="0"/>
          <w:numId w:val="2"/>
        </w:numPr>
        <w:shd w:val="clear" w:color="auto" w:fill="FFFFFF"/>
        <w:spacing w:after="100" w:afterAutospacing="1"/>
        <w:jc w:val="both"/>
        <w:rPr>
          <w:rFonts w:ascii="Arial" w:eastAsia="Calibri" w:hAnsi="Arial" w:cs="Arial"/>
          <w:sz w:val="22"/>
          <w:szCs w:val="22"/>
        </w:rPr>
      </w:pPr>
      <w:r w:rsidRPr="00437A10">
        <w:rPr>
          <w:rFonts w:ascii="Arial" w:eastAsia="Calibri" w:hAnsi="Arial" w:cs="Arial"/>
          <w:sz w:val="22"/>
          <w:szCs w:val="22"/>
        </w:rPr>
        <w:t>Resolución Ministerial Nº 266/2018: Esta resolución tiene como fin la aprobación del Reglamento para la elaboración del Plan Plurianual de Reducción de Déficit Habitacional, abroga la resolución ministerial N° 533 de diciembre de 2016.</w:t>
      </w:r>
    </w:p>
    <w:p w14:paraId="2D4A6983" w14:textId="4F343EF1" w:rsidR="008D3D5E" w:rsidRPr="00437A10" w:rsidRDefault="0068271B" w:rsidP="00442D6C">
      <w:pPr>
        <w:numPr>
          <w:ilvl w:val="0"/>
          <w:numId w:val="2"/>
        </w:numPr>
        <w:shd w:val="clear" w:color="auto" w:fill="FFFFFF"/>
        <w:spacing w:after="100" w:afterAutospacing="1"/>
        <w:jc w:val="both"/>
        <w:rPr>
          <w:rStyle w:val="Hyperlink"/>
          <w:rFonts w:ascii="Arial" w:eastAsia="Calibri" w:hAnsi="Arial" w:cs="Arial"/>
          <w:color w:val="auto"/>
          <w:sz w:val="22"/>
          <w:szCs w:val="22"/>
          <w:u w:val="none"/>
        </w:rPr>
      </w:pPr>
      <w:hyperlink r:id="rId18" w:history="1">
        <w:r w:rsidR="008D3D5E" w:rsidRPr="00437A10">
          <w:rPr>
            <w:rStyle w:val="Hyperlink"/>
            <w:rFonts w:ascii="Arial" w:eastAsia="Calibri" w:hAnsi="Arial" w:cs="Arial"/>
            <w:color w:val="auto"/>
            <w:sz w:val="22"/>
            <w:szCs w:val="22"/>
          </w:rPr>
          <w:t>http://35.231.160.168/wp-content/uploads/2021/03/1.-PLAN-PLURIANUAL-DE-REDUCCION-DEL-DEFICIT-HABITACIONAL.pdf</w:t>
        </w:r>
      </w:hyperlink>
    </w:p>
    <w:p w14:paraId="649FA59B" w14:textId="77777777" w:rsidR="00A83B64" w:rsidRPr="00437A10" w:rsidRDefault="00A83B64" w:rsidP="00A83B64">
      <w:pPr>
        <w:numPr>
          <w:ilvl w:val="0"/>
          <w:numId w:val="1"/>
        </w:numPr>
        <w:spacing w:after="160" w:line="259" w:lineRule="auto"/>
        <w:contextualSpacing/>
        <w:rPr>
          <w:rFonts w:ascii="Arial" w:eastAsia="Calibri" w:hAnsi="Arial" w:cs="Arial"/>
          <w:sz w:val="22"/>
          <w:szCs w:val="22"/>
          <w:lang w:val="es-BO"/>
        </w:rPr>
      </w:pPr>
      <w:r w:rsidRPr="00437A10">
        <w:rPr>
          <w:rFonts w:ascii="Arial" w:eastAsia="Calibri" w:hAnsi="Arial" w:cs="Arial"/>
          <w:sz w:val="22"/>
          <w:szCs w:val="22"/>
          <w:lang w:val="es-BO"/>
        </w:rPr>
        <w:t>Comparta una evaluación del éxito, las limitaciones o los posibles fracasos de las leyes y políticas mencionadas anteriormente en su país/región/ciudad, incluidos los estudios o informes de evaluación independientes relacionados con ellas. ¿Quién se ha beneficiado de ellos, quién no? ¿Qué ha funcionado bien, qué - menos? ¿Qué lecciones se pueden aprender? ¿Qué podría ser potencialmente replicable en otros países/regiones/ciudades?</w:t>
      </w:r>
    </w:p>
    <w:p w14:paraId="15C83E7D" w14:textId="6ACACB20" w:rsidR="005B31FF" w:rsidRPr="00437A10" w:rsidRDefault="006B0066" w:rsidP="006B0066">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lang w:val="es-BO"/>
        </w:rPr>
        <w:t>Es</w:t>
      </w:r>
      <w:r w:rsidR="005B31FF" w:rsidRPr="00437A10">
        <w:rPr>
          <w:rFonts w:ascii="Arial" w:eastAsia="Calibri" w:hAnsi="Arial" w:cs="Arial"/>
          <w:sz w:val="22"/>
          <w:szCs w:val="22"/>
        </w:rPr>
        <w:t xml:space="preserve"> importante hacer notar que ninguno de los programas se enfoca en la inequidad estructural de acceso al suelo y las limitaciones del mercado para las familias vulnerables. Por un lado, los programas de vivienda piden como requisito la tenencia del suelo. Por otro lado, la Ley de Regularización del Derecho Propietario (247/2012), cuyo objetivo era corregir las irregularidades de la tenencia en particular en zonas periurbanas, no ha tenido los resultados esperados. La falta de un marco normativo para el acceso al suelo como derecho en el marco de la vivienda adecuada es una de las principales limitantes para el ejercicio de este derecho al día de hoy. </w:t>
      </w:r>
    </w:p>
    <w:p w14:paraId="7B8C4B98" w14:textId="3FD3839B" w:rsidR="00AC7F7E" w:rsidRPr="00437A10" w:rsidRDefault="00AC7F7E" w:rsidP="00AC7F7E">
      <w:pPr>
        <w:spacing w:after="160" w:line="259" w:lineRule="auto"/>
        <w:contextualSpacing/>
        <w:jc w:val="both"/>
        <w:rPr>
          <w:rFonts w:ascii="Arial" w:eastAsia="Calibri" w:hAnsi="Arial" w:cs="Arial"/>
          <w:sz w:val="22"/>
          <w:szCs w:val="22"/>
        </w:rPr>
      </w:pPr>
      <w:r w:rsidRPr="00437A10">
        <w:rPr>
          <w:rFonts w:ascii="Arial" w:eastAsia="Calibri" w:hAnsi="Arial" w:cs="Arial"/>
          <w:sz w:val="22"/>
          <w:szCs w:val="22"/>
        </w:rPr>
        <w:t xml:space="preserve">Las principales limitantes de </w:t>
      </w:r>
      <w:r w:rsidRPr="00437A10">
        <w:rPr>
          <w:rFonts w:ascii="Arial" w:eastAsia="Calibri" w:hAnsi="Arial" w:cs="Arial"/>
          <w:sz w:val="22"/>
          <w:szCs w:val="22"/>
          <w:lang w:val="es-BO"/>
        </w:rPr>
        <w:t>las leyes y políticas mencionadas anteriormente (en la respuesta N°13) son las mencionadas en el diagnóstico para la Política Nacional de Vivienda</w:t>
      </w:r>
      <w:r w:rsidRPr="00437A10">
        <w:rPr>
          <w:rStyle w:val="FootnoteReference"/>
          <w:rFonts w:ascii="Arial" w:eastAsia="Calibri" w:hAnsi="Arial" w:cs="Arial"/>
          <w:sz w:val="22"/>
          <w:szCs w:val="22"/>
          <w:lang w:val="es-BO"/>
        </w:rPr>
        <w:footnoteReference w:id="3"/>
      </w:r>
    </w:p>
    <w:p w14:paraId="39234CF6" w14:textId="0A82E614" w:rsidR="00C9284D" w:rsidRPr="00437A10" w:rsidRDefault="006B0066" w:rsidP="00C9284D">
      <w:pPr>
        <w:pStyle w:val="ListParagraph"/>
        <w:numPr>
          <w:ilvl w:val="0"/>
          <w:numId w:val="10"/>
        </w:numPr>
        <w:spacing w:after="160" w:line="259" w:lineRule="auto"/>
        <w:jc w:val="both"/>
        <w:rPr>
          <w:rFonts w:ascii="Arial" w:eastAsia="Calibri" w:hAnsi="Arial" w:cs="Arial"/>
          <w:i/>
          <w:sz w:val="22"/>
          <w:szCs w:val="22"/>
          <w:lang w:val="es-BO"/>
        </w:rPr>
      </w:pPr>
      <w:r w:rsidRPr="00437A10">
        <w:rPr>
          <w:rFonts w:ascii="Arial" w:eastAsia="Calibri" w:hAnsi="Arial" w:cs="Arial"/>
          <w:i/>
          <w:sz w:val="22"/>
          <w:szCs w:val="22"/>
          <w:lang w:val="es-BO"/>
        </w:rPr>
        <w:t xml:space="preserve">Amplios sectores de la población urbana y rural no tienen acceso a financiamiento para soluciones de vivienda. Los mecanismos públicos y privados para el financiamiento de suelo y vivienda son insuficientes y no son asequibles para la población de ingresos bajos. El financiamiento proveniente del 2% del aporte patronal público y privado, pese a ser una fuente estable, es insuficiente para responder al problema del déficit habitacional que es mayoritariamente cualitativo, se concentra en la provisión de vivienda nueva, no contempla un mecanismo de financiamiento de suelo, no tiene programas de alquiler social y la asignación de subsidios no garantiza que estos lleguen a los que más necesitan. </w:t>
      </w:r>
      <w:r w:rsidR="00F215B9" w:rsidRPr="00437A10">
        <w:rPr>
          <w:rStyle w:val="FootnoteReference"/>
          <w:rFonts w:ascii="Arial" w:eastAsia="Calibri" w:hAnsi="Arial" w:cs="Arial"/>
          <w:i/>
          <w:sz w:val="22"/>
          <w:szCs w:val="22"/>
          <w:lang w:val="es-BO"/>
        </w:rPr>
        <w:footnoteReference w:id="4"/>
      </w:r>
    </w:p>
    <w:p w14:paraId="029DAE41" w14:textId="4FCA18A5" w:rsidR="00C9284D" w:rsidRPr="00437A10" w:rsidRDefault="006B0066" w:rsidP="00C9284D">
      <w:pPr>
        <w:pStyle w:val="ListParagraph"/>
        <w:numPr>
          <w:ilvl w:val="0"/>
          <w:numId w:val="10"/>
        </w:numPr>
        <w:spacing w:after="160" w:line="259" w:lineRule="auto"/>
        <w:jc w:val="both"/>
        <w:rPr>
          <w:rFonts w:ascii="Arial" w:eastAsia="Calibri" w:hAnsi="Arial" w:cs="Arial"/>
          <w:i/>
          <w:sz w:val="22"/>
          <w:szCs w:val="22"/>
          <w:lang w:val="es-BO"/>
        </w:rPr>
      </w:pPr>
      <w:r w:rsidRPr="00437A10">
        <w:rPr>
          <w:rFonts w:ascii="Arial" w:eastAsia="Calibri" w:hAnsi="Arial" w:cs="Arial"/>
          <w:i/>
          <w:sz w:val="22"/>
          <w:szCs w:val="22"/>
          <w:lang w:val="es-BO"/>
        </w:rPr>
        <w:t xml:space="preserve">La regulación y la intervención estatal en el mercado de vivienda no están enfocadas en la reducción de costos administrativos y fiscales de las soluciones habitacionales, lo que fomenta la informalidad. La falta de regulación del mercado de suelo y la ausencia de mecanismos de gestión de suelo generan especulación inmobiliaria, la cual impacta en la asequibilidad de suelo para vivienda. </w:t>
      </w:r>
      <w:r w:rsidR="00090639" w:rsidRPr="00437A10">
        <w:rPr>
          <w:rStyle w:val="FootnoteReference"/>
          <w:rFonts w:ascii="Arial" w:eastAsia="Calibri" w:hAnsi="Arial" w:cs="Arial"/>
          <w:i/>
          <w:sz w:val="22"/>
          <w:szCs w:val="22"/>
          <w:lang w:val="es-BO"/>
        </w:rPr>
        <w:footnoteReference w:id="5"/>
      </w:r>
    </w:p>
    <w:p w14:paraId="2745B5F1" w14:textId="3E2E27A1" w:rsidR="00A83B64" w:rsidRPr="00437A10" w:rsidRDefault="006B0066" w:rsidP="00C9284D">
      <w:pPr>
        <w:pStyle w:val="ListParagraph"/>
        <w:numPr>
          <w:ilvl w:val="0"/>
          <w:numId w:val="10"/>
        </w:numPr>
        <w:spacing w:after="160" w:line="259" w:lineRule="auto"/>
        <w:jc w:val="both"/>
        <w:rPr>
          <w:rFonts w:ascii="Arial" w:eastAsia="Calibri" w:hAnsi="Arial" w:cs="Arial"/>
          <w:sz w:val="22"/>
          <w:szCs w:val="22"/>
          <w:lang w:val="es-BO"/>
        </w:rPr>
      </w:pPr>
      <w:r w:rsidRPr="00437A10">
        <w:rPr>
          <w:rFonts w:ascii="Arial" w:eastAsia="Calibri" w:hAnsi="Arial" w:cs="Arial"/>
          <w:i/>
          <w:sz w:val="22"/>
          <w:szCs w:val="22"/>
          <w:lang w:val="es-BO"/>
        </w:rPr>
        <w:t>La producción de vivienda social desde el sector inmobiliario privado es escasa y la producción social de la vivienda, pese a todas sus dificultades, ha sido la respuesta masiva de la población a las insuficientes soluciones habitacionales propuestas tanto por el sector privado como público. Alrededor de un tercio de la población boliviana no tiene la suficiente capacidad de pago para calificar a un crédito de vivienda y este porcentaje aumenta, en proporciones difícilmente estimables, debido a los requisitos de formalidad de empleo y de formalidad de la tenencia de la vivienda a ser hipotecada. La respuesta social a la falta de financiamiento se evidencia con la masiva producción social de vivienda, la cual ha sido y es mayor a la respuesta estatal. No existe una cuantificación real de la dimensión de este fenómeno, sin embargo, es evidente que son miles de familias quienes de manera individual o colectiva han resuelto la necesidad de vivienda, aun cuando muchas de estas intervenciones engrosan el déficit cualitativo</w:t>
      </w:r>
      <w:r w:rsidRPr="00437A10">
        <w:rPr>
          <w:rFonts w:ascii="Arial" w:eastAsia="Calibri" w:hAnsi="Arial" w:cs="Arial"/>
          <w:sz w:val="22"/>
          <w:szCs w:val="22"/>
          <w:lang w:val="es-BO"/>
        </w:rPr>
        <w:t>.</w:t>
      </w:r>
    </w:p>
    <w:p w14:paraId="386198D9" w14:textId="77777777" w:rsidR="00A83B64" w:rsidRPr="00437A10" w:rsidRDefault="00A83B64" w:rsidP="006B0066">
      <w:pPr>
        <w:spacing w:after="160" w:line="259" w:lineRule="auto"/>
        <w:contextualSpacing/>
        <w:jc w:val="both"/>
        <w:rPr>
          <w:rFonts w:ascii="Arial" w:eastAsia="Calibri" w:hAnsi="Arial" w:cs="Arial"/>
          <w:sz w:val="22"/>
          <w:szCs w:val="22"/>
        </w:rPr>
      </w:pPr>
    </w:p>
    <w:p w14:paraId="402FFEB4" w14:textId="77777777" w:rsidR="00437A10" w:rsidRPr="00437A10" w:rsidRDefault="00437A10">
      <w:pPr>
        <w:spacing w:after="160" w:line="259" w:lineRule="auto"/>
        <w:rPr>
          <w:rFonts w:ascii="Arial" w:eastAsia="Calibri" w:hAnsi="Arial" w:cs="Arial"/>
          <w:b/>
          <w:sz w:val="22"/>
          <w:szCs w:val="22"/>
          <w:lang w:val="es-BO"/>
        </w:rPr>
      </w:pPr>
      <w:r w:rsidRPr="00437A10">
        <w:rPr>
          <w:rFonts w:ascii="Arial" w:eastAsia="Calibri" w:hAnsi="Arial" w:cs="Arial"/>
          <w:b/>
          <w:sz w:val="22"/>
          <w:szCs w:val="22"/>
          <w:lang w:val="es-BO"/>
        </w:rPr>
        <w:br w:type="page"/>
      </w:r>
    </w:p>
    <w:p w14:paraId="5B522146" w14:textId="744CC50A" w:rsidR="001E007A" w:rsidRPr="00437A10" w:rsidRDefault="00AC7F7E" w:rsidP="00A83B64">
      <w:pPr>
        <w:spacing w:after="160" w:line="259" w:lineRule="auto"/>
        <w:jc w:val="both"/>
        <w:rPr>
          <w:rFonts w:ascii="Arial" w:eastAsia="Calibri" w:hAnsi="Arial" w:cs="Arial"/>
          <w:b/>
          <w:sz w:val="22"/>
          <w:szCs w:val="22"/>
          <w:lang w:val="es-BO"/>
        </w:rPr>
      </w:pPr>
      <w:r w:rsidRPr="00437A10">
        <w:rPr>
          <w:rFonts w:ascii="Arial" w:eastAsia="Calibri" w:hAnsi="Arial" w:cs="Arial"/>
          <w:b/>
          <w:sz w:val="22"/>
          <w:szCs w:val="22"/>
          <w:lang w:val="es-BO"/>
        </w:rPr>
        <w:t>REFERENCIAS:</w:t>
      </w:r>
    </w:p>
    <w:p w14:paraId="7FBAEBE2" w14:textId="0BE11E26" w:rsidR="001E007A" w:rsidRPr="00437A10" w:rsidRDefault="001E007A" w:rsidP="00BF2D6F">
      <w:pPr>
        <w:ind w:left="709" w:hanging="709"/>
        <w:jc w:val="both"/>
        <w:rPr>
          <w:rFonts w:ascii="Arial" w:hAnsi="Arial" w:cs="Arial"/>
          <w:sz w:val="22"/>
          <w:szCs w:val="22"/>
        </w:rPr>
      </w:pPr>
      <w:r w:rsidRPr="00437A10">
        <w:rPr>
          <w:rFonts w:ascii="Arial" w:eastAsia="Calibri" w:hAnsi="Arial" w:cs="Arial"/>
          <w:sz w:val="22"/>
          <w:szCs w:val="22"/>
          <w:lang w:val="es-BO"/>
        </w:rPr>
        <w:t xml:space="preserve">QUILLAGUAMÁN, K. (2022a). </w:t>
      </w:r>
      <w:r w:rsidRPr="00437A10">
        <w:rPr>
          <w:rFonts w:ascii="Arial" w:hAnsi="Arial" w:cs="Arial"/>
          <w:i/>
          <w:sz w:val="22"/>
          <w:szCs w:val="22"/>
        </w:rPr>
        <w:t>Construcción del Anteproyecto de Ley de Inquilinato a partir de datos estadísticos. Documento Técnico Nº 2. Resultados de encuestas dirigidas a Jefes(as) de hogar en situación de inquilinato.</w:t>
      </w:r>
      <w:r w:rsidRPr="00437A10">
        <w:rPr>
          <w:rFonts w:ascii="Arial" w:hAnsi="Arial" w:cs="Arial"/>
          <w:sz w:val="22"/>
          <w:szCs w:val="22"/>
        </w:rPr>
        <w:t xml:space="preserve"> Cochabamba: CEP, OINBOL</w:t>
      </w:r>
    </w:p>
    <w:p w14:paraId="564E5D56" w14:textId="77777777" w:rsidR="00BF2D6F" w:rsidRPr="00437A10" w:rsidRDefault="00BF2D6F" w:rsidP="00BF2D6F">
      <w:pPr>
        <w:ind w:left="709" w:hanging="709"/>
        <w:jc w:val="both"/>
        <w:rPr>
          <w:rFonts w:ascii="Arial" w:hAnsi="Arial" w:cs="Arial"/>
          <w:sz w:val="22"/>
          <w:szCs w:val="22"/>
        </w:rPr>
      </w:pPr>
    </w:p>
    <w:p w14:paraId="6EC3518B" w14:textId="31DF58D9" w:rsidR="001E007A" w:rsidRPr="00437A10" w:rsidRDefault="001E007A" w:rsidP="00BF2D6F">
      <w:pPr>
        <w:spacing w:after="160" w:line="259" w:lineRule="auto"/>
        <w:ind w:left="709" w:hanging="709"/>
        <w:contextualSpacing/>
        <w:jc w:val="both"/>
        <w:rPr>
          <w:rFonts w:ascii="Arial" w:eastAsia="Calibri" w:hAnsi="Arial" w:cs="Arial"/>
          <w:sz w:val="22"/>
          <w:szCs w:val="22"/>
        </w:rPr>
      </w:pPr>
      <w:r w:rsidRPr="00437A10">
        <w:rPr>
          <w:rFonts w:ascii="Arial" w:eastAsia="Calibri" w:hAnsi="Arial" w:cs="Arial"/>
          <w:sz w:val="22"/>
          <w:szCs w:val="22"/>
          <w:lang w:val="es-BO"/>
        </w:rPr>
        <w:t xml:space="preserve">QUILLAGUAMÁN, K. (2022b). </w:t>
      </w:r>
      <w:r w:rsidRPr="00437A10">
        <w:rPr>
          <w:rFonts w:ascii="Arial" w:eastAsia="Calibri" w:hAnsi="Arial" w:cs="Arial"/>
          <w:i/>
          <w:sz w:val="22"/>
          <w:szCs w:val="22"/>
          <w:lang w:val="es-BO"/>
        </w:rPr>
        <w:t xml:space="preserve">Asequibilidad, vivienda adecuada y tenencia en alquiler en el área urbana de Bolivia. </w:t>
      </w:r>
      <w:r w:rsidR="00EB6039" w:rsidRPr="00437A10">
        <w:rPr>
          <w:rFonts w:ascii="Arial" w:eastAsia="Calibri" w:hAnsi="Arial" w:cs="Arial"/>
          <w:sz w:val="22"/>
          <w:szCs w:val="22"/>
          <w:lang w:val="es-BO"/>
        </w:rPr>
        <w:t xml:space="preserve">LOCUS. Territorio, ciudad, arquitectura y diseño. Revista del Instituto de Investigaciones de Arquitectura y Ciencias del Hábitat. </w:t>
      </w:r>
      <w:r w:rsidRPr="00437A10">
        <w:rPr>
          <w:rFonts w:ascii="Arial" w:eastAsia="Calibri" w:hAnsi="Arial" w:cs="Arial"/>
          <w:sz w:val="22"/>
          <w:szCs w:val="22"/>
          <w:lang w:val="es-BO"/>
        </w:rPr>
        <w:t>Año 02</w:t>
      </w:r>
      <w:r w:rsidR="00EB6039" w:rsidRPr="00437A10">
        <w:rPr>
          <w:rFonts w:ascii="Arial" w:eastAsia="Calibri" w:hAnsi="Arial" w:cs="Arial"/>
          <w:sz w:val="22"/>
          <w:szCs w:val="22"/>
          <w:lang w:val="es-BO"/>
        </w:rPr>
        <w:t xml:space="preserve"> Nº 03 / Julio – Diciembre 2022. Pag. 23-37.</w:t>
      </w:r>
      <w:r w:rsidR="00F35D07" w:rsidRPr="00437A10">
        <w:rPr>
          <w:rFonts w:ascii="Arial" w:eastAsia="Calibri" w:hAnsi="Arial" w:cs="Arial"/>
          <w:sz w:val="22"/>
          <w:szCs w:val="22"/>
          <w:lang w:val="es-BO"/>
        </w:rPr>
        <w:t xml:space="preserve"> </w:t>
      </w:r>
      <w:hyperlink r:id="rId19" w:history="1">
        <w:r w:rsidR="00BF2D6F" w:rsidRPr="00437A10">
          <w:rPr>
            <w:rStyle w:val="Hyperlink"/>
            <w:rFonts w:ascii="Arial" w:eastAsia="Calibri" w:hAnsi="Arial" w:cs="Arial"/>
            <w:color w:val="auto"/>
            <w:sz w:val="22"/>
            <w:szCs w:val="22"/>
          </w:rPr>
          <w:t>www.iiach.fach.umss.edu.bo/locus/</w:t>
        </w:r>
      </w:hyperlink>
    </w:p>
    <w:p w14:paraId="5E3F7459" w14:textId="77777777" w:rsidR="00BF2D6F" w:rsidRPr="00437A10" w:rsidRDefault="00BF2D6F" w:rsidP="00BF2D6F">
      <w:pPr>
        <w:spacing w:after="160" w:line="259" w:lineRule="auto"/>
        <w:ind w:left="709" w:hanging="709"/>
        <w:contextualSpacing/>
        <w:jc w:val="both"/>
        <w:rPr>
          <w:rFonts w:ascii="Arial" w:eastAsia="Calibri" w:hAnsi="Arial" w:cs="Arial"/>
          <w:sz w:val="22"/>
          <w:szCs w:val="22"/>
        </w:rPr>
      </w:pPr>
    </w:p>
    <w:p w14:paraId="5BBAA4A8" w14:textId="6819B5D5" w:rsidR="001E007A" w:rsidRPr="00437A10" w:rsidRDefault="001E007A" w:rsidP="00BF2D6F">
      <w:pPr>
        <w:spacing w:after="160" w:line="259" w:lineRule="auto"/>
        <w:ind w:left="709" w:hanging="709"/>
        <w:jc w:val="both"/>
        <w:rPr>
          <w:rFonts w:ascii="Arial" w:eastAsia="Calibri" w:hAnsi="Arial" w:cs="Arial"/>
          <w:sz w:val="22"/>
          <w:szCs w:val="22"/>
          <w:lang w:val="es-BO"/>
        </w:rPr>
      </w:pPr>
      <w:r w:rsidRPr="00437A10">
        <w:rPr>
          <w:rFonts w:ascii="Arial" w:eastAsia="Calibri" w:hAnsi="Arial" w:cs="Arial"/>
          <w:sz w:val="22"/>
          <w:szCs w:val="22"/>
          <w:lang w:val="es-BO"/>
        </w:rPr>
        <w:t>QUILLAGUAMÁN, K. (2023a).</w:t>
      </w:r>
      <w:r w:rsidR="00EB6039" w:rsidRPr="00437A10">
        <w:rPr>
          <w:rFonts w:ascii="Arial" w:eastAsia="Calibri" w:hAnsi="Arial" w:cs="Arial"/>
          <w:sz w:val="22"/>
          <w:szCs w:val="22"/>
          <w:lang w:val="es-BO"/>
        </w:rPr>
        <w:t xml:space="preserve"> </w:t>
      </w:r>
      <w:r w:rsidR="00EB6039" w:rsidRPr="00437A10">
        <w:rPr>
          <w:rFonts w:ascii="Arial" w:eastAsia="Calibri" w:hAnsi="Arial" w:cs="Arial"/>
          <w:i/>
          <w:sz w:val="22"/>
          <w:szCs w:val="22"/>
          <w:lang w:val="es-BO"/>
        </w:rPr>
        <w:t>Vulnerabilidad residencial de la población joven en Bolivia</w:t>
      </w:r>
      <w:r w:rsidR="00EB6039" w:rsidRPr="00437A10">
        <w:rPr>
          <w:rFonts w:ascii="Arial" w:eastAsia="Calibri" w:hAnsi="Arial" w:cs="Arial"/>
          <w:sz w:val="22"/>
          <w:szCs w:val="22"/>
          <w:lang w:val="es-BO"/>
        </w:rPr>
        <w:t xml:space="preserve">. En VEIZAGA, J. Coord. (2023). </w:t>
      </w:r>
      <w:r w:rsidR="00EB6039" w:rsidRPr="00437A10">
        <w:rPr>
          <w:rFonts w:ascii="Arial" w:eastAsia="Calibri" w:hAnsi="Arial" w:cs="Arial"/>
          <w:sz w:val="22"/>
          <w:szCs w:val="22"/>
        </w:rPr>
        <w:t>Condiciones de vida y vulnerabilidades de la población joven en Bolivia. CEP, UNFPA (</w:t>
      </w:r>
      <w:r w:rsidR="00F35D07" w:rsidRPr="00437A10">
        <w:rPr>
          <w:rFonts w:ascii="Arial" w:eastAsia="Calibri" w:hAnsi="Arial" w:cs="Arial"/>
          <w:sz w:val="22"/>
          <w:szCs w:val="22"/>
        </w:rPr>
        <w:t>Libro no</w:t>
      </w:r>
      <w:r w:rsidR="00EB6039" w:rsidRPr="00437A10">
        <w:rPr>
          <w:rFonts w:ascii="Arial" w:eastAsia="Calibri" w:hAnsi="Arial" w:cs="Arial"/>
          <w:sz w:val="22"/>
          <w:szCs w:val="22"/>
        </w:rPr>
        <w:t xml:space="preserve"> publicado, se encuentra en revisión</w:t>
      </w:r>
      <w:r w:rsidR="00F35D07" w:rsidRPr="00437A10">
        <w:rPr>
          <w:rFonts w:ascii="Arial" w:eastAsia="Calibri" w:hAnsi="Arial" w:cs="Arial"/>
          <w:sz w:val="22"/>
          <w:szCs w:val="22"/>
        </w:rPr>
        <w:t xml:space="preserve"> de pares</w:t>
      </w:r>
      <w:r w:rsidR="00EB6039" w:rsidRPr="00437A10">
        <w:rPr>
          <w:rFonts w:ascii="Arial" w:eastAsia="Calibri" w:hAnsi="Arial" w:cs="Arial"/>
          <w:sz w:val="22"/>
          <w:szCs w:val="22"/>
        </w:rPr>
        <w:t>).</w:t>
      </w:r>
    </w:p>
    <w:p w14:paraId="5114874C" w14:textId="54A489EC" w:rsidR="001E007A" w:rsidRPr="00437A10" w:rsidRDefault="001E007A" w:rsidP="00BF2D6F">
      <w:pPr>
        <w:spacing w:after="160" w:line="259" w:lineRule="auto"/>
        <w:ind w:left="709" w:hanging="709"/>
        <w:jc w:val="both"/>
        <w:rPr>
          <w:rFonts w:ascii="Arial" w:eastAsia="Calibri" w:hAnsi="Arial" w:cs="Arial"/>
          <w:sz w:val="22"/>
          <w:szCs w:val="22"/>
          <w:lang w:val="es-BO"/>
        </w:rPr>
      </w:pPr>
      <w:r w:rsidRPr="00437A10">
        <w:rPr>
          <w:rFonts w:ascii="Arial" w:eastAsia="Calibri" w:hAnsi="Arial" w:cs="Arial"/>
          <w:sz w:val="22"/>
          <w:szCs w:val="22"/>
          <w:lang w:val="es-BO"/>
        </w:rPr>
        <w:t>QUILLAGUAMÁN, K. (2023b).</w:t>
      </w:r>
      <w:r w:rsidR="00F35D07" w:rsidRPr="00437A10">
        <w:rPr>
          <w:rFonts w:ascii="Arial" w:eastAsia="Calibri" w:hAnsi="Arial" w:cs="Arial"/>
          <w:sz w:val="22"/>
          <w:szCs w:val="22"/>
          <w:lang w:val="es-BO"/>
        </w:rPr>
        <w:t xml:space="preserve"> </w:t>
      </w:r>
      <w:r w:rsidR="00F35D07" w:rsidRPr="00437A10">
        <w:rPr>
          <w:rFonts w:ascii="Arial" w:eastAsia="Calibri" w:hAnsi="Arial" w:cs="Arial"/>
          <w:i/>
          <w:sz w:val="22"/>
          <w:szCs w:val="22"/>
          <w:lang w:val="es-BO"/>
        </w:rPr>
        <w:t>Violencia y componentes de la vivienda adecuada</w:t>
      </w:r>
      <w:r w:rsidR="00F35D07" w:rsidRPr="00437A10">
        <w:rPr>
          <w:rFonts w:ascii="Arial" w:eastAsia="Calibri" w:hAnsi="Arial" w:cs="Arial"/>
          <w:sz w:val="22"/>
          <w:szCs w:val="22"/>
          <w:lang w:val="es-BO"/>
        </w:rPr>
        <w:t>. En RAMIREZ, A. Coord. (2023). Violencias sociales en tiempos de pandemia en la región metropolitana de Cochabamba. CESU, AUF (</w:t>
      </w:r>
      <w:r w:rsidR="00F35D07" w:rsidRPr="00437A10">
        <w:rPr>
          <w:rFonts w:ascii="Arial" w:eastAsia="Calibri" w:hAnsi="Arial" w:cs="Arial"/>
          <w:sz w:val="22"/>
          <w:szCs w:val="22"/>
        </w:rPr>
        <w:t>Libro no publicado, se encuentra en revisión de pares)</w:t>
      </w:r>
    </w:p>
    <w:p w14:paraId="58B5AFDC" w14:textId="7DD11750" w:rsidR="00067E7E" w:rsidRPr="00437A10" w:rsidRDefault="00ED37EB" w:rsidP="00ED37EB">
      <w:pPr>
        <w:spacing w:after="160" w:line="259" w:lineRule="auto"/>
        <w:ind w:left="709" w:hanging="709"/>
        <w:jc w:val="both"/>
        <w:rPr>
          <w:rStyle w:val="Hyperlink"/>
          <w:rFonts w:ascii="Arial" w:eastAsia="Calibri" w:hAnsi="Arial" w:cs="Arial"/>
          <w:color w:val="auto"/>
          <w:sz w:val="22"/>
          <w:szCs w:val="22"/>
          <w:lang w:val="es-BO"/>
        </w:rPr>
      </w:pPr>
      <w:r w:rsidRPr="00437A10">
        <w:rPr>
          <w:rFonts w:ascii="Arial" w:eastAsia="Calibri" w:hAnsi="Arial" w:cs="Arial"/>
          <w:sz w:val="22"/>
          <w:szCs w:val="22"/>
          <w:lang w:val="es-BO"/>
        </w:rPr>
        <w:t>CASADO, F. (2021). El desarrollo Jurisprudencial del derecho a la vivienda en Bolivia. Una ruptura jurídica en ciernes. Revista latinoamericana derecho social N°33</w:t>
      </w:r>
      <w:r w:rsidR="00863BC3" w:rsidRPr="00437A10">
        <w:rPr>
          <w:rFonts w:ascii="Arial" w:eastAsia="Calibri" w:hAnsi="Arial" w:cs="Arial"/>
          <w:sz w:val="22"/>
          <w:szCs w:val="22"/>
          <w:lang w:val="es-BO"/>
        </w:rPr>
        <w:t>,</w:t>
      </w:r>
      <w:r w:rsidRPr="00437A10">
        <w:rPr>
          <w:rFonts w:ascii="Arial" w:eastAsia="Calibri" w:hAnsi="Arial" w:cs="Arial"/>
          <w:sz w:val="22"/>
          <w:szCs w:val="22"/>
          <w:lang w:val="es-BO"/>
        </w:rPr>
        <w:t xml:space="preserve"> Ciudad de México. Universidad Técnica de Manabi. </w:t>
      </w:r>
      <w:hyperlink r:id="rId20" w:history="1">
        <w:r w:rsidR="00067E7E" w:rsidRPr="00437A10">
          <w:rPr>
            <w:rStyle w:val="Hyperlink"/>
            <w:rFonts w:ascii="Arial" w:eastAsia="Calibri" w:hAnsi="Arial" w:cs="Arial"/>
            <w:color w:val="auto"/>
            <w:sz w:val="22"/>
            <w:szCs w:val="22"/>
            <w:lang w:val="es-BO"/>
          </w:rPr>
          <w:t>https://revistas.juridicas.unam.mx/index.php/derecho-social/article/view/16327</w:t>
        </w:r>
      </w:hyperlink>
    </w:p>
    <w:p w14:paraId="5334DE68" w14:textId="77777777" w:rsidR="00191B2F" w:rsidRPr="00437A10" w:rsidRDefault="00191B2F" w:rsidP="00191B2F">
      <w:pPr>
        <w:pStyle w:val="Heading1"/>
        <w:shd w:val="clear" w:color="auto" w:fill="FFFFFF"/>
        <w:spacing w:before="0"/>
        <w:jc w:val="both"/>
        <w:rPr>
          <w:rFonts w:ascii="Arial" w:hAnsi="Arial" w:cs="Arial"/>
          <w:color w:val="auto"/>
          <w:sz w:val="22"/>
          <w:szCs w:val="22"/>
        </w:rPr>
      </w:pPr>
      <w:r w:rsidRPr="00437A10">
        <w:rPr>
          <w:rFonts w:ascii="Arial" w:eastAsia="Times New Roman" w:hAnsi="Arial" w:cs="Arial"/>
          <w:color w:val="auto"/>
          <w:sz w:val="22"/>
          <w:szCs w:val="22"/>
        </w:rPr>
        <w:t>CABRERA JUAN</w:t>
      </w:r>
      <w:r w:rsidRPr="00437A10">
        <w:rPr>
          <w:rFonts w:ascii="Arial" w:hAnsi="Arial" w:cs="Arial"/>
          <w:color w:val="auto"/>
          <w:sz w:val="22"/>
          <w:szCs w:val="22"/>
        </w:rPr>
        <w:t xml:space="preserve"> (2022) </w:t>
      </w:r>
      <w:r w:rsidRPr="00437A10">
        <w:rPr>
          <w:rFonts w:ascii="Arial" w:eastAsia="Times New Roman" w:hAnsi="Arial" w:cs="Arial"/>
          <w:color w:val="auto"/>
          <w:sz w:val="22"/>
          <w:szCs w:val="22"/>
        </w:rPr>
        <w:t xml:space="preserve">El suelo en la Política Nacional de Desarrollo Integral de Ciudades: Reflexiones y recomendaciones alrededor. </w:t>
      </w:r>
      <w:r w:rsidRPr="00437A10">
        <w:rPr>
          <w:rFonts w:ascii="Arial" w:hAnsi="Arial" w:cs="Arial"/>
          <w:color w:val="auto"/>
          <w:sz w:val="22"/>
          <w:szCs w:val="22"/>
        </w:rPr>
        <w:t xml:space="preserve">Aportes de RENASEH: Análisis de las políticas de gobierno relacionadas con vivienda y ciudad (pp.47-87) </w:t>
      </w:r>
    </w:p>
    <w:p w14:paraId="2E451985" w14:textId="77777777" w:rsidR="00191B2F" w:rsidRPr="00437A10" w:rsidRDefault="0068271B" w:rsidP="00191B2F">
      <w:pPr>
        <w:pStyle w:val="Heading1"/>
        <w:shd w:val="clear" w:color="auto" w:fill="FFFFFF"/>
        <w:spacing w:before="0"/>
        <w:jc w:val="both"/>
        <w:rPr>
          <w:color w:val="auto"/>
          <w:sz w:val="22"/>
          <w:szCs w:val="22"/>
          <w:lang w:val="es-BO"/>
        </w:rPr>
      </w:pPr>
      <w:hyperlink r:id="rId21" w:history="1">
        <w:r w:rsidR="00191B2F" w:rsidRPr="00437A10">
          <w:rPr>
            <w:rStyle w:val="Hyperlink"/>
            <w:rFonts w:ascii="Arial" w:hAnsi="Arial" w:cs="Arial"/>
            <w:color w:val="auto"/>
            <w:sz w:val="22"/>
            <w:szCs w:val="22"/>
          </w:rPr>
          <w:t>https://renaseh-odhva.org/books/el-suelo-en-la-politica-nacional-de-desarrollo-integral-de-ciudades-reflexiones-y-recomendaciones-alrededor/</w:t>
        </w:r>
      </w:hyperlink>
    </w:p>
    <w:p w14:paraId="684C4E33" w14:textId="4402A158" w:rsidR="00191B2F" w:rsidRPr="00437A10" w:rsidRDefault="00191B2F" w:rsidP="00191B2F">
      <w:pPr>
        <w:pStyle w:val="FootnoteText"/>
        <w:spacing w:before="100" w:beforeAutospacing="1"/>
        <w:jc w:val="both"/>
        <w:rPr>
          <w:rFonts w:ascii="Arial" w:hAnsi="Arial" w:cs="Arial"/>
          <w:sz w:val="22"/>
          <w:szCs w:val="22"/>
          <w:shd w:val="clear" w:color="auto" w:fill="FFFFFF"/>
        </w:rPr>
      </w:pPr>
      <w:r w:rsidRPr="00437A10">
        <w:rPr>
          <w:rFonts w:ascii="Arial" w:hAnsi="Arial" w:cs="Arial"/>
          <w:sz w:val="22"/>
          <w:szCs w:val="22"/>
          <w:shd w:val="clear" w:color="auto" w:fill="FFFFFF"/>
        </w:rPr>
        <w:t xml:space="preserve">RAMIREZ H., RAUL W. (2022) </w:t>
      </w:r>
      <w:r w:rsidRPr="00437A10">
        <w:rPr>
          <w:rFonts w:ascii="Arial" w:eastAsia="Calibri" w:hAnsi="Arial" w:cs="Arial"/>
          <w:sz w:val="22"/>
          <w:szCs w:val="22"/>
        </w:rPr>
        <w:t>A</w:t>
      </w:r>
      <w:r w:rsidRPr="00437A10">
        <w:rPr>
          <w:rFonts w:ascii="Arial" w:hAnsi="Arial" w:cs="Arial"/>
          <w:sz w:val="22"/>
          <w:szCs w:val="22"/>
          <w:shd w:val="clear" w:color="auto" w:fill="FFFFFF"/>
        </w:rPr>
        <w:t>nálisis al acceso a créditos de vivienda social para personas que solicitan. Escuela Universitaria de Posgrado Facultativo de Ciencias Económicas U.M.S.S.</w:t>
      </w:r>
    </w:p>
    <w:p w14:paraId="5260F974" w14:textId="77777777" w:rsidR="00191B2F" w:rsidRPr="00437A10" w:rsidRDefault="0068271B" w:rsidP="00191B2F">
      <w:pPr>
        <w:pStyle w:val="FootnoteText"/>
        <w:rPr>
          <w:sz w:val="22"/>
          <w:szCs w:val="22"/>
          <w:lang w:val="es-BO"/>
        </w:rPr>
      </w:pPr>
      <w:hyperlink r:id="rId22" w:history="1">
        <w:r w:rsidR="00191B2F" w:rsidRPr="00437A10">
          <w:rPr>
            <w:rStyle w:val="Hyperlink"/>
            <w:rFonts w:ascii="Arial" w:eastAsia="Calibri" w:hAnsi="Arial" w:cs="Arial"/>
            <w:color w:val="auto"/>
            <w:sz w:val="22"/>
            <w:szCs w:val="22"/>
          </w:rPr>
          <w:t>http://hdl.handle.net/123456789/32811</w:t>
        </w:r>
      </w:hyperlink>
    </w:p>
    <w:p w14:paraId="6582F036" w14:textId="5D2E1A8B" w:rsidR="00D07223" w:rsidRPr="00437A10" w:rsidRDefault="00863BC3" w:rsidP="00191B2F">
      <w:pPr>
        <w:pStyle w:val="Default"/>
        <w:spacing w:before="100" w:beforeAutospacing="1"/>
        <w:rPr>
          <w:rFonts w:ascii="Arial" w:eastAsia="Calibri" w:hAnsi="Arial" w:cs="Arial"/>
          <w:color w:val="auto"/>
          <w:sz w:val="22"/>
          <w:szCs w:val="22"/>
          <w:lang w:val="es-BO"/>
        </w:rPr>
      </w:pPr>
      <w:r w:rsidRPr="00437A10">
        <w:rPr>
          <w:rFonts w:ascii="Arial" w:eastAsia="Calibri" w:hAnsi="Arial" w:cs="Arial"/>
          <w:color w:val="auto"/>
          <w:sz w:val="22"/>
          <w:szCs w:val="22"/>
          <w:lang w:val="es-BO"/>
        </w:rPr>
        <w:t xml:space="preserve">ONU HABITAT BOLIVIA </w:t>
      </w:r>
      <w:r w:rsidR="00D81956" w:rsidRPr="00437A10">
        <w:rPr>
          <w:rFonts w:ascii="Arial" w:eastAsia="Calibri" w:hAnsi="Arial" w:cs="Arial"/>
          <w:color w:val="auto"/>
          <w:sz w:val="22"/>
          <w:szCs w:val="22"/>
          <w:lang w:val="es-BO"/>
        </w:rPr>
        <w:t>(2020)</w:t>
      </w:r>
      <w:r w:rsidR="00D07223" w:rsidRPr="00437A10">
        <w:rPr>
          <w:rFonts w:ascii="Arial" w:eastAsia="Calibri" w:hAnsi="Arial" w:cs="Arial"/>
          <w:color w:val="auto"/>
          <w:sz w:val="22"/>
          <w:szCs w:val="22"/>
          <w:lang w:val="es-BO"/>
        </w:rPr>
        <w:t xml:space="preserve"> </w:t>
      </w:r>
      <w:r w:rsidRPr="00437A10">
        <w:rPr>
          <w:rFonts w:ascii="Arial" w:eastAsia="Calibri" w:hAnsi="Arial" w:cs="Arial"/>
          <w:color w:val="auto"/>
          <w:sz w:val="22"/>
          <w:szCs w:val="22"/>
          <w:lang w:val="es-BO"/>
        </w:rPr>
        <w:t xml:space="preserve">Ministerio de Obras Públicas, Servicios y Vivienda. </w:t>
      </w:r>
      <w:r w:rsidR="00D07223" w:rsidRPr="00437A10">
        <w:rPr>
          <w:rFonts w:ascii="Arial" w:eastAsia="Calibri" w:hAnsi="Arial" w:cs="Arial"/>
          <w:color w:val="auto"/>
          <w:sz w:val="22"/>
          <w:szCs w:val="22"/>
          <w:lang w:val="es-BO"/>
        </w:rPr>
        <w:t>La Vivienda en Bolivia, diagnóstico para l</w:t>
      </w:r>
      <w:r w:rsidRPr="00437A10">
        <w:rPr>
          <w:rFonts w:ascii="Arial" w:eastAsia="Calibri" w:hAnsi="Arial" w:cs="Arial"/>
          <w:color w:val="auto"/>
          <w:sz w:val="22"/>
          <w:szCs w:val="22"/>
          <w:lang w:val="es-BO"/>
        </w:rPr>
        <w:t xml:space="preserve">a Política Nacional de Vivienda. </w:t>
      </w:r>
      <w:r w:rsidR="009116BA" w:rsidRPr="00437A10">
        <w:rPr>
          <w:rFonts w:ascii="Arial" w:eastAsia="Calibri" w:hAnsi="Arial" w:cs="Arial"/>
          <w:color w:val="auto"/>
          <w:sz w:val="22"/>
          <w:szCs w:val="22"/>
          <w:lang w:val="es-BO"/>
        </w:rPr>
        <w:t xml:space="preserve">(Documento </w:t>
      </w:r>
      <w:r w:rsidR="00191B2F" w:rsidRPr="00437A10">
        <w:rPr>
          <w:rFonts w:ascii="Arial" w:eastAsia="Calibri" w:hAnsi="Arial" w:cs="Arial"/>
          <w:color w:val="auto"/>
          <w:sz w:val="22"/>
          <w:szCs w:val="22"/>
          <w:lang w:val="es-BO"/>
        </w:rPr>
        <w:t xml:space="preserve">no publicado </w:t>
      </w:r>
      <w:r w:rsidR="009116BA" w:rsidRPr="00437A10">
        <w:rPr>
          <w:rFonts w:ascii="Arial" w:eastAsia="Calibri" w:hAnsi="Arial" w:cs="Arial"/>
          <w:color w:val="auto"/>
          <w:sz w:val="22"/>
          <w:szCs w:val="22"/>
          <w:lang w:val="es-BO"/>
        </w:rPr>
        <w:t>adjunt</w:t>
      </w:r>
      <w:r w:rsidR="00191B2F" w:rsidRPr="00437A10">
        <w:rPr>
          <w:rFonts w:ascii="Arial" w:eastAsia="Calibri" w:hAnsi="Arial" w:cs="Arial"/>
          <w:color w:val="auto"/>
          <w:sz w:val="22"/>
          <w:szCs w:val="22"/>
          <w:lang w:val="es-BO"/>
        </w:rPr>
        <w:t>ad</w:t>
      </w:r>
      <w:r w:rsidR="009116BA" w:rsidRPr="00437A10">
        <w:rPr>
          <w:rFonts w:ascii="Arial" w:eastAsia="Calibri" w:hAnsi="Arial" w:cs="Arial"/>
          <w:color w:val="auto"/>
          <w:sz w:val="22"/>
          <w:szCs w:val="22"/>
          <w:lang w:val="es-BO"/>
        </w:rPr>
        <w:t>o)</w:t>
      </w:r>
    </w:p>
    <w:p w14:paraId="4B4C98E3" w14:textId="77777777" w:rsidR="00ED37EB" w:rsidRPr="00437A10" w:rsidRDefault="00ED37EB" w:rsidP="00A83B64">
      <w:pPr>
        <w:spacing w:after="160" w:line="259" w:lineRule="auto"/>
        <w:jc w:val="both"/>
        <w:rPr>
          <w:rFonts w:ascii="Arial" w:eastAsia="Calibri" w:hAnsi="Arial" w:cs="Arial"/>
          <w:sz w:val="22"/>
          <w:szCs w:val="22"/>
          <w:lang w:val="es-BO"/>
        </w:rPr>
      </w:pPr>
      <w:bookmarkStart w:id="2" w:name="aff1"/>
      <w:bookmarkEnd w:id="2"/>
    </w:p>
    <w:p w14:paraId="4C216B51" w14:textId="77777777" w:rsidR="00AC7F7E" w:rsidRPr="00437A10" w:rsidRDefault="00AC7F7E">
      <w:pPr>
        <w:spacing w:after="160" w:line="259" w:lineRule="auto"/>
        <w:rPr>
          <w:rFonts w:ascii="Arial" w:eastAsia="Calibri" w:hAnsi="Arial" w:cs="Arial"/>
          <w:b/>
          <w:sz w:val="28"/>
          <w:szCs w:val="22"/>
          <w:lang w:val="es-BO"/>
        </w:rPr>
      </w:pPr>
      <w:r w:rsidRPr="00437A10">
        <w:rPr>
          <w:rFonts w:ascii="Arial" w:eastAsia="Calibri" w:hAnsi="Arial" w:cs="Arial"/>
          <w:b/>
          <w:sz w:val="28"/>
          <w:szCs w:val="22"/>
          <w:lang w:val="es-BO"/>
        </w:rPr>
        <w:br w:type="page"/>
      </w:r>
    </w:p>
    <w:p w14:paraId="656ACE30" w14:textId="2B753FE8" w:rsidR="00AC7F7E" w:rsidRPr="00437A10" w:rsidRDefault="00AC7F7E" w:rsidP="00AC7F7E">
      <w:pPr>
        <w:spacing w:after="160" w:line="259" w:lineRule="auto"/>
        <w:rPr>
          <w:rFonts w:ascii="Arial" w:eastAsia="Calibri" w:hAnsi="Arial" w:cs="Arial"/>
          <w:b/>
          <w:sz w:val="28"/>
          <w:szCs w:val="22"/>
          <w:lang w:val="es-BO"/>
        </w:rPr>
      </w:pPr>
      <w:r w:rsidRPr="00437A10">
        <w:rPr>
          <w:rFonts w:ascii="Arial" w:eastAsia="Calibri" w:hAnsi="Arial" w:cs="Arial"/>
          <w:b/>
          <w:sz w:val="28"/>
          <w:szCs w:val="22"/>
          <w:lang w:val="es-BO"/>
        </w:rPr>
        <w:t>Instrucciones de envío</w:t>
      </w:r>
    </w:p>
    <w:p w14:paraId="4D74E95E" w14:textId="77777777" w:rsidR="00AC7F7E" w:rsidRPr="00437A10" w:rsidRDefault="00AC7F7E" w:rsidP="00AC7F7E">
      <w:pPr>
        <w:spacing w:after="160" w:line="259" w:lineRule="auto"/>
        <w:rPr>
          <w:rFonts w:ascii="Arial" w:eastAsia="Calibri" w:hAnsi="Arial" w:cs="Arial"/>
          <w:sz w:val="22"/>
          <w:szCs w:val="22"/>
          <w:lang w:val="es-BO"/>
        </w:rPr>
      </w:pPr>
      <w:r w:rsidRPr="00437A10">
        <w:rPr>
          <w:rFonts w:ascii="Arial" w:eastAsia="Calibri" w:hAnsi="Arial" w:cs="Arial"/>
          <w:b/>
          <w:sz w:val="22"/>
          <w:szCs w:val="22"/>
          <w:lang w:val="es-BO"/>
        </w:rPr>
        <w:t>Fecha límite:</w:t>
      </w:r>
      <w:r w:rsidRPr="00437A10">
        <w:rPr>
          <w:rFonts w:ascii="Arial" w:eastAsia="Calibri" w:hAnsi="Arial" w:cs="Arial"/>
          <w:sz w:val="22"/>
          <w:szCs w:val="22"/>
          <w:lang w:val="es-BO"/>
        </w:rPr>
        <w:t xml:space="preserve">  </w:t>
      </w:r>
      <w:r w:rsidRPr="00437A10">
        <w:rPr>
          <w:rFonts w:ascii="Arial" w:eastAsia="Calibri" w:hAnsi="Arial" w:cs="Arial"/>
          <w:b/>
          <w:sz w:val="22"/>
          <w:szCs w:val="22"/>
          <w:lang w:val="es-BO"/>
        </w:rPr>
        <w:t>30 abril 2023</w:t>
      </w:r>
    </w:p>
    <w:p w14:paraId="1929A480" w14:textId="77777777" w:rsidR="00AC7F7E" w:rsidRPr="00437A10" w:rsidRDefault="00AC7F7E" w:rsidP="00AC7F7E">
      <w:pPr>
        <w:spacing w:after="160" w:line="259" w:lineRule="auto"/>
        <w:rPr>
          <w:rFonts w:ascii="Arial" w:eastAsia="Calibri" w:hAnsi="Arial" w:cs="Arial"/>
          <w:sz w:val="22"/>
          <w:szCs w:val="22"/>
          <w:u w:val="single"/>
          <w:lang w:val="es-BO"/>
        </w:rPr>
      </w:pPr>
      <w:r w:rsidRPr="00437A10">
        <w:rPr>
          <w:rFonts w:ascii="Arial" w:eastAsia="Calibri" w:hAnsi="Arial" w:cs="Arial"/>
          <w:b/>
          <w:sz w:val="22"/>
          <w:szCs w:val="22"/>
          <w:lang w:val="es-BO"/>
        </w:rPr>
        <w:t xml:space="preserve">Correo electrónico: </w:t>
      </w:r>
      <w:r w:rsidRPr="00437A10">
        <w:rPr>
          <w:rFonts w:ascii="Arial" w:eastAsia="Calibri" w:hAnsi="Arial" w:cs="Arial"/>
          <w:sz w:val="22"/>
          <w:szCs w:val="22"/>
          <w:lang w:val="es-BO"/>
        </w:rPr>
        <w:t xml:space="preserve">Devuelva este cuestionario a: </w:t>
      </w:r>
      <w:hyperlink r:id="rId23" w:history="1">
        <w:r w:rsidRPr="00437A10">
          <w:rPr>
            <w:rFonts w:ascii="Arial" w:eastAsia="Calibri" w:hAnsi="Arial" w:cs="Arial"/>
            <w:sz w:val="22"/>
            <w:szCs w:val="22"/>
            <w:u w:val="single"/>
            <w:lang w:val="es-BO"/>
          </w:rPr>
          <w:t xml:space="preserve">hrc-sr-housing@un.org </w:t>
        </w:r>
      </w:hyperlink>
      <w:r w:rsidRPr="00437A10">
        <w:rPr>
          <w:rFonts w:ascii="Arial" w:eastAsia="Calibri" w:hAnsi="Arial" w:cs="Arial"/>
          <w:sz w:val="22"/>
          <w:szCs w:val="22"/>
          <w:lang w:val="es-BO"/>
        </w:rPr>
        <w:t xml:space="preserve">; </w:t>
      </w:r>
      <w:hyperlink r:id="rId24" w:history="1">
        <w:r w:rsidRPr="00437A10">
          <w:rPr>
            <w:rFonts w:ascii="Arial" w:eastAsia="Calibri" w:hAnsi="Arial" w:cs="Arial"/>
            <w:sz w:val="22"/>
            <w:szCs w:val="22"/>
            <w:u w:val="single"/>
            <w:lang w:val="es-BO"/>
          </w:rPr>
          <w:t>ohchr-registry@un.org</w:t>
        </w:r>
      </w:hyperlink>
    </w:p>
    <w:p w14:paraId="6D9884CF" w14:textId="77777777" w:rsidR="00AC7F7E" w:rsidRPr="00437A10" w:rsidRDefault="00AC7F7E" w:rsidP="00AC7F7E">
      <w:pPr>
        <w:spacing w:after="160" w:line="259" w:lineRule="auto"/>
        <w:jc w:val="both"/>
        <w:rPr>
          <w:rFonts w:ascii="Arial" w:eastAsia="Calibri" w:hAnsi="Arial" w:cs="Arial"/>
          <w:sz w:val="22"/>
          <w:szCs w:val="22"/>
          <w:lang w:val="es-BO"/>
        </w:rPr>
      </w:pPr>
      <w:r w:rsidRPr="00437A10">
        <w:rPr>
          <w:rFonts w:ascii="Arial" w:eastAsia="Calibri" w:hAnsi="Arial" w:cs="Arial"/>
          <w:b/>
          <w:sz w:val="22"/>
          <w:szCs w:val="22"/>
          <w:lang w:val="es-BO"/>
        </w:rPr>
        <w:t xml:space="preserve">Línea de asunto del correo electrónico: </w:t>
      </w:r>
      <w:r w:rsidRPr="00437A10">
        <w:rPr>
          <w:rFonts w:ascii="Arial" w:eastAsia="Calibri" w:hAnsi="Arial" w:cs="Arial"/>
          <w:sz w:val="22"/>
          <w:szCs w:val="22"/>
          <w:lang w:val="es-BO"/>
        </w:rPr>
        <w:t>Entrada para vivienda SR: informe sobre la asequibilidad de la vivienda</w:t>
      </w:r>
    </w:p>
    <w:p w14:paraId="0F2BEFE4" w14:textId="77777777" w:rsidR="00AC7F7E" w:rsidRPr="00437A10" w:rsidRDefault="00AC7F7E" w:rsidP="00AC7F7E">
      <w:pPr>
        <w:spacing w:after="160"/>
        <w:rPr>
          <w:rFonts w:ascii="Arial" w:eastAsia="Calibri" w:hAnsi="Arial" w:cs="Arial"/>
          <w:sz w:val="22"/>
          <w:szCs w:val="22"/>
          <w:lang w:val="es-BO"/>
        </w:rPr>
      </w:pPr>
      <w:r w:rsidRPr="00437A10">
        <w:rPr>
          <w:rFonts w:ascii="Arial" w:eastAsia="Calibri" w:hAnsi="Arial" w:cs="Arial"/>
          <w:b/>
          <w:sz w:val="22"/>
          <w:szCs w:val="22"/>
          <w:lang w:val="es-BO"/>
        </w:rPr>
        <w:t xml:space="preserve">Formatos de archivo aceptados: </w:t>
      </w:r>
      <w:r w:rsidRPr="00437A10">
        <w:rPr>
          <w:rFonts w:ascii="Arial" w:eastAsia="Calibri" w:hAnsi="Arial" w:cs="Arial"/>
          <w:sz w:val="22"/>
          <w:szCs w:val="22"/>
          <w:lang w:val="es-BO"/>
        </w:rPr>
        <w:t>Word (los documentos de respaldo pueden enviarse en PDF)</w:t>
      </w:r>
    </w:p>
    <w:p w14:paraId="239EA684" w14:textId="77777777" w:rsidR="00AC7F7E" w:rsidRPr="00437A10" w:rsidRDefault="00AC7F7E" w:rsidP="00AC7F7E">
      <w:pPr>
        <w:spacing w:after="160" w:line="259" w:lineRule="auto"/>
        <w:jc w:val="both"/>
        <w:rPr>
          <w:rFonts w:ascii="Arial" w:eastAsia="Calibri" w:hAnsi="Arial" w:cs="Arial"/>
          <w:sz w:val="22"/>
          <w:szCs w:val="22"/>
          <w:lang w:val="es-BO"/>
        </w:rPr>
      </w:pPr>
      <w:r w:rsidRPr="00437A10">
        <w:rPr>
          <w:rFonts w:ascii="Arial" w:eastAsia="Calibri" w:hAnsi="Arial" w:cs="Arial"/>
          <w:b/>
          <w:sz w:val="22"/>
          <w:szCs w:val="22"/>
          <w:lang w:val="es-BO"/>
        </w:rPr>
        <w:t xml:space="preserve">Idiomas aceptados: </w:t>
      </w:r>
      <w:r w:rsidRPr="00437A10">
        <w:rPr>
          <w:rFonts w:ascii="Arial" w:eastAsia="Calibri" w:hAnsi="Arial" w:cs="Arial"/>
          <w:sz w:val="22"/>
          <w:szCs w:val="22"/>
          <w:lang w:val="es-BO"/>
        </w:rPr>
        <w:t>inglés, francés y español</w:t>
      </w:r>
    </w:p>
    <w:p w14:paraId="1866E1A2" w14:textId="77777777" w:rsidR="00AC7F7E" w:rsidRPr="00437A10" w:rsidRDefault="00AC7F7E" w:rsidP="00AC7F7E">
      <w:pPr>
        <w:spacing w:after="160" w:line="259" w:lineRule="auto"/>
        <w:jc w:val="both"/>
        <w:rPr>
          <w:rFonts w:ascii="Arial" w:eastAsia="Calibri" w:hAnsi="Arial" w:cs="Arial"/>
          <w:sz w:val="22"/>
          <w:szCs w:val="22"/>
          <w:lang w:val="es-BO"/>
        </w:rPr>
      </w:pPr>
      <w:r w:rsidRPr="00437A10">
        <w:rPr>
          <w:rFonts w:ascii="Arial" w:eastAsia="Calibri" w:hAnsi="Arial" w:cs="Arial"/>
          <w:sz w:val="22"/>
          <w:szCs w:val="22"/>
          <w:lang w:val="es-BO"/>
        </w:rPr>
        <w:t>Incluya referencias a informes, artículos académicos, documentos de política, texto de legislación y sentencias, información estadística con hipervínculos o adjúntelos a su envío (respete el límite de tamaño total de archivo de 20 MB por correo electrónico para asegurarse de que pueda recibirse)</w:t>
      </w:r>
    </w:p>
    <w:p w14:paraId="03B5E9AC" w14:textId="250119A2" w:rsidR="00A83B64" w:rsidRPr="00437A10" w:rsidRDefault="00A83B64" w:rsidP="00A83B64">
      <w:pPr>
        <w:spacing w:after="160" w:line="259" w:lineRule="auto"/>
        <w:jc w:val="both"/>
        <w:rPr>
          <w:rFonts w:ascii="Arial" w:eastAsia="Calibri" w:hAnsi="Arial" w:cs="Arial"/>
          <w:sz w:val="22"/>
          <w:szCs w:val="22"/>
          <w:lang w:val="es-BO"/>
        </w:rPr>
      </w:pPr>
      <w:r w:rsidRPr="00437A10">
        <w:rPr>
          <w:rFonts w:ascii="Arial" w:eastAsia="Calibri" w:hAnsi="Arial" w:cs="Arial"/>
          <w:b/>
          <w:sz w:val="22"/>
          <w:szCs w:val="22"/>
          <w:lang w:val="es-BO"/>
        </w:rPr>
        <w:t xml:space="preserve">Publicación: </w:t>
      </w:r>
      <w:r w:rsidRPr="00437A10">
        <w:rPr>
          <w:rFonts w:ascii="Arial" w:eastAsia="Calibri" w:hAnsi="Arial" w:cs="Arial"/>
          <w:sz w:val="22"/>
          <w:szCs w:val="22"/>
          <w:lang w:val="es-BO"/>
        </w:rPr>
        <w:t>Se publicarán las comunicaciones de los Estados y las autoridades públicas. Para otras partes interesadas, las presentaciones se publicarán, excepto que se solicite explícitamente la confidencialidad.</w:t>
      </w:r>
    </w:p>
    <w:p w14:paraId="74D22626" w14:textId="77777777" w:rsidR="00A83B64" w:rsidRPr="00437A10" w:rsidRDefault="00A83B64" w:rsidP="00A83B64">
      <w:pPr>
        <w:rPr>
          <w:rFonts w:ascii="Arial" w:eastAsia="Calibri" w:hAnsi="Arial" w:cs="Arial"/>
          <w:sz w:val="22"/>
          <w:szCs w:val="22"/>
          <w:lang w:val="es-BO"/>
        </w:rPr>
      </w:pPr>
      <w:r w:rsidRPr="00437A10">
        <w:rPr>
          <w:rFonts w:ascii="Arial" w:eastAsia="Calibri" w:hAnsi="Arial" w:cs="Arial"/>
          <w:b/>
          <w:sz w:val="22"/>
          <w:szCs w:val="22"/>
          <w:lang w:val="es-BO"/>
        </w:rPr>
        <w:t xml:space="preserve">Presentación prevista </w:t>
      </w:r>
      <w:r w:rsidRPr="00437A10">
        <w:rPr>
          <w:rFonts w:ascii="Arial" w:eastAsia="Calibri" w:hAnsi="Arial" w:cs="Arial"/>
          <w:sz w:val="22"/>
          <w:szCs w:val="22"/>
          <w:lang w:val="es-BO"/>
        </w:rPr>
        <w:t>del informe del Relator Especial a la Asamblea General: octubre de 2023.</w:t>
      </w:r>
    </w:p>
    <w:p w14:paraId="3D0E88A0" w14:textId="77777777" w:rsidR="00A83B64" w:rsidRPr="00437A10" w:rsidRDefault="00A83B64" w:rsidP="00A83B64">
      <w:pPr>
        <w:suppressAutoHyphens/>
        <w:spacing w:before="240" w:line="240" w:lineRule="atLeast"/>
        <w:ind w:left="1134" w:right="1134"/>
        <w:jc w:val="center"/>
        <w:rPr>
          <w:rFonts w:ascii="Arial" w:hAnsi="Arial" w:cs="Arial"/>
          <w:u w:val="single"/>
        </w:rPr>
      </w:pPr>
      <w:r w:rsidRPr="00437A10">
        <w:rPr>
          <w:rFonts w:ascii="Arial" w:eastAsia="Calibri" w:hAnsi="Arial" w:cs="Arial"/>
          <w:sz w:val="22"/>
          <w:szCs w:val="22"/>
          <w:u w:val="single"/>
          <w:lang w:val="es-BO"/>
        </w:rPr>
        <w:tab/>
      </w:r>
      <w:r w:rsidRPr="00437A10">
        <w:rPr>
          <w:rFonts w:ascii="Arial" w:eastAsia="Calibri" w:hAnsi="Arial" w:cs="Arial"/>
          <w:sz w:val="22"/>
          <w:szCs w:val="22"/>
          <w:u w:val="single"/>
          <w:lang w:val="es-BO"/>
        </w:rPr>
        <w:tab/>
      </w:r>
      <w:r w:rsidRPr="00437A10">
        <w:rPr>
          <w:rFonts w:ascii="Arial" w:eastAsia="Calibri" w:hAnsi="Arial" w:cs="Arial"/>
          <w:sz w:val="22"/>
          <w:szCs w:val="22"/>
          <w:u w:val="single"/>
          <w:lang w:val="es-BO"/>
        </w:rPr>
        <w:tab/>
      </w:r>
    </w:p>
    <w:p w14:paraId="719C2FAC" w14:textId="77777777" w:rsidR="0067523D" w:rsidRPr="00437A10" w:rsidRDefault="0067523D">
      <w:pPr>
        <w:rPr>
          <w:rFonts w:ascii="Arial" w:hAnsi="Arial" w:cs="Arial"/>
        </w:rPr>
      </w:pPr>
    </w:p>
    <w:sectPr w:rsidR="0067523D" w:rsidRPr="00437A10" w:rsidSect="00FD7DBC">
      <w:headerReference w:type="default" r:id="rId25"/>
      <w:footerReference w:type="default" r:id="rId26"/>
      <w:headerReference w:type="first" r:id="rId27"/>
      <w:footerReference w:type="first" r:id="rId28"/>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56E8C" w14:textId="77777777" w:rsidR="00CB31CB" w:rsidRDefault="00CB31CB" w:rsidP="00A83B64">
      <w:r>
        <w:separator/>
      </w:r>
    </w:p>
  </w:endnote>
  <w:endnote w:type="continuationSeparator" w:id="0">
    <w:p w14:paraId="00666D5B" w14:textId="77777777" w:rsidR="00CB31CB" w:rsidRDefault="00CB31CB" w:rsidP="00A8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145504"/>
      <w:docPartObj>
        <w:docPartGallery w:val="Page Numbers (Bottom of Page)"/>
        <w:docPartUnique/>
      </w:docPartObj>
    </w:sdtPr>
    <w:sdtEndPr>
      <w:rPr>
        <w:noProof/>
      </w:rPr>
    </w:sdtEndPr>
    <w:sdtContent>
      <w:p w14:paraId="1DAB7A44" w14:textId="60696555" w:rsidR="00E06E80" w:rsidRDefault="00E06E80">
        <w:pPr>
          <w:pStyle w:val="Footer"/>
          <w:jc w:val="center"/>
        </w:pPr>
        <w:r>
          <w:fldChar w:fldCharType="begin"/>
        </w:r>
        <w:r>
          <w:instrText xml:space="preserve"> PAGE   \* MERGEFORMAT </w:instrText>
        </w:r>
        <w:r>
          <w:fldChar w:fldCharType="separate"/>
        </w:r>
        <w:r w:rsidR="0068271B">
          <w:rPr>
            <w:noProof/>
          </w:rPr>
          <w:t>18</w:t>
        </w:r>
        <w:r>
          <w:rPr>
            <w:noProof/>
          </w:rPr>
          <w:fldChar w:fldCharType="end"/>
        </w:r>
      </w:p>
    </w:sdtContent>
  </w:sdt>
  <w:p w14:paraId="567E538D" w14:textId="77777777" w:rsidR="00E06E80" w:rsidRDefault="00E06E80" w:rsidP="00FD7DBC">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455091"/>
      <w:docPartObj>
        <w:docPartGallery w:val="Page Numbers (Bottom of Page)"/>
        <w:docPartUnique/>
      </w:docPartObj>
    </w:sdtPr>
    <w:sdtEndPr>
      <w:rPr>
        <w:noProof/>
      </w:rPr>
    </w:sdtEndPr>
    <w:sdtContent>
      <w:p w14:paraId="7DD858FD" w14:textId="100EDB4C" w:rsidR="00E06E80" w:rsidRDefault="00E06E80">
        <w:pPr>
          <w:pStyle w:val="Footer"/>
          <w:jc w:val="center"/>
        </w:pPr>
        <w:r>
          <w:fldChar w:fldCharType="begin"/>
        </w:r>
        <w:r>
          <w:instrText xml:space="preserve"> PAGE   \* MERGEFORMAT </w:instrText>
        </w:r>
        <w:r>
          <w:fldChar w:fldCharType="separate"/>
        </w:r>
        <w:r w:rsidR="0068271B">
          <w:rPr>
            <w:noProof/>
          </w:rPr>
          <w:t>1</w:t>
        </w:r>
        <w:r>
          <w:rPr>
            <w:noProof/>
          </w:rPr>
          <w:fldChar w:fldCharType="end"/>
        </w:r>
      </w:p>
    </w:sdtContent>
  </w:sdt>
  <w:p w14:paraId="6FDACF27" w14:textId="77777777" w:rsidR="00E06E80" w:rsidRPr="002873B2" w:rsidRDefault="00E06E80" w:rsidP="00FD7DBC">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414AA" w14:textId="77777777" w:rsidR="00CB31CB" w:rsidRDefault="00CB31CB" w:rsidP="00A83B64">
      <w:r>
        <w:separator/>
      </w:r>
    </w:p>
  </w:footnote>
  <w:footnote w:type="continuationSeparator" w:id="0">
    <w:p w14:paraId="21EC2F69" w14:textId="77777777" w:rsidR="00CB31CB" w:rsidRDefault="00CB31CB" w:rsidP="00A83B64">
      <w:r>
        <w:continuationSeparator/>
      </w:r>
    </w:p>
  </w:footnote>
  <w:footnote w:id="1">
    <w:p w14:paraId="04BD6D81" w14:textId="1FA11593" w:rsidR="00E06E80" w:rsidRPr="007F5E6C" w:rsidRDefault="00E06E80">
      <w:pPr>
        <w:pStyle w:val="FootnoteText"/>
        <w:rPr>
          <w:sz w:val="16"/>
          <w:szCs w:val="16"/>
        </w:rPr>
      </w:pPr>
      <w:r w:rsidRPr="007F5E6C">
        <w:rPr>
          <w:rStyle w:val="FootnoteReference"/>
          <w:sz w:val="16"/>
          <w:szCs w:val="16"/>
        </w:rPr>
        <w:footnoteRef/>
      </w:r>
      <w:r w:rsidRPr="007F5E6C">
        <w:rPr>
          <w:sz w:val="16"/>
          <w:szCs w:val="16"/>
        </w:rPr>
        <w:t xml:space="preserve"> </w:t>
      </w:r>
      <w:r>
        <w:rPr>
          <w:rFonts w:ascii="Arial" w:eastAsia="Calibri" w:hAnsi="Arial" w:cs="Arial"/>
          <w:color w:val="000000" w:themeColor="text1"/>
          <w:sz w:val="16"/>
          <w:szCs w:val="16"/>
        </w:rPr>
        <w:t>Estas sentencias constitucionales</w:t>
      </w:r>
      <w:r w:rsidRPr="007F5E6C">
        <w:rPr>
          <w:rFonts w:ascii="Arial" w:eastAsia="Calibri" w:hAnsi="Arial" w:cs="Arial"/>
          <w:color w:val="000000" w:themeColor="text1"/>
          <w:sz w:val="16"/>
          <w:szCs w:val="16"/>
        </w:rPr>
        <w:t xml:space="preserve"> han sido obtenidos de la investigación</w:t>
      </w:r>
      <w:r>
        <w:rPr>
          <w:rFonts w:ascii="Arial" w:eastAsia="Calibri" w:hAnsi="Arial" w:cs="Arial"/>
          <w:color w:val="000000" w:themeColor="text1"/>
          <w:sz w:val="16"/>
          <w:szCs w:val="16"/>
        </w:rPr>
        <w:t>:</w:t>
      </w:r>
      <w:r w:rsidRPr="007F5E6C">
        <w:rPr>
          <w:rFonts w:ascii="Arial" w:eastAsia="Calibri" w:hAnsi="Arial" w:cs="Arial"/>
          <w:color w:val="000000" w:themeColor="text1"/>
          <w:sz w:val="16"/>
          <w:szCs w:val="16"/>
        </w:rPr>
        <w:t xml:space="preserve"> </w:t>
      </w:r>
      <w:r w:rsidRPr="007F5E6C">
        <w:rPr>
          <w:rFonts w:ascii="Arial" w:hAnsi="Arial" w:cs="Arial"/>
          <w:bCs/>
          <w:color w:val="000000" w:themeColor="text1"/>
          <w:sz w:val="16"/>
          <w:szCs w:val="16"/>
        </w:rPr>
        <w:t>El desarrollo jurisprudencial del derecho a la vivienda en Bolivia. Una ruptura jurídica en ciernes,</w:t>
      </w:r>
      <w:r w:rsidRPr="007F5E6C">
        <w:rPr>
          <w:rFonts w:ascii="Arial" w:eastAsia="Calibri" w:hAnsi="Arial" w:cs="Arial"/>
          <w:sz w:val="16"/>
          <w:szCs w:val="16"/>
        </w:rPr>
        <w:t xml:space="preserve"> </w:t>
      </w:r>
      <w:r w:rsidRPr="007F5E6C">
        <w:rPr>
          <w:rFonts w:ascii="Arial" w:eastAsia="Calibri" w:hAnsi="Arial" w:cs="Arial"/>
          <w:color w:val="000000" w:themeColor="text1"/>
          <w:sz w:val="16"/>
          <w:szCs w:val="16"/>
          <w:lang w:val="es-BO"/>
        </w:rPr>
        <w:t>CASADO, F. (2021).</w:t>
      </w:r>
    </w:p>
  </w:footnote>
  <w:footnote w:id="2">
    <w:p w14:paraId="614BA560" w14:textId="115B990E" w:rsidR="00E06E80" w:rsidRPr="009A0327" w:rsidRDefault="00E06E80" w:rsidP="009A0327">
      <w:pPr>
        <w:pStyle w:val="FootnoteText"/>
        <w:jc w:val="both"/>
        <w:rPr>
          <w:lang w:val="es-BO"/>
        </w:rPr>
      </w:pPr>
      <w:r>
        <w:rPr>
          <w:rStyle w:val="FootnoteReference"/>
        </w:rPr>
        <w:footnoteRef/>
      </w:r>
      <w:r>
        <w:t xml:space="preserve"> Para la estimación, s</w:t>
      </w:r>
      <w:r>
        <w:rPr>
          <w:lang w:val="es-BO"/>
        </w:rPr>
        <w:t xml:space="preserve">e toma como referencia la línea de pobreza en bolivianos por persona al mes, utilizada por el Instituto Nacional de Estadística de Bolivia para el año 2011, correspondiendo al área urbana 683.6Bs/persona/mes y al área rural 510.4Bs/persona mes. Fuente: </w:t>
      </w:r>
      <w:r w:rsidRPr="009A0327">
        <w:rPr>
          <w:lang w:val="es-BO"/>
        </w:rPr>
        <w:t>https://www.ine.gob.bo/index.php/estadisticas-economicas/encuestas-de-hogares/</w:t>
      </w:r>
    </w:p>
  </w:footnote>
  <w:footnote w:id="3">
    <w:p w14:paraId="52311685" w14:textId="1667D894" w:rsidR="00AC7F7E" w:rsidRPr="00191B2F" w:rsidRDefault="00AC7F7E" w:rsidP="007D47B3">
      <w:pPr>
        <w:pStyle w:val="Default"/>
        <w:jc w:val="both"/>
        <w:rPr>
          <w:lang w:val="es-BO"/>
        </w:rPr>
      </w:pPr>
      <w:r>
        <w:rPr>
          <w:rStyle w:val="FootnoteReference"/>
        </w:rPr>
        <w:footnoteRef/>
      </w:r>
      <w:r>
        <w:t xml:space="preserve"> </w:t>
      </w:r>
      <w:r w:rsidRPr="00191B2F">
        <w:rPr>
          <w:rFonts w:ascii="Arial" w:hAnsi="Arial" w:cs="Arial"/>
          <w:color w:val="auto"/>
          <w:sz w:val="16"/>
          <w:szCs w:val="16"/>
        </w:rPr>
        <w:t xml:space="preserve">Basada en </w:t>
      </w:r>
      <w:r w:rsidRPr="007F5E6C">
        <w:rPr>
          <w:rFonts w:ascii="Arial" w:eastAsia="Calibri" w:hAnsi="Arial" w:cs="Arial"/>
          <w:color w:val="000000" w:themeColor="text1"/>
          <w:sz w:val="16"/>
          <w:szCs w:val="16"/>
        </w:rPr>
        <w:t>la investigación</w:t>
      </w:r>
      <w:r>
        <w:rPr>
          <w:rFonts w:ascii="Arial" w:eastAsia="Calibri" w:hAnsi="Arial" w:cs="Arial"/>
          <w:color w:val="000000" w:themeColor="text1"/>
          <w:sz w:val="16"/>
          <w:szCs w:val="16"/>
        </w:rPr>
        <w:t>:</w:t>
      </w:r>
      <w:r w:rsidRPr="007F5E6C">
        <w:rPr>
          <w:rFonts w:ascii="Arial" w:eastAsia="Calibri" w:hAnsi="Arial" w:cs="Arial"/>
          <w:color w:val="000000" w:themeColor="text1"/>
          <w:sz w:val="16"/>
          <w:szCs w:val="16"/>
        </w:rPr>
        <w:t xml:space="preserve"> </w:t>
      </w:r>
      <w:r w:rsidRPr="00191B2F">
        <w:rPr>
          <w:rFonts w:ascii="Arial" w:eastAsia="Calibri" w:hAnsi="Arial" w:cs="Arial"/>
          <w:color w:val="auto"/>
          <w:sz w:val="16"/>
          <w:szCs w:val="16"/>
          <w:lang w:val="es-BO"/>
        </w:rPr>
        <w:t>ONU HABITAT BOLIVIA (2020) La Vivienda en Bolivia, diagnóstico para la Política Nacional de Vivienda.</w:t>
      </w:r>
      <w:r>
        <w:rPr>
          <w:rFonts w:ascii="Arial" w:eastAsia="Calibri" w:hAnsi="Arial" w:cs="Arial"/>
          <w:color w:val="auto"/>
          <w:sz w:val="16"/>
          <w:szCs w:val="16"/>
          <w:lang w:val="es-BO"/>
        </w:rPr>
        <w:t xml:space="preserve"> </w:t>
      </w:r>
      <w:r w:rsidRPr="00191B2F">
        <w:rPr>
          <w:rFonts w:ascii="Arial" w:eastAsia="Calibri" w:hAnsi="Arial" w:cs="Arial"/>
          <w:color w:val="auto"/>
          <w:sz w:val="16"/>
          <w:szCs w:val="16"/>
          <w:lang w:val="es-BO"/>
        </w:rPr>
        <w:t>Ministerio de Obras Públicas, Servicios y Vivienda. (Documento adjunto)</w:t>
      </w:r>
    </w:p>
  </w:footnote>
  <w:footnote w:id="4">
    <w:p w14:paraId="0CF4322B" w14:textId="24A611C5" w:rsidR="00D45377" w:rsidRDefault="00F215B9" w:rsidP="00D45377">
      <w:pPr>
        <w:pStyle w:val="FootnoteText"/>
        <w:rPr>
          <w:rFonts w:ascii="Arial" w:hAnsi="Arial" w:cs="Arial"/>
          <w:color w:val="333333"/>
          <w:sz w:val="16"/>
          <w:szCs w:val="16"/>
          <w:shd w:val="clear" w:color="auto" w:fill="FFFFFF"/>
        </w:rPr>
      </w:pPr>
      <w:r>
        <w:rPr>
          <w:rStyle w:val="FootnoteReference"/>
        </w:rPr>
        <w:footnoteRef/>
      </w:r>
      <w:r w:rsidRPr="00F215B9">
        <w:rPr>
          <w:rFonts w:ascii="Arial" w:hAnsi="Arial" w:cs="Arial"/>
          <w:sz w:val="16"/>
          <w:szCs w:val="16"/>
        </w:rPr>
        <w:t xml:space="preserve"> </w:t>
      </w:r>
      <w:r w:rsidR="00AC7F7E">
        <w:rPr>
          <w:rFonts w:ascii="Arial" w:hAnsi="Arial" w:cs="Arial"/>
          <w:sz w:val="16"/>
          <w:szCs w:val="16"/>
        </w:rPr>
        <w:t>Respaldada por</w:t>
      </w:r>
      <w:r w:rsidR="00D45377">
        <w:rPr>
          <w:rFonts w:ascii="Arial" w:hAnsi="Arial" w:cs="Arial"/>
          <w:sz w:val="16"/>
          <w:szCs w:val="16"/>
        </w:rPr>
        <w:t xml:space="preserve"> </w:t>
      </w:r>
      <w:r w:rsidRPr="007F5E6C">
        <w:rPr>
          <w:rFonts w:ascii="Arial" w:eastAsia="Calibri" w:hAnsi="Arial" w:cs="Arial"/>
          <w:color w:val="000000" w:themeColor="text1"/>
          <w:sz w:val="16"/>
          <w:szCs w:val="16"/>
        </w:rPr>
        <w:t>la investigación</w:t>
      </w:r>
      <w:r>
        <w:rPr>
          <w:rFonts w:ascii="Arial" w:eastAsia="Calibri" w:hAnsi="Arial" w:cs="Arial"/>
          <w:color w:val="000000" w:themeColor="text1"/>
          <w:sz w:val="16"/>
          <w:szCs w:val="16"/>
        </w:rPr>
        <w:t>:</w:t>
      </w:r>
      <w:r w:rsidRPr="007F5E6C">
        <w:rPr>
          <w:rFonts w:ascii="Arial" w:eastAsia="Calibri" w:hAnsi="Arial" w:cs="Arial"/>
          <w:color w:val="000000" w:themeColor="text1"/>
          <w:sz w:val="16"/>
          <w:szCs w:val="16"/>
        </w:rPr>
        <w:t xml:space="preserve"> </w:t>
      </w:r>
      <w:r w:rsidR="00191B2F" w:rsidRPr="00D45377">
        <w:rPr>
          <w:rFonts w:ascii="Arial" w:hAnsi="Arial" w:cs="Arial"/>
          <w:color w:val="333333"/>
          <w:sz w:val="16"/>
          <w:szCs w:val="16"/>
          <w:shd w:val="clear" w:color="auto" w:fill="FFFFFF"/>
        </w:rPr>
        <w:t xml:space="preserve">RAMIREZ HUARACHI, RAUL WALTER </w:t>
      </w:r>
      <w:r w:rsidR="00191B2F">
        <w:rPr>
          <w:rFonts w:ascii="Arial" w:hAnsi="Arial" w:cs="Arial"/>
          <w:color w:val="333333"/>
          <w:sz w:val="16"/>
          <w:szCs w:val="16"/>
          <w:shd w:val="clear" w:color="auto" w:fill="FFFFFF"/>
        </w:rPr>
        <w:t>(</w:t>
      </w:r>
      <w:r w:rsidR="00191B2F" w:rsidRPr="00D45377">
        <w:rPr>
          <w:rFonts w:ascii="Arial" w:hAnsi="Arial" w:cs="Arial"/>
          <w:color w:val="333333"/>
          <w:sz w:val="16"/>
          <w:szCs w:val="16"/>
          <w:shd w:val="clear" w:color="auto" w:fill="FFFFFF"/>
        </w:rPr>
        <w:t>2022</w:t>
      </w:r>
      <w:r w:rsidR="00191B2F">
        <w:rPr>
          <w:rFonts w:ascii="Arial" w:hAnsi="Arial" w:cs="Arial"/>
          <w:color w:val="333333"/>
          <w:sz w:val="16"/>
          <w:szCs w:val="16"/>
          <w:shd w:val="clear" w:color="auto" w:fill="FFFFFF"/>
        </w:rPr>
        <w:t xml:space="preserve">) </w:t>
      </w:r>
      <w:r w:rsidR="00D45377">
        <w:rPr>
          <w:rFonts w:ascii="Arial" w:eastAsia="Calibri" w:hAnsi="Arial" w:cs="Arial"/>
          <w:color w:val="000000" w:themeColor="text1"/>
          <w:sz w:val="16"/>
          <w:szCs w:val="16"/>
        </w:rPr>
        <w:t>A</w:t>
      </w:r>
      <w:r w:rsidR="00D45377" w:rsidRPr="00D45377">
        <w:rPr>
          <w:rFonts w:ascii="Arial" w:hAnsi="Arial" w:cs="Arial"/>
          <w:color w:val="333333"/>
          <w:sz w:val="16"/>
          <w:szCs w:val="16"/>
          <w:shd w:val="clear" w:color="auto" w:fill="FFFFFF"/>
        </w:rPr>
        <w:t>nálisis al acceso a créditos de vivienda social para personas que solicitan</w:t>
      </w:r>
      <w:r w:rsidR="00191B2F">
        <w:rPr>
          <w:rFonts w:ascii="Arial" w:hAnsi="Arial" w:cs="Arial"/>
          <w:color w:val="333333"/>
          <w:sz w:val="16"/>
          <w:szCs w:val="16"/>
          <w:shd w:val="clear" w:color="auto" w:fill="FFFFFF"/>
        </w:rPr>
        <w:t>.</w:t>
      </w:r>
      <w:r w:rsidR="00D45377" w:rsidRPr="00D45377">
        <w:rPr>
          <w:rFonts w:ascii="Arial" w:hAnsi="Arial" w:cs="Arial"/>
          <w:color w:val="333333"/>
          <w:sz w:val="16"/>
          <w:szCs w:val="16"/>
          <w:shd w:val="clear" w:color="auto" w:fill="FFFFFF"/>
        </w:rPr>
        <w:t xml:space="preserve"> Escuela Universitaria de Posgrado</w:t>
      </w:r>
      <w:r w:rsidR="00D45377">
        <w:rPr>
          <w:rFonts w:ascii="Arial" w:hAnsi="Arial" w:cs="Arial"/>
          <w:color w:val="333333"/>
          <w:sz w:val="16"/>
          <w:szCs w:val="16"/>
          <w:shd w:val="clear" w:color="auto" w:fill="FFFFFF"/>
        </w:rPr>
        <w:t xml:space="preserve"> Fa</w:t>
      </w:r>
      <w:r w:rsidR="00D45377" w:rsidRPr="00D45377">
        <w:rPr>
          <w:rFonts w:ascii="Arial" w:hAnsi="Arial" w:cs="Arial"/>
          <w:color w:val="333333"/>
          <w:sz w:val="16"/>
          <w:szCs w:val="16"/>
          <w:shd w:val="clear" w:color="auto" w:fill="FFFFFF"/>
        </w:rPr>
        <w:t>cultativo de Ciencias Económicas</w:t>
      </w:r>
      <w:r w:rsidR="00D45377">
        <w:rPr>
          <w:rFonts w:ascii="Arial" w:hAnsi="Arial" w:cs="Arial"/>
          <w:color w:val="333333"/>
          <w:sz w:val="16"/>
          <w:szCs w:val="16"/>
          <w:shd w:val="clear" w:color="auto" w:fill="FFFFFF"/>
        </w:rPr>
        <w:t xml:space="preserve"> U.M.S.S.</w:t>
      </w:r>
    </w:p>
    <w:p w14:paraId="5AC148D5" w14:textId="3BCAA381" w:rsidR="00F215B9" w:rsidRPr="00F215B9" w:rsidRDefault="0068271B" w:rsidP="00F215B9">
      <w:pPr>
        <w:pStyle w:val="FootnoteText"/>
        <w:rPr>
          <w:lang w:val="es-BO"/>
        </w:rPr>
      </w:pPr>
      <w:hyperlink r:id="rId1" w:history="1">
        <w:r w:rsidR="00D45377" w:rsidRPr="00F215B9">
          <w:rPr>
            <w:rStyle w:val="Hyperlink"/>
            <w:rFonts w:ascii="Arial" w:eastAsia="Calibri" w:hAnsi="Arial" w:cs="Arial"/>
            <w:sz w:val="16"/>
            <w:szCs w:val="16"/>
          </w:rPr>
          <w:t>http://hdl.handle.net/123456789/32811</w:t>
        </w:r>
      </w:hyperlink>
    </w:p>
  </w:footnote>
  <w:footnote w:id="5">
    <w:p w14:paraId="7B359109" w14:textId="5B6C3E21" w:rsidR="00090639" w:rsidRDefault="00090639" w:rsidP="00090639">
      <w:pPr>
        <w:pStyle w:val="Heading1"/>
        <w:shd w:val="clear" w:color="auto" w:fill="FFFFFF"/>
        <w:spacing w:before="0"/>
        <w:jc w:val="both"/>
        <w:rPr>
          <w:rFonts w:ascii="Arial" w:hAnsi="Arial" w:cs="Arial"/>
          <w:color w:val="auto"/>
          <w:sz w:val="16"/>
          <w:szCs w:val="16"/>
        </w:rPr>
      </w:pPr>
      <w:r w:rsidRPr="00090639">
        <w:rPr>
          <w:rStyle w:val="FootnoteReference"/>
          <w:rFonts w:ascii="Times New Roman" w:eastAsia="Times New Roman" w:hAnsi="Times New Roman" w:cs="Times New Roman"/>
          <w:color w:val="auto"/>
          <w:sz w:val="20"/>
          <w:szCs w:val="20"/>
        </w:rPr>
        <w:footnoteRef/>
      </w:r>
      <w:r w:rsidRPr="00090639">
        <w:rPr>
          <w:rStyle w:val="FootnoteReference"/>
          <w:rFonts w:ascii="Times New Roman" w:eastAsia="Times New Roman" w:hAnsi="Times New Roman" w:cs="Times New Roman"/>
          <w:color w:val="auto"/>
          <w:sz w:val="20"/>
          <w:szCs w:val="20"/>
        </w:rPr>
        <w:t xml:space="preserve"> </w:t>
      </w:r>
      <w:r w:rsidR="00AC7F7E">
        <w:rPr>
          <w:rFonts w:ascii="Arial" w:hAnsi="Arial" w:cs="Arial"/>
          <w:color w:val="auto"/>
          <w:sz w:val="16"/>
          <w:szCs w:val="16"/>
        </w:rPr>
        <w:t xml:space="preserve">Respaldada por </w:t>
      </w:r>
      <w:r w:rsidR="00191B2F" w:rsidRPr="007F5E6C">
        <w:rPr>
          <w:rFonts w:ascii="Arial" w:eastAsia="Calibri" w:hAnsi="Arial" w:cs="Arial"/>
          <w:color w:val="000000" w:themeColor="text1"/>
          <w:sz w:val="16"/>
          <w:szCs w:val="16"/>
        </w:rPr>
        <w:t>la investigación</w:t>
      </w:r>
      <w:r w:rsidR="00191B2F">
        <w:rPr>
          <w:rFonts w:ascii="Arial" w:eastAsia="Calibri" w:hAnsi="Arial" w:cs="Arial"/>
          <w:color w:val="000000" w:themeColor="text1"/>
          <w:sz w:val="16"/>
          <w:szCs w:val="16"/>
        </w:rPr>
        <w:t>:</w:t>
      </w:r>
      <w:r w:rsidR="00191B2F" w:rsidRPr="007F5E6C">
        <w:rPr>
          <w:rFonts w:ascii="Arial" w:eastAsia="Calibri" w:hAnsi="Arial" w:cs="Arial"/>
          <w:color w:val="000000" w:themeColor="text1"/>
          <w:sz w:val="16"/>
          <w:szCs w:val="16"/>
        </w:rPr>
        <w:t xml:space="preserve"> </w:t>
      </w:r>
      <w:r w:rsidR="00191B2F">
        <w:rPr>
          <w:rFonts w:ascii="Arial" w:eastAsia="Times New Roman" w:hAnsi="Arial" w:cs="Arial"/>
          <w:color w:val="auto"/>
          <w:sz w:val="16"/>
          <w:szCs w:val="16"/>
        </w:rPr>
        <w:t>CABRERA JUAN</w:t>
      </w:r>
      <w:r w:rsidR="00191B2F" w:rsidRPr="00090639">
        <w:rPr>
          <w:rFonts w:ascii="Arial" w:hAnsi="Arial" w:cs="Arial"/>
          <w:color w:val="auto"/>
          <w:sz w:val="16"/>
          <w:szCs w:val="16"/>
        </w:rPr>
        <w:t xml:space="preserve"> </w:t>
      </w:r>
      <w:r w:rsidR="00191B2F" w:rsidRPr="00090639">
        <w:rPr>
          <w:rFonts w:ascii="Arial" w:hAnsi="Arial" w:cs="Arial"/>
          <w:sz w:val="16"/>
          <w:szCs w:val="16"/>
        </w:rPr>
        <w:t>(</w:t>
      </w:r>
      <w:r w:rsidR="00191B2F" w:rsidRPr="00090639">
        <w:rPr>
          <w:rFonts w:ascii="Arial" w:hAnsi="Arial" w:cs="Arial"/>
          <w:color w:val="auto"/>
          <w:sz w:val="16"/>
          <w:szCs w:val="16"/>
        </w:rPr>
        <w:t>2022</w:t>
      </w:r>
      <w:r w:rsidR="00191B2F" w:rsidRPr="00090639">
        <w:rPr>
          <w:rFonts w:ascii="Arial" w:hAnsi="Arial" w:cs="Arial"/>
          <w:sz w:val="16"/>
          <w:szCs w:val="16"/>
        </w:rPr>
        <w:t>)</w:t>
      </w:r>
      <w:r w:rsidR="00191B2F" w:rsidRPr="00090639">
        <w:rPr>
          <w:rFonts w:ascii="Arial" w:hAnsi="Arial" w:cs="Arial"/>
          <w:color w:val="auto"/>
          <w:sz w:val="16"/>
          <w:szCs w:val="16"/>
        </w:rPr>
        <w:t xml:space="preserve"> </w:t>
      </w:r>
      <w:r w:rsidRPr="00090639">
        <w:rPr>
          <w:rFonts w:ascii="Arial" w:eastAsia="Times New Roman" w:hAnsi="Arial" w:cs="Arial"/>
          <w:color w:val="auto"/>
          <w:sz w:val="16"/>
          <w:szCs w:val="16"/>
        </w:rPr>
        <w:t>El suelo en la Política Nacional de Desarrollo Integral de Ciudades: Reflexio</w:t>
      </w:r>
      <w:r w:rsidR="00191B2F">
        <w:rPr>
          <w:rFonts w:ascii="Arial" w:eastAsia="Times New Roman" w:hAnsi="Arial" w:cs="Arial"/>
          <w:color w:val="auto"/>
          <w:sz w:val="16"/>
          <w:szCs w:val="16"/>
        </w:rPr>
        <w:t>nes y recomendaciones alrededor.</w:t>
      </w:r>
      <w:r>
        <w:rPr>
          <w:rFonts w:ascii="Arial" w:eastAsia="Times New Roman" w:hAnsi="Arial" w:cs="Arial"/>
          <w:color w:val="auto"/>
          <w:sz w:val="16"/>
          <w:szCs w:val="16"/>
        </w:rPr>
        <w:t xml:space="preserve"> </w:t>
      </w:r>
      <w:r w:rsidRPr="00090639">
        <w:rPr>
          <w:rFonts w:ascii="Arial" w:hAnsi="Arial" w:cs="Arial"/>
          <w:color w:val="auto"/>
          <w:sz w:val="16"/>
          <w:szCs w:val="16"/>
        </w:rPr>
        <w:t>Aportes de RENASEH</w:t>
      </w:r>
      <w:r>
        <w:rPr>
          <w:rFonts w:ascii="Arial" w:hAnsi="Arial" w:cs="Arial"/>
          <w:color w:val="auto"/>
          <w:sz w:val="16"/>
          <w:szCs w:val="16"/>
        </w:rPr>
        <w:t>: A</w:t>
      </w:r>
      <w:r w:rsidRPr="00090639">
        <w:rPr>
          <w:rFonts w:ascii="Arial" w:hAnsi="Arial" w:cs="Arial"/>
          <w:color w:val="auto"/>
          <w:sz w:val="16"/>
          <w:szCs w:val="16"/>
        </w:rPr>
        <w:t>nálisis de las políticas de gobierno relacionadas con vivienda y ciudad (pp.47-87)</w:t>
      </w:r>
      <w:r>
        <w:rPr>
          <w:rFonts w:ascii="Arial" w:hAnsi="Arial" w:cs="Arial"/>
          <w:color w:val="auto"/>
          <w:sz w:val="16"/>
          <w:szCs w:val="16"/>
        </w:rPr>
        <w:t xml:space="preserve"> </w:t>
      </w:r>
    </w:p>
    <w:p w14:paraId="17204231" w14:textId="416F339D" w:rsidR="00090639" w:rsidRPr="00090639" w:rsidRDefault="0068271B" w:rsidP="00191B2F">
      <w:pPr>
        <w:pStyle w:val="Heading1"/>
        <w:shd w:val="clear" w:color="auto" w:fill="FFFFFF"/>
        <w:spacing w:before="0"/>
        <w:jc w:val="both"/>
        <w:rPr>
          <w:lang w:val="es-BO"/>
        </w:rPr>
      </w:pPr>
      <w:hyperlink r:id="rId2" w:history="1">
        <w:r w:rsidR="00090639" w:rsidRPr="00903E3C">
          <w:rPr>
            <w:rStyle w:val="Hyperlink"/>
            <w:rFonts w:ascii="Arial" w:hAnsi="Arial" w:cs="Arial"/>
            <w:sz w:val="16"/>
            <w:szCs w:val="16"/>
          </w:rPr>
          <w:t>https://renaseh-odhva.org/books/el-suelo-en-la-politica-nacional-de-desarrollo-integral-de-ciudades-reflexiones-y-recomendaciones-alrededor/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C2390" w14:textId="77777777" w:rsidR="00E06E80" w:rsidRPr="00AD4CA9" w:rsidRDefault="00E06E80" w:rsidP="00FD7DBC">
    <w:pPr>
      <w:pStyle w:val="Header"/>
      <w:tabs>
        <w:tab w:val="clear" w:pos="4153"/>
        <w:tab w:val="clear" w:pos="8306"/>
        <w:tab w:val="right" w:pos="9214"/>
      </w:tabs>
      <w:spacing w:before="360" w:after="840"/>
      <w:jc w:val="right"/>
      <w:rPr>
        <w:sz w:val="14"/>
        <w:szCs w:val="14"/>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13222" w14:textId="77777777" w:rsidR="00E06E80" w:rsidRPr="00925A9D" w:rsidRDefault="00E06E80" w:rsidP="00FD7DBC">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5A25BE84" wp14:editId="750AC550">
          <wp:extent cx="2838450" cy="1219200"/>
          <wp:effectExtent l="0" t="0" r="0" b="0"/>
          <wp:docPr id="2" name="Picture 2"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7DBD09FB" w14:textId="77777777" w:rsidR="00E06E80" w:rsidRPr="00B73FD1" w:rsidRDefault="00E06E80" w:rsidP="00FD7DBC">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336E7"/>
    <w:multiLevelType w:val="hybridMultilevel"/>
    <w:tmpl w:val="EDBCDFE4"/>
    <w:lvl w:ilvl="0" w:tplc="400A0019">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 w15:restartNumberingAfterBreak="0">
    <w:nsid w:val="231C1BDF"/>
    <w:multiLevelType w:val="hybridMultilevel"/>
    <w:tmpl w:val="BDA86BD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2C0453D6"/>
    <w:multiLevelType w:val="hybridMultilevel"/>
    <w:tmpl w:val="0D0E2A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2EBA6045"/>
    <w:multiLevelType w:val="multilevel"/>
    <w:tmpl w:val="0E94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253F9"/>
    <w:multiLevelType w:val="hybridMultilevel"/>
    <w:tmpl w:val="8E94420E"/>
    <w:lvl w:ilvl="0" w:tplc="2AD0DA04">
      <w:numFmt w:val="bullet"/>
      <w:lvlText w:val="-"/>
      <w:lvlJc w:val="left"/>
      <w:pPr>
        <w:ind w:left="1080" w:hanging="360"/>
      </w:pPr>
      <w:rPr>
        <w:rFonts w:ascii="Times New Roman" w:eastAsia="Calibr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 w15:restartNumberingAfterBreak="0">
    <w:nsid w:val="403459D3"/>
    <w:multiLevelType w:val="hybridMultilevel"/>
    <w:tmpl w:val="F43EB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305C84"/>
    <w:multiLevelType w:val="hybridMultilevel"/>
    <w:tmpl w:val="E0E8D302"/>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56820ABE"/>
    <w:multiLevelType w:val="hybridMultilevel"/>
    <w:tmpl w:val="66F2C00E"/>
    <w:lvl w:ilvl="0" w:tplc="400A0019">
      <w:start w:val="1"/>
      <w:numFmt w:val="lowerLetter"/>
      <w:lvlText w:val="%1."/>
      <w:lvlJc w:val="left"/>
      <w:pPr>
        <w:ind w:left="1080" w:hanging="360"/>
      </w:pPr>
      <w:rPr>
        <w:rFonts w:hint="default"/>
        <w:sz w:val="22"/>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15:restartNumberingAfterBreak="0">
    <w:nsid w:val="629955E3"/>
    <w:multiLevelType w:val="multilevel"/>
    <w:tmpl w:val="348E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96591C"/>
    <w:multiLevelType w:val="multilevel"/>
    <w:tmpl w:val="9520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32267E"/>
    <w:multiLevelType w:val="multilevel"/>
    <w:tmpl w:val="EFDC7B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5D11EB0"/>
    <w:multiLevelType w:val="hybridMultilevel"/>
    <w:tmpl w:val="F800BF34"/>
    <w:lvl w:ilvl="0" w:tplc="400A0019">
      <w:start w:val="1"/>
      <w:numFmt w:val="lowerLetter"/>
      <w:lvlText w:val="%1."/>
      <w:lvlJc w:val="left"/>
      <w:pPr>
        <w:ind w:left="360" w:hanging="360"/>
      </w:pPr>
      <w:rPr>
        <w:rFonts w:hint="default"/>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5"/>
  </w:num>
  <w:num w:numId="2">
    <w:abstractNumId w:val="10"/>
  </w:num>
  <w:num w:numId="3">
    <w:abstractNumId w:val="7"/>
  </w:num>
  <w:num w:numId="4">
    <w:abstractNumId w:val="0"/>
  </w:num>
  <w:num w:numId="5">
    <w:abstractNumId w:val="3"/>
  </w:num>
  <w:num w:numId="6">
    <w:abstractNumId w:val="6"/>
  </w:num>
  <w:num w:numId="7">
    <w:abstractNumId w:val="11"/>
  </w:num>
  <w:num w:numId="8">
    <w:abstractNumId w:val="4"/>
  </w:num>
  <w:num w:numId="9">
    <w:abstractNumId w:val="2"/>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64"/>
    <w:rsid w:val="00042801"/>
    <w:rsid w:val="00060A1F"/>
    <w:rsid w:val="00067B97"/>
    <w:rsid w:val="00067E7E"/>
    <w:rsid w:val="0007347F"/>
    <w:rsid w:val="00076346"/>
    <w:rsid w:val="00090639"/>
    <w:rsid w:val="000B5E16"/>
    <w:rsid w:val="000E18AB"/>
    <w:rsid w:val="00140277"/>
    <w:rsid w:val="001834CA"/>
    <w:rsid w:val="00191B2F"/>
    <w:rsid w:val="001E007A"/>
    <w:rsid w:val="00277CA7"/>
    <w:rsid w:val="002931B9"/>
    <w:rsid w:val="002A6640"/>
    <w:rsid w:val="002A6E53"/>
    <w:rsid w:val="002B2019"/>
    <w:rsid w:val="002D6A6C"/>
    <w:rsid w:val="0032038E"/>
    <w:rsid w:val="00374248"/>
    <w:rsid w:val="003868E5"/>
    <w:rsid w:val="003B10B8"/>
    <w:rsid w:val="003B602A"/>
    <w:rsid w:val="003C3FDC"/>
    <w:rsid w:val="0041623A"/>
    <w:rsid w:val="00437A10"/>
    <w:rsid w:val="00442D6C"/>
    <w:rsid w:val="004A0079"/>
    <w:rsid w:val="004A0FA2"/>
    <w:rsid w:val="004C6A9F"/>
    <w:rsid w:val="00506C1C"/>
    <w:rsid w:val="0052412F"/>
    <w:rsid w:val="005306D6"/>
    <w:rsid w:val="00561FB1"/>
    <w:rsid w:val="005716C7"/>
    <w:rsid w:val="0059094C"/>
    <w:rsid w:val="005B31FF"/>
    <w:rsid w:val="005D3398"/>
    <w:rsid w:val="00602943"/>
    <w:rsid w:val="00621F91"/>
    <w:rsid w:val="006361B3"/>
    <w:rsid w:val="00657014"/>
    <w:rsid w:val="006716A8"/>
    <w:rsid w:val="0067523D"/>
    <w:rsid w:val="0068271B"/>
    <w:rsid w:val="006B0066"/>
    <w:rsid w:val="006B2163"/>
    <w:rsid w:val="006D322D"/>
    <w:rsid w:val="006F180D"/>
    <w:rsid w:val="006F2C8B"/>
    <w:rsid w:val="00714A27"/>
    <w:rsid w:val="007622BC"/>
    <w:rsid w:val="00783722"/>
    <w:rsid w:val="007B00DB"/>
    <w:rsid w:val="007C72CA"/>
    <w:rsid w:val="007D47B3"/>
    <w:rsid w:val="007F5E6C"/>
    <w:rsid w:val="008165C8"/>
    <w:rsid w:val="00820AE4"/>
    <w:rsid w:val="008266F3"/>
    <w:rsid w:val="00850BBB"/>
    <w:rsid w:val="0085201B"/>
    <w:rsid w:val="008633E5"/>
    <w:rsid w:val="00863BC3"/>
    <w:rsid w:val="00895820"/>
    <w:rsid w:val="008A1C8F"/>
    <w:rsid w:val="008B5316"/>
    <w:rsid w:val="008C6B23"/>
    <w:rsid w:val="008D3D5E"/>
    <w:rsid w:val="008D55DD"/>
    <w:rsid w:val="008E7299"/>
    <w:rsid w:val="00902DF8"/>
    <w:rsid w:val="00906140"/>
    <w:rsid w:val="009116BA"/>
    <w:rsid w:val="00916DE5"/>
    <w:rsid w:val="0092093A"/>
    <w:rsid w:val="00932E82"/>
    <w:rsid w:val="009643B7"/>
    <w:rsid w:val="009726F9"/>
    <w:rsid w:val="009A028B"/>
    <w:rsid w:val="009A0327"/>
    <w:rsid w:val="009D47D8"/>
    <w:rsid w:val="00A025BD"/>
    <w:rsid w:val="00A07C69"/>
    <w:rsid w:val="00A211E9"/>
    <w:rsid w:val="00A71E3F"/>
    <w:rsid w:val="00A74442"/>
    <w:rsid w:val="00A80FD7"/>
    <w:rsid w:val="00A83B64"/>
    <w:rsid w:val="00AA5EA1"/>
    <w:rsid w:val="00AA6BAF"/>
    <w:rsid w:val="00AB5691"/>
    <w:rsid w:val="00AC7F7E"/>
    <w:rsid w:val="00B32227"/>
    <w:rsid w:val="00B4344E"/>
    <w:rsid w:val="00B551AC"/>
    <w:rsid w:val="00B55A9E"/>
    <w:rsid w:val="00B56303"/>
    <w:rsid w:val="00B659AA"/>
    <w:rsid w:val="00B76D13"/>
    <w:rsid w:val="00BC3607"/>
    <w:rsid w:val="00BD1083"/>
    <w:rsid w:val="00BE7F42"/>
    <w:rsid w:val="00BF2D6F"/>
    <w:rsid w:val="00BF3C66"/>
    <w:rsid w:val="00C24384"/>
    <w:rsid w:val="00C24461"/>
    <w:rsid w:val="00C9284D"/>
    <w:rsid w:val="00C96550"/>
    <w:rsid w:val="00CB31CB"/>
    <w:rsid w:val="00CE1B7B"/>
    <w:rsid w:val="00D0163F"/>
    <w:rsid w:val="00D02E9A"/>
    <w:rsid w:val="00D07223"/>
    <w:rsid w:val="00D45377"/>
    <w:rsid w:val="00D733DC"/>
    <w:rsid w:val="00D81956"/>
    <w:rsid w:val="00D922EB"/>
    <w:rsid w:val="00DA0BC4"/>
    <w:rsid w:val="00DD7729"/>
    <w:rsid w:val="00E06E80"/>
    <w:rsid w:val="00E404C0"/>
    <w:rsid w:val="00E43C60"/>
    <w:rsid w:val="00E5070A"/>
    <w:rsid w:val="00E72235"/>
    <w:rsid w:val="00E83B60"/>
    <w:rsid w:val="00EB6039"/>
    <w:rsid w:val="00ED37EB"/>
    <w:rsid w:val="00F033D4"/>
    <w:rsid w:val="00F215B9"/>
    <w:rsid w:val="00F35D07"/>
    <w:rsid w:val="00F80DC0"/>
    <w:rsid w:val="00F90ABD"/>
    <w:rsid w:val="00F9592D"/>
    <w:rsid w:val="00FD2036"/>
    <w:rsid w:val="00FD7DBC"/>
    <w:rsid w:val="00FF40FE"/>
    <w:rsid w:val="00FF6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232E"/>
  <w15:chartTrackingRefBased/>
  <w15:docId w15:val="{7D3ECC23-D814-470F-AE1A-987C80DA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B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726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D37EB"/>
    <w:pPr>
      <w:spacing w:before="100" w:beforeAutospacing="1" w:after="100" w:afterAutospacing="1"/>
      <w:outlineLvl w:val="2"/>
    </w:pPr>
    <w:rPr>
      <w:b/>
      <w:bCs/>
      <w:sz w:val="27"/>
      <w:szCs w:val="27"/>
      <w:lang w:val="es-BO" w:eastAsia="es-B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3B64"/>
    <w:pPr>
      <w:tabs>
        <w:tab w:val="center" w:pos="4153"/>
        <w:tab w:val="right" w:pos="8306"/>
      </w:tabs>
    </w:pPr>
    <w:rPr>
      <w:snapToGrid w:val="0"/>
    </w:rPr>
  </w:style>
  <w:style w:type="character" w:customStyle="1" w:styleId="HeaderChar">
    <w:name w:val="Header Char"/>
    <w:basedOn w:val="DefaultParagraphFont"/>
    <w:link w:val="Header"/>
    <w:uiPriority w:val="99"/>
    <w:rsid w:val="00A83B64"/>
    <w:rPr>
      <w:rFonts w:ascii="Times New Roman" w:eastAsia="Times New Roman" w:hAnsi="Times New Roman" w:cs="Times New Roman"/>
      <w:snapToGrid w:val="0"/>
      <w:sz w:val="20"/>
      <w:szCs w:val="20"/>
      <w:lang w:val="es"/>
    </w:rPr>
  </w:style>
  <w:style w:type="paragraph" w:styleId="Footer">
    <w:name w:val="footer"/>
    <w:basedOn w:val="Normal"/>
    <w:link w:val="FooterChar"/>
    <w:uiPriority w:val="99"/>
    <w:rsid w:val="00A83B64"/>
    <w:pPr>
      <w:tabs>
        <w:tab w:val="center" w:pos="4153"/>
        <w:tab w:val="right" w:pos="8306"/>
      </w:tabs>
    </w:pPr>
  </w:style>
  <w:style w:type="character" w:customStyle="1" w:styleId="FooterChar">
    <w:name w:val="Footer Char"/>
    <w:basedOn w:val="DefaultParagraphFont"/>
    <w:link w:val="Footer"/>
    <w:uiPriority w:val="99"/>
    <w:rsid w:val="00A83B64"/>
    <w:rPr>
      <w:rFonts w:ascii="Times New Roman" w:eastAsia="Times New Roman" w:hAnsi="Times New Roman" w:cs="Times New Roman"/>
      <w:sz w:val="20"/>
      <w:szCs w:val="20"/>
    </w:rPr>
  </w:style>
  <w:style w:type="paragraph" w:styleId="ListParagraph">
    <w:name w:val="List Paragraph"/>
    <w:basedOn w:val="Normal"/>
    <w:uiPriority w:val="34"/>
    <w:qFormat/>
    <w:rsid w:val="00A83B64"/>
    <w:pPr>
      <w:ind w:left="720"/>
      <w:contextualSpacing/>
    </w:pPr>
  </w:style>
  <w:style w:type="table" w:styleId="TableGrid">
    <w:name w:val="Table Grid"/>
    <w:basedOn w:val="TableNormal"/>
    <w:uiPriority w:val="39"/>
    <w:rsid w:val="00636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A0327"/>
  </w:style>
  <w:style w:type="character" w:customStyle="1" w:styleId="FootnoteTextChar">
    <w:name w:val="Footnote Text Char"/>
    <w:basedOn w:val="DefaultParagraphFont"/>
    <w:link w:val="FootnoteText"/>
    <w:uiPriority w:val="99"/>
    <w:rsid w:val="009A032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A0327"/>
    <w:rPr>
      <w:vertAlign w:val="superscript"/>
    </w:rPr>
  </w:style>
  <w:style w:type="character" w:styleId="Hyperlink">
    <w:name w:val="Hyperlink"/>
    <w:basedOn w:val="DefaultParagraphFont"/>
    <w:uiPriority w:val="99"/>
    <w:unhideWhenUsed/>
    <w:rsid w:val="00BF2D6F"/>
    <w:rPr>
      <w:color w:val="0563C1" w:themeColor="hyperlink"/>
      <w:u w:val="single"/>
    </w:rPr>
  </w:style>
  <w:style w:type="paragraph" w:styleId="NormalWeb">
    <w:name w:val="Normal (Web)"/>
    <w:basedOn w:val="Normal"/>
    <w:uiPriority w:val="99"/>
    <w:semiHidden/>
    <w:unhideWhenUsed/>
    <w:rsid w:val="006B2163"/>
    <w:pPr>
      <w:spacing w:before="100" w:beforeAutospacing="1" w:after="100" w:afterAutospacing="1"/>
    </w:pPr>
    <w:rPr>
      <w:sz w:val="24"/>
      <w:szCs w:val="24"/>
      <w:lang w:val="es-BO" w:eastAsia="es-BO"/>
    </w:rPr>
  </w:style>
  <w:style w:type="character" w:styleId="Emphasis">
    <w:name w:val="Emphasis"/>
    <w:basedOn w:val="DefaultParagraphFont"/>
    <w:uiPriority w:val="20"/>
    <w:qFormat/>
    <w:rsid w:val="002D6A6C"/>
    <w:rPr>
      <w:i/>
      <w:iCs/>
    </w:rPr>
  </w:style>
  <w:style w:type="paragraph" w:customStyle="1" w:styleId="author">
    <w:name w:val="author"/>
    <w:basedOn w:val="Normal"/>
    <w:rsid w:val="00ED37EB"/>
    <w:pPr>
      <w:spacing w:before="100" w:beforeAutospacing="1" w:after="100" w:afterAutospacing="1"/>
    </w:pPr>
    <w:rPr>
      <w:sz w:val="24"/>
      <w:szCs w:val="24"/>
      <w:lang w:val="es-BO" w:eastAsia="es-BO"/>
    </w:rPr>
  </w:style>
  <w:style w:type="character" w:customStyle="1" w:styleId="author-name">
    <w:name w:val="author-name"/>
    <w:basedOn w:val="DefaultParagraphFont"/>
    <w:rsid w:val="00ED37EB"/>
  </w:style>
  <w:style w:type="paragraph" w:customStyle="1" w:styleId="aff">
    <w:name w:val="aff"/>
    <w:basedOn w:val="Normal"/>
    <w:rsid w:val="00ED37EB"/>
    <w:pPr>
      <w:spacing w:before="100" w:beforeAutospacing="1" w:after="100" w:afterAutospacing="1"/>
    </w:pPr>
    <w:rPr>
      <w:sz w:val="24"/>
      <w:szCs w:val="24"/>
      <w:lang w:val="es-BO" w:eastAsia="es-BO"/>
    </w:rPr>
  </w:style>
  <w:style w:type="character" w:customStyle="1" w:styleId="Heading3Char">
    <w:name w:val="Heading 3 Char"/>
    <w:basedOn w:val="DefaultParagraphFont"/>
    <w:link w:val="Heading3"/>
    <w:uiPriority w:val="9"/>
    <w:rsid w:val="00ED37EB"/>
    <w:rPr>
      <w:rFonts w:ascii="Times New Roman" w:eastAsia="Times New Roman" w:hAnsi="Times New Roman" w:cs="Times New Roman"/>
      <w:b/>
      <w:bCs/>
      <w:sz w:val="27"/>
      <w:szCs w:val="27"/>
      <w:lang w:val="es-BO" w:eastAsia="es-BO"/>
    </w:rPr>
  </w:style>
  <w:style w:type="paragraph" w:customStyle="1" w:styleId="Default">
    <w:name w:val="Default"/>
    <w:rsid w:val="0059094C"/>
    <w:pPr>
      <w:autoSpaceDE w:val="0"/>
      <w:autoSpaceDN w:val="0"/>
      <w:adjustRightInd w:val="0"/>
      <w:spacing w:after="0" w:line="240" w:lineRule="auto"/>
    </w:pPr>
    <w:rPr>
      <w:rFonts w:ascii="Cambria" w:hAnsi="Cambria" w:cs="Cambria"/>
      <w:color w:val="000000"/>
      <w:sz w:val="24"/>
      <w:szCs w:val="24"/>
      <w:lang w:val="es-ES"/>
    </w:rPr>
  </w:style>
  <w:style w:type="character" w:customStyle="1" w:styleId="Heading1Char">
    <w:name w:val="Heading 1 Char"/>
    <w:basedOn w:val="DefaultParagraphFont"/>
    <w:link w:val="Heading1"/>
    <w:uiPriority w:val="9"/>
    <w:rsid w:val="009726F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52110">
      <w:bodyDiv w:val="1"/>
      <w:marLeft w:val="0"/>
      <w:marRight w:val="0"/>
      <w:marTop w:val="0"/>
      <w:marBottom w:val="0"/>
      <w:divBdr>
        <w:top w:val="none" w:sz="0" w:space="0" w:color="auto"/>
        <w:left w:val="none" w:sz="0" w:space="0" w:color="auto"/>
        <w:bottom w:val="none" w:sz="0" w:space="0" w:color="auto"/>
        <w:right w:val="none" w:sz="0" w:space="0" w:color="auto"/>
      </w:divBdr>
      <w:divsChild>
        <w:div w:id="477065881">
          <w:marLeft w:val="0"/>
          <w:marRight w:val="0"/>
          <w:marTop w:val="0"/>
          <w:marBottom w:val="375"/>
          <w:divBdr>
            <w:top w:val="none" w:sz="0" w:space="0" w:color="auto"/>
            <w:left w:val="none" w:sz="0" w:space="0" w:color="auto"/>
            <w:bottom w:val="none" w:sz="0" w:space="0" w:color="auto"/>
            <w:right w:val="none" w:sz="0" w:space="0" w:color="auto"/>
          </w:divBdr>
        </w:div>
      </w:divsChild>
    </w:div>
    <w:div w:id="135606824">
      <w:bodyDiv w:val="1"/>
      <w:marLeft w:val="0"/>
      <w:marRight w:val="0"/>
      <w:marTop w:val="0"/>
      <w:marBottom w:val="0"/>
      <w:divBdr>
        <w:top w:val="none" w:sz="0" w:space="0" w:color="auto"/>
        <w:left w:val="none" w:sz="0" w:space="0" w:color="auto"/>
        <w:bottom w:val="none" w:sz="0" w:space="0" w:color="auto"/>
        <w:right w:val="none" w:sz="0" w:space="0" w:color="auto"/>
      </w:divBdr>
    </w:div>
    <w:div w:id="138810757">
      <w:bodyDiv w:val="1"/>
      <w:marLeft w:val="0"/>
      <w:marRight w:val="0"/>
      <w:marTop w:val="0"/>
      <w:marBottom w:val="0"/>
      <w:divBdr>
        <w:top w:val="none" w:sz="0" w:space="0" w:color="auto"/>
        <w:left w:val="none" w:sz="0" w:space="0" w:color="auto"/>
        <w:bottom w:val="none" w:sz="0" w:space="0" w:color="auto"/>
        <w:right w:val="none" w:sz="0" w:space="0" w:color="auto"/>
      </w:divBdr>
    </w:div>
    <w:div w:id="140196449">
      <w:bodyDiv w:val="1"/>
      <w:marLeft w:val="0"/>
      <w:marRight w:val="0"/>
      <w:marTop w:val="0"/>
      <w:marBottom w:val="0"/>
      <w:divBdr>
        <w:top w:val="none" w:sz="0" w:space="0" w:color="auto"/>
        <w:left w:val="none" w:sz="0" w:space="0" w:color="auto"/>
        <w:bottom w:val="none" w:sz="0" w:space="0" w:color="auto"/>
        <w:right w:val="none" w:sz="0" w:space="0" w:color="auto"/>
      </w:divBdr>
    </w:div>
    <w:div w:id="151915105">
      <w:bodyDiv w:val="1"/>
      <w:marLeft w:val="0"/>
      <w:marRight w:val="0"/>
      <w:marTop w:val="0"/>
      <w:marBottom w:val="0"/>
      <w:divBdr>
        <w:top w:val="none" w:sz="0" w:space="0" w:color="auto"/>
        <w:left w:val="none" w:sz="0" w:space="0" w:color="auto"/>
        <w:bottom w:val="none" w:sz="0" w:space="0" w:color="auto"/>
        <w:right w:val="none" w:sz="0" w:space="0" w:color="auto"/>
      </w:divBdr>
    </w:div>
    <w:div w:id="345404463">
      <w:bodyDiv w:val="1"/>
      <w:marLeft w:val="0"/>
      <w:marRight w:val="0"/>
      <w:marTop w:val="0"/>
      <w:marBottom w:val="0"/>
      <w:divBdr>
        <w:top w:val="none" w:sz="0" w:space="0" w:color="auto"/>
        <w:left w:val="none" w:sz="0" w:space="0" w:color="auto"/>
        <w:bottom w:val="none" w:sz="0" w:space="0" w:color="auto"/>
        <w:right w:val="none" w:sz="0" w:space="0" w:color="auto"/>
      </w:divBdr>
    </w:div>
    <w:div w:id="408232713">
      <w:bodyDiv w:val="1"/>
      <w:marLeft w:val="0"/>
      <w:marRight w:val="0"/>
      <w:marTop w:val="0"/>
      <w:marBottom w:val="0"/>
      <w:divBdr>
        <w:top w:val="none" w:sz="0" w:space="0" w:color="auto"/>
        <w:left w:val="none" w:sz="0" w:space="0" w:color="auto"/>
        <w:bottom w:val="none" w:sz="0" w:space="0" w:color="auto"/>
        <w:right w:val="none" w:sz="0" w:space="0" w:color="auto"/>
      </w:divBdr>
    </w:div>
    <w:div w:id="484324872">
      <w:bodyDiv w:val="1"/>
      <w:marLeft w:val="0"/>
      <w:marRight w:val="0"/>
      <w:marTop w:val="0"/>
      <w:marBottom w:val="0"/>
      <w:divBdr>
        <w:top w:val="none" w:sz="0" w:space="0" w:color="auto"/>
        <w:left w:val="none" w:sz="0" w:space="0" w:color="auto"/>
        <w:bottom w:val="none" w:sz="0" w:space="0" w:color="auto"/>
        <w:right w:val="none" w:sz="0" w:space="0" w:color="auto"/>
      </w:divBdr>
    </w:div>
    <w:div w:id="505750072">
      <w:bodyDiv w:val="1"/>
      <w:marLeft w:val="0"/>
      <w:marRight w:val="0"/>
      <w:marTop w:val="0"/>
      <w:marBottom w:val="0"/>
      <w:divBdr>
        <w:top w:val="none" w:sz="0" w:space="0" w:color="auto"/>
        <w:left w:val="none" w:sz="0" w:space="0" w:color="auto"/>
        <w:bottom w:val="none" w:sz="0" w:space="0" w:color="auto"/>
        <w:right w:val="none" w:sz="0" w:space="0" w:color="auto"/>
      </w:divBdr>
    </w:div>
    <w:div w:id="612904830">
      <w:bodyDiv w:val="1"/>
      <w:marLeft w:val="0"/>
      <w:marRight w:val="0"/>
      <w:marTop w:val="0"/>
      <w:marBottom w:val="0"/>
      <w:divBdr>
        <w:top w:val="none" w:sz="0" w:space="0" w:color="auto"/>
        <w:left w:val="none" w:sz="0" w:space="0" w:color="auto"/>
        <w:bottom w:val="none" w:sz="0" w:space="0" w:color="auto"/>
        <w:right w:val="none" w:sz="0" w:space="0" w:color="auto"/>
      </w:divBdr>
    </w:div>
    <w:div w:id="613369684">
      <w:bodyDiv w:val="1"/>
      <w:marLeft w:val="0"/>
      <w:marRight w:val="0"/>
      <w:marTop w:val="0"/>
      <w:marBottom w:val="0"/>
      <w:divBdr>
        <w:top w:val="none" w:sz="0" w:space="0" w:color="auto"/>
        <w:left w:val="none" w:sz="0" w:space="0" w:color="auto"/>
        <w:bottom w:val="none" w:sz="0" w:space="0" w:color="auto"/>
        <w:right w:val="none" w:sz="0" w:space="0" w:color="auto"/>
      </w:divBdr>
      <w:divsChild>
        <w:div w:id="1527866938">
          <w:marLeft w:val="0"/>
          <w:marRight w:val="0"/>
          <w:marTop w:val="0"/>
          <w:marBottom w:val="75"/>
          <w:divBdr>
            <w:top w:val="none" w:sz="0" w:space="0" w:color="auto"/>
            <w:left w:val="none" w:sz="0" w:space="0" w:color="auto"/>
            <w:bottom w:val="none" w:sz="0" w:space="0" w:color="auto"/>
            <w:right w:val="none" w:sz="0" w:space="0" w:color="auto"/>
          </w:divBdr>
        </w:div>
        <w:div w:id="193420382">
          <w:marLeft w:val="0"/>
          <w:marRight w:val="0"/>
          <w:marTop w:val="0"/>
          <w:marBottom w:val="75"/>
          <w:divBdr>
            <w:top w:val="none" w:sz="0" w:space="0" w:color="auto"/>
            <w:left w:val="none" w:sz="0" w:space="0" w:color="auto"/>
            <w:bottom w:val="none" w:sz="0" w:space="0" w:color="auto"/>
            <w:right w:val="none" w:sz="0" w:space="0" w:color="auto"/>
          </w:divBdr>
        </w:div>
      </w:divsChild>
    </w:div>
    <w:div w:id="715394275">
      <w:bodyDiv w:val="1"/>
      <w:marLeft w:val="0"/>
      <w:marRight w:val="0"/>
      <w:marTop w:val="0"/>
      <w:marBottom w:val="0"/>
      <w:divBdr>
        <w:top w:val="none" w:sz="0" w:space="0" w:color="auto"/>
        <w:left w:val="none" w:sz="0" w:space="0" w:color="auto"/>
        <w:bottom w:val="none" w:sz="0" w:space="0" w:color="auto"/>
        <w:right w:val="none" w:sz="0" w:space="0" w:color="auto"/>
      </w:divBdr>
    </w:div>
    <w:div w:id="764111467">
      <w:bodyDiv w:val="1"/>
      <w:marLeft w:val="0"/>
      <w:marRight w:val="0"/>
      <w:marTop w:val="0"/>
      <w:marBottom w:val="0"/>
      <w:divBdr>
        <w:top w:val="none" w:sz="0" w:space="0" w:color="auto"/>
        <w:left w:val="none" w:sz="0" w:space="0" w:color="auto"/>
        <w:bottom w:val="none" w:sz="0" w:space="0" w:color="auto"/>
        <w:right w:val="none" w:sz="0" w:space="0" w:color="auto"/>
      </w:divBdr>
    </w:div>
    <w:div w:id="793207883">
      <w:bodyDiv w:val="1"/>
      <w:marLeft w:val="0"/>
      <w:marRight w:val="0"/>
      <w:marTop w:val="0"/>
      <w:marBottom w:val="0"/>
      <w:divBdr>
        <w:top w:val="none" w:sz="0" w:space="0" w:color="auto"/>
        <w:left w:val="none" w:sz="0" w:space="0" w:color="auto"/>
        <w:bottom w:val="none" w:sz="0" w:space="0" w:color="auto"/>
        <w:right w:val="none" w:sz="0" w:space="0" w:color="auto"/>
      </w:divBdr>
    </w:div>
    <w:div w:id="805242661">
      <w:bodyDiv w:val="1"/>
      <w:marLeft w:val="0"/>
      <w:marRight w:val="0"/>
      <w:marTop w:val="0"/>
      <w:marBottom w:val="0"/>
      <w:divBdr>
        <w:top w:val="none" w:sz="0" w:space="0" w:color="auto"/>
        <w:left w:val="none" w:sz="0" w:space="0" w:color="auto"/>
        <w:bottom w:val="none" w:sz="0" w:space="0" w:color="auto"/>
        <w:right w:val="none" w:sz="0" w:space="0" w:color="auto"/>
      </w:divBdr>
    </w:div>
    <w:div w:id="865021935">
      <w:bodyDiv w:val="1"/>
      <w:marLeft w:val="0"/>
      <w:marRight w:val="0"/>
      <w:marTop w:val="0"/>
      <w:marBottom w:val="0"/>
      <w:divBdr>
        <w:top w:val="none" w:sz="0" w:space="0" w:color="auto"/>
        <w:left w:val="none" w:sz="0" w:space="0" w:color="auto"/>
        <w:bottom w:val="none" w:sz="0" w:space="0" w:color="auto"/>
        <w:right w:val="none" w:sz="0" w:space="0" w:color="auto"/>
      </w:divBdr>
    </w:div>
    <w:div w:id="926160768">
      <w:bodyDiv w:val="1"/>
      <w:marLeft w:val="0"/>
      <w:marRight w:val="0"/>
      <w:marTop w:val="0"/>
      <w:marBottom w:val="0"/>
      <w:divBdr>
        <w:top w:val="none" w:sz="0" w:space="0" w:color="auto"/>
        <w:left w:val="none" w:sz="0" w:space="0" w:color="auto"/>
        <w:bottom w:val="none" w:sz="0" w:space="0" w:color="auto"/>
        <w:right w:val="none" w:sz="0" w:space="0" w:color="auto"/>
      </w:divBdr>
    </w:div>
    <w:div w:id="939530882">
      <w:bodyDiv w:val="1"/>
      <w:marLeft w:val="0"/>
      <w:marRight w:val="0"/>
      <w:marTop w:val="0"/>
      <w:marBottom w:val="0"/>
      <w:divBdr>
        <w:top w:val="none" w:sz="0" w:space="0" w:color="auto"/>
        <w:left w:val="none" w:sz="0" w:space="0" w:color="auto"/>
        <w:bottom w:val="none" w:sz="0" w:space="0" w:color="auto"/>
        <w:right w:val="none" w:sz="0" w:space="0" w:color="auto"/>
      </w:divBdr>
      <w:divsChild>
        <w:div w:id="1217274330">
          <w:marLeft w:val="0"/>
          <w:marRight w:val="0"/>
          <w:marTop w:val="0"/>
          <w:marBottom w:val="0"/>
          <w:divBdr>
            <w:top w:val="none" w:sz="0" w:space="0" w:color="auto"/>
            <w:left w:val="none" w:sz="0" w:space="0" w:color="auto"/>
            <w:bottom w:val="none" w:sz="0" w:space="0" w:color="auto"/>
            <w:right w:val="none" w:sz="0" w:space="0" w:color="auto"/>
          </w:divBdr>
        </w:div>
      </w:divsChild>
    </w:div>
    <w:div w:id="1039084958">
      <w:bodyDiv w:val="1"/>
      <w:marLeft w:val="0"/>
      <w:marRight w:val="0"/>
      <w:marTop w:val="0"/>
      <w:marBottom w:val="0"/>
      <w:divBdr>
        <w:top w:val="none" w:sz="0" w:space="0" w:color="auto"/>
        <w:left w:val="none" w:sz="0" w:space="0" w:color="auto"/>
        <w:bottom w:val="none" w:sz="0" w:space="0" w:color="auto"/>
        <w:right w:val="none" w:sz="0" w:space="0" w:color="auto"/>
      </w:divBdr>
    </w:div>
    <w:div w:id="1136338783">
      <w:bodyDiv w:val="1"/>
      <w:marLeft w:val="0"/>
      <w:marRight w:val="0"/>
      <w:marTop w:val="0"/>
      <w:marBottom w:val="0"/>
      <w:divBdr>
        <w:top w:val="none" w:sz="0" w:space="0" w:color="auto"/>
        <w:left w:val="none" w:sz="0" w:space="0" w:color="auto"/>
        <w:bottom w:val="none" w:sz="0" w:space="0" w:color="auto"/>
        <w:right w:val="none" w:sz="0" w:space="0" w:color="auto"/>
      </w:divBdr>
    </w:div>
    <w:div w:id="1191525233">
      <w:bodyDiv w:val="1"/>
      <w:marLeft w:val="0"/>
      <w:marRight w:val="0"/>
      <w:marTop w:val="0"/>
      <w:marBottom w:val="0"/>
      <w:divBdr>
        <w:top w:val="none" w:sz="0" w:space="0" w:color="auto"/>
        <w:left w:val="none" w:sz="0" w:space="0" w:color="auto"/>
        <w:bottom w:val="none" w:sz="0" w:space="0" w:color="auto"/>
        <w:right w:val="none" w:sz="0" w:space="0" w:color="auto"/>
      </w:divBdr>
    </w:div>
    <w:div w:id="1240946518">
      <w:bodyDiv w:val="1"/>
      <w:marLeft w:val="0"/>
      <w:marRight w:val="0"/>
      <w:marTop w:val="0"/>
      <w:marBottom w:val="0"/>
      <w:divBdr>
        <w:top w:val="none" w:sz="0" w:space="0" w:color="auto"/>
        <w:left w:val="none" w:sz="0" w:space="0" w:color="auto"/>
        <w:bottom w:val="none" w:sz="0" w:space="0" w:color="auto"/>
        <w:right w:val="none" w:sz="0" w:space="0" w:color="auto"/>
      </w:divBdr>
    </w:div>
    <w:div w:id="1269896676">
      <w:bodyDiv w:val="1"/>
      <w:marLeft w:val="0"/>
      <w:marRight w:val="0"/>
      <w:marTop w:val="0"/>
      <w:marBottom w:val="0"/>
      <w:divBdr>
        <w:top w:val="none" w:sz="0" w:space="0" w:color="auto"/>
        <w:left w:val="none" w:sz="0" w:space="0" w:color="auto"/>
        <w:bottom w:val="none" w:sz="0" w:space="0" w:color="auto"/>
        <w:right w:val="none" w:sz="0" w:space="0" w:color="auto"/>
      </w:divBdr>
    </w:div>
    <w:div w:id="1319919628">
      <w:bodyDiv w:val="1"/>
      <w:marLeft w:val="0"/>
      <w:marRight w:val="0"/>
      <w:marTop w:val="0"/>
      <w:marBottom w:val="0"/>
      <w:divBdr>
        <w:top w:val="none" w:sz="0" w:space="0" w:color="auto"/>
        <w:left w:val="none" w:sz="0" w:space="0" w:color="auto"/>
        <w:bottom w:val="none" w:sz="0" w:space="0" w:color="auto"/>
        <w:right w:val="none" w:sz="0" w:space="0" w:color="auto"/>
      </w:divBdr>
    </w:div>
    <w:div w:id="1337345222">
      <w:bodyDiv w:val="1"/>
      <w:marLeft w:val="0"/>
      <w:marRight w:val="0"/>
      <w:marTop w:val="0"/>
      <w:marBottom w:val="0"/>
      <w:divBdr>
        <w:top w:val="none" w:sz="0" w:space="0" w:color="auto"/>
        <w:left w:val="none" w:sz="0" w:space="0" w:color="auto"/>
        <w:bottom w:val="none" w:sz="0" w:space="0" w:color="auto"/>
        <w:right w:val="none" w:sz="0" w:space="0" w:color="auto"/>
      </w:divBdr>
    </w:div>
    <w:div w:id="1380209337">
      <w:bodyDiv w:val="1"/>
      <w:marLeft w:val="0"/>
      <w:marRight w:val="0"/>
      <w:marTop w:val="0"/>
      <w:marBottom w:val="0"/>
      <w:divBdr>
        <w:top w:val="none" w:sz="0" w:space="0" w:color="auto"/>
        <w:left w:val="none" w:sz="0" w:space="0" w:color="auto"/>
        <w:bottom w:val="none" w:sz="0" w:space="0" w:color="auto"/>
        <w:right w:val="none" w:sz="0" w:space="0" w:color="auto"/>
      </w:divBdr>
    </w:div>
    <w:div w:id="1458714388">
      <w:bodyDiv w:val="1"/>
      <w:marLeft w:val="0"/>
      <w:marRight w:val="0"/>
      <w:marTop w:val="0"/>
      <w:marBottom w:val="0"/>
      <w:divBdr>
        <w:top w:val="none" w:sz="0" w:space="0" w:color="auto"/>
        <w:left w:val="none" w:sz="0" w:space="0" w:color="auto"/>
        <w:bottom w:val="none" w:sz="0" w:space="0" w:color="auto"/>
        <w:right w:val="none" w:sz="0" w:space="0" w:color="auto"/>
      </w:divBdr>
    </w:div>
    <w:div w:id="1516572182">
      <w:bodyDiv w:val="1"/>
      <w:marLeft w:val="0"/>
      <w:marRight w:val="0"/>
      <w:marTop w:val="0"/>
      <w:marBottom w:val="0"/>
      <w:divBdr>
        <w:top w:val="none" w:sz="0" w:space="0" w:color="auto"/>
        <w:left w:val="none" w:sz="0" w:space="0" w:color="auto"/>
        <w:bottom w:val="none" w:sz="0" w:space="0" w:color="auto"/>
        <w:right w:val="none" w:sz="0" w:space="0" w:color="auto"/>
      </w:divBdr>
    </w:div>
    <w:div w:id="1521580941">
      <w:bodyDiv w:val="1"/>
      <w:marLeft w:val="0"/>
      <w:marRight w:val="0"/>
      <w:marTop w:val="0"/>
      <w:marBottom w:val="0"/>
      <w:divBdr>
        <w:top w:val="none" w:sz="0" w:space="0" w:color="auto"/>
        <w:left w:val="none" w:sz="0" w:space="0" w:color="auto"/>
        <w:bottom w:val="none" w:sz="0" w:space="0" w:color="auto"/>
        <w:right w:val="none" w:sz="0" w:space="0" w:color="auto"/>
      </w:divBdr>
    </w:div>
    <w:div w:id="1614946254">
      <w:bodyDiv w:val="1"/>
      <w:marLeft w:val="0"/>
      <w:marRight w:val="0"/>
      <w:marTop w:val="0"/>
      <w:marBottom w:val="0"/>
      <w:divBdr>
        <w:top w:val="none" w:sz="0" w:space="0" w:color="auto"/>
        <w:left w:val="none" w:sz="0" w:space="0" w:color="auto"/>
        <w:bottom w:val="none" w:sz="0" w:space="0" w:color="auto"/>
        <w:right w:val="none" w:sz="0" w:space="0" w:color="auto"/>
      </w:divBdr>
      <w:divsChild>
        <w:div w:id="720249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436846">
      <w:bodyDiv w:val="1"/>
      <w:marLeft w:val="0"/>
      <w:marRight w:val="0"/>
      <w:marTop w:val="0"/>
      <w:marBottom w:val="0"/>
      <w:divBdr>
        <w:top w:val="none" w:sz="0" w:space="0" w:color="auto"/>
        <w:left w:val="none" w:sz="0" w:space="0" w:color="auto"/>
        <w:bottom w:val="none" w:sz="0" w:space="0" w:color="auto"/>
        <w:right w:val="none" w:sz="0" w:space="0" w:color="auto"/>
      </w:divBdr>
    </w:div>
    <w:div w:id="1914777578">
      <w:bodyDiv w:val="1"/>
      <w:marLeft w:val="0"/>
      <w:marRight w:val="0"/>
      <w:marTop w:val="0"/>
      <w:marBottom w:val="0"/>
      <w:divBdr>
        <w:top w:val="none" w:sz="0" w:space="0" w:color="auto"/>
        <w:left w:val="none" w:sz="0" w:space="0" w:color="auto"/>
        <w:bottom w:val="none" w:sz="0" w:space="0" w:color="auto"/>
        <w:right w:val="none" w:sz="0" w:space="0" w:color="auto"/>
      </w:divBdr>
    </w:div>
    <w:div w:id="1959986995">
      <w:bodyDiv w:val="1"/>
      <w:marLeft w:val="0"/>
      <w:marRight w:val="0"/>
      <w:marTop w:val="0"/>
      <w:marBottom w:val="0"/>
      <w:divBdr>
        <w:top w:val="none" w:sz="0" w:space="0" w:color="auto"/>
        <w:left w:val="none" w:sz="0" w:space="0" w:color="auto"/>
        <w:bottom w:val="none" w:sz="0" w:space="0" w:color="auto"/>
        <w:right w:val="none" w:sz="0" w:space="0" w:color="auto"/>
      </w:divBdr>
    </w:div>
    <w:div w:id="1995064109">
      <w:bodyDiv w:val="1"/>
      <w:marLeft w:val="0"/>
      <w:marRight w:val="0"/>
      <w:marTop w:val="0"/>
      <w:marBottom w:val="0"/>
      <w:divBdr>
        <w:top w:val="none" w:sz="0" w:space="0" w:color="auto"/>
        <w:left w:val="none" w:sz="0" w:space="0" w:color="auto"/>
        <w:bottom w:val="none" w:sz="0" w:space="0" w:color="auto"/>
        <w:right w:val="none" w:sz="0" w:space="0" w:color="auto"/>
      </w:divBdr>
    </w:div>
    <w:div w:id="2062559118">
      <w:bodyDiv w:val="1"/>
      <w:marLeft w:val="0"/>
      <w:marRight w:val="0"/>
      <w:marTop w:val="0"/>
      <w:marBottom w:val="0"/>
      <w:divBdr>
        <w:top w:val="none" w:sz="0" w:space="0" w:color="auto"/>
        <w:left w:val="none" w:sz="0" w:space="0" w:color="auto"/>
        <w:bottom w:val="none" w:sz="0" w:space="0" w:color="auto"/>
        <w:right w:val="none" w:sz="0" w:space="0" w:color="auto"/>
      </w:divBdr>
    </w:div>
    <w:div w:id="211605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isprudencia.tcpbolivia.bo/Fichas/ObtieneResolucion?idFicha=15366" TargetMode="External"/><Relationship Id="rId13" Type="http://schemas.openxmlformats.org/officeDocument/2006/relationships/hyperlink" Target="https://jurisprudencia.tcpbolivia.bo/Fichas/ObtieneResolucion?idFicha=18134" TargetMode="External"/><Relationship Id="rId18" Type="http://schemas.openxmlformats.org/officeDocument/2006/relationships/hyperlink" Target="http://35.231.160.168/wp-content/uploads/2021/03/1.-PLAN-PLURIANUAL-DE-REDUCCION-DEL-DEFICIT-HABITACIONAL.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enaseh-odhva.org/books/el-suelo-en-la-politica-nacional-de-desarrollo-integral-de-ciudades-reflexiones-y-recomendaciones-alrededor/" TargetMode="External"/><Relationship Id="rId7" Type="http://schemas.openxmlformats.org/officeDocument/2006/relationships/endnotes" Target="endnotes.xml"/><Relationship Id="rId12" Type="http://schemas.openxmlformats.org/officeDocument/2006/relationships/hyperlink" Target="https://jurisprudencia.tcpbolivia.bo/Fichas/ObtieneResolucion?idFicha=827" TargetMode="External"/><Relationship Id="rId17" Type="http://schemas.openxmlformats.org/officeDocument/2006/relationships/hyperlink" Target="http://gacetaoficialdebolivia.gob.bo/normas/buscar/95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acetaoficialdebolivia.gob.bo/normas/buscar/1842" TargetMode="External"/><Relationship Id="rId20" Type="http://schemas.openxmlformats.org/officeDocument/2006/relationships/hyperlink" Target="https://revistas.juridicas.unam.mx/index.php/derecho-social/article/view/1632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isprudencia.tcpbolivia.bo/Fichas/ObtieneResolucion?idFicha=8165" TargetMode="External"/><Relationship Id="rId24" Type="http://schemas.openxmlformats.org/officeDocument/2006/relationships/hyperlink" Target="mailto:ohchr-registry@un.org" TargetMode="External"/><Relationship Id="rId5" Type="http://schemas.openxmlformats.org/officeDocument/2006/relationships/webSettings" Target="webSettings.xml"/><Relationship Id="rId15" Type="http://schemas.openxmlformats.org/officeDocument/2006/relationships/hyperlink" Target="http://www.gacetaoficialdebolivia.gob.bo/edicions/view/297NEC" TargetMode="External"/><Relationship Id="rId23" Type="http://schemas.openxmlformats.org/officeDocument/2006/relationships/hyperlink" Target="mailto:hrc-sr-housing@un.org" TargetMode="External"/><Relationship Id="rId28" Type="http://schemas.openxmlformats.org/officeDocument/2006/relationships/footer" Target="footer2.xml"/><Relationship Id="rId10" Type="http://schemas.openxmlformats.org/officeDocument/2006/relationships/hyperlink" Target="https://jurisprudencia.tcpbolivia.bo/Fichas/ObtieneResolucion?idFicha=24942" TargetMode="External"/><Relationship Id="rId19" Type="http://schemas.openxmlformats.org/officeDocument/2006/relationships/hyperlink" Target="http://www.iiach.fach.umss.edu.bo/locus/" TargetMode="External"/><Relationship Id="rId4" Type="http://schemas.openxmlformats.org/officeDocument/2006/relationships/settings" Target="settings.xml"/><Relationship Id="rId9" Type="http://schemas.openxmlformats.org/officeDocument/2006/relationships/hyperlink" Target="https://jurisprudencia.tcpbolivia.bo/Fichas/ObtieneResolucion?idFicha=11071" TargetMode="External"/><Relationship Id="rId14" Type="http://schemas.openxmlformats.org/officeDocument/2006/relationships/hyperlink" Target="http://www.iiach.fach.umss.edu.bo/locus/" TargetMode="External"/><Relationship Id="rId22" Type="http://schemas.openxmlformats.org/officeDocument/2006/relationships/hyperlink" Target="http://hdl.handle.net/123456789/32811"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enaseh-odhva.org/books/el-suelo-en-la-politica-nacional-de-desarrollo-integral-de-ciudades-reflexiones-y-recomendaciones-alrededor/" TargetMode="External"/><Relationship Id="rId1" Type="http://schemas.openxmlformats.org/officeDocument/2006/relationships/hyperlink" Target="http://hdl.handle.net/123456789/3281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2ECF3-0CD1-4F28-A1BA-7567B9D1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7591</Words>
  <Characters>43273</Characters>
  <Application>Microsoft Office Word</Application>
  <DocSecurity>0</DocSecurity>
  <Lines>360</Lines>
  <Paragraphs>101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50763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Theissen</dc:creator>
  <cp:keywords/>
  <dc:description/>
  <cp:lastModifiedBy>Gunnar Theissen</cp:lastModifiedBy>
  <cp:revision>3</cp:revision>
  <dcterms:created xsi:type="dcterms:W3CDTF">2023-05-01T15:43:00Z</dcterms:created>
  <dcterms:modified xsi:type="dcterms:W3CDTF">2023-05-01T15:43:00Z</dcterms:modified>
</cp:coreProperties>
</file>