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6673" w14:textId="7B3E8F55" w:rsidR="00ED0186" w:rsidRDefault="00ED0186" w:rsidP="00CB6A49">
      <w:pPr>
        <w:pStyle w:val="Prrafodelista"/>
        <w:spacing w:line="276" w:lineRule="auto"/>
        <w:ind w:left="0"/>
        <w:contextualSpacing w:val="0"/>
        <w:jc w:val="center"/>
        <w:rPr>
          <w:rFonts w:ascii="Segoe UI" w:hAnsi="Segoe UI" w:cs="Segoe UI"/>
          <w:b/>
          <w:bCs/>
        </w:rPr>
      </w:pPr>
      <w:bookmarkStart w:id="0" w:name="_GoBack"/>
      <w:bookmarkEnd w:id="0"/>
      <w:r w:rsidRPr="00EC6177">
        <w:rPr>
          <w:rFonts w:ascii="Segoe UI" w:hAnsi="Segoe UI" w:cs="Segoe UI"/>
          <w:b/>
          <w:bCs/>
        </w:rPr>
        <w:t>Respuesta del Estado de Chile a cuestionario del Relator Especial Relator Especial sobre una vivienda adecuada como elemento integrante del derecho a un nivel de vida adecuado y sobre el derecho de no discriminación</w:t>
      </w:r>
      <w:r w:rsidR="0044608F">
        <w:rPr>
          <w:rStyle w:val="Refdenotaalpie"/>
          <w:rFonts w:ascii="Segoe UI" w:hAnsi="Segoe UI" w:cs="Segoe UI"/>
          <w:b/>
          <w:bCs/>
        </w:rPr>
        <w:footnoteReference w:id="1"/>
      </w:r>
      <w:r w:rsidR="002076FA">
        <w:rPr>
          <w:rFonts w:ascii="Segoe UI" w:hAnsi="Segoe UI" w:cs="Segoe UI"/>
          <w:b/>
          <w:bCs/>
        </w:rPr>
        <w:t>.</w:t>
      </w:r>
    </w:p>
    <w:p w14:paraId="2A0DAAF3" w14:textId="77777777" w:rsidR="00CB6A49" w:rsidRPr="00CB6A49" w:rsidRDefault="00CB6A49" w:rsidP="00CB6A49">
      <w:pPr>
        <w:pStyle w:val="Prrafodelista"/>
        <w:spacing w:line="276" w:lineRule="auto"/>
        <w:ind w:left="0"/>
        <w:contextualSpacing w:val="0"/>
        <w:jc w:val="center"/>
        <w:rPr>
          <w:rFonts w:ascii="Segoe UI" w:hAnsi="Segoe UI" w:cs="Segoe UI"/>
          <w:b/>
          <w:bCs/>
        </w:rPr>
      </w:pPr>
    </w:p>
    <w:p w14:paraId="12D2AA1B" w14:textId="52188B0D" w:rsidR="00944D1A" w:rsidRPr="00CB6A49" w:rsidRDefault="00CB6A49" w:rsidP="00CB6A49">
      <w:pPr>
        <w:pStyle w:val="Prrafodelista"/>
        <w:spacing w:line="276" w:lineRule="auto"/>
        <w:ind w:left="0"/>
        <w:contextualSpacing w:val="0"/>
        <w:jc w:val="both"/>
        <w:rPr>
          <w:rFonts w:ascii="Segoe UI" w:hAnsi="Segoe UI" w:cs="Segoe UI"/>
          <w:bCs/>
        </w:rPr>
      </w:pPr>
      <w:r w:rsidRPr="00CB6A49">
        <w:rPr>
          <w:rFonts w:ascii="Segoe UI" w:hAnsi="Segoe UI" w:cs="Segoe UI"/>
          <w:bCs/>
        </w:rPr>
        <w:t xml:space="preserve">Atendido el espacio limitado disponible para las contribuciones (2.500 palabras para 14 preguntas), se acompaña un </w:t>
      </w:r>
      <w:r w:rsidRPr="00CB6A49">
        <w:rPr>
          <w:rFonts w:ascii="Segoe UI" w:hAnsi="Segoe UI" w:cs="Segoe UI"/>
          <w:b/>
          <w:bCs/>
        </w:rPr>
        <w:t>Anexo</w:t>
      </w:r>
      <w:r w:rsidRPr="00CB6A49">
        <w:rPr>
          <w:rFonts w:ascii="Segoe UI" w:hAnsi="Segoe UI" w:cs="Segoe UI"/>
          <w:bCs/>
        </w:rPr>
        <w:t xml:space="preserve"> donde se entrega mayor detalle sobre la regulación chilena.</w:t>
      </w:r>
    </w:p>
    <w:p w14:paraId="75F431A0" w14:textId="582DC941" w:rsidR="00B30E44" w:rsidRPr="00EC6177" w:rsidRDefault="00CB6A49" w:rsidP="00CB6A49">
      <w:pPr>
        <w:spacing w:line="276" w:lineRule="auto"/>
        <w:jc w:val="both"/>
        <w:rPr>
          <w:rFonts w:ascii="Segoe UI" w:hAnsi="Segoe UI" w:cs="Segoe UI"/>
        </w:rPr>
      </w:pPr>
      <w:r>
        <w:rPr>
          <w:rFonts w:ascii="Segoe UI" w:hAnsi="Segoe UI" w:cs="Segoe UI"/>
          <w:b/>
          <w:bCs/>
        </w:rPr>
        <w:t xml:space="preserve">1. </w:t>
      </w:r>
      <w:r w:rsidR="00011D01" w:rsidRPr="00EC6177">
        <w:rPr>
          <w:rFonts w:ascii="Segoe UI" w:hAnsi="Segoe UI" w:cs="Segoe UI"/>
        </w:rPr>
        <w:t xml:space="preserve">Aunque no existe una </w:t>
      </w:r>
      <w:r w:rsidR="00221A3F" w:rsidRPr="00EC6177">
        <w:rPr>
          <w:rFonts w:ascii="Segoe UI" w:hAnsi="Segoe UI" w:cs="Segoe UI"/>
        </w:rPr>
        <w:t>referencia a la asequibilidad en la legislación nacional, en la práctica es uno de los atributos del derecho a la vivienda más desarrollados en la política habitacional</w:t>
      </w:r>
      <w:r w:rsidR="00577620" w:rsidRPr="00EC6177">
        <w:rPr>
          <w:rFonts w:ascii="Segoe UI" w:hAnsi="Segoe UI" w:cs="Segoe UI"/>
        </w:rPr>
        <w:t xml:space="preserve">, </w:t>
      </w:r>
      <w:r w:rsidR="0069365C" w:rsidRPr="00EC6177">
        <w:rPr>
          <w:rFonts w:ascii="Segoe UI" w:hAnsi="Segoe UI" w:cs="Segoe UI"/>
        </w:rPr>
        <w:t xml:space="preserve">tanto </w:t>
      </w:r>
      <w:r w:rsidR="00D15EA5" w:rsidRPr="00EC6177">
        <w:rPr>
          <w:rFonts w:ascii="Segoe UI" w:hAnsi="Segoe UI" w:cs="Segoe UI"/>
        </w:rPr>
        <w:t>por los</w:t>
      </w:r>
      <w:r w:rsidR="00236E2D" w:rsidRPr="00EC6177">
        <w:rPr>
          <w:rFonts w:ascii="Segoe UI" w:hAnsi="Segoe UI" w:cs="Segoe UI"/>
        </w:rPr>
        <w:t xml:space="preserve"> </w:t>
      </w:r>
      <w:r w:rsidR="00BD249C" w:rsidRPr="00EC6177">
        <w:rPr>
          <w:rFonts w:ascii="Segoe UI" w:hAnsi="Segoe UI" w:cs="Segoe UI"/>
        </w:rPr>
        <w:t xml:space="preserve">programas habitacionales que consideran </w:t>
      </w:r>
      <w:r w:rsidR="00236E2D" w:rsidRPr="00EC6177">
        <w:rPr>
          <w:rFonts w:ascii="Segoe UI" w:hAnsi="Segoe UI" w:cs="Segoe UI"/>
        </w:rPr>
        <w:t xml:space="preserve">subsidios para acceder a la vivienda propia o en arriendo, así como la atención </w:t>
      </w:r>
      <w:r w:rsidR="006810FF" w:rsidRPr="00EC6177">
        <w:rPr>
          <w:rFonts w:ascii="Segoe UI" w:hAnsi="Segoe UI" w:cs="Segoe UI"/>
        </w:rPr>
        <w:t>directa a grupos de extrema vulnerabilidad</w:t>
      </w:r>
      <w:r w:rsidR="00B30E44" w:rsidRPr="00EC6177">
        <w:rPr>
          <w:rFonts w:ascii="Segoe UI" w:hAnsi="Segoe UI" w:cs="Segoe UI"/>
        </w:rPr>
        <w:t>.</w:t>
      </w:r>
    </w:p>
    <w:p w14:paraId="507071C0" w14:textId="061A0F4F" w:rsidR="00E66E8E" w:rsidRPr="00EC6177" w:rsidRDefault="00B30E44" w:rsidP="00CB6A49">
      <w:pPr>
        <w:pStyle w:val="Prrafodelista"/>
        <w:spacing w:line="276" w:lineRule="auto"/>
        <w:ind w:left="0"/>
        <w:contextualSpacing w:val="0"/>
        <w:jc w:val="both"/>
        <w:rPr>
          <w:rFonts w:ascii="Segoe UI" w:hAnsi="Segoe UI" w:cs="Segoe UI"/>
        </w:rPr>
      </w:pPr>
      <w:r w:rsidRPr="00EC6177">
        <w:rPr>
          <w:rFonts w:ascii="Segoe UI" w:hAnsi="Segoe UI" w:cs="Segoe UI"/>
        </w:rPr>
        <w:t>L</w:t>
      </w:r>
      <w:r w:rsidR="00577620" w:rsidRPr="00EC6177">
        <w:rPr>
          <w:rFonts w:ascii="Segoe UI" w:hAnsi="Segoe UI" w:cs="Segoe UI"/>
        </w:rPr>
        <w:t xml:space="preserve">os actuales planes gubernamentales se traducen en </w:t>
      </w:r>
      <w:r w:rsidR="001445DA" w:rsidRPr="00EC6177">
        <w:rPr>
          <w:rFonts w:ascii="Segoe UI" w:hAnsi="Segoe UI" w:cs="Segoe UI"/>
          <w:b/>
          <w:bCs/>
        </w:rPr>
        <w:t xml:space="preserve">Plan de Emergencia Habitacional </w:t>
      </w:r>
      <w:r w:rsidR="00CA3000" w:rsidRPr="00EC6177">
        <w:rPr>
          <w:rFonts w:ascii="Segoe UI" w:hAnsi="Segoe UI" w:cs="Segoe UI"/>
          <w:b/>
          <w:bCs/>
        </w:rPr>
        <w:t>(</w:t>
      </w:r>
      <w:r w:rsidR="001445DA" w:rsidRPr="00EC6177">
        <w:rPr>
          <w:rFonts w:ascii="Segoe UI" w:hAnsi="Segoe UI" w:cs="Segoe UI"/>
          <w:b/>
          <w:bCs/>
        </w:rPr>
        <w:t>PEH</w:t>
      </w:r>
      <w:r w:rsidR="00CA3000" w:rsidRPr="00EC6177">
        <w:rPr>
          <w:rFonts w:ascii="Segoe UI" w:hAnsi="Segoe UI" w:cs="Segoe UI"/>
          <w:b/>
          <w:bCs/>
        </w:rPr>
        <w:t>)</w:t>
      </w:r>
      <w:r w:rsidR="00E01F70" w:rsidRPr="00EC6177">
        <w:rPr>
          <w:rFonts w:ascii="Segoe UI" w:hAnsi="Segoe UI" w:cs="Segoe UI"/>
        </w:rPr>
        <w:t xml:space="preserve">, el cual considera una ampliación de mecanismos para acceder </w:t>
      </w:r>
      <w:r w:rsidR="00B956E4" w:rsidRPr="00EC6177">
        <w:rPr>
          <w:rFonts w:ascii="Segoe UI" w:hAnsi="Segoe UI" w:cs="Segoe UI"/>
        </w:rPr>
        <w:t>a la vivienda en diversas modalidades</w:t>
      </w:r>
      <w:r w:rsidR="00FA6257" w:rsidRPr="00EC6177">
        <w:rPr>
          <w:rFonts w:ascii="Segoe UI" w:hAnsi="Segoe UI" w:cs="Segoe UI"/>
        </w:rPr>
        <w:t xml:space="preserve"> de tenencia</w:t>
      </w:r>
      <w:r w:rsidR="00CA3B68" w:rsidRPr="00EC6177">
        <w:rPr>
          <w:rStyle w:val="Refdenotaalpie"/>
          <w:rFonts w:ascii="Segoe UI" w:hAnsi="Segoe UI" w:cs="Segoe UI"/>
        </w:rPr>
        <w:footnoteReference w:id="2"/>
      </w:r>
      <w:r w:rsidR="00317B88" w:rsidRPr="00EC6177">
        <w:rPr>
          <w:rFonts w:ascii="Segoe UI" w:hAnsi="Segoe UI" w:cs="Segoe UI"/>
        </w:rPr>
        <w:t>.</w:t>
      </w:r>
    </w:p>
    <w:p w14:paraId="073B0C77" w14:textId="73A6FF11" w:rsidR="00EB0B9E" w:rsidRDefault="00A46D9C" w:rsidP="00CB6A49">
      <w:pPr>
        <w:pStyle w:val="Prrafodelista"/>
        <w:spacing w:line="276" w:lineRule="auto"/>
        <w:ind w:left="0"/>
        <w:contextualSpacing w:val="0"/>
        <w:jc w:val="both"/>
        <w:rPr>
          <w:rFonts w:ascii="Segoe UI" w:hAnsi="Segoe UI" w:cs="Segoe UI"/>
        </w:rPr>
      </w:pPr>
      <w:r w:rsidRPr="00EC6177">
        <w:rPr>
          <w:rFonts w:ascii="Segoe UI" w:hAnsi="Segoe UI" w:cs="Segoe UI"/>
        </w:rPr>
        <w:t>La ley 21.450 de 2022 definió el concepto de vivienda de interés público</w:t>
      </w:r>
      <w:r w:rsidR="00B30E44" w:rsidRPr="00EC6177">
        <w:rPr>
          <w:rFonts w:ascii="Segoe UI" w:hAnsi="Segoe UI" w:cs="Segoe UI"/>
        </w:rPr>
        <w:t>:</w:t>
      </w:r>
      <w:r w:rsidRPr="00EC6177">
        <w:rPr>
          <w:rFonts w:ascii="Segoe UI" w:hAnsi="Segoe UI" w:cs="Segoe UI"/>
        </w:rPr>
        <w:t xml:space="preserve"> “</w:t>
      </w:r>
      <w:r w:rsidRPr="00EC6177">
        <w:rPr>
          <w:rFonts w:ascii="Segoe UI" w:hAnsi="Segoe UI" w:cs="Segoe UI"/>
          <w:i/>
        </w:rPr>
        <w:t>Las viviendas de interés público corresponden a aquellas viviendas destinadas a hogares que, en atención a su condición de vulnerabilidad socioeconómica o derivada de otros factores, requieren apoyos estatales u otras medidas de colaboración o impulso que les permitan acceder a una solución habitacional adecuada, sea ésta temporal o definitiva</w:t>
      </w:r>
      <w:r w:rsidR="00B30E44" w:rsidRPr="00EC6177">
        <w:rPr>
          <w:rFonts w:ascii="Segoe UI" w:hAnsi="Segoe UI" w:cs="Segoe UI"/>
          <w:i/>
        </w:rPr>
        <w:t>”</w:t>
      </w:r>
      <w:r w:rsidRPr="00EC6177">
        <w:rPr>
          <w:rFonts w:ascii="Segoe UI" w:hAnsi="Segoe UI" w:cs="Segoe UI"/>
        </w:rPr>
        <w:t xml:space="preserve">. </w:t>
      </w:r>
    </w:p>
    <w:p w14:paraId="315638A5" w14:textId="1AB503E5" w:rsidR="00B84BB0" w:rsidRDefault="00EC6177" w:rsidP="00CB6A49">
      <w:pPr>
        <w:spacing w:line="276" w:lineRule="auto"/>
        <w:jc w:val="both"/>
        <w:rPr>
          <w:rFonts w:ascii="Segoe UI" w:hAnsi="Segoe UI" w:cs="Segoe UI"/>
        </w:rPr>
      </w:pPr>
      <w:r w:rsidRPr="00EC6177">
        <w:rPr>
          <w:rFonts w:ascii="Segoe UI" w:hAnsi="Segoe UI" w:cs="Segoe UI"/>
        </w:rPr>
        <w:t xml:space="preserve">Se recomienda ver el </w:t>
      </w:r>
      <w:r w:rsidR="00CB6A49">
        <w:rPr>
          <w:rFonts w:ascii="Segoe UI" w:hAnsi="Segoe UI" w:cs="Segoe UI"/>
        </w:rPr>
        <w:t>Anexo</w:t>
      </w:r>
      <w:r w:rsidRPr="00EC6177">
        <w:rPr>
          <w:rFonts w:ascii="Segoe UI" w:hAnsi="Segoe UI" w:cs="Segoe UI"/>
        </w:rPr>
        <w:t xml:space="preserve"> para obtener mayor información. </w:t>
      </w:r>
      <w:bookmarkStart w:id="1" w:name="_Hlk134633640"/>
    </w:p>
    <w:p w14:paraId="52894FE1" w14:textId="6932EBE1" w:rsidR="00EB0B9E" w:rsidRPr="00EC6177" w:rsidRDefault="00CB6A49" w:rsidP="00CB6A49">
      <w:pPr>
        <w:pStyle w:val="Prrafodelista"/>
        <w:spacing w:line="276" w:lineRule="auto"/>
        <w:ind w:left="0"/>
        <w:contextualSpacing w:val="0"/>
        <w:jc w:val="both"/>
        <w:rPr>
          <w:rFonts w:ascii="Segoe UI" w:hAnsi="Segoe UI" w:cs="Segoe UI"/>
        </w:rPr>
      </w:pPr>
      <w:r>
        <w:rPr>
          <w:rFonts w:ascii="Segoe UI" w:hAnsi="Segoe UI" w:cs="Segoe UI"/>
          <w:b/>
          <w:bCs/>
        </w:rPr>
        <w:t xml:space="preserve">2. </w:t>
      </w:r>
      <w:r w:rsidR="00567A59" w:rsidRPr="00EC6177">
        <w:rPr>
          <w:rFonts w:ascii="Segoe UI" w:hAnsi="Segoe UI" w:cs="Segoe UI"/>
        </w:rPr>
        <w:t xml:space="preserve">La Superintendencia de Seguridad Social </w:t>
      </w:r>
      <w:r w:rsidR="00513EB8" w:rsidRPr="00EC6177">
        <w:rPr>
          <w:rFonts w:ascii="Segoe UI" w:hAnsi="Segoe UI" w:cs="Segoe UI"/>
        </w:rPr>
        <w:t xml:space="preserve">establece mediante </w:t>
      </w:r>
      <w:r w:rsidR="00EB0B9E" w:rsidRPr="00EC6177">
        <w:rPr>
          <w:rFonts w:ascii="Segoe UI" w:hAnsi="Segoe UI" w:cs="Segoe UI"/>
        </w:rPr>
        <w:t>una C</w:t>
      </w:r>
      <w:r w:rsidR="00513EB8" w:rsidRPr="00EC6177">
        <w:rPr>
          <w:rFonts w:ascii="Segoe UI" w:hAnsi="Segoe UI" w:cs="Segoe UI"/>
        </w:rPr>
        <w:t>ircular</w:t>
      </w:r>
      <w:r w:rsidR="00DF5D7D" w:rsidRPr="00EC6177">
        <w:rPr>
          <w:rStyle w:val="Refdenotaalpie"/>
          <w:rFonts w:ascii="Segoe UI" w:hAnsi="Segoe UI" w:cs="Segoe UI"/>
        </w:rPr>
        <w:footnoteReference w:id="3"/>
      </w:r>
      <w:r w:rsidR="00513EB8" w:rsidRPr="00EC6177">
        <w:rPr>
          <w:rFonts w:ascii="Segoe UI" w:hAnsi="Segoe UI" w:cs="Segoe UI"/>
        </w:rPr>
        <w:t xml:space="preserve"> que e</w:t>
      </w:r>
      <w:r w:rsidR="00207CBD" w:rsidRPr="00EC6177">
        <w:rPr>
          <w:rFonts w:ascii="Segoe UI" w:hAnsi="Segoe UI" w:cs="Segoe UI"/>
        </w:rPr>
        <w:t xml:space="preserve">l monto mensual de los dividendos por crédito social hipotecario no podrá exceder del 25% de la remuneración o de la pensión, líquidas. </w:t>
      </w:r>
    </w:p>
    <w:p w14:paraId="6ADEC8E4" w14:textId="6ABCB92B" w:rsidR="00513EB8" w:rsidRPr="00EC6177" w:rsidRDefault="00207CBD" w:rsidP="00CB6A49">
      <w:pPr>
        <w:spacing w:line="276" w:lineRule="auto"/>
        <w:jc w:val="both"/>
        <w:rPr>
          <w:rFonts w:ascii="Segoe UI" w:hAnsi="Segoe UI" w:cs="Segoe UI"/>
        </w:rPr>
      </w:pPr>
      <w:r w:rsidRPr="00EC6177">
        <w:rPr>
          <w:rFonts w:ascii="Segoe UI" w:hAnsi="Segoe UI" w:cs="Segoe UI"/>
        </w:rPr>
        <w:lastRenderedPageBreak/>
        <w:t xml:space="preserve">Sin perjuicio de lo anterior, en los casos que el descuento sea insuficiente para cubrir el monto del dividendo correspondiente, </w:t>
      </w:r>
      <w:r w:rsidR="0009619B" w:rsidRPr="00EC6177">
        <w:rPr>
          <w:rFonts w:ascii="Segoe UI" w:hAnsi="Segoe UI" w:cs="Segoe UI"/>
        </w:rPr>
        <w:t>se</w:t>
      </w:r>
      <w:r w:rsidRPr="00EC6177">
        <w:rPr>
          <w:rFonts w:ascii="Segoe UI" w:hAnsi="Segoe UI" w:cs="Segoe UI"/>
        </w:rPr>
        <w:t xml:space="preserve"> podrá complementar sus ingresos con remuneraciones o pensiones líquidas de un codeudor solid</w:t>
      </w:r>
      <w:r w:rsidR="00EB0B9E" w:rsidRPr="00EC6177">
        <w:rPr>
          <w:rFonts w:ascii="Segoe UI" w:hAnsi="Segoe UI" w:cs="Segoe UI"/>
        </w:rPr>
        <w:t>ario, e</w:t>
      </w:r>
      <w:r w:rsidRPr="00EC6177">
        <w:rPr>
          <w:rFonts w:ascii="Segoe UI" w:hAnsi="Segoe UI" w:cs="Segoe UI"/>
        </w:rPr>
        <w:t>n dicho caso el descuento no podrá exceder del 30% de la remuneración o de la pensión, líquidas.</w:t>
      </w:r>
      <w:r w:rsidR="00513EB8" w:rsidRPr="00EC6177">
        <w:rPr>
          <w:rFonts w:ascii="Segoe UI" w:hAnsi="Segoe UI" w:cs="Segoe UI"/>
        </w:rPr>
        <w:t xml:space="preserve"> </w:t>
      </w:r>
    </w:p>
    <w:p w14:paraId="0A59589D" w14:textId="4F9CEB5E" w:rsidR="00A57538" w:rsidRPr="00EC6177" w:rsidRDefault="006B1514" w:rsidP="00CB6A49">
      <w:pPr>
        <w:spacing w:line="276" w:lineRule="auto"/>
        <w:jc w:val="both"/>
        <w:rPr>
          <w:rFonts w:ascii="Segoe UI" w:hAnsi="Segoe UI" w:cs="Segoe UI"/>
        </w:rPr>
      </w:pPr>
      <w:r w:rsidRPr="00EC6177">
        <w:rPr>
          <w:rFonts w:ascii="Segoe UI" w:hAnsi="Segoe UI" w:cs="Segoe UI"/>
        </w:rPr>
        <w:t>Respecto de la</w:t>
      </w:r>
      <w:r w:rsidR="003706F9" w:rsidRPr="00EC6177">
        <w:rPr>
          <w:rFonts w:ascii="Segoe UI" w:hAnsi="Segoe UI" w:cs="Segoe UI"/>
        </w:rPr>
        <w:t xml:space="preserve">s instituciones bancarias, el Banco Central de Chile, </w:t>
      </w:r>
      <w:r w:rsidR="003942E4" w:rsidRPr="00EC6177">
        <w:rPr>
          <w:rFonts w:ascii="Segoe UI" w:hAnsi="Segoe UI" w:cs="Segoe UI"/>
        </w:rPr>
        <w:t xml:space="preserve">en </w:t>
      </w:r>
      <w:r w:rsidR="00C47336" w:rsidRPr="00EC6177">
        <w:rPr>
          <w:rFonts w:ascii="Segoe UI" w:hAnsi="Segoe UI" w:cs="Segoe UI"/>
        </w:rPr>
        <w:t xml:space="preserve"> circular</w:t>
      </w:r>
      <w:r w:rsidR="003942E4" w:rsidRPr="00EC6177">
        <w:rPr>
          <w:rFonts w:ascii="Segoe UI" w:hAnsi="Segoe UI" w:cs="Segoe UI"/>
        </w:rPr>
        <w:t xml:space="preserve"> que </w:t>
      </w:r>
      <w:r w:rsidR="00C47336" w:rsidRPr="00EC6177">
        <w:rPr>
          <w:rFonts w:ascii="Segoe UI" w:hAnsi="Segoe UI" w:cs="Segoe UI"/>
        </w:rPr>
        <w:t xml:space="preserve"> </w:t>
      </w:r>
      <w:r w:rsidR="003942E4" w:rsidRPr="00EC6177">
        <w:rPr>
          <w:rFonts w:ascii="Segoe UI" w:hAnsi="Segoe UI" w:cs="Segoe UI"/>
        </w:rPr>
        <w:t>actualiza las normas financieras</w:t>
      </w:r>
      <w:r w:rsidR="00CA3B0D" w:rsidRPr="00EC6177">
        <w:rPr>
          <w:rStyle w:val="Refdenotaalpie"/>
          <w:rFonts w:ascii="Segoe UI" w:hAnsi="Segoe UI" w:cs="Segoe UI"/>
        </w:rPr>
        <w:footnoteReference w:id="4"/>
      </w:r>
      <w:r w:rsidR="003942E4" w:rsidRPr="00EC6177">
        <w:rPr>
          <w:rFonts w:ascii="Segoe UI" w:hAnsi="Segoe UI" w:cs="Segoe UI"/>
        </w:rPr>
        <w:t xml:space="preserve"> señala: </w:t>
      </w:r>
      <w:r w:rsidR="00AB1B66" w:rsidRPr="00EC6177">
        <w:rPr>
          <w:rFonts w:ascii="Segoe UI" w:hAnsi="Segoe UI" w:cs="Segoe UI"/>
        </w:rPr>
        <w:t>“</w:t>
      </w:r>
      <w:r w:rsidR="00A57538" w:rsidRPr="00EC6177">
        <w:rPr>
          <w:rFonts w:ascii="Segoe UI" w:hAnsi="Segoe UI" w:cs="Segoe UI"/>
          <w:i/>
        </w:rPr>
        <w:t>En los préstamos hipotecarios destinados a la adquisición o construcción de viviendas cuyo valor de tasación sea igual o inferior al equivalente de 3.000 Unidades de Fomento, el dividendo que se pacte, al momento de otorgamiento del crédito, no podrá exceder del 25% de los ingresos del deudor y, en su caso, del tercero que se constituya en fiador y codeudor solidario de las obligaciones de éste</w:t>
      </w:r>
      <w:r w:rsidR="001A37F9" w:rsidRPr="00EC6177">
        <w:rPr>
          <w:rFonts w:ascii="Segoe UI" w:hAnsi="Segoe UI" w:cs="Segoe UI"/>
        </w:rPr>
        <w:t>”</w:t>
      </w:r>
      <w:r w:rsidR="00A57538" w:rsidRPr="00EC6177">
        <w:rPr>
          <w:rFonts w:ascii="Segoe UI" w:hAnsi="Segoe UI" w:cs="Segoe UI"/>
        </w:rPr>
        <w:t>.</w:t>
      </w:r>
    </w:p>
    <w:p w14:paraId="1F3EB810" w14:textId="50392E9C" w:rsidR="004E6909" w:rsidRPr="00EC6177" w:rsidRDefault="00EC6177" w:rsidP="00CB6A49">
      <w:pPr>
        <w:spacing w:line="276" w:lineRule="auto"/>
        <w:jc w:val="both"/>
        <w:rPr>
          <w:rFonts w:ascii="Segoe UI" w:hAnsi="Segoe UI" w:cs="Segoe UI"/>
        </w:rPr>
      </w:pPr>
      <w:r>
        <w:rPr>
          <w:rFonts w:ascii="Segoe UI" w:hAnsi="Segoe UI" w:cs="Segoe UI"/>
        </w:rPr>
        <w:t xml:space="preserve">El </w:t>
      </w:r>
      <w:r w:rsidR="00D63E9F" w:rsidRPr="00EC6177">
        <w:rPr>
          <w:rFonts w:ascii="Segoe UI" w:hAnsi="Segoe UI" w:cs="Segoe UI"/>
          <w:bCs/>
        </w:rPr>
        <w:t>Plan de Emergencia Habitacional (PEH)</w:t>
      </w:r>
      <w:r w:rsidR="00FB5C44" w:rsidRPr="00EC6177">
        <w:rPr>
          <w:rFonts w:ascii="Segoe UI" w:hAnsi="Segoe UI" w:cs="Segoe UI"/>
        </w:rPr>
        <w:t xml:space="preserve"> 2022-2026</w:t>
      </w:r>
      <w:r w:rsidR="00D079FA" w:rsidRPr="00EC6177">
        <w:rPr>
          <w:rFonts w:ascii="Segoe UI" w:hAnsi="Segoe UI" w:cs="Segoe UI"/>
        </w:rPr>
        <w:t xml:space="preserve"> menciona el </w:t>
      </w:r>
      <w:r w:rsidR="00442FD7" w:rsidRPr="00EC6177">
        <w:rPr>
          <w:rFonts w:ascii="Segoe UI" w:hAnsi="Segoe UI" w:cs="Segoe UI"/>
        </w:rPr>
        <w:t xml:space="preserve">30% de los ingresos como el máximo que un arrendatario debiera disponer </w:t>
      </w:r>
      <w:r w:rsidR="00B54554" w:rsidRPr="00EC6177">
        <w:rPr>
          <w:rFonts w:ascii="Segoe UI" w:hAnsi="Segoe UI" w:cs="Segoe UI"/>
        </w:rPr>
        <w:t xml:space="preserve">para arriendo de </w:t>
      </w:r>
      <w:r w:rsidR="00D63E9F" w:rsidRPr="00EC6177">
        <w:rPr>
          <w:rFonts w:ascii="Segoe UI" w:hAnsi="Segoe UI" w:cs="Segoe UI"/>
        </w:rPr>
        <w:t>una vivienda,</w:t>
      </w:r>
      <w:r w:rsidR="00FB5C44" w:rsidRPr="00EC6177">
        <w:rPr>
          <w:rFonts w:ascii="Segoe UI" w:hAnsi="Segoe UI" w:cs="Segoe UI"/>
        </w:rPr>
        <w:t xml:space="preserve"> </w:t>
      </w:r>
      <w:r w:rsidR="00D63E9F" w:rsidRPr="00EC6177">
        <w:rPr>
          <w:rFonts w:ascii="Segoe UI" w:hAnsi="Segoe UI" w:cs="Segoe UI"/>
        </w:rPr>
        <w:t>e</w:t>
      </w:r>
      <w:r w:rsidR="00987470" w:rsidRPr="00EC6177">
        <w:rPr>
          <w:rFonts w:ascii="Segoe UI" w:hAnsi="Segoe UI" w:cs="Segoe UI"/>
        </w:rPr>
        <w:t>ste último concepto empieza a posicionarse como un criterio de base para medir la asequibilidad</w:t>
      </w:r>
      <w:r w:rsidR="001936E3" w:rsidRPr="00EC6177">
        <w:rPr>
          <w:rFonts w:ascii="Segoe UI" w:hAnsi="Segoe UI" w:cs="Segoe UI"/>
        </w:rPr>
        <w:t xml:space="preserve"> </w:t>
      </w:r>
      <w:r w:rsidR="00E45145" w:rsidRPr="00EC6177">
        <w:rPr>
          <w:rFonts w:ascii="Segoe UI" w:hAnsi="Segoe UI" w:cs="Segoe UI"/>
        </w:rPr>
        <w:t>en el arrendamiento.</w:t>
      </w:r>
    </w:p>
    <w:p w14:paraId="46CA14B8" w14:textId="082FB7FD" w:rsidR="00D63E9F" w:rsidRDefault="00CB6A49" w:rsidP="00CB6A49">
      <w:pPr>
        <w:spacing w:line="276" w:lineRule="auto"/>
        <w:jc w:val="both"/>
        <w:rPr>
          <w:rFonts w:ascii="Segoe UI" w:hAnsi="Segoe UI" w:cs="Segoe UI"/>
        </w:rPr>
      </w:pPr>
      <w:r>
        <w:rPr>
          <w:rFonts w:ascii="Segoe UI" w:hAnsi="Segoe UI" w:cs="Segoe UI"/>
        </w:rPr>
        <w:t>Se recomienda ver el A</w:t>
      </w:r>
      <w:r w:rsidR="00D63E9F" w:rsidRPr="00EC6177">
        <w:rPr>
          <w:rFonts w:ascii="Segoe UI" w:hAnsi="Segoe UI" w:cs="Segoe UI"/>
        </w:rPr>
        <w:t xml:space="preserve">nexo para obtener mayor información. </w:t>
      </w:r>
    </w:p>
    <w:bookmarkEnd w:id="1"/>
    <w:p w14:paraId="3299B33D" w14:textId="4A785D1D" w:rsidR="00140C35" w:rsidRDefault="00140C35" w:rsidP="00CB6A49">
      <w:pPr>
        <w:spacing w:line="276" w:lineRule="auto"/>
        <w:jc w:val="both"/>
        <w:rPr>
          <w:rFonts w:ascii="Segoe UI" w:hAnsi="Segoe UI" w:cs="Segoe UI"/>
          <w:b/>
          <w:bCs/>
        </w:rPr>
      </w:pPr>
      <w:r>
        <w:rPr>
          <w:rFonts w:ascii="Segoe UI" w:hAnsi="Segoe UI" w:cs="Segoe UI"/>
          <w:b/>
          <w:bCs/>
        </w:rPr>
        <w:t xml:space="preserve">3. </w:t>
      </w:r>
      <w:r w:rsidRPr="00140C35">
        <w:rPr>
          <w:rFonts w:ascii="Segoe UI" w:hAnsi="Segoe UI" w:cs="Segoe UI"/>
          <w:bCs/>
        </w:rPr>
        <w:t>No existen decisiones judiciales relacionadas a la vivienda asequible.</w:t>
      </w:r>
    </w:p>
    <w:p w14:paraId="24373994" w14:textId="6F29D33D" w:rsidR="00FD5FA6" w:rsidRPr="00EC6177" w:rsidRDefault="00CB6A49" w:rsidP="00CB6A49">
      <w:pPr>
        <w:spacing w:line="276" w:lineRule="auto"/>
        <w:jc w:val="both"/>
        <w:rPr>
          <w:rFonts w:ascii="Segoe UI" w:hAnsi="Segoe UI" w:cs="Segoe UI"/>
        </w:rPr>
      </w:pPr>
      <w:r>
        <w:rPr>
          <w:rFonts w:ascii="Segoe UI" w:hAnsi="Segoe UI" w:cs="Segoe UI"/>
          <w:b/>
          <w:bCs/>
        </w:rPr>
        <w:t xml:space="preserve">4. </w:t>
      </w:r>
      <w:bookmarkStart w:id="2" w:name="_Hlk135315578"/>
      <w:r w:rsidR="00FD5FA6" w:rsidRPr="00EC6177">
        <w:rPr>
          <w:rFonts w:ascii="Segoe UI" w:hAnsi="Segoe UI" w:cs="Segoe UI"/>
        </w:rPr>
        <w:t>A partir de la meta 11 de los objetivos de desarrollo sostenible comenzó a medirse en 2015 el indicador ODS 11.1.1 “</w:t>
      </w:r>
      <w:r w:rsidR="00FD5FA6" w:rsidRPr="000B1B6B">
        <w:rPr>
          <w:rFonts w:ascii="Segoe UI" w:hAnsi="Segoe UI" w:cs="Segoe UI"/>
          <w:i/>
        </w:rPr>
        <w:t>Hogares y población en zonas urbanas que habitan en barrios marginales, Asentamientos informales o viviendas inadecuadas</w:t>
      </w:r>
      <w:r w:rsidR="00FD5FA6" w:rsidRPr="00EC6177">
        <w:rPr>
          <w:rFonts w:ascii="Segoe UI" w:hAnsi="Segoe UI" w:cs="Segoe UI"/>
        </w:rPr>
        <w:t>”, el cual incluye dentro de sus componentes la carencia de asequibilidad de la vivienda.</w:t>
      </w:r>
    </w:p>
    <w:p w14:paraId="7A34D4F1" w14:textId="2BAE0101" w:rsidR="00FD5FA6" w:rsidRPr="00EC6177" w:rsidRDefault="00FD5FA6" w:rsidP="00CB6A49">
      <w:pPr>
        <w:spacing w:line="276" w:lineRule="auto"/>
        <w:jc w:val="both"/>
        <w:rPr>
          <w:rFonts w:ascii="Segoe UI" w:hAnsi="Segoe UI" w:cs="Segoe UI"/>
        </w:rPr>
      </w:pPr>
      <w:r w:rsidRPr="00EC6177">
        <w:rPr>
          <w:rFonts w:ascii="Segoe UI" w:hAnsi="Segoe UI" w:cs="Segoe UI"/>
        </w:rPr>
        <w:t>El indicador de “</w:t>
      </w:r>
      <w:r w:rsidRPr="000B1B6B">
        <w:rPr>
          <w:rFonts w:ascii="Segoe UI" w:hAnsi="Segoe UI" w:cs="Segoe UI"/>
          <w:i/>
        </w:rPr>
        <w:t>Carencia en Asequibilidad de Vivienda</w:t>
      </w:r>
      <w:r w:rsidRPr="00EC6177">
        <w:rPr>
          <w:rFonts w:ascii="Segoe UI" w:hAnsi="Segoe UI" w:cs="Segoe UI"/>
        </w:rPr>
        <w:t>”</w:t>
      </w:r>
      <w:r w:rsidR="000B1B6B">
        <w:rPr>
          <w:rStyle w:val="Refdenotaalpie"/>
          <w:rFonts w:ascii="Segoe UI" w:hAnsi="Segoe UI" w:cs="Segoe UI"/>
        </w:rPr>
        <w:footnoteReference w:id="5"/>
      </w:r>
      <w:r w:rsidRPr="00EC6177">
        <w:rPr>
          <w:rFonts w:ascii="Segoe UI" w:hAnsi="Segoe UI" w:cs="Segoe UI"/>
        </w:rPr>
        <w:t xml:space="preserve"> se mide a partir de la Encuesta de Caracterización Socioeconómica (</w:t>
      </w:r>
      <w:r w:rsidR="00CB6A49">
        <w:rPr>
          <w:rFonts w:ascii="Segoe UI" w:hAnsi="Segoe UI" w:cs="Segoe UI"/>
        </w:rPr>
        <w:t>CASEN</w:t>
      </w:r>
      <w:r w:rsidRPr="00EC6177">
        <w:rPr>
          <w:rFonts w:ascii="Segoe UI" w:hAnsi="Segoe UI" w:cs="Segoe UI"/>
        </w:rPr>
        <w:t>) del Ministerio de Desarrollo Social y Familia</w:t>
      </w:r>
      <w:r w:rsidRPr="00EC6177">
        <w:rPr>
          <w:rStyle w:val="Refdenotaalpie"/>
          <w:rFonts w:ascii="Segoe UI" w:hAnsi="Segoe UI" w:cs="Segoe UI"/>
        </w:rPr>
        <w:footnoteReference w:id="6"/>
      </w:r>
      <w:r w:rsidRPr="00EC6177">
        <w:rPr>
          <w:rFonts w:ascii="Segoe UI" w:hAnsi="Segoe UI" w:cs="Segoe UI"/>
        </w:rPr>
        <w:t xml:space="preserve">, y está disponible para los años 2015 y 2017. Este indicador considera que un hogar es carente </w:t>
      </w:r>
      <w:r w:rsidRPr="00EC6177">
        <w:rPr>
          <w:rFonts w:ascii="Segoe UI" w:hAnsi="Segoe UI" w:cs="Segoe UI"/>
        </w:rPr>
        <w:lastRenderedPageBreak/>
        <w:t>en asequibilidad cuando su gasto en vivienda (entendido sólo como gasto en arriendo o dividendo) excede el 30% de sus ingresos monetarios (ingresos autónomos más subsidios monetarios)</w:t>
      </w:r>
      <w:r w:rsidR="0009619B" w:rsidRPr="00EC6177">
        <w:rPr>
          <w:rStyle w:val="Refdenotaalpie"/>
          <w:rFonts w:ascii="Segoe UI" w:hAnsi="Segoe UI" w:cs="Segoe UI"/>
        </w:rPr>
        <w:footnoteReference w:id="7"/>
      </w:r>
      <w:r w:rsidRPr="00EC6177">
        <w:rPr>
          <w:rFonts w:ascii="Segoe UI" w:hAnsi="Segoe UI" w:cs="Segoe UI"/>
        </w:rPr>
        <w:t>.</w:t>
      </w:r>
      <w:bookmarkEnd w:id="2"/>
    </w:p>
    <w:p w14:paraId="691394FD" w14:textId="26D5AE09" w:rsidR="00C738A7" w:rsidRPr="00EC6177" w:rsidRDefault="00CB6A49" w:rsidP="00CB6A49">
      <w:pPr>
        <w:spacing w:line="276" w:lineRule="auto"/>
        <w:jc w:val="both"/>
        <w:rPr>
          <w:rFonts w:ascii="Segoe UI" w:hAnsi="Segoe UI" w:cs="Segoe UI"/>
        </w:rPr>
      </w:pPr>
      <w:r>
        <w:rPr>
          <w:rFonts w:ascii="Segoe UI" w:hAnsi="Segoe UI" w:cs="Segoe UI"/>
          <w:b/>
          <w:bCs/>
        </w:rPr>
        <w:t xml:space="preserve">5. </w:t>
      </w:r>
      <w:r w:rsidR="00C738A7" w:rsidRPr="00EC6177">
        <w:rPr>
          <w:rFonts w:ascii="Segoe UI" w:hAnsi="Segoe UI" w:cs="Segoe UI"/>
        </w:rPr>
        <w:t>El indicador solo permite comparar entre los años 2015 y 2017, y prontamente se tendrá información para el año 2022.  En el periodo 2015 y 2017 los hogares urbanos carentes en asequibilidad aumentaron desde 417.658 hogares (8,8%) a 536.439 (10,6%).</w:t>
      </w:r>
    </w:p>
    <w:p w14:paraId="78B33507" w14:textId="26C21C8D" w:rsidR="000B1B6B" w:rsidRPr="00EC6177" w:rsidRDefault="00C738A7" w:rsidP="00CB6A49">
      <w:pPr>
        <w:spacing w:line="276" w:lineRule="auto"/>
        <w:jc w:val="both"/>
        <w:rPr>
          <w:rFonts w:ascii="Segoe UI" w:hAnsi="Segoe UI" w:cs="Segoe UI"/>
        </w:rPr>
      </w:pPr>
      <w:r w:rsidRPr="00EC6177">
        <w:rPr>
          <w:rFonts w:ascii="Segoe UI" w:hAnsi="Segoe UI" w:cs="Segoe UI"/>
        </w:rPr>
        <w:t xml:space="preserve">A nivel regional, el porcentaje de hogares carentes en asequibilidad aumenta en 14 de las 16 regiones del país. Aquellas en que crece en mayor proporción son la Metropolitana, de 9,5% a 12,5%; Biobío, de 6,5% a 8,7% y Los Ríos, de 7,2% a 9,2%. Mientras disminuye en las regiones de Antofagasta, de 16,2% a 15,2% y marginalmente en Atacama de 6,8% en 2015 a 6,6% en 2017.  </w:t>
      </w:r>
    </w:p>
    <w:p w14:paraId="0E9B3EA8" w14:textId="7F8CC5AE" w:rsidR="008143D7" w:rsidRPr="00EC6177" w:rsidRDefault="00CB6A49" w:rsidP="00CB6A49">
      <w:pPr>
        <w:spacing w:line="276" w:lineRule="auto"/>
        <w:jc w:val="both"/>
        <w:rPr>
          <w:rFonts w:ascii="Segoe UI" w:hAnsi="Segoe UI" w:cs="Segoe UI"/>
        </w:rPr>
      </w:pPr>
      <w:r>
        <w:rPr>
          <w:rFonts w:ascii="Segoe UI" w:hAnsi="Segoe UI" w:cs="Segoe UI"/>
          <w:b/>
          <w:bCs/>
        </w:rPr>
        <w:t xml:space="preserve">6. </w:t>
      </w:r>
      <w:r w:rsidR="00C738A7" w:rsidRPr="00EC6177">
        <w:rPr>
          <w:rFonts w:ascii="Segoe UI" w:hAnsi="Segoe UI" w:cs="Segoe UI"/>
        </w:rPr>
        <w:t xml:space="preserve">Según los datos indicados en </w:t>
      </w:r>
      <w:r>
        <w:rPr>
          <w:rFonts w:ascii="Segoe UI" w:hAnsi="Segoe UI" w:cs="Segoe UI"/>
        </w:rPr>
        <w:t>CASEN</w:t>
      </w:r>
      <w:r w:rsidR="00C738A7" w:rsidRPr="00EC6177">
        <w:rPr>
          <w:rFonts w:ascii="Segoe UI" w:hAnsi="Segoe UI" w:cs="Segoe UI"/>
        </w:rPr>
        <w:t xml:space="preserve"> 2017, los grupos con mayor carencia de asequibilidad de vivienda, esto es tener un gasto en arriendo o dividendo que exceda el 30% de sus ingresos monetarios, incluyen a las personas con menores ingresos</w:t>
      </w:r>
      <w:r w:rsidR="00C738A7" w:rsidRPr="00EC6177">
        <w:rPr>
          <w:rStyle w:val="Refdenotaalpie"/>
          <w:rFonts w:ascii="Segoe UI" w:hAnsi="Segoe UI" w:cs="Segoe UI"/>
        </w:rPr>
        <w:footnoteReference w:id="8"/>
      </w:r>
      <w:r>
        <w:rPr>
          <w:rFonts w:ascii="Segoe UI" w:hAnsi="Segoe UI" w:cs="Segoe UI"/>
        </w:rPr>
        <w:t xml:space="preserve"> </w:t>
      </w:r>
      <w:r w:rsidR="00C738A7" w:rsidRPr="00EC6177">
        <w:rPr>
          <w:rFonts w:ascii="Segoe UI" w:hAnsi="Segoe UI" w:cs="Segoe UI"/>
        </w:rPr>
        <w:t>(quintiles I, II y III)), los hogares encabezados por mujeres, las personas más jóvenes, los hogares con menos integrantes, con jefe de hogar sin trabajo y hogares que arriendan la vivienda que habitan. Además, la ubicación y localización geográfica parece ser un factor importante,</w:t>
      </w:r>
      <w:r w:rsidR="008143D7" w:rsidRPr="00EC6177">
        <w:rPr>
          <w:rFonts w:ascii="Segoe UI" w:hAnsi="Segoe UI" w:cs="Segoe UI"/>
        </w:rPr>
        <w:t xml:space="preserve"> especialmente en zonas urbanas</w:t>
      </w:r>
    </w:p>
    <w:p w14:paraId="03C31491" w14:textId="5EB8FC8D" w:rsidR="00995F6B" w:rsidRPr="00EC6177" w:rsidRDefault="00CB6A49" w:rsidP="00CB6A49">
      <w:pPr>
        <w:shd w:val="clear" w:color="auto" w:fill="FFFFFF" w:themeFill="background1"/>
        <w:spacing w:line="276" w:lineRule="auto"/>
        <w:jc w:val="both"/>
        <w:rPr>
          <w:rFonts w:ascii="Segoe UI" w:hAnsi="Segoe UI" w:cs="Segoe UI"/>
        </w:rPr>
      </w:pPr>
      <w:r>
        <w:rPr>
          <w:rFonts w:ascii="Segoe UI" w:hAnsi="Segoe UI" w:cs="Segoe UI"/>
        </w:rPr>
        <w:t>En el A</w:t>
      </w:r>
      <w:r w:rsidR="008143D7" w:rsidRPr="00EC6177">
        <w:rPr>
          <w:rFonts w:ascii="Segoe UI" w:hAnsi="Segoe UI" w:cs="Segoe UI"/>
        </w:rPr>
        <w:t xml:space="preserve">nexo a esta presentación se proporciona </w:t>
      </w:r>
      <w:r w:rsidR="00880614" w:rsidRPr="00EC6177">
        <w:rPr>
          <w:rFonts w:ascii="Segoe UI" w:hAnsi="Segoe UI" w:cs="Segoe UI"/>
        </w:rPr>
        <w:t>mayor detalle</w:t>
      </w:r>
      <w:r>
        <w:rPr>
          <w:rFonts w:ascii="Segoe UI" w:hAnsi="Segoe UI" w:cs="Segoe UI"/>
        </w:rPr>
        <w:t xml:space="preserve"> al respecto.</w:t>
      </w:r>
    </w:p>
    <w:p w14:paraId="58C7BC48" w14:textId="60EABC78" w:rsidR="00F74734" w:rsidRPr="00EC6177" w:rsidRDefault="00CB6A49" w:rsidP="00CB6A49">
      <w:pPr>
        <w:spacing w:line="276" w:lineRule="auto"/>
        <w:jc w:val="both"/>
        <w:rPr>
          <w:rFonts w:ascii="Segoe UI" w:hAnsi="Segoe UI" w:cs="Segoe UI"/>
        </w:rPr>
      </w:pPr>
      <w:r w:rsidRPr="00CB6A49">
        <w:rPr>
          <w:rFonts w:ascii="Segoe UI" w:hAnsi="Segoe UI" w:cs="Segoe UI"/>
          <w:b/>
        </w:rPr>
        <w:t>7.</w:t>
      </w:r>
      <w:r>
        <w:rPr>
          <w:rFonts w:ascii="Segoe UI" w:hAnsi="Segoe UI" w:cs="Segoe UI"/>
        </w:rPr>
        <w:t xml:space="preserve"> </w:t>
      </w:r>
      <w:r w:rsidR="00F74734" w:rsidRPr="00EC6177">
        <w:rPr>
          <w:rFonts w:ascii="Segoe UI" w:hAnsi="Segoe UI" w:cs="Segoe UI"/>
        </w:rPr>
        <w:t>Es posible que la información esté desactualizada en el caso de algunos grupos que han aumentado respecto al año 2017 ya que la última versión de la encuesta CASEN no se encuentra disponible</w:t>
      </w:r>
      <w:r w:rsidR="009F405D" w:rsidRPr="00EC6177">
        <w:rPr>
          <w:rFonts w:ascii="Segoe UI" w:hAnsi="Segoe UI" w:cs="Segoe UI"/>
        </w:rPr>
        <w:t>, t</w:t>
      </w:r>
      <w:r w:rsidR="00F74734" w:rsidRPr="00EC6177">
        <w:rPr>
          <w:rFonts w:ascii="Segoe UI" w:hAnsi="Segoe UI" w:cs="Segoe UI"/>
        </w:rPr>
        <w:t>al es el caso de las personas migrantes o la población en campamentos</w:t>
      </w:r>
      <w:r w:rsidR="009F405D" w:rsidRPr="00EC6177">
        <w:rPr>
          <w:rFonts w:ascii="Segoe UI" w:hAnsi="Segoe UI" w:cs="Segoe UI"/>
        </w:rPr>
        <w:t>.</w:t>
      </w:r>
    </w:p>
    <w:p w14:paraId="018F0D5F" w14:textId="5D105D94" w:rsidR="00F74734" w:rsidRPr="00EC6177" w:rsidRDefault="00F74734" w:rsidP="00CB6A49">
      <w:pPr>
        <w:spacing w:line="276" w:lineRule="auto"/>
        <w:jc w:val="both"/>
        <w:rPr>
          <w:rFonts w:ascii="Segoe UI" w:hAnsi="Segoe UI" w:cs="Segoe UI"/>
        </w:rPr>
      </w:pPr>
      <w:r w:rsidRPr="00EC6177">
        <w:rPr>
          <w:rFonts w:ascii="Segoe UI" w:hAnsi="Segoe UI" w:cs="Segoe UI"/>
        </w:rPr>
        <w:t xml:space="preserve">Específicamente en el caso de las personas en situación de calle, la </w:t>
      </w:r>
      <w:r w:rsidR="00445CBF" w:rsidRPr="00EC6177">
        <w:rPr>
          <w:rFonts w:ascii="Segoe UI" w:hAnsi="Segoe UI" w:cs="Segoe UI"/>
        </w:rPr>
        <w:t>in-asequibilidad</w:t>
      </w:r>
      <w:r w:rsidRPr="00EC6177">
        <w:rPr>
          <w:rFonts w:ascii="Segoe UI" w:hAnsi="Segoe UI" w:cs="Segoe UI"/>
        </w:rPr>
        <w:t xml:space="preserve"> es total, razón por la que se entiende </w:t>
      </w:r>
      <w:r w:rsidR="009F405D" w:rsidRPr="00EC6177">
        <w:rPr>
          <w:rFonts w:ascii="Segoe UI" w:hAnsi="Segoe UI" w:cs="Segoe UI"/>
        </w:rPr>
        <w:t>que,</w:t>
      </w:r>
      <w:r w:rsidRPr="00EC6177">
        <w:rPr>
          <w:rFonts w:ascii="Segoe UI" w:hAnsi="Segoe UI" w:cs="Segoe UI"/>
        </w:rPr>
        <w:t xml:space="preserve"> para todas estas personas, la vivienda no sería asequible; </w:t>
      </w:r>
      <w:r w:rsidRPr="00EC6177">
        <w:rPr>
          <w:rFonts w:ascii="Segoe UI" w:hAnsi="Segoe UI" w:cs="Segoe UI"/>
        </w:rPr>
        <w:lastRenderedPageBreak/>
        <w:t xml:space="preserve">al respecto el Ministerio de Desarrollo Social, se encuentra elaborando el próximo catastro nacional de personas en situación de calle. </w:t>
      </w:r>
    </w:p>
    <w:p w14:paraId="597EFE87" w14:textId="53E708DB" w:rsidR="00F74734" w:rsidRPr="00EC6177" w:rsidRDefault="00F74734" w:rsidP="00CB6A49">
      <w:pPr>
        <w:spacing w:line="276" w:lineRule="auto"/>
        <w:jc w:val="both"/>
        <w:rPr>
          <w:rFonts w:ascii="Segoe UI" w:hAnsi="Segoe UI" w:cs="Segoe UI"/>
        </w:rPr>
      </w:pPr>
      <w:r w:rsidRPr="00EC6177">
        <w:rPr>
          <w:rFonts w:ascii="Segoe UI" w:hAnsi="Segoe UI" w:cs="Segoe UI"/>
        </w:rPr>
        <w:t xml:space="preserve">En cuanto a la población en asentamientos precarios, </w:t>
      </w:r>
      <w:r w:rsidR="00CB6A49">
        <w:rPr>
          <w:rFonts w:ascii="Segoe UI" w:hAnsi="Segoe UI" w:cs="Segoe UI"/>
        </w:rPr>
        <w:t>el Ministerio de Vivienda y Urbanismo (</w:t>
      </w:r>
      <w:r w:rsidRPr="00EC6177">
        <w:rPr>
          <w:rFonts w:ascii="Segoe UI" w:hAnsi="Segoe UI" w:cs="Segoe UI"/>
        </w:rPr>
        <w:t>MINVU</w:t>
      </w:r>
      <w:r w:rsidR="00CB6A49">
        <w:rPr>
          <w:rFonts w:ascii="Segoe UI" w:hAnsi="Segoe UI" w:cs="Segoe UI"/>
        </w:rPr>
        <w:t>) realizó el C</w:t>
      </w:r>
      <w:r w:rsidRPr="00EC6177">
        <w:rPr>
          <w:rFonts w:ascii="Segoe UI" w:hAnsi="Segoe UI" w:cs="Segoe UI"/>
        </w:rPr>
        <w:t xml:space="preserve">atastro Nacional de Campamentos año 2022. En este catastro se consulta a </w:t>
      </w:r>
      <w:r w:rsidR="00633763" w:rsidRPr="00EC6177">
        <w:rPr>
          <w:rFonts w:ascii="Segoe UI" w:hAnsi="Segoe UI" w:cs="Segoe UI"/>
        </w:rPr>
        <w:t>las personas</w:t>
      </w:r>
      <w:r w:rsidRPr="00EC6177">
        <w:rPr>
          <w:rFonts w:ascii="Segoe UI" w:hAnsi="Segoe UI" w:cs="Segoe UI"/>
        </w:rPr>
        <w:t xml:space="preserve"> sobre las razones de llegada al campamento, presentando opciones de respuesta para que las personas seleccionen en orden de prioridad las tres principales. Las razones presentadas son:  </w:t>
      </w:r>
      <w:r w:rsidR="00CB6A49" w:rsidRPr="00EC6177">
        <w:rPr>
          <w:rFonts w:ascii="Segoe UI" w:hAnsi="Segoe UI" w:cs="Segoe UI"/>
        </w:rPr>
        <w:t>por los bajos ingresos en el hogar, por el alto costo de los arriendos, por falta de empleo/cesantía, por necesidad de independencia (dejar de ser allegado), otra razón.</w:t>
      </w:r>
    </w:p>
    <w:p w14:paraId="20C5B1E1" w14:textId="241D7569" w:rsidR="00B915C0" w:rsidRPr="00EC6177" w:rsidRDefault="00CB6A49" w:rsidP="00CB6A49">
      <w:pPr>
        <w:spacing w:line="276" w:lineRule="auto"/>
        <w:jc w:val="both"/>
        <w:rPr>
          <w:rFonts w:ascii="Segoe UI" w:hAnsi="Segoe UI" w:cs="Segoe UI"/>
        </w:rPr>
      </w:pPr>
      <w:r>
        <w:rPr>
          <w:rFonts w:ascii="Segoe UI" w:hAnsi="Segoe UI" w:cs="Segoe UI"/>
          <w:b/>
          <w:bCs/>
        </w:rPr>
        <w:t xml:space="preserve">8. </w:t>
      </w:r>
      <w:r w:rsidR="00B915C0" w:rsidRPr="00EC6177">
        <w:rPr>
          <w:rFonts w:ascii="Segoe UI" w:hAnsi="Segoe UI" w:cs="Segoe UI"/>
        </w:rPr>
        <w:t>En Chile, en la última década, los precios de venta y arriendo de vivienda han crecido muy por sobre las remuneraciones. Según información del Banco Central de Chile, a diciembre 2022 se observa que los precios de vivienda han crecido un 58% por sobre la inflación en una década, mientras que los ingresos reales solo lo han hecho en un 13%</w:t>
      </w:r>
      <w:r w:rsidR="009F405D" w:rsidRPr="00EC6177">
        <w:rPr>
          <w:rFonts w:ascii="Segoe UI" w:hAnsi="Segoe UI" w:cs="Segoe UI"/>
        </w:rPr>
        <w:t>.</w:t>
      </w:r>
    </w:p>
    <w:p w14:paraId="5B45D0F0" w14:textId="77777777" w:rsidR="00B915C0" w:rsidRPr="00EC6177" w:rsidRDefault="00B915C0" w:rsidP="00CB6A49">
      <w:pPr>
        <w:spacing w:line="276" w:lineRule="auto"/>
        <w:jc w:val="both"/>
        <w:rPr>
          <w:rFonts w:ascii="Segoe UI" w:hAnsi="Segoe UI" w:cs="Segoe UI"/>
        </w:rPr>
      </w:pPr>
      <w:r w:rsidRPr="00EC6177">
        <w:rPr>
          <w:rFonts w:ascii="Segoe UI" w:hAnsi="Segoe UI" w:cs="Segoe UI"/>
        </w:rPr>
        <w:t>Lo anterior, se explica tanto por los cambios demográficos que han impulsado una mayor demanda habitacional, como por el incremento en el precio de los terrenos bien localizados y, más recientemente, por el alza en el costo de materiales, a lo que se suma la crisis económica asociada a los efectos del COVID.</w:t>
      </w:r>
    </w:p>
    <w:p w14:paraId="273E78F8" w14:textId="57A746E8" w:rsidR="009F493E" w:rsidRPr="00EC6177" w:rsidRDefault="00B915C0" w:rsidP="00CB6A49">
      <w:pPr>
        <w:spacing w:line="276" w:lineRule="auto"/>
        <w:jc w:val="both"/>
        <w:rPr>
          <w:rFonts w:ascii="Segoe UI" w:hAnsi="Segoe UI" w:cs="Segoe UI"/>
        </w:rPr>
      </w:pPr>
      <w:r w:rsidRPr="00EC6177">
        <w:rPr>
          <w:rFonts w:ascii="Segoe UI" w:hAnsi="Segoe UI" w:cs="Segoe UI"/>
        </w:rPr>
        <w:t>Por otro lado, el Catastro Nacional de Campamentos (</w:t>
      </w:r>
      <w:r w:rsidR="00CB6A49">
        <w:rPr>
          <w:rFonts w:ascii="Segoe UI" w:hAnsi="Segoe UI" w:cs="Segoe UI"/>
        </w:rPr>
        <w:t>MINVU</w:t>
      </w:r>
      <w:r w:rsidRPr="00EC6177">
        <w:rPr>
          <w:rFonts w:ascii="Segoe UI" w:hAnsi="Segoe UI" w:cs="Segoe UI"/>
        </w:rPr>
        <w:t xml:space="preserve"> 2022) indica las principales razones para residir en un asentamiento irregular son los bajos ingresos en el hogar y el alto costo de los arriendos</w:t>
      </w:r>
      <w:r w:rsidR="009F405D" w:rsidRPr="00EC6177">
        <w:rPr>
          <w:rFonts w:ascii="Segoe UI" w:hAnsi="Segoe UI" w:cs="Segoe UI"/>
        </w:rPr>
        <w:t>.</w:t>
      </w:r>
      <w:r w:rsidRPr="00EC6177">
        <w:rPr>
          <w:rFonts w:ascii="Segoe UI" w:hAnsi="Segoe UI" w:cs="Segoe UI"/>
        </w:rPr>
        <w:t xml:space="preserve"> </w:t>
      </w:r>
    </w:p>
    <w:p w14:paraId="14325082" w14:textId="523A834A" w:rsidR="00A46D9C" w:rsidRPr="00EC6177" w:rsidRDefault="00CB6A49" w:rsidP="00CB6A49">
      <w:pPr>
        <w:spacing w:line="276" w:lineRule="auto"/>
        <w:jc w:val="both"/>
        <w:rPr>
          <w:rFonts w:ascii="Segoe UI" w:hAnsi="Segoe UI" w:cs="Segoe UI"/>
        </w:rPr>
      </w:pPr>
      <w:r>
        <w:rPr>
          <w:rFonts w:ascii="Segoe UI" w:hAnsi="Segoe UI" w:cs="Segoe UI"/>
          <w:b/>
          <w:bCs/>
        </w:rPr>
        <w:t xml:space="preserve">9. </w:t>
      </w:r>
      <w:r w:rsidR="00A46D9C" w:rsidRPr="00EC6177">
        <w:rPr>
          <w:rFonts w:ascii="Segoe UI" w:hAnsi="Segoe UI" w:cs="Segoe UI"/>
        </w:rPr>
        <w:t>Según el Ministerio de Bienes Nacionales, aproximadamente el 53,69% del territorio de Chile continental es de dominio fiscal (40.594.017 millones de hectáreas), del cual un 21,1% (16.002.572 millones de hectáreas) son áreas protegidas del Estado (SNASPE) y otro 13% está bajo la tuición directa de Bienes Nacionales (10 millones de hectáreas). De esta última cifra, la mitad corresponde a la Reserva Territorial Fiscal, compuesta en su gran mayoría por territorios inexplorados y de difícil acceso, dadas las dificultades geográficas y climáticas existentes, en especial en las zonas extremas. No se dispone de datos respecto al porcentaje de la tierra controlada por el Estado en áreas potencialmente habitables.</w:t>
      </w:r>
    </w:p>
    <w:p w14:paraId="0B4B962A" w14:textId="552652A0" w:rsidR="00BD4236" w:rsidRPr="00EC6177" w:rsidRDefault="00CB6A49" w:rsidP="00CB6A49">
      <w:pPr>
        <w:spacing w:line="276" w:lineRule="auto"/>
        <w:jc w:val="both"/>
        <w:rPr>
          <w:rFonts w:ascii="Segoe UI" w:hAnsi="Segoe UI" w:cs="Segoe UI"/>
        </w:rPr>
      </w:pPr>
      <w:r>
        <w:rPr>
          <w:rFonts w:ascii="Segoe UI" w:hAnsi="Segoe UI" w:cs="Segoe UI"/>
        </w:rPr>
        <w:t>El A</w:t>
      </w:r>
      <w:r w:rsidR="00BD4236" w:rsidRPr="00EC6177">
        <w:rPr>
          <w:rFonts w:ascii="Segoe UI" w:hAnsi="Segoe UI" w:cs="Segoe UI"/>
        </w:rPr>
        <w:t>nexo describe la normativa al respecto.</w:t>
      </w:r>
    </w:p>
    <w:p w14:paraId="1B0AE0A0" w14:textId="062D4C22" w:rsidR="00F74734" w:rsidRPr="00EC6177" w:rsidRDefault="00CB6A49" w:rsidP="00CB6A49">
      <w:pPr>
        <w:spacing w:line="276" w:lineRule="auto"/>
        <w:jc w:val="both"/>
        <w:rPr>
          <w:rFonts w:ascii="Segoe UI" w:hAnsi="Segoe UI" w:cs="Segoe UI"/>
        </w:rPr>
      </w:pPr>
      <w:r>
        <w:rPr>
          <w:rFonts w:ascii="Segoe UI" w:hAnsi="Segoe UI" w:cs="Segoe UI"/>
          <w:b/>
          <w:bCs/>
        </w:rPr>
        <w:t xml:space="preserve">10. </w:t>
      </w:r>
      <w:r w:rsidR="00F74734" w:rsidRPr="00EC6177">
        <w:rPr>
          <w:rFonts w:ascii="Segoe UI" w:hAnsi="Segoe UI" w:cs="Segoe UI"/>
        </w:rPr>
        <w:t xml:space="preserve">El MINVU </w:t>
      </w:r>
      <w:r w:rsidR="00422413" w:rsidRPr="00EC6177">
        <w:rPr>
          <w:rFonts w:ascii="Segoe UI" w:hAnsi="Segoe UI" w:cs="Segoe UI"/>
        </w:rPr>
        <w:t>no cuenta</w:t>
      </w:r>
      <w:r w:rsidR="00F74734" w:rsidRPr="00EC6177">
        <w:rPr>
          <w:rFonts w:ascii="Segoe UI" w:hAnsi="Segoe UI" w:cs="Segoe UI"/>
        </w:rPr>
        <w:t xml:space="preserve"> </w:t>
      </w:r>
      <w:r w:rsidR="00422413" w:rsidRPr="00EC6177">
        <w:rPr>
          <w:rFonts w:ascii="Segoe UI" w:hAnsi="Segoe UI" w:cs="Segoe UI"/>
        </w:rPr>
        <w:t>con un</w:t>
      </w:r>
      <w:r w:rsidR="00F74734" w:rsidRPr="00EC6177">
        <w:rPr>
          <w:rFonts w:ascii="Segoe UI" w:hAnsi="Segoe UI" w:cs="Segoe UI"/>
        </w:rPr>
        <w:t xml:space="preserve"> registro de los procesos de desalojos ejecutados en Chile. </w:t>
      </w:r>
    </w:p>
    <w:p w14:paraId="16A55449" w14:textId="77777777" w:rsidR="00F74734" w:rsidRPr="00EC6177" w:rsidRDefault="00F74734" w:rsidP="00CB6A49">
      <w:pPr>
        <w:spacing w:line="276" w:lineRule="auto"/>
        <w:jc w:val="both"/>
        <w:rPr>
          <w:rFonts w:ascii="Segoe UI" w:hAnsi="Segoe UI" w:cs="Segoe UI"/>
        </w:rPr>
      </w:pPr>
      <w:r w:rsidRPr="00EC6177">
        <w:rPr>
          <w:rFonts w:ascii="Segoe UI" w:hAnsi="Segoe UI" w:cs="Segoe UI"/>
        </w:rPr>
        <w:lastRenderedPageBreak/>
        <w:t>En el caso de los desalojos de terrenos o inmuebles que pertenecen a privados, indirectamente se podría contar con información no sistematizada, a partir de las órdenes judiciales dictadas por los tribunales de justicia; y en el caso de los terrenos de propiedad del Estado, mediante consulta a las Delegaciones Presidenciales Provinciales por cuanto estos organismos son los facultados por Ley para realizar desalojos, u obtener la restitución del inmueble por la vía administrativa.</w:t>
      </w:r>
    </w:p>
    <w:p w14:paraId="3A4A083F" w14:textId="0D657E64" w:rsidR="00FC7ABB" w:rsidRPr="00EC6177" w:rsidRDefault="00CB6A49" w:rsidP="00CB6A49">
      <w:pPr>
        <w:spacing w:line="276" w:lineRule="auto"/>
        <w:jc w:val="both"/>
        <w:rPr>
          <w:rFonts w:ascii="Segoe UI" w:hAnsi="Segoe UI" w:cs="Segoe UI"/>
        </w:rPr>
      </w:pPr>
      <w:r>
        <w:rPr>
          <w:rFonts w:ascii="Segoe UI" w:hAnsi="Segoe UI" w:cs="Segoe UI"/>
          <w:b/>
          <w:bCs/>
        </w:rPr>
        <w:t xml:space="preserve">11. </w:t>
      </w:r>
      <w:r w:rsidR="00FC7ABB" w:rsidRPr="00EC6177">
        <w:rPr>
          <w:rFonts w:ascii="Segoe UI" w:hAnsi="Segoe UI" w:cs="Segoe UI"/>
        </w:rPr>
        <w:t xml:space="preserve">Solo se tiene información de las razones de las personas en </w:t>
      </w:r>
      <w:r w:rsidR="002A72E9" w:rsidRPr="00EC6177">
        <w:rPr>
          <w:rFonts w:ascii="Segoe UI" w:hAnsi="Segoe UI" w:cs="Segoe UI"/>
        </w:rPr>
        <w:t>asentamientos precarios</w:t>
      </w:r>
      <w:r w:rsidR="006E69D2" w:rsidRPr="00EC6177">
        <w:rPr>
          <w:rFonts w:ascii="Segoe UI" w:hAnsi="Segoe UI" w:cs="Segoe UI"/>
        </w:rPr>
        <w:t xml:space="preserve">, llamados en Chile </w:t>
      </w:r>
      <w:r w:rsidR="009F405D" w:rsidRPr="00EC6177">
        <w:rPr>
          <w:rFonts w:ascii="Segoe UI" w:hAnsi="Segoe UI" w:cs="Segoe UI"/>
          <w:i/>
          <w:iCs/>
        </w:rPr>
        <w:t>c</w:t>
      </w:r>
      <w:r w:rsidR="006E69D2" w:rsidRPr="00EC6177">
        <w:rPr>
          <w:rFonts w:ascii="Segoe UI" w:hAnsi="Segoe UI" w:cs="Segoe UI"/>
          <w:i/>
          <w:iCs/>
        </w:rPr>
        <w:t>ampamentos</w:t>
      </w:r>
      <w:r w:rsidR="009F405D" w:rsidRPr="00EC6177">
        <w:rPr>
          <w:rStyle w:val="Refdenotaalpie"/>
          <w:rFonts w:ascii="Segoe UI" w:hAnsi="Segoe UI" w:cs="Segoe UI"/>
        </w:rPr>
        <w:footnoteReference w:id="9"/>
      </w:r>
      <w:r w:rsidR="009F405D" w:rsidRPr="00EC6177">
        <w:rPr>
          <w:rFonts w:ascii="Segoe UI" w:hAnsi="Segoe UI" w:cs="Segoe UI"/>
        </w:rPr>
        <w:t>. E</w:t>
      </w:r>
      <w:r w:rsidR="00FC7ABB" w:rsidRPr="00EC6177">
        <w:rPr>
          <w:rFonts w:ascii="Segoe UI" w:hAnsi="Segoe UI" w:cs="Segoe UI"/>
        </w:rPr>
        <w:t>n este sentido, al año 2022 se tiene que 42% de los hogares residentes en campamentos arrendaba una vivienda sin contrato antes de residir en el asentamiento, mientras que un 55% indica que dentro de las razones para llegar al campamento están los bajos ingresos en el hogar y un 47% por el alto costo de los arriendos (Catastro Nacional de Campamentos, 2022)</w:t>
      </w:r>
      <w:r w:rsidR="00633763" w:rsidRPr="00EC6177">
        <w:rPr>
          <w:rFonts w:ascii="Segoe UI" w:hAnsi="Segoe UI" w:cs="Segoe UI"/>
        </w:rPr>
        <w:t>.</w:t>
      </w:r>
    </w:p>
    <w:p w14:paraId="2549435B" w14:textId="7D33F026" w:rsidR="00C37016" w:rsidRPr="00CB6A49" w:rsidRDefault="00CB6A49" w:rsidP="00CB6A49">
      <w:pPr>
        <w:spacing w:line="276" w:lineRule="auto"/>
        <w:jc w:val="both"/>
        <w:rPr>
          <w:rFonts w:ascii="Segoe UI" w:hAnsi="Segoe UI" w:cs="Segoe UI"/>
          <w:b/>
          <w:bCs/>
        </w:rPr>
      </w:pPr>
      <w:r>
        <w:rPr>
          <w:rFonts w:ascii="Segoe UI" w:hAnsi="Segoe UI" w:cs="Segoe UI"/>
          <w:b/>
          <w:bCs/>
        </w:rPr>
        <w:t xml:space="preserve">12. </w:t>
      </w:r>
      <w:r w:rsidR="00C37016" w:rsidRPr="00EC6177">
        <w:rPr>
          <w:rFonts w:ascii="Segoe UI" w:hAnsi="Segoe UI" w:cs="Segoe UI"/>
        </w:rPr>
        <w:t xml:space="preserve">La inasequibilidad, como consecuencia del aumento del costo de la vivienda y </w:t>
      </w:r>
      <w:r w:rsidR="00190341" w:rsidRPr="00EC6177">
        <w:rPr>
          <w:rFonts w:ascii="Segoe UI" w:hAnsi="Segoe UI" w:cs="Segoe UI"/>
        </w:rPr>
        <w:t>el limitado</w:t>
      </w:r>
      <w:r w:rsidR="00C37016" w:rsidRPr="00EC6177">
        <w:rPr>
          <w:rFonts w:ascii="Segoe UI" w:hAnsi="Segoe UI" w:cs="Segoe UI"/>
        </w:rPr>
        <w:t xml:space="preserve"> acceso a créditos hipotecarios ha significado que muchas familias de bajos ingresos vean precarizadas sus condiciones de vida y se refleja en:   </w:t>
      </w:r>
    </w:p>
    <w:p w14:paraId="06A9C956" w14:textId="77777777"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Baja accesibilidad a bienes y servicio urbanos</w:t>
      </w:r>
    </w:p>
    <w:p w14:paraId="3A9DA276" w14:textId="77777777"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Incremento sostenido de los asentamientos precarios</w:t>
      </w:r>
    </w:p>
    <w:p w14:paraId="4C6E67E0" w14:textId="77777777"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Baja escolaridad y deserción</w:t>
      </w:r>
    </w:p>
    <w:p w14:paraId="4293E281" w14:textId="77777777"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Estigmatización y exclusión</w:t>
      </w:r>
    </w:p>
    <w:p w14:paraId="3E653871" w14:textId="3AB138C0"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Salubridad</w:t>
      </w:r>
      <w:r w:rsidR="00C561AF" w:rsidRPr="00EC6177">
        <w:rPr>
          <w:rFonts w:ascii="Segoe UI" w:hAnsi="Segoe UI" w:cs="Segoe UI"/>
        </w:rPr>
        <w:t>- vivir en infravivienda con problemas de salubridad</w:t>
      </w:r>
    </w:p>
    <w:p w14:paraId="4C332F20" w14:textId="692BF437" w:rsidR="00C37016"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Seguridad</w:t>
      </w:r>
      <w:r w:rsidR="00C561AF" w:rsidRPr="00EC6177">
        <w:rPr>
          <w:rFonts w:ascii="Segoe UI" w:hAnsi="Segoe UI" w:cs="Segoe UI"/>
        </w:rPr>
        <w:t xml:space="preserve"> - vivir en áreas inseguras respecto a áreas de amenazas naturales y antrópicas (Vivir en entornos donde se producen delitos)</w:t>
      </w:r>
    </w:p>
    <w:p w14:paraId="4401CE55" w14:textId="77777777" w:rsidR="00C561AF" w:rsidRPr="00EC6177" w:rsidRDefault="00C37016"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Contaminación</w:t>
      </w:r>
      <w:r w:rsidR="00C561AF" w:rsidRPr="00EC6177">
        <w:rPr>
          <w:rFonts w:ascii="Segoe UI" w:hAnsi="Segoe UI" w:cs="Segoe UI"/>
        </w:rPr>
        <w:t xml:space="preserve"> – vivir en áreas contaminadas</w:t>
      </w:r>
    </w:p>
    <w:p w14:paraId="1377BEB8" w14:textId="1300AEC2" w:rsidR="00C561AF" w:rsidRDefault="00C561AF" w:rsidP="00CB6A49">
      <w:pPr>
        <w:pStyle w:val="Prrafodelista"/>
        <w:numPr>
          <w:ilvl w:val="0"/>
          <w:numId w:val="8"/>
        </w:numPr>
        <w:spacing w:line="276" w:lineRule="auto"/>
        <w:contextualSpacing w:val="0"/>
        <w:jc w:val="both"/>
        <w:rPr>
          <w:rFonts w:ascii="Segoe UI" w:hAnsi="Segoe UI" w:cs="Segoe UI"/>
        </w:rPr>
      </w:pPr>
      <w:r w:rsidRPr="00EC6177">
        <w:rPr>
          <w:rFonts w:ascii="Segoe UI" w:hAnsi="Segoe UI" w:cs="Segoe UI"/>
        </w:rPr>
        <w:t xml:space="preserve">Personas que sufren violencia, no tienen autonomía para vivir lejos de victimarios, caso de mujeres y personas adultas. </w:t>
      </w:r>
    </w:p>
    <w:p w14:paraId="453778F1" w14:textId="7F811B92" w:rsidR="00D15EA5" w:rsidRPr="00EC6177" w:rsidRDefault="009E2F0F" w:rsidP="00CB6A49">
      <w:pPr>
        <w:pStyle w:val="Prrafodelista"/>
        <w:spacing w:line="276" w:lineRule="auto"/>
        <w:ind w:left="0"/>
        <w:contextualSpacing w:val="0"/>
        <w:jc w:val="both"/>
        <w:rPr>
          <w:rFonts w:ascii="Segoe UI" w:hAnsi="Segoe UI" w:cs="Segoe UI"/>
        </w:rPr>
      </w:pPr>
      <w:r w:rsidRPr="00EC6177">
        <w:rPr>
          <w:rFonts w:ascii="Segoe UI" w:hAnsi="Segoe UI" w:cs="Segoe UI"/>
          <w:b/>
          <w:bCs/>
        </w:rPr>
        <w:lastRenderedPageBreak/>
        <w:t xml:space="preserve">13. </w:t>
      </w:r>
      <w:r w:rsidR="00D15EA5" w:rsidRPr="00EC6177">
        <w:rPr>
          <w:rFonts w:ascii="Segoe UI" w:hAnsi="Segoe UI" w:cs="Segoe UI"/>
        </w:rPr>
        <w:t>La Ley 21.450, sobre Integración Social en la Planificación Urbana, Gestión de Suelo y Plan de Emergencia Habitacional</w:t>
      </w:r>
      <w:r w:rsidR="00D15EA5" w:rsidRPr="00EC6177">
        <w:rPr>
          <w:rStyle w:val="Refdenotaalpie"/>
          <w:rFonts w:ascii="Segoe UI" w:hAnsi="Segoe UI" w:cs="Segoe UI"/>
        </w:rPr>
        <w:footnoteReference w:id="10"/>
      </w:r>
      <w:r w:rsidR="00D15EA5" w:rsidRPr="00EC6177">
        <w:rPr>
          <w:rFonts w:ascii="Segoe UI" w:hAnsi="Segoe UI" w:cs="Segoe UI"/>
        </w:rPr>
        <w:t xml:space="preserve"> representa un consenso nacional respecto a cómo enfrentar la actual crisis habitacional chilena, dando énfasis al rol de Estado en la planificación territorial y urbana, con herramientas para adquirir y normar suelo, así como instrumentos para producir viviendas de manera más eficiente y efectiva. Además de facilitar la acción pública, esta Ley es relevante en cuanto es el primer instrumento legal que obliga a la planificación local, a través de los planes reguladores, incorporar la vivienda de interés público y el concepto de integración social.</w:t>
      </w:r>
    </w:p>
    <w:p w14:paraId="7C277F80" w14:textId="74795E96" w:rsidR="00D15EA5" w:rsidRPr="00EC6177" w:rsidRDefault="00D15EA5" w:rsidP="00CB6A49">
      <w:pPr>
        <w:shd w:val="clear" w:color="auto" w:fill="FFFFFF"/>
        <w:spacing w:line="276" w:lineRule="auto"/>
        <w:jc w:val="both"/>
        <w:rPr>
          <w:rFonts w:ascii="Segoe UI" w:hAnsi="Segoe UI" w:cs="Segoe UI"/>
        </w:rPr>
      </w:pPr>
      <w:r w:rsidRPr="00EC6177">
        <w:rPr>
          <w:rFonts w:ascii="Segoe UI" w:hAnsi="Segoe UI" w:cs="Segoe UI"/>
        </w:rPr>
        <w:t>El P</w:t>
      </w:r>
      <w:r w:rsidR="00CA3000" w:rsidRPr="00EC6177">
        <w:rPr>
          <w:rFonts w:ascii="Segoe UI" w:hAnsi="Segoe UI" w:cs="Segoe UI"/>
        </w:rPr>
        <w:t>EH</w:t>
      </w:r>
      <w:r w:rsidRPr="00EC6177">
        <w:rPr>
          <w:rStyle w:val="Refdenotaalpie"/>
          <w:rFonts w:ascii="Segoe UI" w:hAnsi="Segoe UI" w:cs="Segoe UI"/>
        </w:rPr>
        <w:footnoteReference w:id="11"/>
      </w:r>
      <w:r w:rsidRPr="00EC6177">
        <w:rPr>
          <w:rFonts w:ascii="Segoe UI" w:hAnsi="Segoe UI" w:cs="Segoe UI"/>
        </w:rPr>
        <w:t xml:space="preserve"> </w:t>
      </w:r>
      <w:r w:rsidR="00190341" w:rsidRPr="00EC6177">
        <w:rPr>
          <w:rFonts w:ascii="Segoe UI" w:hAnsi="Segoe UI" w:cs="Segoe UI"/>
        </w:rPr>
        <w:t>tiene por objetivo</w:t>
      </w:r>
      <w:r w:rsidR="00F74734" w:rsidRPr="00EC6177">
        <w:rPr>
          <w:rFonts w:ascii="Segoe UI" w:hAnsi="Segoe UI" w:cs="Segoe UI"/>
        </w:rPr>
        <w:t xml:space="preserve"> entregar 260.000 viviendas adicionales en el periodo presidencial 2022-2025, </w:t>
      </w:r>
      <w:r w:rsidRPr="00EC6177">
        <w:rPr>
          <w:rFonts w:ascii="Segoe UI" w:hAnsi="Segoe UI" w:cs="Segoe UI"/>
        </w:rPr>
        <w:t xml:space="preserve">se plantea el objetivo de recuperar el rol del Estado en la planificación y gestión habitacional para avanzar en el derecho a la vivienda digna y adecuada, garantizando la tenencia segura ya sea en propiedad individual, colectiva o en arriendo, evitando los abusos y la especulación. Para ello, propone ajustar los programas habitacionales vigentes e incorporar nuevas opciones que diversifiquen las posibilidades de acceder a la vivienda y que establezcan mecanismos innovadores para su producción y financiamiento, así como mejorar y agilizar los procesos de gestión que den mayor efectividad a las intervenciones. </w:t>
      </w:r>
    </w:p>
    <w:p w14:paraId="2105A0DD" w14:textId="4E1EC057" w:rsidR="009E2F0F" w:rsidRPr="00EC6177" w:rsidRDefault="00D15EA5" w:rsidP="00CB6A49">
      <w:pPr>
        <w:shd w:val="clear" w:color="auto" w:fill="FFFFFF"/>
        <w:spacing w:line="276" w:lineRule="auto"/>
        <w:jc w:val="both"/>
        <w:rPr>
          <w:rFonts w:ascii="Segoe UI" w:hAnsi="Segoe UI" w:cs="Segoe UI"/>
        </w:rPr>
      </w:pPr>
      <w:r w:rsidRPr="00EC6177">
        <w:rPr>
          <w:rFonts w:ascii="Segoe UI" w:hAnsi="Segoe UI" w:cs="Segoe UI"/>
        </w:rPr>
        <w:t xml:space="preserve">Considera la introducción de diversas líneas programáticas, planes o propuestas, entre ellos: Sistema de Edificación Directa </w:t>
      </w:r>
      <w:r w:rsidR="00CB6A49">
        <w:rPr>
          <w:rFonts w:ascii="Segoe UI" w:hAnsi="Segoe UI" w:cs="Segoe UI"/>
        </w:rPr>
        <w:t>Servicio de Vivienda y Urbanización (SERVIU)</w:t>
      </w:r>
      <w:r w:rsidRPr="00EC6177">
        <w:rPr>
          <w:rFonts w:ascii="Segoe UI" w:hAnsi="Segoe UI" w:cs="Segoe UI"/>
        </w:rPr>
        <w:t xml:space="preserve">, Programa de Vivienda para Organizaciones de Trabajadores, Programa de Vivienda Pública a Precio Justo, Programa de Vivienda Municipal, Programa de autoconstrucción e industrialización, Programa de Micro Radicación y Pequeños Condominios, Programa de Habitabilidad Rural, Programa de Cooperativas, Plan Campamentos- Construyendo Barrios. Considera además la adecuación de los programas Fondo Solidario de Elección de Vivienda y Programa de Integración Social y Territorial, para incrementar y proveer soluciones oportunas, especialmente a través de la gestión de suelos públicos. </w:t>
      </w:r>
    </w:p>
    <w:p w14:paraId="6AFD6FA4" w14:textId="38357819" w:rsidR="00633763" w:rsidRPr="00EC6177" w:rsidRDefault="009E2F0F" w:rsidP="00CB6A49">
      <w:pPr>
        <w:pStyle w:val="Prrafodelista"/>
        <w:spacing w:line="276" w:lineRule="auto"/>
        <w:ind w:left="0"/>
        <w:contextualSpacing w:val="0"/>
        <w:jc w:val="both"/>
        <w:rPr>
          <w:rFonts w:ascii="Segoe UI" w:hAnsi="Segoe UI" w:cs="Segoe UI"/>
        </w:rPr>
      </w:pPr>
      <w:r w:rsidRPr="00EC6177">
        <w:rPr>
          <w:rFonts w:ascii="Segoe UI" w:hAnsi="Segoe UI" w:cs="Segoe UI"/>
          <w:b/>
          <w:bCs/>
        </w:rPr>
        <w:t xml:space="preserve">14. </w:t>
      </w:r>
      <w:r w:rsidR="00D15EA5" w:rsidRPr="00EC6177">
        <w:rPr>
          <w:rFonts w:ascii="Segoe UI" w:hAnsi="Segoe UI" w:cs="Segoe UI"/>
        </w:rPr>
        <w:t xml:space="preserve">Chile enfrenta una aguda crisis de acceso a la vivienda, así como desiguales oportunidades de acceso a bienes y servicios urbanos relevantes, expresadas en la inequitativa distribución de equipamientos e infraestructura básica en barrios, ciudades y territorios, y en la disímil disposición de recursos humanos y monetarios que puedan compensarlos. Por casi medio siglo, el Estado ha tenido un rol secundario en estas materias, </w:t>
      </w:r>
      <w:r w:rsidR="00D15EA5" w:rsidRPr="00EC6177">
        <w:rPr>
          <w:rFonts w:ascii="Segoe UI" w:hAnsi="Segoe UI" w:cs="Segoe UI"/>
        </w:rPr>
        <w:lastRenderedPageBreak/>
        <w:t>lo que ha profundizado las desigualdades sociales y territoriales. El rol subsidiario del Estado y la desregulación del mercado del suelo generó una profunda desigualdad y una oferta de vivienda segregada e inasequible.</w:t>
      </w:r>
    </w:p>
    <w:p w14:paraId="55ACACE3" w14:textId="32045353" w:rsidR="00D15EA5" w:rsidRPr="00EC6177" w:rsidRDefault="00D15EA5" w:rsidP="00CB6A49">
      <w:pPr>
        <w:tabs>
          <w:tab w:val="left" w:pos="930"/>
        </w:tabs>
        <w:spacing w:line="276" w:lineRule="auto"/>
        <w:jc w:val="both"/>
        <w:rPr>
          <w:rFonts w:ascii="Segoe UI" w:hAnsi="Segoe UI" w:cs="Segoe UI"/>
        </w:rPr>
      </w:pPr>
      <w:r w:rsidRPr="00EC6177">
        <w:rPr>
          <w:rFonts w:ascii="Segoe UI" w:hAnsi="Segoe UI" w:cs="Segoe UI"/>
        </w:rPr>
        <w:t xml:space="preserve">La actual emergencia habitacional afecta a cerca de 650 mil hogares y presenta una diversidad de expresiones sociales y espaciales, tales como el incremento de los asentamientos precarios y de personas habitando en las calles, un persistente número de hogares compartiendo viviendas en condición de allegados con un alto grado de hacinamiento, familias lanzadas del arriendo abusivo a los campamentos, barrios que accedieron en el pasado a soluciones urbano habitacionales de precaria calidad donde hoy se concentra la pobreza y la inseguridad, extensas áreas rurales rezagadas de la acción del Estado, y miles de personas con un subsidio para compra o arriendo, que no pueden materializar, ya que se enfrentan a un mercado privado de viviendas inasequibles. </w:t>
      </w:r>
    </w:p>
    <w:p w14:paraId="553F1545" w14:textId="5C716E15" w:rsidR="00346592" w:rsidRPr="00EC6177" w:rsidRDefault="00D15EA5" w:rsidP="00CB6A49">
      <w:pPr>
        <w:tabs>
          <w:tab w:val="left" w:pos="930"/>
        </w:tabs>
        <w:spacing w:line="276" w:lineRule="auto"/>
        <w:jc w:val="both"/>
        <w:rPr>
          <w:rFonts w:ascii="Segoe UI" w:hAnsi="Segoe UI" w:cs="Segoe UI"/>
        </w:rPr>
      </w:pPr>
      <w:r w:rsidRPr="00EC6177">
        <w:rPr>
          <w:rFonts w:ascii="Segoe UI" w:hAnsi="Segoe UI" w:cs="Segoe UI"/>
        </w:rPr>
        <w:t xml:space="preserve">En este contexto surge la Ley 21.450, sobre Integración Social en la Planificación Urbana, Gestión de Suelo y Plan de Emergencia Habitacional, señalada anteriormente. El Plan, en ejecución desde junio 2022, está permitiendo dar un giro cualitativo de la política habitacional, mediante el fortalecimiento del rol planificador del Estado y la apertura de diversas opciones para distintas realidades de los hogares. Sin embargo, la crítica situación actual que se refleja en el aumento de los asentamientos precarios, el alza de los costos de la construcción, el aumento de alquileres y las limitaciones de la banca y la industria, entre otros factores, dificultan aumentar sustantivamente la producción habitacional que permita congelar el déficit.  </w:t>
      </w:r>
      <w:r w:rsidR="00346592" w:rsidRPr="00EC6177">
        <w:rPr>
          <w:rFonts w:ascii="Segoe UI" w:hAnsi="Segoe UI" w:cs="Segoe UI"/>
        </w:rPr>
        <w:tab/>
      </w:r>
    </w:p>
    <w:sectPr w:rsidR="00346592" w:rsidRPr="00EC617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76BD" w14:textId="77777777" w:rsidR="00246012" w:rsidRDefault="00246012" w:rsidP="008929EF">
      <w:pPr>
        <w:spacing w:after="0" w:line="240" w:lineRule="auto"/>
      </w:pPr>
      <w:r>
        <w:separator/>
      </w:r>
    </w:p>
  </w:endnote>
  <w:endnote w:type="continuationSeparator" w:id="0">
    <w:p w14:paraId="42568611" w14:textId="77777777" w:rsidR="00246012" w:rsidRDefault="00246012" w:rsidP="008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458238"/>
      <w:docPartObj>
        <w:docPartGallery w:val="Page Numbers (Bottom of Page)"/>
        <w:docPartUnique/>
      </w:docPartObj>
    </w:sdtPr>
    <w:sdtEndPr>
      <w:rPr>
        <w:rFonts w:ascii="Segoe UI" w:hAnsi="Segoe UI" w:cs="Segoe UI"/>
        <w:sz w:val="18"/>
        <w:szCs w:val="18"/>
      </w:rPr>
    </w:sdtEndPr>
    <w:sdtContent>
      <w:p w14:paraId="4EDFF5F0" w14:textId="7B96BE4E" w:rsidR="00CB6A49" w:rsidRPr="00CB6A49" w:rsidRDefault="00CB6A49">
        <w:pPr>
          <w:pStyle w:val="Piedepgina"/>
          <w:jc w:val="center"/>
          <w:rPr>
            <w:rFonts w:ascii="Segoe UI" w:hAnsi="Segoe UI" w:cs="Segoe UI"/>
            <w:sz w:val="18"/>
            <w:szCs w:val="18"/>
          </w:rPr>
        </w:pPr>
        <w:r w:rsidRPr="00CB6A49">
          <w:rPr>
            <w:rFonts w:ascii="Segoe UI" w:hAnsi="Segoe UI" w:cs="Segoe UI"/>
            <w:sz w:val="18"/>
            <w:szCs w:val="18"/>
          </w:rPr>
          <w:fldChar w:fldCharType="begin"/>
        </w:r>
        <w:r w:rsidRPr="00CB6A49">
          <w:rPr>
            <w:rFonts w:ascii="Segoe UI" w:hAnsi="Segoe UI" w:cs="Segoe UI"/>
            <w:sz w:val="18"/>
            <w:szCs w:val="18"/>
          </w:rPr>
          <w:instrText>PAGE   \* MERGEFORMAT</w:instrText>
        </w:r>
        <w:r w:rsidRPr="00CB6A49">
          <w:rPr>
            <w:rFonts w:ascii="Segoe UI" w:hAnsi="Segoe UI" w:cs="Segoe UI"/>
            <w:sz w:val="18"/>
            <w:szCs w:val="18"/>
          </w:rPr>
          <w:fldChar w:fldCharType="separate"/>
        </w:r>
        <w:r w:rsidR="0095118D" w:rsidRPr="0095118D">
          <w:rPr>
            <w:rFonts w:ascii="Segoe UI" w:hAnsi="Segoe UI" w:cs="Segoe UI"/>
            <w:noProof/>
            <w:sz w:val="18"/>
            <w:szCs w:val="18"/>
            <w:lang w:val="es-ES"/>
          </w:rPr>
          <w:t>1</w:t>
        </w:r>
        <w:r w:rsidRPr="00CB6A49">
          <w:rPr>
            <w:rFonts w:ascii="Segoe UI" w:hAnsi="Segoe UI" w:cs="Segoe UI"/>
            <w:sz w:val="18"/>
            <w:szCs w:val="18"/>
          </w:rPr>
          <w:fldChar w:fldCharType="end"/>
        </w:r>
      </w:p>
    </w:sdtContent>
  </w:sdt>
  <w:p w14:paraId="45127450" w14:textId="77777777" w:rsidR="00CB6A49" w:rsidRDefault="00CB6A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9FFF" w14:textId="77777777" w:rsidR="00246012" w:rsidRDefault="00246012" w:rsidP="008929EF">
      <w:pPr>
        <w:spacing w:after="0" w:line="240" w:lineRule="auto"/>
      </w:pPr>
      <w:r>
        <w:separator/>
      </w:r>
    </w:p>
  </w:footnote>
  <w:footnote w:type="continuationSeparator" w:id="0">
    <w:p w14:paraId="21CCD092" w14:textId="77777777" w:rsidR="00246012" w:rsidRDefault="00246012" w:rsidP="008929EF">
      <w:pPr>
        <w:spacing w:after="0" w:line="240" w:lineRule="auto"/>
      </w:pPr>
      <w:r>
        <w:continuationSeparator/>
      </w:r>
    </w:p>
  </w:footnote>
  <w:footnote w:id="1">
    <w:p w14:paraId="4163B54A" w14:textId="618FF9F1" w:rsidR="0044608F" w:rsidRPr="00CB6A49" w:rsidRDefault="0044608F" w:rsidP="00CB6A49">
      <w:pPr>
        <w:pStyle w:val="Textonotapie"/>
        <w:jc w:val="both"/>
        <w:rPr>
          <w:rFonts w:ascii="Segoe UI" w:hAnsi="Segoe UI" w:cs="Segoe UI"/>
          <w:sz w:val="18"/>
          <w:szCs w:val="18"/>
          <w:lang w:val="es-ES"/>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Se hace presente que los insumos para la elaboración del presente documento fueron proporcionados por el Ministerio de Vivienda y Urbanismo. </w:t>
      </w:r>
    </w:p>
  </w:footnote>
  <w:footnote w:id="2">
    <w:p w14:paraId="07C86044" w14:textId="3612C993" w:rsidR="00CA3B68" w:rsidRPr="00CB6A49" w:rsidRDefault="00CA3B68" w:rsidP="00CB6A49">
      <w:pPr>
        <w:pStyle w:val="Textonotapie"/>
        <w:jc w:val="both"/>
        <w:rPr>
          <w:rFonts w:ascii="Segoe UI" w:hAnsi="Segoe UI" w:cs="Segoe UI"/>
          <w:sz w:val="18"/>
          <w:szCs w:val="18"/>
          <w:lang w:val="es-ES"/>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Cooperativa, autoconstrucción, ejecución directa, microradicación y arriendo justo, entre otros.</w:t>
      </w:r>
    </w:p>
  </w:footnote>
  <w:footnote w:id="3">
    <w:p w14:paraId="756CC242" w14:textId="0E406589" w:rsidR="00CB6A49" w:rsidRPr="00CB6A49" w:rsidRDefault="00DF5D7D"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CIRCULAR N°3.567. SANTIAGO, 4 DE ENERO DE 2021. </w:t>
      </w:r>
      <w:r w:rsidR="00262B97" w:rsidRPr="00CB6A49">
        <w:rPr>
          <w:rFonts w:ascii="Segoe UI" w:hAnsi="Segoe UI" w:cs="Segoe UI"/>
          <w:sz w:val="18"/>
          <w:szCs w:val="18"/>
        </w:rPr>
        <w:t>Fija el texto refundido de las instrucciones impartidas sobre el régimen de prestaciones de crédito social administrado por las cajas de compensación de asignación familiar, complementa determinadas in</w:t>
      </w:r>
      <w:r w:rsidR="00CB6A49">
        <w:rPr>
          <w:rFonts w:ascii="Segoe UI" w:hAnsi="Segoe UI" w:cs="Segoe UI"/>
          <w:sz w:val="18"/>
          <w:szCs w:val="18"/>
        </w:rPr>
        <w:t xml:space="preserve">strucciones y deroga circulares: </w:t>
      </w:r>
      <w:hyperlink r:id="rId1" w:history="1">
        <w:r w:rsidR="00CB6A49" w:rsidRPr="00AD71A0">
          <w:rPr>
            <w:rStyle w:val="Hipervnculo"/>
            <w:rFonts w:ascii="Segoe UI" w:hAnsi="Segoe UI" w:cs="Segoe UI"/>
            <w:sz w:val="18"/>
            <w:szCs w:val="18"/>
          </w:rPr>
          <w:t>https://www.suseso.cl/609/articles-618242_archivo_01.pdf</w:t>
        </w:r>
      </w:hyperlink>
    </w:p>
  </w:footnote>
  <w:footnote w:id="4">
    <w:p w14:paraId="12E385AE" w14:textId="034E6237" w:rsidR="00CB6A49" w:rsidRPr="00CB6A49" w:rsidRDefault="00CA3B0D" w:rsidP="00CB6A49">
      <w:pPr>
        <w:spacing w:after="0" w:line="240" w:lineRule="auto"/>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w:t>
      </w:r>
      <w:r w:rsidR="008441CE" w:rsidRPr="00CB6A49">
        <w:rPr>
          <w:rFonts w:ascii="Segoe UI" w:hAnsi="Segoe UI" w:cs="Segoe UI"/>
          <w:sz w:val="18"/>
          <w:szCs w:val="18"/>
        </w:rPr>
        <w:t>CIRCULAR Nº 3013-846 - NORMAS FINANCIERAS Actualiza Compendio de Normas Financieras Acuerdo N° 2297E-03-200326</w:t>
      </w:r>
      <w:r w:rsidR="00C42059" w:rsidRPr="00CB6A49">
        <w:rPr>
          <w:rFonts w:ascii="Segoe UI" w:hAnsi="Segoe UI" w:cs="Segoe UI"/>
          <w:sz w:val="18"/>
          <w:szCs w:val="18"/>
        </w:rPr>
        <w:t xml:space="preserve"> el Compendio de Normas Financieras para reemplazar toda mención efectuada a la “Superintendencia de Bancos e Instituciones Financieras”, “SBIF” y “Superintendencia” por las correspondientes referencias a la “Comisión para el Mercado Financiero”, “CMF</w:t>
      </w:r>
      <w:r w:rsidR="00CB6A49">
        <w:rPr>
          <w:rFonts w:ascii="Segoe UI" w:hAnsi="Segoe UI" w:cs="Segoe UI"/>
          <w:sz w:val="18"/>
          <w:szCs w:val="18"/>
        </w:rPr>
        <w:t xml:space="preserve">” y “Comisión”, respectivamente: </w:t>
      </w:r>
      <w:hyperlink r:id="rId2" w:history="1">
        <w:r w:rsidR="00CB6A49" w:rsidRPr="00AD71A0">
          <w:rPr>
            <w:rStyle w:val="Hipervnculo"/>
            <w:rFonts w:ascii="Segoe UI" w:hAnsi="Segoe UI" w:cs="Segoe UI"/>
            <w:sz w:val="18"/>
            <w:szCs w:val="18"/>
          </w:rPr>
          <w:t>https://www.bcentral.cl/documents/33528/133253/Circ3013846.pdf/2d133e7f-dad8-c22e-58f7-26ec93a3a91a?t=1588609704033</w:t>
        </w:r>
      </w:hyperlink>
    </w:p>
  </w:footnote>
  <w:footnote w:id="5">
    <w:p w14:paraId="70765EEA" w14:textId="772C6767" w:rsidR="000B1B6B" w:rsidRPr="00CB6A49" w:rsidRDefault="000B1B6B" w:rsidP="00CB6A49">
      <w:pPr>
        <w:pStyle w:val="Textonotapie"/>
        <w:jc w:val="both"/>
        <w:rPr>
          <w:rFonts w:ascii="Segoe UI" w:hAnsi="Segoe UI" w:cs="Segoe UI"/>
          <w:sz w:val="18"/>
          <w:szCs w:val="18"/>
          <w:lang w:val="es-ES"/>
        </w:rPr>
      </w:pPr>
      <w:r w:rsidRPr="00CB6A49">
        <w:rPr>
          <w:rStyle w:val="Refdenotaalpie"/>
          <w:rFonts w:ascii="Segoe UI" w:hAnsi="Segoe UI" w:cs="Segoe UI"/>
          <w:sz w:val="18"/>
          <w:szCs w:val="18"/>
        </w:rPr>
        <w:footnoteRef/>
      </w:r>
      <w:r w:rsidR="00CB6A49">
        <w:rPr>
          <w:rFonts w:ascii="Segoe UI" w:hAnsi="Segoe UI" w:cs="Segoe UI"/>
          <w:sz w:val="18"/>
          <w:szCs w:val="18"/>
        </w:rPr>
        <w:t xml:space="preserve"> Se recomienda ver el A</w:t>
      </w:r>
      <w:r w:rsidRPr="00CB6A49">
        <w:rPr>
          <w:rFonts w:ascii="Segoe UI" w:hAnsi="Segoe UI" w:cs="Segoe UI"/>
          <w:sz w:val="18"/>
          <w:szCs w:val="18"/>
        </w:rPr>
        <w:t>nexo para obtener mayor información.</w:t>
      </w:r>
    </w:p>
  </w:footnote>
  <w:footnote w:id="6">
    <w:p w14:paraId="2D049530" w14:textId="45992610" w:rsidR="00FD5FA6" w:rsidRPr="00CB6A49" w:rsidRDefault="00FD5FA6"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La encuesta </w:t>
      </w:r>
      <w:r w:rsidR="00CB6A49">
        <w:rPr>
          <w:rFonts w:ascii="Segoe UI" w:hAnsi="Segoe UI" w:cs="Segoe UI"/>
          <w:sz w:val="18"/>
          <w:szCs w:val="18"/>
        </w:rPr>
        <w:t>CASEN</w:t>
      </w:r>
      <w:r w:rsidRPr="00CB6A49">
        <w:rPr>
          <w:rFonts w:ascii="Segoe UI" w:hAnsi="Segoe UI" w:cs="Segoe UI"/>
          <w:sz w:val="18"/>
          <w:szCs w:val="18"/>
        </w:rPr>
        <w:t xml:space="preserve"> permite conocer periódicamente la situación de los hogares y de la población, con relación a aspectos demográficos, de educación, salud, vivienda, trabajo e ingresos. La versión 2017 encuesta a la población que reside en 68.466 viviendas particulares de todo el país, excluyendo las áreas de difícil acceso, siendo representativa a nivel regional y por zona urbana o rural.</w:t>
      </w:r>
    </w:p>
  </w:footnote>
  <w:footnote w:id="7">
    <w:p w14:paraId="0D22C21C" w14:textId="5DCF82C5" w:rsidR="0009619B" w:rsidRPr="00CB6A49" w:rsidRDefault="0009619B"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Los datos están disponibles en http://observatorio.ministeriodesarrollosocial.gob.cl/encuesta-casen-2017 documento “Resultados Vivienda Casen 2017” </w:t>
      </w:r>
    </w:p>
  </w:footnote>
  <w:footnote w:id="8">
    <w:p w14:paraId="5DED0989" w14:textId="77777777" w:rsidR="00C738A7" w:rsidRPr="00CB6A49" w:rsidRDefault="00C738A7" w:rsidP="00CB6A49">
      <w:pPr>
        <w:pStyle w:val="Textonotapie"/>
        <w:jc w:val="both"/>
        <w:rPr>
          <w:rFonts w:ascii="Segoe UI" w:hAnsi="Segoe UI" w:cs="Segoe UI"/>
          <w:sz w:val="18"/>
          <w:szCs w:val="18"/>
          <w:lang w:val="es-ES"/>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w:t>
      </w:r>
      <w:r w:rsidRPr="00CB6A49">
        <w:rPr>
          <w:rFonts w:ascii="Segoe UI" w:hAnsi="Segoe UI" w:cs="Segoe UI"/>
          <w:sz w:val="18"/>
          <w:szCs w:val="18"/>
          <w:lang w:val="es-ES"/>
        </w:rPr>
        <w:t>El quintil de ingreso autónomo del hogar está compuesto por la suma de ingresos percibidos por los integrantes de un hogar, tanto del trabajo como de la propiedad de activos. Según Casen 2017, los hogares del quintil I tienen ingresos autónomos inferiores a $100.000 por persona, los del quintil II de $100.000 a $165.000 y los del quintil III de $165.000 a $253.300, en pesos de noviembre 2017.</w:t>
      </w:r>
    </w:p>
  </w:footnote>
  <w:footnote w:id="9">
    <w:p w14:paraId="3F10B556" w14:textId="0509352B" w:rsidR="009F405D" w:rsidRPr="00CB6A49" w:rsidRDefault="009F405D"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00CB6A49">
        <w:rPr>
          <w:rFonts w:ascii="Segoe UI" w:hAnsi="Segoe UI" w:cs="Segoe UI"/>
          <w:sz w:val="18"/>
          <w:szCs w:val="18"/>
        </w:rPr>
        <w:t xml:space="preserve"> S</w:t>
      </w:r>
      <w:r w:rsidRPr="00CB6A49">
        <w:rPr>
          <w:rFonts w:ascii="Segoe UI" w:hAnsi="Segoe UI" w:cs="Segoe UI"/>
          <w:sz w:val="18"/>
          <w:szCs w:val="18"/>
        </w:rPr>
        <w:t>e define así al conjunto 8 o más hogares que habitan en posesión irregular un terreno, con carencia de al menos 1 de los 3 servicios básicos: electricidad, agua potable y/o sistema de alcantarillado, y cuyas viviendas conforman una unidad socio territorial definida</w:t>
      </w:r>
    </w:p>
  </w:footnote>
  <w:footnote w:id="10">
    <w:p w14:paraId="4195475B" w14:textId="1B257E3A" w:rsidR="00D15EA5" w:rsidRPr="00CB6A49" w:rsidRDefault="00D15EA5"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Ley de Integración Social: </w:t>
      </w:r>
      <w:hyperlink r:id="rId3" w:history="1">
        <w:r w:rsidRPr="00CB6A49">
          <w:rPr>
            <w:rStyle w:val="Hipervnculo"/>
            <w:rFonts w:ascii="Segoe UI" w:hAnsi="Segoe UI" w:cs="Segoe UI"/>
            <w:sz w:val="18"/>
            <w:szCs w:val="18"/>
          </w:rPr>
          <w:t>https://www.bcn.cl/leychile/navegar?idNorma=1176603</w:t>
        </w:r>
      </w:hyperlink>
      <w:r w:rsidRPr="00CB6A49">
        <w:rPr>
          <w:rFonts w:ascii="Segoe UI" w:hAnsi="Segoe UI" w:cs="Segoe UI"/>
          <w:sz w:val="18"/>
          <w:szCs w:val="18"/>
        </w:rPr>
        <w:t xml:space="preserve"> </w:t>
      </w:r>
    </w:p>
  </w:footnote>
  <w:footnote w:id="11">
    <w:p w14:paraId="131BB9BE" w14:textId="68E094F7" w:rsidR="00D15EA5" w:rsidRPr="00CB6A49" w:rsidRDefault="00D15EA5" w:rsidP="00CB6A49">
      <w:pPr>
        <w:pStyle w:val="Textonotapie"/>
        <w:jc w:val="both"/>
        <w:rPr>
          <w:rFonts w:ascii="Segoe UI" w:hAnsi="Segoe UI" w:cs="Segoe UI"/>
          <w:sz w:val="18"/>
          <w:szCs w:val="18"/>
        </w:rPr>
      </w:pPr>
      <w:r w:rsidRPr="00CB6A49">
        <w:rPr>
          <w:rStyle w:val="Refdenotaalpie"/>
          <w:rFonts w:ascii="Segoe UI" w:hAnsi="Segoe UI" w:cs="Segoe UI"/>
          <w:sz w:val="18"/>
          <w:szCs w:val="18"/>
        </w:rPr>
        <w:footnoteRef/>
      </w:r>
      <w:r w:rsidRPr="00CB6A49">
        <w:rPr>
          <w:rFonts w:ascii="Segoe UI" w:hAnsi="Segoe UI" w:cs="Segoe UI"/>
          <w:sz w:val="18"/>
          <w:szCs w:val="18"/>
        </w:rPr>
        <w:t xml:space="preserve"> Plan de Emergencia Habitacional:  </w:t>
      </w:r>
      <w:hyperlink r:id="rId4" w:history="1">
        <w:r w:rsidRPr="00CB6A49">
          <w:rPr>
            <w:rStyle w:val="Hipervnculo"/>
            <w:rFonts w:ascii="Segoe UI" w:hAnsi="Segoe UI" w:cs="Segoe UI"/>
            <w:sz w:val="18"/>
            <w:szCs w:val="18"/>
          </w:rPr>
          <w:t>https://www.minvu.gob.cl/wp-content/uploads/2022/07/Plan%20de%20Emergencia%20Habitacional.pdf</w:t>
        </w:r>
      </w:hyperlink>
      <w:r w:rsidRPr="00CB6A49">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D213" w14:textId="77777777" w:rsidR="00ED0186" w:rsidRDefault="00ED0186" w:rsidP="00ED0186">
    <w:pPr>
      <w:pStyle w:val="Encabezado"/>
      <w:jc w:val="right"/>
      <w:rPr>
        <w:rFonts w:ascii="Segoe UI" w:hAnsi="Segoe UI" w:cs="Segoe UI"/>
        <w:b/>
      </w:rPr>
    </w:pPr>
    <w:r>
      <w:rPr>
        <w:noProof/>
        <w:lang w:val="es-ES" w:eastAsia="es-ES"/>
      </w:rPr>
      <w:drawing>
        <wp:anchor distT="0" distB="0" distL="114300" distR="114300" simplePos="0" relativeHeight="251659264" behindDoc="1" locked="0" layoutInCell="1" allowOverlap="1" wp14:anchorId="2663F1CB" wp14:editId="633FC120">
          <wp:simplePos x="0" y="0"/>
          <wp:positionH relativeFrom="column">
            <wp:posOffset>-3810</wp:posOffset>
          </wp:positionH>
          <wp:positionV relativeFrom="paragraph">
            <wp:posOffset>-1905</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14:paraId="59B9D34E" w14:textId="77777777" w:rsidR="00ED0186" w:rsidRPr="00A75FD1" w:rsidRDefault="00ED0186" w:rsidP="00ED0186">
    <w:pPr>
      <w:pStyle w:val="Encabezado"/>
      <w:jc w:val="right"/>
      <w:rPr>
        <w:rFonts w:ascii="Segoe UI" w:hAnsi="Segoe UI" w:cs="Segoe UI"/>
      </w:rPr>
    </w:pPr>
    <w:r w:rsidRPr="00A75FD1">
      <w:rPr>
        <w:rFonts w:ascii="Segoe UI" w:hAnsi="Segoe UI" w:cs="Segoe UI"/>
      </w:rPr>
      <w:t>Ministerio de Relaciones Exteriores</w:t>
    </w:r>
  </w:p>
  <w:p w14:paraId="48EC3E36" w14:textId="77777777" w:rsidR="00ED0186" w:rsidRPr="00A75FD1" w:rsidRDefault="00ED0186" w:rsidP="00ED0186">
    <w:pPr>
      <w:pStyle w:val="Encabezado"/>
      <w:jc w:val="right"/>
      <w:rPr>
        <w:rFonts w:ascii="Segoe UI" w:hAnsi="Segoe UI" w:cs="Segoe UI"/>
      </w:rPr>
    </w:pPr>
    <w:r w:rsidRPr="00A75FD1">
      <w:rPr>
        <w:rFonts w:ascii="Segoe UI" w:hAnsi="Segoe UI" w:cs="Segoe UI"/>
      </w:rPr>
      <w:t>División de Derechos Humanos</w:t>
    </w:r>
  </w:p>
  <w:p w14:paraId="2A1B8685" w14:textId="70F92CAB" w:rsidR="00ED0186" w:rsidRPr="00A75FD1" w:rsidRDefault="00ED0186" w:rsidP="00ED0186">
    <w:pPr>
      <w:pStyle w:val="Encabezado"/>
      <w:jc w:val="right"/>
      <w:rPr>
        <w:rFonts w:ascii="Segoe UI" w:hAnsi="Segoe UI" w:cs="Segoe UI"/>
      </w:rPr>
    </w:pPr>
    <w:r>
      <w:rPr>
        <w:rFonts w:ascii="Segoe UI" w:hAnsi="Segoe UI" w:cs="Segoe UI"/>
      </w:rPr>
      <w:t>22</w:t>
    </w:r>
    <w:r w:rsidRPr="00A75FD1">
      <w:rPr>
        <w:rFonts w:ascii="Segoe UI" w:hAnsi="Segoe UI" w:cs="Segoe UI"/>
      </w:rPr>
      <w:t xml:space="preserve"> de </w:t>
    </w:r>
    <w:r>
      <w:rPr>
        <w:rFonts w:ascii="Segoe UI" w:hAnsi="Segoe UI" w:cs="Segoe UI"/>
      </w:rPr>
      <w:t>mayo</w:t>
    </w:r>
    <w:r w:rsidRPr="00A75FD1">
      <w:rPr>
        <w:rFonts w:ascii="Segoe UI" w:hAnsi="Segoe UI" w:cs="Segoe UI"/>
      </w:rPr>
      <w:t xml:space="preserve"> de 2023</w:t>
    </w:r>
  </w:p>
  <w:p w14:paraId="7D045B2E" w14:textId="77777777" w:rsidR="00ED0186" w:rsidRDefault="00ED0186" w:rsidP="00ED0186">
    <w:pPr>
      <w:pStyle w:val="Encabezado"/>
      <w:jc w:val="right"/>
      <w:rPr>
        <w:rFonts w:ascii="Segoe UI" w:hAnsi="Segoe UI" w:cs="Segoe UI"/>
        <w:b/>
      </w:rPr>
    </w:pPr>
  </w:p>
  <w:p w14:paraId="2B2ADCC3" w14:textId="77777777" w:rsidR="00ED0186" w:rsidRPr="00B63332" w:rsidRDefault="00ED0186" w:rsidP="00ED0186">
    <w:pPr>
      <w:pStyle w:val="Encabezado"/>
      <w:jc w:val="right"/>
      <w:rPr>
        <w:rFonts w:ascii="Segoe UI" w:hAnsi="Segoe UI" w:cs="Segoe UI"/>
        <w:b/>
      </w:rPr>
    </w:pPr>
  </w:p>
  <w:p w14:paraId="5346F031" w14:textId="77777777" w:rsidR="00ED0186" w:rsidRDefault="00ED01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BF5"/>
    <w:multiLevelType w:val="hybridMultilevel"/>
    <w:tmpl w:val="3716CF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A76277"/>
    <w:multiLevelType w:val="hybridMultilevel"/>
    <w:tmpl w:val="66FC6F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0026CD"/>
    <w:multiLevelType w:val="hybridMultilevel"/>
    <w:tmpl w:val="5E844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D2066B"/>
    <w:multiLevelType w:val="hybridMultilevel"/>
    <w:tmpl w:val="AEE891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E50FE4"/>
    <w:multiLevelType w:val="hybridMultilevel"/>
    <w:tmpl w:val="829C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544662D"/>
    <w:multiLevelType w:val="hybridMultilevel"/>
    <w:tmpl w:val="286ADF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27740C"/>
    <w:multiLevelType w:val="hybridMultilevel"/>
    <w:tmpl w:val="7A383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70C4FB3"/>
    <w:multiLevelType w:val="hybridMultilevel"/>
    <w:tmpl w:val="8CF86B2E"/>
    <w:lvl w:ilvl="0" w:tplc="1D88493A">
      <w:start w:val="1"/>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7A38765D"/>
    <w:multiLevelType w:val="hybridMultilevel"/>
    <w:tmpl w:val="D8723E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CA"/>
    <w:rsid w:val="00011D01"/>
    <w:rsid w:val="000130D6"/>
    <w:rsid w:val="00014411"/>
    <w:rsid w:val="00022CA4"/>
    <w:rsid w:val="00026D8C"/>
    <w:rsid w:val="000302B8"/>
    <w:rsid w:val="00051090"/>
    <w:rsid w:val="000815CD"/>
    <w:rsid w:val="0009619B"/>
    <w:rsid w:val="000B1B6B"/>
    <w:rsid w:val="000C06B4"/>
    <w:rsid w:val="000C396A"/>
    <w:rsid w:val="000C67F7"/>
    <w:rsid w:val="000F1657"/>
    <w:rsid w:val="001109CD"/>
    <w:rsid w:val="001270B0"/>
    <w:rsid w:val="00130EA9"/>
    <w:rsid w:val="00140C35"/>
    <w:rsid w:val="001438F1"/>
    <w:rsid w:val="001445DA"/>
    <w:rsid w:val="0017663F"/>
    <w:rsid w:val="00190341"/>
    <w:rsid w:val="001936E3"/>
    <w:rsid w:val="001A37F9"/>
    <w:rsid w:val="001A3CD1"/>
    <w:rsid w:val="001C3B7F"/>
    <w:rsid w:val="001D6C4E"/>
    <w:rsid w:val="001E255B"/>
    <w:rsid w:val="001E2FA0"/>
    <w:rsid w:val="00205272"/>
    <w:rsid w:val="002076FA"/>
    <w:rsid w:val="00207CBD"/>
    <w:rsid w:val="00221A3F"/>
    <w:rsid w:val="00236E2D"/>
    <w:rsid w:val="002409E6"/>
    <w:rsid w:val="00241420"/>
    <w:rsid w:val="00246012"/>
    <w:rsid w:val="002535FE"/>
    <w:rsid w:val="00255DC0"/>
    <w:rsid w:val="00257C2F"/>
    <w:rsid w:val="00262B97"/>
    <w:rsid w:val="002A72E9"/>
    <w:rsid w:val="002E12C1"/>
    <w:rsid w:val="003016AD"/>
    <w:rsid w:val="003176E5"/>
    <w:rsid w:val="00317B88"/>
    <w:rsid w:val="00321582"/>
    <w:rsid w:val="00334384"/>
    <w:rsid w:val="00346592"/>
    <w:rsid w:val="00351BAC"/>
    <w:rsid w:val="003560F5"/>
    <w:rsid w:val="003706F9"/>
    <w:rsid w:val="00374B4D"/>
    <w:rsid w:val="00381F16"/>
    <w:rsid w:val="003942E4"/>
    <w:rsid w:val="003C1AF6"/>
    <w:rsid w:val="003C3F28"/>
    <w:rsid w:val="003F1487"/>
    <w:rsid w:val="00421115"/>
    <w:rsid w:val="00422413"/>
    <w:rsid w:val="00442FD7"/>
    <w:rsid w:val="00445C47"/>
    <w:rsid w:val="00445CBF"/>
    <w:rsid w:val="0044608F"/>
    <w:rsid w:val="00456AE6"/>
    <w:rsid w:val="004619E6"/>
    <w:rsid w:val="00475B4B"/>
    <w:rsid w:val="00480663"/>
    <w:rsid w:val="0048344C"/>
    <w:rsid w:val="004875A7"/>
    <w:rsid w:val="00496776"/>
    <w:rsid w:val="004A6066"/>
    <w:rsid w:val="004B7C99"/>
    <w:rsid w:val="004E6909"/>
    <w:rsid w:val="005134E5"/>
    <w:rsid w:val="00513EB8"/>
    <w:rsid w:val="005403D3"/>
    <w:rsid w:val="00547C10"/>
    <w:rsid w:val="0055029D"/>
    <w:rsid w:val="00567A59"/>
    <w:rsid w:val="00577620"/>
    <w:rsid w:val="0059286B"/>
    <w:rsid w:val="005E75EE"/>
    <w:rsid w:val="00633763"/>
    <w:rsid w:val="00640055"/>
    <w:rsid w:val="0064367A"/>
    <w:rsid w:val="006441E7"/>
    <w:rsid w:val="00646E62"/>
    <w:rsid w:val="006654CC"/>
    <w:rsid w:val="00671BA6"/>
    <w:rsid w:val="006810FF"/>
    <w:rsid w:val="00692DA7"/>
    <w:rsid w:val="0069365C"/>
    <w:rsid w:val="006B1514"/>
    <w:rsid w:val="006C42B5"/>
    <w:rsid w:val="006E113F"/>
    <w:rsid w:val="006E69D2"/>
    <w:rsid w:val="0077234B"/>
    <w:rsid w:val="007833EF"/>
    <w:rsid w:val="0078462A"/>
    <w:rsid w:val="007A49E3"/>
    <w:rsid w:val="007C5E27"/>
    <w:rsid w:val="008046F4"/>
    <w:rsid w:val="00810412"/>
    <w:rsid w:val="008143D7"/>
    <w:rsid w:val="008175F0"/>
    <w:rsid w:val="00825B29"/>
    <w:rsid w:val="0083653B"/>
    <w:rsid w:val="008441CE"/>
    <w:rsid w:val="0084454E"/>
    <w:rsid w:val="0087183A"/>
    <w:rsid w:val="00873E36"/>
    <w:rsid w:val="00880614"/>
    <w:rsid w:val="008929EF"/>
    <w:rsid w:val="008A6125"/>
    <w:rsid w:val="008C4809"/>
    <w:rsid w:val="008D1C6C"/>
    <w:rsid w:val="008F0DB3"/>
    <w:rsid w:val="0091635E"/>
    <w:rsid w:val="00917D89"/>
    <w:rsid w:val="009333CB"/>
    <w:rsid w:val="00944D1A"/>
    <w:rsid w:val="009452D0"/>
    <w:rsid w:val="00947BE0"/>
    <w:rsid w:val="0095118D"/>
    <w:rsid w:val="00965474"/>
    <w:rsid w:val="00987470"/>
    <w:rsid w:val="00995F6B"/>
    <w:rsid w:val="009A0ED0"/>
    <w:rsid w:val="009A3EED"/>
    <w:rsid w:val="009B1ACE"/>
    <w:rsid w:val="009D7F39"/>
    <w:rsid w:val="009E2F0F"/>
    <w:rsid w:val="009F3277"/>
    <w:rsid w:val="009F405D"/>
    <w:rsid w:val="009F493E"/>
    <w:rsid w:val="00A05ECA"/>
    <w:rsid w:val="00A10397"/>
    <w:rsid w:val="00A42ECC"/>
    <w:rsid w:val="00A46914"/>
    <w:rsid w:val="00A46D9C"/>
    <w:rsid w:val="00A47028"/>
    <w:rsid w:val="00A57538"/>
    <w:rsid w:val="00A90EA6"/>
    <w:rsid w:val="00AB1B66"/>
    <w:rsid w:val="00AB72DB"/>
    <w:rsid w:val="00AF5F40"/>
    <w:rsid w:val="00B132D7"/>
    <w:rsid w:val="00B21DBD"/>
    <w:rsid w:val="00B227D2"/>
    <w:rsid w:val="00B2476C"/>
    <w:rsid w:val="00B27B6E"/>
    <w:rsid w:val="00B30E44"/>
    <w:rsid w:val="00B36754"/>
    <w:rsid w:val="00B5134A"/>
    <w:rsid w:val="00B54554"/>
    <w:rsid w:val="00B570B8"/>
    <w:rsid w:val="00B66197"/>
    <w:rsid w:val="00B84BB0"/>
    <w:rsid w:val="00B86FF0"/>
    <w:rsid w:val="00B915C0"/>
    <w:rsid w:val="00B91708"/>
    <w:rsid w:val="00B92458"/>
    <w:rsid w:val="00B942B2"/>
    <w:rsid w:val="00B956E4"/>
    <w:rsid w:val="00B95EB0"/>
    <w:rsid w:val="00BA355C"/>
    <w:rsid w:val="00BD249C"/>
    <w:rsid w:val="00BD4236"/>
    <w:rsid w:val="00BD5C2D"/>
    <w:rsid w:val="00BE4852"/>
    <w:rsid w:val="00BF2ECF"/>
    <w:rsid w:val="00C074C7"/>
    <w:rsid w:val="00C235A5"/>
    <w:rsid w:val="00C31EB6"/>
    <w:rsid w:val="00C37016"/>
    <w:rsid w:val="00C42059"/>
    <w:rsid w:val="00C47336"/>
    <w:rsid w:val="00C5039D"/>
    <w:rsid w:val="00C561AF"/>
    <w:rsid w:val="00C70F35"/>
    <w:rsid w:val="00C738A7"/>
    <w:rsid w:val="00C74BD2"/>
    <w:rsid w:val="00C96392"/>
    <w:rsid w:val="00CA2862"/>
    <w:rsid w:val="00CA3000"/>
    <w:rsid w:val="00CA3B0D"/>
    <w:rsid w:val="00CA3B68"/>
    <w:rsid w:val="00CB6A49"/>
    <w:rsid w:val="00CF1F64"/>
    <w:rsid w:val="00CF3DE5"/>
    <w:rsid w:val="00D079FA"/>
    <w:rsid w:val="00D1213B"/>
    <w:rsid w:val="00D125DF"/>
    <w:rsid w:val="00D15EA5"/>
    <w:rsid w:val="00D209A3"/>
    <w:rsid w:val="00D24326"/>
    <w:rsid w:val="00D40A07"/>
    <w:rsid w:val="00D63E9F"/>
    <w:rsid w:val="00D854DC"/>
    <w:rsid w:val="00D902A1"/>
    <w:rsid w:val="00DA56F6"/>
    <w:rsid w:val="00DA701D"/>
    <w:rsid w:val="00DD3C23"/>
    <w:rsid w:val="00DE3013"/>
    <w:rsid w:val="00DF5D7D"/>
    <w:rsid w:val="00E01F70"/>
    <w:rsid w:val="00E250A5"/>
    <w:rsid w:val="00E373C8"/>
    <w:rsid w:val="00E409F3"/>
    <w:rsid w:val="00E433B5"/>
    <w:rsid w:val="00E45145"/>
    <w:rsid w:val="00E66E8E"/>
    <w:rsid w:val="00E83D54"/>
    <w:rsid w:val="00EA48C2"/>
    <w:rsid w:val="00EB0B9E"/>
    <w:rsid w:val="00EC0017"/>
    <w:rsid w:val="00EC6177"/>
    <w:rsid w:val="00ED0186"/>
    <w:rsid w:val="00EE353B"/>
    <w:rsid w:val="00EF7F02"/>
    <w:rsid w:val="00F2106B"/>
    <w:rsid w:val="00F6299B"/>
    <w:rsid w:val="00F654A3"/>
    <w:rsid w:val="00F66914"/>
    <w:rsid w:val="00F74734"/>
    <w:rsid w:val="00F8436B"/>
    <w:rsid w:val="00FA6257"/>
    <w:rsid w:val="00FB000D"/>
    <w:rsid w:val="00FB510A"/>
    <w:rsid w:val="00FB5C44"/>
    <w:rsid w:val="00FC7ABB"/>
    <w:rsid w:val="00FD5FA6"/>
    <w:rsid w:val="00FE2C3A"/>
    <w:rsid w:val="00FF7C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155"/>
  <w15:docId w15:val="{518804FF-1355-4943-9E00-CA48F5A7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5ECA"/>
    <w:rPr>
      <w:color w:val="0563C1" w:themeColor="hyperlink"/>
      <w:u w:val="single"/>
    </w:rPr>
  </w:style>
  <w:style w:type="character" w:customStyle="1" w:styleId="UnresolvedMention">
    <w:name w:val="Unresolved Mention"/>
    <w:basedOn w:val="Fuentedeprrafopredeter"/>
    <w:uiPriority w:val="99"/>
    <w:semiHidden/>
    <w:unhideWhenUsed/>
    <w:rsid w:val="00A05ECA"/>
    <w:rPr>
      <w:color w:val="605E5C"/>
      <w:shd w:val="clear" w:color="auto" w:fill="E1DFDD"/>
    </w:rPr>
  </w:style>
  <w:style w:type="paragraph" w:styleId="Prrafodelista">
    <w:name w:val="List Paragraph"/>
    <w:aliases w:val="Nombre Gráfico"/>
    <w:basedOn w:val="Normal"/>
    <w:link w:val="PrrafodelistaCar"/>
    <w:uiPriority w:val="34"/>
    <w:qFormat/>
    <w:rsid w:val="003560F5"/>
    <w:pPr>
      <w:ind w:left="720"/>
      <w:contextualSpacing/>
    </w:pPr>
  </w:style>
  <w:style w:type="paragraph" w:styleId="Encabezado">
    <w:name w:val="header"/>
    <w:basedOn w:val="Normal"/>
    <w:link w:val="EncabezadoCar"/>
    <w:uiPriority w:val="99"/>
    <w:unhideWhenUsed/>
    <w:rsid w:val="00892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9EF"/>
  </w:style>
  <w:style w:type="paragraph" w:styleId="Piedepgina">
    <w:name w:val="footer"/>
    <w:basedOn w:val="Normal"/>
    <w:link w:val="PiedepginaCar"/>
    <w:uiPriority w:val="99"/>
    <w:unhideWhenUsed/>
    <w:rsid w:val="00892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9EF"/>
  </w:style>
  <w:style w:type="character" w:customStyle="1" w:styleId="PrrafodelistaCar">
    <w:name w:val="Párrafo de lista Car"/>
    <w:aliases w:val="Nombre Gráfico Car"/>
    <w:basedOn w:val="Fuentedeprrafopredeter"/>
    <w:link w:val="Prrafodelista"/>
    <w:uiPriority w:val="34"/>
    <w:locked/>
    <w:rsid w:val="00346592"/>
  </w:style>
  <w:style w:type="character" w:styleId="Refdecomentario">
    <w:name w:val="annotation reference"/>
    <w:basedOn w:val="Fuentedeprrafopredeter"/>
    <w:uiPriority w:val="99"/>
    <w:semiHidden/>
    <w:unhideWhenUsed/>
    <w:rsid w:val="00A46914"/>
    <w:rPr>
      <w:sz w:val="16"/>
      <w:szCs w:val="16"/>
    </w:rPr>
  </w:style>
  <w:style w:type="paragraph" w:styleId="Textocomentario">
    <w:name w:val="annotation text"/>
    <w:basedOn w:val="Normal"/>
    <w:link w:val="TextocomentarioCar"/>
    <w:uiPriority w:val="99"/>
    <w:unhideWhenUsed/>
    <w:rsid w:val="00A46914"/>
    <w:pPr>
      <w:spacing w:line="240" w:lineRule="auto"/>
    </w:pPr>
    <w:rPr>
      <w:sz w:val="20"/>
      <w:szCs w:val="20"/>
    </w:rPr>
  </w:style>
  <w:style w:type="character" w:customStyle="1" w:styleId="TextocomentarioCar">
    <w:name w:val="Texto comentario Car"/>
    <w:basedOn w:val="Fuentedeprrafopredeter"/>
    <w:link w:val="Textocomentario"/>
    <w:uiPriority w:val="99"/>
    <w:rsid w:val="00A46914"/>
    <w:rPr>
      <w:sz w:val="20"/>
      <w:szCs w:val="20"/>
    </w:rPr>
  </w:style>
  <w:style w:type="paragraph" w:styleId="Asuntodelcomentario">
    <w:name w:val="annotation subject"/>
    <w:basedOn w:val="Textocomentario"/>
    <w:next w:val="Textocomentario"/>
    <w:link w:val="AsuntodelcomentarioCar"/>
    <w:uiPriority w:val="99"/>
    <w:semiHidden/>
    <w:unhideWhenUsed/>
    <w:rsid w:val="00A46914"/>
    <w:rPr>
      <w:b/>
      <w:bCs/>
    </w:rPr>
  </w:style>
  <w:style w:type="character" w:customStyle="1" w:styleId="AsuntodelcomentarioCar">
    <w:name w:val="Asunto del comentario Car"/>
    <w:basedOn w:val="TextocomentarioCar"/>
    <w:link w:val="Asuntodelcomentario"/>
    <w:uiPriority w:val="99"/>
    <w:semiHidden/>
    <w:rsid w:val="00A46914"/>
    <w:rPr>
      <w:b/>
      <w:bCs/>
      <w:sz w:val="20"/>
      <w:szCs w:val="20"/>
    </w:rPr>
  </w:style>
  <w:style w:type="paragraph" w:styleId="NormalWeb">
    <w:name w:val="Normal (Web)"/>
    <w:basedOn w:val="Normal"/>
    <w:uiPriority w:val="99"/>
    <w:semiHidden/>
    <w:unhideWhenUsed/>
    <w:rsid w:val="00B36754"/>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extonotapie">
    <w:name w:val="footnote text"/>
    <w:basedOn w:val="Normal"/>
    <w:link w:val="TextonotapieCar"/>
    <w:uiPriority w:val="99"/>
    <w:semiHidden/>
    <w:unhideWhenUsed/>
    <w:rsid w:val="004A60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6066"/>
    <w:rPr>
      <w:sz w:val="20"/>
      <w:szCs w:val="20"/>
    </w:rPr>
  </w:style>
  <w:style w:type="character" w:styleId="Refdenotaalpie">
    <w:name w:val="footnote reference"/>
    <w:basedOn w:val="Fuentedeprrafopredeter"/>
    <w:uiPriority w:val="99"/>
    <w:semiHidden/>
    <w:unhideWhenUsed/>
    <w:rsid w:val="004A6066"/>
    <w:rPr>
      <w:vertAlign w:val="superscript"/>
    </w:rPr>
  </w:style>
  <w:style w:type="paragraph" w:styleId="Revisin">
    <w:name w:val="Revision"/>
    <w:hidden/>
    <w:uiPriority w:val="99"/>
    <w:semiHidden/>
    <w:rsid w:val="00BD249C"/>
    <w:pPr>
      <w:spacing w:after="0" w:line="240" w:lineRule="auto"/>
    </w:pPr>
  </w:style>
  <w:style w:type="character" w:styleId="Hipervnculovisitado">
    <w:name w:val="FollowedHyperlink"/>
    <w:basedOn w:val="Fuentedeprrafopredeter"/>
    <w:uiPriority w:val="99"/>
    <w:semiHidden/>
    <w:unhideWhenUsed/>
    <w:rsid w:val="00FC7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709">
      <w:bodyDiv w:val="1"/>
      <w:marLeft w:val="0"/>
      <w:marRight w:val="0"/>
      <w:marTop w:val="0"/>
      <w:marBottom w:val="0"/>
      <w:divBdr>
        <w:top w:val="none" w:sz="0" w:space="0" w:color="auto"/>
        <w:left w:val="none" w:sz="0" w:space="0" w:color="auto"/>
        <w:bottom w:val="none" w:sz="0" w:space="0" w:color="auto"/>
        <w:right w:val="none" w:sz="0" w:space="0" w:color="auto"/>
      </w:divBdr>
    </w:div>
    <w:div w:id="195699072">
      <w:bodyDiv w:val="1"/>
      <w:marLeft w:val="0"/>
      <w:marRight w:val="0"/>
      <w:marTop w:val="0"/>
      <w:marBottom w:val="0"/>
      <w:divBdr>
        <w:top w:val="none" w:sz="0" w:space="0" w:color="auto"/>
        <w:left w:val="none" w:sz="0" w:space="0" w:color="auto"/>
        <w:bottom w:val="none" w:sz="0" w:space="0" w:color="auto"/>
        <w:right w:val="none" w:sz="0" w:space="0" w:color="auto"/>
      </w:divBdr>
      <w:divsChild>
        <w:div w:id="1377776291">
          <w:marLeft w:val="0"/>
          <w:marRight w:val="0"/>
          <w:marTop w:val="0"/>
          <w:marBottom w:val="0"/>
          <w:divBdr>
            <w:top w:val="none" w:sz="0" w:space="0" w:color="auto"/>
            <w:left w:val="none" w:sz="0" w:space="0" w:color="auto"/>
            <w:bottom w:val="none" w:sz="0" w:space="0" w:color="auto"/>
            <w:right w:val="none" w:sz="0" w:space="0" w:color="auto"/>
          </w:divBdr>
          <w:divsChild>
            <w:div w:id="608315564">
              <w:marLeft w:val="0"/>
              <w:marRight w:val="0"/>
              <w:marTop w:val="0"/>
              <w:marBottom w:val="450"/>
              <w:divBdr>
                <w:top w:val="none" w:sz="0" w:space="0" w:color="auto"/>
                <w:left w:val="none" w:sz="0" w:space="0" w:color="auto"/>
                <w:bottom w:val="none" w:sz="0" w:space="0" w:color="auto"/>
                <w:right w:val="none" w:sz="0" w:space="0" w:color="auto"/>
              </w:divBdr>
              <w:divsChild>
                <w:div w:id="1848906821">
                  <w:marLeft w:val="0"/>
                  <w:marRight w:val="0"/>
                  <w:marTop w:val="0"/>
                  <w:marBottom w:val="0"/>
                  <w:divBdr>
                    <w:top w:val="none" w:sz="0" w:space="0" w:color="auto"/>
                    <w:left w:val="none" w:sz="0" w:space="0" w:color="auto"/>
                    <w:bottom w:val="none" w:sz="0" w:space="0" w:color="auto"/>
                    <w:right w:val="none" w:sz="0" w:space="0" w:color="auto"/>
                  </w:divBdr>
                  <w:divsChild>
                    <w:div w:id="1824158894">
                      <w:marLeft w:val="0"/>
                      <w:marRight w:val="0"/>
                      <w:marTop w:val="0"/>
                      <w:marBottom w:val="0"/>
                      <w:divBdr>
                        <w:top w:val="none" w:sz="0" w:space="0" w:color="auto"/>
                        <w:left w:val="none" w:sz="0" w:space="0" w:color="auto"/>
                        <w:bottom w:val="none" w:sz="0" w:space="0" w:color="auto"/>
                        <w:right w:val="none" w:sz="0" w:space="0" w:color="auto"/>
                      </w:divBdr>
                      <w:divsChild>
                        <w:div w:id="6762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176603" TargetMode="External"/><Relationship Id="rId2" Type="http://schemas.openxmlformats.org/officeDocument/2006/relationships/hyperlink" Target="https://www.bcentral.cl/documents/33528/133253/Circ3013846.pdf/2d133e7f-dad8-c22e-58f7-26ec93a3a91a?t=1588609704033" TargetMode="External"/><Relationship Id="rId1" Type="http://schemas.openxmlformats.org/officeDocument/2006/relationships/hyperlink" Target="https://www.suseso.cl/609/articles-618242_archivo_01.pdf" TargetMode="External"/><Relationship Id="rId4" Type="http://schemas.openxmlformats.org/officeDocument/2006/relationships/hyperlink" Target="https://www.minvu.gob.cl/wp-content/uploads/2022/07/Plan%20de%20Emergencia%20Habitacio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0BFB-CC83-4C66-A446-2F706902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11635</Characters>
  <Application>Microsoft Office Word</Application>
  <DocSecurity>0</DocSecurity>
  <Lines>484</Lines>
  <Paragraphs>95</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Henriquez Cancino</dc:creator>
  <cp:keywords/>
  <dc:description/>
  <cp:lastModifiedBy>DFerreira</cp:lastModifiedBy>
  <cp:revision>2</cp:revision>
  <dcterms:created xsi:type="dcterms:W3CDTF">2023-05-23T07:43:00Z</dcterms:created>
  <dcterms:modified xsi:type="dcterms:W3CDTF">2023-05-23T07:43:00Z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6bc4dc7436e9893c24952e3e6824ee97393f0d0a25f7fee80e2142700cb1c153</vt:lpwstr>
  </property>
</Properties>
</file>