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5BC4" w14:textId="77777777" w:rsidR="00A16F28" w:rsidRDefault="00A16F28" w:rsidP="002C01B0">
      <w:pPr>
        <w:jc w:val="center"/>
      </w:pPr>
    </w:p>
    <w:p w14:paraId="1DFD5BC5" w14:textId="77777777" w:rsidR="00A16F28" w:rsidRDefault="00BF435D" w:rsidP="002C01B0">
      <w:pPr>
        <w:jc w:val="center"/>
        <w:rPr>
          <w:b/>
          <w:sz w:val="28"/>
          <w:szCs w:val="28"/>
        </w:rPr>
      </w:pPr>
      <w:r>
        <w:rPr>
          <w:b/>
          <w:sz w:val="28"/>
          <w:szCs w:val="28"/>
        </w:rPr>
        <w:t xml:space="preserve">A place to live in dignity for all: Making housing affordable </w:t>
      </w:r>
    </w:p>
    <w:p w14:paraId="1DFD5BC6" w14:textId="77777777" w:rsidR="00A16F28" w:rsidRDefault="00BF435D" w:rsidP="002C01B0">
      <w:pPr>
        <w:jc w:val="center"/>
        <w:rPr>
          <w:b/>
          <w:sz w:val="22"/>
          <w:szCs w:val="22"/>
        </w:rPr>
      </w:pPr>
      <w:r>
        <w:rPr>
          <w:b/>
          <w:sz w:val="22"/>
          <w:szCs w:val="22"/>
        </w:rPr>
        <w:t xml:space="preserve">Report of the Special Rapporteur on the right to adequate housing to the </w:t>
      </w:r>
      <w:r>
        <w:rPr>
          <w:b/>
          <w:sz w:val="22"/>
          <w:szCs w:val="22"/>
        </w:rPr>
        <w:br/>
        <w:t xml:space="preserve">78th session of the UN General Assembly </w:t>
      </w:r>
    </w:p>
    <w:p w14:paraId="1DFD5BC7" w14:textId="77777777" w:rsidR="00A16F28" w:rsidRDefault="00BF435D" w:rsidP="002C01B0">
      <w:pPr>
        <w:jc w:val="center"/>
        <w:rPr>
          <w:b/>
          <w:sz w:val="32"/>
          <w:szCs w:val="32"/>
        </w:rPr>
      </w:pPr>
      <w:r>
        <w:rPr>
          <w:b/>
          <w:sz w:val="32"/>
          <w:szCs w:val="32"/>
        </w:rPr>
        <w:t>Questionnaire</w:t>
      </w:r>
    </w:p>
    <w:p w14:paraId="1DFD5BC8" w14:textId="77777777" w:rsidR="00A16F28" w:rsidRDefault="00A16F28" w:rsidP="002C01B0">
      <w:pPr>
        <w:jc w:val="both"/>
        <w:rPr>
          <w:sz w:val="22"/>
          <w:szCs w:val="22"/>
        </w:rPr>
      </w:pPr>
    </w:p>
    <w:p w14:paraId="1DFD5BC9" w14:textId="77777777" w:rsidR="00A16F28" w:rsidRDefault="00BF435D" w:rsidP="002C01B0">
      <w:pPr>
        <w:jc w:val="both"/>
        <w:rPr>
          <w:sz w:val="22"/>
          <w:szCs w:val="22"/>
        </w:rPr>
      </w:pPr>
      <w:r>
        <w:rPr>
          <w:sz w:val="22"/>
          <w:szCs w:val="22"/>
        </w:rPr>
        <w:t>For States: please share this questionnaire as well with your National Statistical Office and relevant Ministries to assist completing statistical sections relating to housing affordability.</w:t>
      </w:r>
    </w:p>
    <w:p w14:paraId="1DFD5BCA" w14:textId="77777777" w:rsidR="00A16F28" w:rsidRDefault="00BF435D" w:rsidP="002C01B0">
      <w:pPr>
        <w:jc w:val="both"/>
        <w:rPr>
          <w:sz w:val="22"/>
          <w:szCs w:val="22"/>
        </w:rPr>
      </w:pPr>
      <w:r>
        <w:rPr>
          <w:sz w:val="22"/>
          <w:szCs w:val="22"/>
        </w:rPr>
        <w:t>Name of submitting entity, organization or individual: _______________________________</w:t>
      </w:r>
    </w:p>
    <w:p w14:paraId="1DFD5BCB" w14:textId="77777777" w:rsidR="00A16F28" w:rsidRDefault="00BF435D" w:rsidP="002C01B0">
      <w:pPr>
        <w:jc w:val="both"/>
        <w:rPr>
          <w:sz w:val="22"/>
          <w:szCs w:val="22"/>
        </w:rPr>
      </w:pPr>
      <w:r>
        <w:rPr>
          <w:sz w:val="22"/>
          <w:szCs w:val="22"/>
        </w:rPr>
        <w:t>Contact e-mail: ________________ (contact e-mail will be deleted before the response is published)</w:t>
      </w:r>
    </w:p>
    <w:p w14:paraId="1DFD5BCC" w14:textId="77777777" w:rsidR="00A16F28" w:rsidRDefault="00A16F28" w:rsidP="002C01B0">
      <w:pPr>
        <w:jc w:val="both"/>
        <w:rPr>
          <w:sz w:val="22"/>
          <w:szCs w:val="22"/>
        </w:rPr>
      </w:pPr>
    </w:p>
    <w:p w14:paraId="1DFD5BCD" w14:textId="27FCBE77" w:rsidR="00A16F28" w:rsidRDefault="00BF435D" w:rsidP="002C01B0">
      <w:pPr>
        <w:jc w:val="both"/>
        <w:rPr>
          <w:b/>
          <w:sz w:val="22"/>
          <w:szCs w:val="22"/>
        </w:rPr>
      </w:pPr>
      <w:r>
        <w:rPr>
          <w:b/>
          <w:sz w:val="22"/>
          <w:szCs w:val="22"/>
        </w:rPr>
        <w:t xml:space="preserve">National law, policies and jurisprudence relating to affordable housing </w:t>
      </w:r>
    </w:p>
    <w:p w14:paraId="2623B2C0" w14:textId="77777777" w:rsidR="00FD3437" w:rsidRDefault="00FD3437" w:rsidP="002C01B0">
      <w:pPr>
        <w:jc w:val="both"/>
        <w:rPr>
          <w:b/>
          <w:sz w:val="22"/>
          <w:szCs w:val="22"/>
        </w:rPr>
      </w:pPr>
    </w:p>
    <w:p w14:paraId="1DFD5BCE" w14:textId="77777777" w:rsidR="00A16F28" w:rsidRDefault="00BF435D" w:rsidP="002C01B0">
      <w:pPr>
        <w:numPr>
          <w:ilvl w:val="0"/>
          <w:numId w:val="1"/>
        </w:numPr>
        <w:jc w:val="both"/>
        <w:rPr>
          <w:sz w:val="22"/>
          <w:szCs w:val="22"/>
        </w:rPr>
      </w:pPr>
      <w:r>
        <w:rPr>
          <w:sz w:val="22"/>
          <w:szCs w:val="22"/>
        </w:rPr>
        <w:t>Does your country’s national law, including constitutional, housing or social protection law, refer to affordability of housing or provide any other guarantees to ensure a minimum standard of living? Or in its absence, are there national policies that refer to affordable housing or minimum standard of living?  Please provide references and links to the respective key laws or constitutional provisions as well as policies.</w:t>
      </w:r>
    </w:p>
    <w:p w14:paraId="1DFD5BCF" w14:textId="77777777" w:rsidR="00A16F28" w:rsidRDefault="00A16F28" w:rsidP="002C01B0">
      <w:pPr>
        <w:ind w:left="720"/>
        <w:jc w:val="both"/>
        <w:rPr>
          <w:sz w:val="22"/>
          <w:szCs w:val="22"/>
        </w:rPr>
      </w:pPr>
    </w:p>
    <w:p w14:paraId="1DFD5BD0" w14:textId="3E49BF24" w:rsidR="00A16F28" w:rsidRDefault="00BF435D" w:rsidP="002C01B0">
      <w:pPr>
        <w:ind w:left="720"/>
        <w:jc w:val="both"/>
        <w:rPr>
          <w:color w:val="0070C0"/>
          <w:sz w:val="22"/>
          <w:szCs w:val="22"/>
          <w:u w:val="single"/>
        </w:rPr>
      </w:pPr>
      <w:r w:rsidRPr="00F46F28">
        <w:rPr>
          <w:color w:val="0070C0"/>
          <w:sz w:val="22"/>
          <w:szCs w:val="22"/>
          <w:u w:val="single"/>
        </w:rPr>
        <w:t>Answer</w:t>
      </w:r>
    </w:p>
    <w:p w14:paraId="2E368B4A" w14:textId="77777777" w:rsidR="00784848" w:rsidRPr="00F46F28" w:rsidRDefault="00784848" w:rsidP="002C01B0">
      <w:pPr>
        <w:ind w:left="720"/>
        <w:jc w:val="both"/>
        <w:rPr>
          <w:color w:val="0070C0"/>
          <w:sz w:val="22"/>
          <w:szCs w:val="22"/>
          <w:u w:val="single"/>
        </w:rPr>
      </w:pPr>
    </w:p>
    <w:p w14:paraId="15A69500" w14:textId="788CB73C" w:rsidR="00F46F28" w:rsidRDefault="00F46F28" w:rsidP="002C01B0">
      <w:pPr>
        <w:pStyle w:val="NormalWeb"/>
        <w:spacing w:before="0" w:beforeAutospacing="0" w:after="0" w:afterAutospacing="0"/>
        <w:ind w:left="720"/>
        <w:jc w:val="both"/>
        <w:rPr>
          <w:color w:val="0070C0"/>
          <w:sz w:val="22"/>
          <w:szCs w:val="22"/>
        </w:rPr>
      </w:pPr>
      <w:r w:rsidRPr="00F46F28">
        <w:rPr>
          <w:color w:val="0070C0"/>
          <w:sz w:val="22"/>
          <w:szCs w:val="22"/>
        </w:rPr>
        <w:t>Every Indonesian citizen has the right to adequate housing without discrimination</w:t>
      </w:r>
      <w:r w:rsidR="00A61542">
        <w:rPr>
          <w:color w:val="0070C0"/>
          <w:sz w:val="22"/>
          <w:szCs w:val="22"/>
        </w:rPr>
        <w:t xml:space="preserve">s. </w:t>
      </w:r>
      <w:r w:rsidRPr="00F46F28">
        <w:rPr>
          <w:color w:val="0070C0"/>
          <w:sz w:val="22"/>
          <w:szCs w:val="22"/>
        </w:rPr>
        <w:t xml:space="preserve">Article 28 H of </w:t>
      </w:r>
      <w:r>
        <w:rPr>
          <w:color w:val="0070C0"/>
          <w:sz w:val="22"/>
          <w:szCs w:val="22"/>
        </w:rPr>
        <w:t>Indonesia’s</w:t>
      </w:r>
      <w:r w:rsidRPr="00F46F28">
        <w:rPr>
          <w:color w:val="0070C0"/>
          <w:sz w:val="22"/>
          <w:szCs w:val="22"/>
        </w:rPr>
        <w:t xml:space="preserve"> 1945 Constitution</w:t>
      </w:r>
      <w:r w:rsidR="00A61542">
        <w:rPr>
          <w:color w:val="0070C0"/>
          <w:sz w:val="22"/>
          <w:szCs w:val="22"/>
        </w:rPr>
        <w:t xml:space="preserve"> states</w:t>
      </w:r>
      <w:r w:rsidRPr="00F46F28">
        <w:rPr>
          <w:color w:val="0070C0"/>
          <w:sz w:val="22"/>
          <w:szCs w:val="22"/>
        </w:rPr>
        <w:t xml:space="preserve">: "Every person has the right to a prosperous life, both physically and mentally, </w:t>
      </w:r>
      <w:r w:rsidRPr="00F46F28">
        <w:rPr>
          <w:b/>
          <w:color w:val="0070C0"/>
          <w:sz w:val="22"/>
          <w:szCs w:val="22"/>
        </w:rPr>
        <w:t>a place to live</w:t>
      </w:r>
      <w:r w:rsidRPr="00F46F28">
        <w:rPr>
          <w:color w:val="0070C0"/>
          <w:sz w:val="22"/>
          <w:szCs w:val="22"/>
        </w:rPr>
        <w:t xml:space="preserve">, and a good and healthy environment, and has the right to obtain health services." Furthermore, </w:t>
      </w:r>
      <w:r w:rsidR="00A61542">
        <w:rPr>
          <w:color w:val="0070C0"/>
          <w:sz w:val="22"/>
          <w:szCs w:val="22"/>
        </w:rPr>
        <w:t xml:space="preserve">Article 40 of </w:t>
      </w:r>
      <w:r w:rsidRPr="00F46F28">
        <w:rPr>
          <w:color w:val="0070C0"/>
          <w:sz w:val="22"/>
          <w:szCs w:val="22"/>
        </w:rPr>
        <w:t>Law No. 39 of 1999 on Human Rights</w:t>
      </w:r>
      <w:r w:rsidR="00A61542">
        <w:rPr>
          <w:color w:val="0070C0"/>
          <w:sz w:val="22"/>
          <w:szCs w:val="22"/>
        </w:rPr>
        <w:t xml:space="preserve"> </w:t>
      </w:r>
      <w:r w:rsidRPr="00F46F28">
        <w:rPr>
          <w:color w:val="0070C0"/>
          <w:sz w:val="22"/>
          <w:szCs w:val="22"/>
        </w:rPr>
        <w:t>states that every person has the right to a decent place to live and a decent standard of living.</w:t>
      </w:r>
    </w:p>
    <w:p w14:paraId="3E2C6B8C" w14:textId="77777777" w:rsidR="00FD3437" w:rsidRPr="00F46F28" w:rsidRDefault="00FD3437" w:rsidP="002C01B0">
      <w:pPr>
        <w:pStyle w:val="NormalWeb"/>
        <w:spacing w:before="0" w:beforeAutospacing="0" w:after="0" w:afterAutospacing="0"/>
        <w:ind w:left="720"/>
        <w:jc w:val="both"/>
        <w:rPr>
          <w:color w:val="0070C0"/>
        </w:rPr>
      </w:pPr>
    </w:p>
    <w:p w14:paraId="32AEE855" w14:textId="667DEE80" w:rsidR="00F46F28" w:rsidRPr="00F46F28" w:rsidRDefault="00F46F28" w:rsidP="002C01B0">
      <w:pPr>
        <w:pStyle w:val="NormalWeb"/>
        <w:spacing w:before="0" w:beforeAutospacing="0" w:after="0" w:afterAutospacing="0"/>
        <w:ind w:left="720"/>
        <w:jc w:val="both"/>
        <w:rPr>
          <w:color w:val="0070C0"/>
        </w:rPr>
      </w:pPr>
      <w:r w:rsidRPr="00F46F28">
        <w:rPr>
          <w:color w:val="0070C0"/>
          <w:sz w:val="22"/>
          <w:szCs w:val="22"/>
        </w:rPr>
        <w:t xml:space="preserve">The government </w:t>
      </w:r>
      <w:r w:rsidR="00A61542">
        <w:rPr>
          <w:color w:val="0070C0"/>
          <w:sz w:val="22"/>
          <w:szCs w:val="22"/>
        </w:rPr>
        <w:t>guarantees</w:t>
      </w:r>
      <w:r w:rsidRPr="00F46F28">
        <w:rPr>
          <w:color w:val="0070C0"/>
          <w:sz w:val="22"/>
          <w:szCs w:val="22"/>
        </w:rPr>
        <w:t xml:space="preserve"> the community's right to </w:t>
      </w:r>
      <w:r>
        <w:rPr>
          <w:color w:val="0070C0"/>
          <w:sz w:val="22"/>
          <w:szCs w:val="22"/>
        </w:rPr>
        <w:t xml:space="preserve">adequate </w:t>
      </w:r>
      <w:r w:rsidRPr="00F46F28">
        <w:rPr>
          <w:color w:val="0070C0"/>
          <w:sz w:val="22"/>
          <w:szCs w:val="22"/>
        </w:rPr>
        <w:t>housing</w:t>
      </w:r>
      <w:r w:rsidR="00A61542">
        <w:rPr>
          <w:color w:val="0070C0"/>
          <w:sz w:val="22"/>
          <w:szCs w:val="22"/>
        </w:rPr>
        <w:t xml:space="preserve"> through </w:t>
      </w:r>
      <w:r w:rsidRPr="00F46F28">
        <w:rPr>
          <w:color w:val="0070C0"/>
          <w:sz w:val="22"/>
          <w:szCs w:val="22"/>
        </w:rPr>
        <w:t xml:space="preserve">Law No. 1 </w:t>
      </w:r>
      <w:r w:rsidR="00A75D29">
        <w:rPr>
          <w:color w:val="0070C0"/>
          <w:sz w:val="22"/>
          <w:szCs w:val="22"/>
        </w:rPr>
        <w:t>of</w:t>
      </w:r>
      <w:r w:rsidRPr="00F46F28">
        <w:rPr>
          <w:color w:val="0070C0"/>
          <w:sz w:val="22"/>
          <w:szCs w:val="22"/>
        </w:rPr>
        <w:t xml:space="preserve"> 20</w:t>
      </w:r>
      <w:r w:rsidR="0048676D">
        <w:rPr>
          <w:color w:val="0070C0"/>
          <w:sz w:val="22"/>
          <w:szCs w:val="22"/>
        </w:rPr>
        <w:t>11</w:t>
      </w:r>
      <w:r w:rsidRPr="00F46F28">
        <w:rPr>
          <w:color w:val="0070C0"/>
          <w:sz w:val="22"/>
          <w:szCs w:val="22"/>
        </w:rPr>
        <w:t xml:space="preserve"> </w:t>
      </w:r>
      <w:r w:rsidR="0048676D">
        <w:rPr>
          <w:color w:val="0070C0"/>
          <w:sz w:val="22"/>
          <w:szCs w:val="22"/>
        </w:rPr>
        <w:t>on</w:t>
      </w:r>
      <w:r w:rsidRPr="00F46F28">
        <w:rPr>
          <w:color w:val="0070C0"/>
          <w:sz w:val="22"/>
          <w:szCs w:val="22"/>
        </w:rPr>
        <w:t xml:space="preserve"> Housing and Settlement Areas</w:t>
      </w:r>
      <w:r w:rsidR="00A61542">
        <w:rPr>
          <w:color w:val="0070C0"/>
          <w:sz w:val="22"/>
          <w:szCs w:val="22"/>
        </w:rPr>
        <w:t xml:space="preserve">. It preamble </w:t>
      </w:r>
      <w:r w:rsidRPr="00F46F28">
        <w:rPr>
          <w:color w:val="0070C0"/>
          <w:sz w:val="22"/>
          <w:szCs w:val="22"/>
        </w:rPr>
        <w:t xml:space="preserve">states that the </w:t>
      </w:r>
      <w:r>
        <w:rPr>
          <w:color w:val="0070C0"/>
          <w:sz w:val="22"/>
          <w:szCs w:val="22"/>
        </w:rPr>
        <w:t>government</w:t>
      </w:r>
      <w:r w:rsidRPr="00F46F28">
        <w:rPr>
          <w:color w:val="0070C0"/>
          <w:sz w:val="22"/>
          <w:szCs w:val="22"/>
        </w:rPr>
        <w:t xml:space="preserve"> is responsible for protecting all Indonesian citizens through the provision of housing and settlement areas so that people are able to live and inhabit affordable and decent homes in healthy, safe, harmonious, and sustainable housing throughout Indonesia. The law also explains the government's role in providing housing and settlement areas:</w:t>
      </w:r>
    </w:p>
    <w:p w14:paraId="7B13DBB8" w14:textId="1A015160" w:rsidR="00F46F28" w:rsidRPr="00F46F28" w:rsidRDefault="00F46F28" w:rsidP="00A61542">
      <w:pPr>
        <w:pStyle w:val="NormalWeb"/>
        <w:numPr>
          <w:ilvl w:val="0"/>
          <w:numId w:val="2"/>
        </w:numPr>
        <w:tabs>
          <w:tab w:val="clear" w:pos="720"/>
          <w:tab w:val="num" w:pos="1440"/>
        </w:tabs>
        <w:spacing w:before="0" w:beforeAutospacing="0" w:after="0" w:afterAutospacing="0"/>
        <w:ind w:left="1134" w:hanging="425"/>
        <w:jc w:val="both"/>
        <w:textAlignment w:val="baseline"/>
        <w:rPr>
          <w:color w:val="0070C0"/>
          <w:sz w:val="22"/>
          <w:szCs w:val="22"/>
        </w:rPr>
      </w:pPr>
      <w:r w:rsidRPr="00F46F28">
        <w:rPr>
          <w:color w:val="0070C0"/>
          <w:sz w:val="22"/>
          <w:szCs w:val="22"/>
        </w:rPr>
        <w:t xml:space="preserve">Article 13, 14, and 15 state that the tasks of the Central/Provincial/District/City Government include facilitating the provision of housing and settlements for the community, especially for low-income </w:t>
      </w:r>
      <w:r w:rsidR="00B62595">
        <w:rPr>
          <w:color w:val="0070C0"/>
          <w:sz w:val="22"/>
          <w:szCs w:val="22"/>
        </w:rPr>
        <w:t>communities</w:t>
      </w:r>
      <w:r w:rsidRPr="00F46F28">
        <w:rPr>
          <w:color w:val="0070C0"/>
          <w:sz w:val="22"/>
          <w:szCs w:val="22"/>
        </w:rPr>
        <w:t>;</w:t>
      </w:r>
    </w:p>
    <w:p w14:paraId="43E10FB0" w14:textId="5D42DEB8" w:rsidR="00F46F28" w:rsidRPr="00F46F28" w:rsidRDefault="00F46F28" w:rsidP="00A61542">
      <w:pPr>
        <w:pStyle w:val="NormalWeb"/>
        <w:numPr>
          <w:ilvl w:val="0"/>
          <w:numId w:val="2"/>
        </w:numPr>
        <w:tabs>
          <w:tab w:val="clear" w:pos="720"/>
          <w:tab w:val="num" w:pos="1440"/>
        </w:tabs>
        <w:spacing w:before="0" w:beforeAutospacing="0" w:after="0" w:afterAutospacing="0"/>
        <w:ind w:left="1134" w:hanging="425"/>
        <w:jc w:val="both"/>
        <w:textAlignment w:val="baseline"/>
        <w:rPr>
          <w:color w:val="0070C0"/>
          <w:sz w:val="22"/>
          <w:szCs w:val="22"/>
        </w:rPr>
      </w:pPr>
      <w:r w:rsidRPr="00F46F28">
        <w:rPr>
          <w:color w:val="0070C0"/>
          <w:sz w:val="22"/>
          <w:szCs w:val="22"/>
        </w:rPr>
        <w:t xml:space="preserve">Article 19 paragraph (2) states that the provision of housing and settlements is carried out by the </w:t>
      </w:r>
      <w:r w:rsidR="0048676D">
        <w:rPr>
          <w:color w:val="0070C0"/>
          <w:sz w:val="22"/>
          <w:szCs w:val="22"/>
        </w:rPr>
        <w:t>central g</w:t>
      </w:r>
      <w:r w:rsidRPr="00F46F28">
        <w:rPr>
          <w:color w:val="0070C0"/>
          <w:sz w:val="22"/>
          <w:szCs w:val="22"/>
        </w:rPr>
        <w:t>overnment, local governments, and/or any person to guarantee the right of every citizen to occupy, enjoy, and/or own a decent home in a healthy, safe, harmonious, and orderly environment;</w:t>
      </w:r>
    </w:p>
    <w:p w14:paraId="1DFD5BD5" w14:textId="22DFA53B" w:rsidR="00A16F28" w:rsidRPr="00EA291F" w:rsidRDefault="00F46F28" w:rsidP="00A61542">
      <w:pPr>
        <w:pStyle w:val="NormalWeb"/>
        <w:numPr>
          <w:ilvl w:val="0"/>
          <w:numId w:val="2"/>
        </w:numPr>
        <w:tabs>
          <w:tab w:val="clear" w:pos="720"/>
          <w:tab w:val="num" w:pos="1440"/>
        </w:tabs>
        <w:spacing w:before="0" w:beforeAutospacing="0" w:after="0" w:afterAutospacing="0"/>
        <w:ind w:left="1134" w:hanging="425"/>
        <w:jc w:val="both"/>
        <w:textAlignment w:val="baseline"/>
        <w:rPr>
          <w:color w:val="0070C0"/>
          <w:sz w:val="22"/>
          <w:szCs w:val="22"/>
        </w:rPr>
      </w:pPr>
      <w:r w:rsidRPr="00F46F28">
        <w:rPr>
          <w:color w:val="0070C0"/>
          <w:sz w:val="22"/>
          <w:szCs w:val="22"/>
        </w:rPr>
        <w:t xml:space="preserve">Article 54 states that the Government is obliged to provide facilities for the construction and acquisition of housing for low-income </w:t>
      </w:r>
      <w:r w:rsidR="00B62595">
        <w:rPr>
          <w:color w:val="0070C0"/>
          <w:sz w:val="22"/>
          <w:szCs w:val="22"/>
        </w:rPr>
        <w:t>communities</w:t>
      </w:r>
      <w:r w:rsidRPr="00F46F28">
        <w:rPr>
          <w:color w:val="0070C0"/>
          <w:sz w:val="22"/>
          <w:szCs w:val="22"/>
        </w:rPr>
        <w:t>.</w:t>
      </w:r>
    </w:p>
    <w:p w14:paraId="78D2802D" w14:textId="3E8C43F2" w:rsidR="00EA291F" w:rsidRDefault="00EA291F" w:rsidP="002C01B0">
      <w:pPr>
        <w:pStyle w:val="NormalWeb"/>
        <w:spacing w:before="0" w:beforeAutospacing="0" w:after="0" w:afterAutospacing="0"/>
        <w:jc w:val="both"/>
        <w:textAlignment w:val="baseline"/>
        <w:rPr>
          <w:color w:val="0070C0"/>
          <w:sz w:val="22"/>
          <w:szCs w:val="22"/>
        </w:rPr>
      </w:pPr>
    </w:p>
    <w:p w14:paraId="26176FA9" w14:textId="3B18FF61" w:rsidR="00EA291F" w:rsidRPr="00EA291F" w:rsidRDefault="00A61542" w:rsidP="002C01B0">
      <w:pPr>
        <w:pStyle w:val="NormalWeb"/>
        <w:spacing w:before="0" w:beforeAutospacing="0" w:after="0" w:afterAutospacing="0"/>
        <w:ind w:left="720"/>
        <w:jc w:val="both"/>
        <w:textAlignment w:val="baseline"/>
        <w:rPr>
          <w:color w:val="0070C0"/>
          <w:sz w:val="22"/>
          <w:szCs w:val="22"/>
        </w:rPr>
      </w:pPr>
      <w:r>
        <w:rPr>
          <w:color w:val="0070C0"/>
          <w:sz w:val="22"/>
          <w:szCs w:val="22"/>
        </w:rPr>
        <w:t xml:space="preserve">The </w:t>
      </w:r>
      <w:r w:rsidR="00EA291F" w:rsidRPr="00EA291F">
        <w:rPr>
          <w:color w:val="0070C0"/>
          <w:sz w:val="22"/>
          <w:szCs w:val="22"/>
        </w:rPr>
        <w:t xml:space="preserve">Minister </w:t>
      </w:r>
      <w:r w:rsidR="00EA291F">
        <w:rPr>
          <w:color w:val="0070C0"/>
          <w:sz w:val="22"/>
          <w:szCs w:val="22"/>
        </w:rPr>
        <w:t>for</w:t>
      </w:r>
      <w:r w:rsidR="00EA291F" w:rsidRPr="00EA291F">
        <w:rPr>
          <w:color w:val="0070C0"/>
          <w:sz w:val="22"/>
          <w:szCs w:val="22"/>
        </w:rPr>
        <w:t xml:space="preserve"> Public Works and Housing</w:t>
      </w:r>
      <w:r w:rsidR="00EA291F">
        <w:rPr>
          <w:color w:val="0070C0"/>
          <w:sz w:val="22"/>
          <w:szCs w:val="22"/>
        </w:rPr>
        <w:t xml:space="preserve"> (MPWH) Regulation</w:t>
      </w:r>
      <w:r w:rsidR="00EA291F" w:rsidRPr="00EA291F">
        <w:rPr>
          <w:color w:val="0070C0"/>
          <w:sz w:val="22"/>
          <w:szCs w:val="22"/>
        </w:rPr>
        <w:t xml:space="preserve"> No. 35 of 2021 </w:t>
      </w:r>
      <w:r w:rsidR="00F56B00">
        <w:rPr>
          <w:color w:val="0070C0"/>
          <w:sz w:val="22"/>
          <w:szCs w:val="22"/>
        </w:rPr>
        <w:t xml:space="preserve">on </w:t>
      </w:r>
      <w:r w:rsidR="00EA291F" w:rsidRPr="00EA291F">
        <w:rPr>
          <w:color w:val="0070C0"/>
          <w:sz w:val="22"/>
          <w:szCs w:val="22"/>
        </w:rPr>
        <w:t>Facilitation and Assistance for Housing Financing for Low-Income Communities has established various housing financing facilities as an effort to regulate housing affordability</w:t>
      </w:r>
      <w:r w:rsidR="00EA291F">
        <w:rPr>
          <w:color w:val="0070C0"/>
          <w:sz w:val="22"/>
          <w:szCs w:val="22"/>
        </w:rPr>
        <w:t>.</w:t>
      </w:r>
      <w:r w:rsidR="00EA291F" w:rsidRPr="00EA291F">
        <w:rPr>
          <w:color w:val="0070C0"/>
          <w:sz w:val="22"/>
          <w:szCs w:val="22"/>
        </w:rPr>
        <w:t xml:space="preserve"> </w:t>
      </w:r>
      <w:r>
        <w:rPr>
          <w:color w:val="0070C0"/>
          <w:sz w:val="22"/>
          <w:szCs w:val="22"/>
        </w:rPr>
        <w:t xml:space="preserve">The </w:t>
      </w:r>
      <w:r w:rsidR="00EA291F">
        <w:rPr>
          <w:color w:val="0070C0"/>
          <w:sz w:val="22"/>
          <w:szCs w:val="22"/>
        </w:rPr>
        <w:t>MPWH</w:t>
      </w:r>
      <w:r w:rsidR="00EA291F" w:rsidRPr="00EA291F">
        <w:rPr>
          <w:color w:val="0070C0"/>
          <w:sz w:val="22"/>
          <w:szCs w:val="22"/>
        </w:rPr>
        <w:t xml:space="preserve"> Decision No. 995 of 2021 sets </w:t>
      </w:r>
      <w:r w:rsidR="00F56B00">
        <w:rPr>
          <w:color w:val="0070C0"/>
          <w:sz w:val="22"/>
          <w:szCs w:val="22"/>
        </w:rPr>
        <w:t xml:space="preserve">the </w:t>
      </w:r>
      <w:r w:rsidR="00EA291F" w:rsidRPr="00EA291F">
        <w:rPr>
          <w:color w:val="0070C0"/>
          <w:sz w:val="22"/>
          <w:szCs w:val="22"/>
        </w:rPr>
        <w:t xml:space="preserve">income and </w:t>
      </w:r>
      <w:r w:rsidR="00F56B00">
        <w:rPr>
          <w:color w:val="0070C0"/>
          <w:sz w:val="22"/>
          <w:szCs w:val="22"/>
        </w:rPr>
        <w:t xml:space="preserve">house </w:t>
      </w:r>
      <w:r w:rsidR="00EA291F" w:rsidRPr="00EA291F">
        <w:rPr>
          <w:color w:val="0070C0"/>
          <w:sz w:val="22"/>
          <w:szCs w:val="22"/>
        </w:rPr>
        <w:t xml:space="preserve">price limits for obtaining assistance in </w:t>
      </w:r>
      <w:r w:rsidR="00F56B00">
        <w:rPr>
          <w:color w:val="0070C0"/>
          <w:sz w:val="22"/>
          <w:szCs w:val="22"/>
        </w:rPr>
        <w:t>housing financing</w:t>
      </w:r>
      <w:r w:rsidR="00EA291F" w:rsidRPr="00EA291F">
        <w:rPr>
          <w:color w:val="0070C0"/>
          <w:sz w:val="22"/>
          <w:szCs w:val="22"/>
        </w:rPr>
        <w:t>.</w:t>
      </w:r>
    </w:p>
    <w:p w14:paraId="6166AC59" w14:textId="77777777" w:rsidR="00EA291F" w:rsidRPr="00A75D29" w:rsidRDefault="00EA291F" w:rsidP="002C01B0">
      <w:pPr>
        <w:pStyle w:val="NormalWeb"/>
        <w:spacing w:before="0" w:beforeAutospacing="0" w:after="0" w:afterAutospacing="0"/>
        <w:jc w:val="both"/>
        <w:textAlignment w:val="baseline"/>
        <w:rPr>
          <w:color w:val="0070C0"/>
          <w:sz w:val="22"/>
          <w:szCs w:val="22"/>
        </w:rPr>
      </w:pPr>
    </w:p>
    <w:p w14:paraId="1DFD5BD6" w14:textId="77777777" w:rsidR="00A16F28" w:rsidRDefault="00BF435D" w:rsidP="002C01B0">
      <w:pPr>
        <w:numPr>
          <w:ilvl w:val="0"/>
          <w:numId w:val="1"/>
        </w:numPr>
        <w:jc w:val="both"/>
        <w:rPr>
          <w:sz w:val="22"/>
          <w:szCs w:val="22"/>
        </w:rPr>
      </w:pPr>
      <w:r>
        <w:rPr>
          <w:sz w:val="22"/>
          <w:szCs w:val="22"/>
        </w:rPr>
        <w:lastRenderedPageBreak/>
        <w:t xml:space="preserve">Please explain if there is any official definition or criteria to assess whether a household faces housing costs above the level of affordability in your country. </w:t>
      </w:r>
    </w:p>
    <w:p w14:paraId="1DFD5BD7" w14:textId="77777777" w:rsidR="00A16F28" w:rsidRDefault="00A16F28" w:rsidP="002C01B0">
      <w:pPr>
        <w:ind w:left="720"/>
        <w:jc w:val="both"/>
        <w:rPr>
          <w:sz w:val="22"/>
          <w:szCs w:val="22"/>
        </w:rPr>
      </w:pPr>
    </w:p>
    <w:p w14:paraId="1DFD5BD8" w14:textId="77777777" w:rsidR="00A16F28" w:rsidRPr="00EA291F" w:rsidRDefault="00BF435D" w:rsidP="002C01B0">
      <w:pPr>
        <w:ind w:left="720"/>
        <w:jc w:val="both"/>
        <w:rPr>
          <w:color w:val="0070C0"/>
          <w:sz w:val="22"/>
          <w:szCs w:val="22"/>
          <w:u w:val="single"/>
        </w:rPr>
      </w:pPr>
      <w:r w:rsidRPr="00EA291F">
        <w:rPr>
          <w:color w:val="0070C0"/>
          <w:sz w:val="22"/>
          <w:szCs w:val="22"/>
          <w:u w:val="single"/>
        </w:rPr>
        <w:t>Answer</w:t>
      </w:r>
    </w:p>
    <w:p w14:paraId="1DFD5BD9" w14:textId="77777777" w:rsidR="00A16F28" w:rsidRPr="00EA291F" w:rsidRDefault="00A16F28" w:rsidP="002C01B0">
      <w:pPr>
        <w:ind w:left="720"/>
        <w:jc w:val="both"/>
        <w:rPr>
          <w:color w:val="0070C0"/>
          <w:sz w:val="22"/>
          <w:szCs w:val="22"/>
        </w:rPr>
      </w:pPr>
    </w:p>
    <w:p w14:paraId="4A6532DC" w14:textId="1BD298D3" w:rsidR="00A75D29" w:rsidRDefault="00A61542" w:rsidP="002C01B0">
      <w:pPr>
        <w:pStyle w:val="NormalWeb"/>
        <w:spacing w:before="0" w:beforeAutospacing="0" w:after="0" w:afterAutospacing="0"/>
        <w:ind w:left="720"/>
        <w:jc w:val="both"/>
        <w:rPr>
          <w:color w:val="0070C0"/>
          <w:sz w:val="22"/>
          <w:szCs w:val="22"/>
        </w:rPr>
      </w:pPr>
      <w:r w:rsidRPr="00EA291F">
        <w:rPr>
          <w:color w:val="0070C0"/>
          <w:sz w:val="22"/>
          <w:szCs w:val="22"/>
        </w:rPr>
        <w:t xml:space="preserve">Law No. 1 of 2011 on Housing and </w:t>
      </w:r>
      <w:r>
        <w:rPr>
          <w:color w:val="0070C0"/>
          <w:sz w:val="22"/>
          <w:szCs w:val="22"/>
        </w:rPr>
        <w:t>Settlement</w:t>
      </w:r>
      <w:r w:rsidRPr="00EA291F">
        <w:rPr>
          <w:color w:val="0070C0"/>
          <w:sz w:val="22"/>
          <w:szCs w:val="22"/>
        </w:rPr>
        <w:t xml:space="preserve"> Areas (as amended by Government Regulation in Lieu of Law No. 2 of 2022)</w:t>
      </w:r>
      <w:r>
        <w:rPr>
          <w:color w:val="0070C0"/>
          <w:sz w:val="22"/>
          <w:szCs w:val="22"/>
        </w:rPr>
        <w:t xml:space="preserve"> provides t</w:t>
      </w:r>
      <w:r w:rsidR="00A75D29" w:rsidRPr="00EA291F">
        <w:rPr>
          <w:color w:val="0070C0"/>
          <w:sz w:val="22"/>
          <w:szCs w:val="22"/>
        </w:rPr>
        <w:t>he definition o</w:t>
      </w:r>
      <w:r>
        <w:rPr>
          <w:color w:val="0070C0"/>
          <w:sz w:val="22"/>
          <w:szCs w:val="22"/>
        </w:rPr>
        <w:t>f</w:t>
      </w:r>
      <w:r w:rsidR="00A75D29" w:rsidRPr="00EA291F">
        <w:rPr>
          <w:color w:val="0070C0"/>
          <w:sz w:val="22"/>
          <w:szCs w:val="22"/>
        </w:rPr>
        <w:t xml:space="preserve"> </w:t>
      </w:r>
      <w:r w:rsidR="00B62595" w:rsidRPr="00EA291F">
        <w:rPr>
          <w:color w:val="0070C0"/>
          <w:sz w:val="22"/>
          <w:szCs w:val="22"/>
        </w:rPr>
        <w:t xml:space="preserve">households </w:t>
      </w:r>
      <w:r w:rsidR="00A75D29" w:rsidRPr="00EA291F">
        <w:rPr>
          <w:color w:val="0070C0"/>
          <w:sz w:val="22"/>
          <w:szCs w:val="22"/>
        </w:rPr>
        <w:t xml:space="preserve">that face </w:t>
      </w:r>
      <w:r w:rsidRPr="00EA291F">
        <w:rPr>
          <w:color w:val="0070C0"/>
          <w:sz w:val="22"/>
          <w:szCs w:val="22"/>
        </w:rPr>
        <w:t xml:space="preserve">housing </w:t>
      </w:r>
      <w:r w:rsidR="00A75D29" w:rsidRPr="00EA291F">
        <w:rPr>
          <w:color w:val="0070C0"/>
          <w:sz w:val="22"/>
          <w:szCs w:val="22"/>
        </w:rPr>
        <w:t>unaffordab</w:t>
      </w:r>
      <w:r>
        <w:rPr>
          <w:color w:val="0070C0"/>
          <w:sz w:val="22"/>
          <w:szCs w:val="22"/>
        </w:rPr>
        <w:t xml:space="preserve">ility </w:t>
      </w:r>
      <w:r w:rsidR="00A75D29" w:rsidRPr="00EA291F">
        <w:rPr>
          <w:color w:val="0070C0"/>
          <w:sz w:val="22"/>
          <w:szCs w:val="22"/>
        </w:rPr>
        <w:t>in Indonesia</w:t>
      </w:r>
      <w:r w:rsidR="00B62595" w:rsidRPr="00EA291F">
        <w:rPr>
          <w:color w:val="0070C0"/>
          <w:sz w:val="22"/>
          <w:szCs w:val="22"/>
        </w:rPr>
        <w:t xml:space="preserve">, </w:t>
      </w:r>
      <w:r>
        <w:rPr>
          <w:color w:val="0070C0"/>
          <w:sz w:val="22"/>
          <w:szCs w:val="22"/>
        </w:rPr>
        <w:t>which is referred to</w:t>
      </w:r>
      <w:r w:rsidR="00B62595" w:rsidRPr="00EA291F">
        <w:rPr>
          <w:color w:val="0070C0"/>
          <w:sz w:val="22"/>
          <w:szCs w:val="22"/>
        </w:rPr>
        <w:t xml:space="preserve"> as</w:t>
      </w:r>
      <w:r w:rsidR="00A75D29" w:rsidRPr="00EA291F">
        <w:rPr>
          <w:color w:val="0070C0"/>
          <w:sz w:val="22"/>
          <w:szCs w:val="22"/>
        </w:rPr>
        <w:t xml:space="preserve"> </w:t>
      </w:r>
      <w:r w:rsidR="00B62595" w:rsidRPr="00EA291F">
        <w:rPr>
          <w:color w:val="0070C0"/>
          <w:sz w:val="22"/>
          <w:szCs w:val="22"/>
        </w:rPr>
        <w:t>‘</w:t>
      </w:r>
      <w:r w:rsidR="00A75D29" w:rsidRPr="00EA291F">
        <w:rPr>
          <w:color w:val="0070C0"/>
          <w:sz w:val="22"/>
          <w:szCs w:val="22"/>
        </w:rPr>
        <w:t>Low-Income Communit</w:t>
      </w:r>
      <w:r w:rsidR="00B62595" w:rsidRPr="00EA291F">
        <w:rPr>
          <w:color w:val="0070C0"/>
          <w:sz w:val="22"/>
          <w:szCs w:val="22"/>
        </w:rPr>
        <w:t>ies’ (</w:t>
      </w:r>
      <w:proofErr w:type="spellStart"/>
      <w:r w:rsidR="00B62595" w:rsidRPr="00EA291F">
        <w:rPr>
          <w:i/>
          <w:color w:val="0070C0"/>
          <w:sz w:val="22"/>
          <w:szCs w:val="22"/>
        </w:rPr>
        <w:t>masyarakat</w:t>
      </w:r>
      <w:proofErr w:type="spellEnd"/>
      <w:r w:rsidR="00B62595" w:rsidRPr="00EA291F">
        <w:rPr>
          <w:i/>
          <w:color w:val="0070C0"/>
          <w:sz w:val="22"/>
          <w:szCs w:val="22"/>
        </w:rPr>
        <w:t xml:space="preserve"> </w:t>
      </w:r>
      <w:proofErr w:type="spellStart"/>
      <w:r w:rsidR="00B62595" w:rsidRPr="00EA291F">
        <w:rPr>
          <w:i/>
          <w:color w:val="0070C0"/>
          <w:sz w:val="22"/>
          <w:szCs w:val="22"/>
        </w:rPr>
        <w:t>berpenghasilan</w:t>
      </w:r>
      <w:proofErr w:type="spellEnd"/>
      <w:r w:rsidR="00B62595" w:rsidRPr="00EA291F">
        <w:rPr>
          <w:i/>
          <w:color w:val="0070C0"/>
          <w:sz w:val="22"/>
          <w:szCs w:val="22"/>
        </w:rPr>
        <w:t xml:space="preserve"> </w:t>
      </w:r>
      <w:proofErr w:type="spellStart"/>
      <w:r w:rsidR="00B62595" w:rsidRPr="00EA291F">
        <w:rPr>
          <w:i/>
          <w:color w:val="0070C0"/>
          <w:sz w:val="22"/>
          <w:szCs w:val="22"/>
        </w:rPr>
        <w:t>rendah</w:t>
      </w:r>
      <w:proofErr w:type="spellEnd"/>
      <w:r w:rsidR="00B62595" w:rsidRPr="00EA291F">
        <w:rPr>
          <w:i/>
          <w:color w:val="0070C0"/>
          <w:sz w:val="22"/>
          <w:szCs w:val="22"/>
        </w:rPr>
        <w:t xml:space="preserve"> </w:t>
      </w:r>
      <w:r w:rsidR="00FD3437">
        <w:rPr>
          <w:color w:val="0070C0"/>
          <w:sz w:val="22"/>
          <w:szCs w:val="22"/>
        </w:rPr>
        <w:t>or</w:t>
      </w:r>
      <w:r w:rsidR="00B62595" w:rsidRPr="00EA291F">
        <w:rPr>
          <w:color w:val="0070C0"/>
          <w:sz w:val="22"/>
          <w:szCs w:val="22"/>
        </w:rPr>
        <w:t xml:space="preserve"> ‘MBR’). MBR is defined as </w:t>
      </w:r>
      <w:r>
        <w:rPr>
          <w:color w:val="0070C0"/>
          <w:sz w:val="22"/>
          <w:szCs w:val="22"/>
        </w:rPr>
        <w:t>those</w:t>
      </w:r>
      <w:r w:rsidR="00A75D29" w:rsidRPr="00EA291F">
        <w:rPr>
          <w:color w:val="0070C0"/>
          <w:sz w:val="22"/>
          <w:szCs w:val="22"/>
        </w:rPr>
        <w:t xml:space="preserve"> with limited purchasing power </w:t>
      </w:r>
      <w:r>
        <w:rPr>
          <w:color w:val="0070C0"/>
          <w:sz w:val="22"/>
          <w:szCs w:val="22"/>
        </w:rPr>
        <w:t>which need</w:t>
      </w:r>
      <w:r w:rsidR="00A75D29" w:rsidRPr="00EA291F">
        <w:rPr>
          <w:color w:val="0070C0"/>
          <w:sz w:val="22"/>
          <w:szCs w:val="22"/>
        </w:rPr>
        <w:t xml:space="preserve"> government support to obtain housing. </w:t>
      </w:r>
    </w:p>
    <w:p w14:paraId="695BF324" w14:textId="77777777" w:rsidR="00FD3437" w:rsidRPr="00EA291F" w:rsidRDefault="00FD3437" w:rsidP="002C01B0">
      <w:pPr>
        <w:pStyle w:val="NormalWeb"/>
        <w:spacing w:before="0" w:beforeAutospacing="0" w:after="0" w:afterAutospacing="0"/>
        <w:ind w:left="720"/>
        <w:jc w:val="both"/>
        <w:rPr>
          <w:color w:val="0070C0"/>
        </w:rPr>
      </w:pPr>
    </w:p>
    <w:p w14:paraId="275D079A" w14:textId="46A97EC5" w:rsidR="00A75D29" w:rsidRPr="00A61542" w:rsidRDefault="00A61542" w:rsidP="00A61542">
      <w:pPr>
        <w:pStyle w:val="NormalWeb"/>
        <w:spacing w:before="0" w:beforeAutospacing="0" w:after="0" w:afterAutospacing="0"/>
        <w:ind w:left="720"/>
        <w:jc w:val="both"/>
        <w:rPr>
          <w:color w:val="0070C0"/>
          <w:sz w:val="22"/>
          <w:szCs w:val="22"/>
        </w:rPr>
      </w:pPr>
      <w:r>
        <w:rPr>
          <w:color w:val="0070C0"/>
          <w:sz w:val="22"/>
          <w:szCs w:val="22"/>
        </w:rPr>
        <w:t>The MPWH</w:t>
      </w:r>
      <w:r w:rsidRPr="00EA291F">
        <w:rPr>
          <w:color w:val="0070C0"/>
          <w:sz w:val="22"/>
          <w:szCs w:val="22"/>
        </w:rPr>
        <w:t xml:space="preserve"> Regulation N</w:t>
      </w:r>
      <w:r>
        <w:rPr>
          <w:color w:val="0070C0"/>
          <w:sz w:val="22"/>
          <w:szCs w:val="22"/>
        </w:rPr>
        <w:t>o.</w:t>
      </w:r>
      <w:r w:rsidRPr="00EA291F">
        <w:rPr>
          <w:color w:val="0070C0"/>
          <w:sz w:val="22"/>
          <w:szCs w:val="22"/>
        </w:rPr>
        <w:t xml:space="preserve"> 1 of 2021 on the Criteria for Low-Income Communities and Requirements for Ease of Housing Development and Acquisition</w:t>
      </w:r>
      <w:r>
        <w:rPr>
          <w:color w:val="0070C0"/>
          <w:sz w:val="22"/>
          <w:szCs w:val="22"/>
        </w:rPr>
        <w:t xml:space="preserve"> specifies t</w:t>
      </w:r>
      <w:r w:rsidR="00A75D29" w:rsidRPr="00EA291F">
        <w:rPr>
          <w:color w:val="0070C0"/>
          <w:sz w:val="22"/>
          <w:szCs w:val="22"/>
        </w:rPr>
        <w:t xml:space="preserve">he criteria for </w:t>
      </w:r>
      <w:r w:rsidR="00B62595" w:rsidRPr="00EA291F">
        <w:rPr>
          <w:color w:val="0070C0"/>
          <w:sz w:val="22"/>
          <w:szCs w:val="22"/>
        </w:rPr>
        <w:t>MBR</w:t>
      </w:r>
      <w:r>
        <w:rPr>
          <w:color w:val="0070C0"/>
          <w:sz w:val="22"/>
          <w:szCs w:val="22"/>
        </w:rPr>
        <w:t xml:space="preserve"> </w:t>
      </w:r>
      <w:r w:rsidR="00A75D29" w:rsidRPr="00EA291F">
        <w:rPr>
          <w:color w:val="0070C0"/>
          <w:sz w:val="22"/>
          <w:szCs w:val="22"/>
        </w:rPr>
        <w:t xml:space="preserve">based on income </w:t>
      </w:r>
      <w:r>
        <w:rPr>
          <w:color w:val="0070C0"/>
          <w:sz w:val="22"/>
          <w:szCs w:val="22"/>
        </w:rPr>
        <w:t xml:space="preserve">in relations with </w:t>
      </w:r>
      <w:r w:rsidR="00A75D29" w:rsidRPr="00EA291F">
        <w:rPr>
          <w:color w:val="0070C0"/>
          <w:sz w:val="22"/>
          <w:szCs w:val="22"/>
        </w:rPr>
        <w:t xml:space="preserve">the ability to pay for the construction or acquisition of decent housing. </w:t>
      </w:r>
      <w:r>
        <w:rPr>
          <w:color w:val="0070C0"/>
          <w:sz w:val="22"/>
          <w:szCs w:val="22"/>
        </w:rPr>
        <w:t>The MPWH</w:t>
      </w:r>
      <w:r w:rsidRPr="00EA291F">
        <w:rPr>
          <w:color w:val="0070C0"/>
          <w:sz w:val="22"/>
          <w:szCs w:val="22"/>
        </w:rPr>
        <w:t xml:space="preserve"> Decree Number 22/KPTS/M/2023 on the Income Level of Low-Income Communities and Limits on Floor</w:t>
      </w:r>
      <w:r>
        <w:rPr>
          <w:color w:val="0070C0"/>
          <w:sz w:val="22"/>
          <w:szCs w:val="22"/>
        </w:rPr>
        <w:t xml:space="preserve"> Space</w:t>
      </w:r>
      <w:r w:rsidRPr="00EA291F">
        <w:rPr>
          <w:color w:val="0070C0"/>
          <w:sz w:val="22"/>
          <w:szCs w:val="22"/>
        </w:rPr>
        <w:t xml:space="preserve"> for Public and </w:t>
      </w:r>
      <w:r>
        <w:rPr>
          <w:color w:val="0070C0"/>
          <w:sz w:val="22"/>
          <w:szCs w:val="22"/>
        </w:rPr>
        <w:t>Self-build</w:t>
      </w:r>
      <w:r w:rsidRPr="00EA291F">
        <w:rPr>
          <w:color w:val="0070C0"/>
          <w:sz w:val="22"/>
          <w:szCs w:val="22"/>
        </w:rPr>
        <w:t xml:space="preserve"> Housing </w:t>
      </w:r>
      <w:r>
        <w:rPr>
          <w:color w:val="0070C0"/>
          <w:sz w:val="22"/>
          <w:szCs w:val="22"/>
        </w:rPr>
        <w:t xml:space="preserve">further determines the </w:t>
      </w:r>
      <w:r w:rsidR="00A75D29" w:rsidRPr="00EA291F">
        <w:rPr>
          <w:color w:val="0070C0"/>
          <w:sz w:val="22"/>
          <w:szCs w:val="22"/>
        </w:rPr>
        <w:t>income level</w:t>
      </w:r>
      <w:r>
        <w:rPr>
          <w:color w:val="0070C0"/>
          <w:sz w:val="22"/>
          <w:szCs w:val="22"/>
        </w:rPr>
        <w:t xml:space="preserve"> that would qualify a household as MBR, that is </w:t>
      </w:r>
      <w:r w:rsidR="00B62595" w:rsidRPr="00EA291F">
        <w:rPr>
          <w:color w:val="0070C0"/>
          <w:sz w:val="22"/>
          <w:szCs w:val="22"/>
        </w:rPr>
        <w:t>between IDR 7 – 10 million (</w:t>
      </w:r>
      <w:r w:rsidR="00EA291F" w:rsidRPr="00EA291F">
        <w:rPr>
          <w:color w:val="0070C0"/>
          <w:sz w:val="22"/>
          <w:szCs w:val="22"/>
        </w:rPr>
        <w:t>approximately USD 472 – 675</w:t>
      </w:r>
      <w:r w:rsidR="00B62595" w:rsidRPr="00EA291F">
        <w:rPr>
          <w:color w:val="0070C0"/>
          <w:sz w:val="22"/>
          <w:szCs w:val="22"/>
        </w:rPr>
        <w:t>)</w:t>
      </w:r>
      <w:r>
        <w:rPr>
          <w:color w:val="0070C0"/>
          <w:sz w:val="22"/>
          <w:szCs w:val="22"/>
        </w:rPr>
        <w:t xml:space="preserve"> per household, </w:t>
      </w:r>
      <w:r w:rsidR="00B62595" w:rsidRPr="00EA291F">
        <w:rPr>
          <w:color w:val="0070C0"/>
          <w:sz w:val="22"/>
          <w:szCs w:val="22"/>
        </w:rPr>
        <w:t>depending on their area of living and marital status.</w:t>
      </w:r>
    </w:p>
    <w:p w14:paraId="418017CB" w14:textId="77777777" w:rsidR="00A75D29" w:rsidRDefault="00A75D29" w:rsidP="002C01B0">
      <w:pPr>
        <w:ind w:left="720"/>
        <w:jc w:val="both"/>
        <w:rPr>
          <w:sz w:val="22"/>
          <w:szCs w:val="22"/>
        </w:rPr>
      </w:pPr>
    </w:p>
    <w:p w14:paraId="1DFD5BDF" w14:textId="77777777" w:rsidR="00A16F28" w:rsidRDefault="00BF435D" w:rsidP="002C01B0">
      <w:pPr>
        <w:numPr>
          <w:ilvl w:val="0"/>
          <w:numId w:val="1"/>
        </w:numPr>
        <w:jc w:val="both"/>
        <w:rPr>
          <w:sz w:val="22"/>
          <w:szCs w:val="22"/>
        </w:rPr>
      </w:pPr>
      <w:r>
        <w:rPr>
          <w:sz w:val="22"/>
          <w:szCs w:val="22"/>
        </w:rPr>
        <w:t>Please share any important court decisions in your country that relate to the issue of affordable housing or enjoyment of a minimum standard of living, including important judgements on State policies or measures aimed at ensuring housing affordability. Please provide if possible a short summary of the decision and a link to its text.</w:t>
      </w:r>
    </w:p>
    <w:p w14:paraId="1DFD5BE0" w14:textId="078BA2C5" w:rsidR="00A16F28" w:rsidRDefault="00BF435D" w:rsidP="002C01B0">
      <w:pPr>
        <w:ind w:left="720"/>
        <w:jc w:val="both"/>
        <w:rPr>
          <w:sz w:val="22"/>
          <w:szCs w:val="22"/>
        </w:rPr>
      </w:pPr>
      <w:r>
        <w:rPr>
          <w:sz w:val="22"/>
          <w:szCs w:val="22"/>
        </w:rPr>
        <w:t xml:space="preserve">(e.g. judgements by international, constitutional, supreme or high courts, rent control measures or rent freezes, access to housing subsidies, public or social housing, non-discrimination and equal access to affordable housing etc.)   </w:t>
      </w:r>
    </w:p>
    <w:p w14:paraId="12F00841" w14:textId="77777777" w:rsidR="00FD3437" w:rsidRDefault="00FD3437" w:rsidP="002C01B0">
      <w:pPr>
        <w:ind w:left="720"/>
        <w:jc w:val="both"/>
        <w:rPr>
          <w:sz w:val="22"/>
          <w:szCs w:val="22"/>
        </w:rPr>
      </w:pPr>
    </w:p>
    <w:p w14:paraId="14F07E22" w14:textId="1D79714B" w:rsidR="008F4315" w:rsidRDefault="00BF435D" w:rsidP="002C01B0">
      <w:pPr>
        <w:ind w:left="720"/>
        <w:jc w:val="both"/>
        <w:rPr>
          <w:color w:val="0070C0"/>
          <w:sz w:val="22"/>
          <w:szCs w:val="22"/>
          <w:u w:val="single"/>
        </w:rPr>
      </w:pPr>
      <w:r w:rsidRPr="008F4315">
        <w:rPr>
          <w:color w:val="0070C0"/>
          <w:sz w:val="22"/>
          <w:szCs w:val="22"/>
          <w:u w:val="single"/>
        </w:rPr>
        <w:t>Answer</w:t>
      </w:r>
    </w:p>
    <w:p w14:paraId="56FC0F41" w14:textId="77777777" w:rsidR="00FD3437" w:rsidRPr="008F4315" w:rsidRDefault="00FD3437" w:rsidP="002C01B0">
      <w:pPr>
        <w:ind w:left="720"/>
        <w:jc w:val="both"/>
        <w:rPr>
          <w:color w:val="0070C0"/>
          <w:sz w:val="22"/>
          <w:szCs w:val="22"/>
          <w:u w:val="single"/>
        </w:rPr>
      </w:pPr>
    </w:p>
    <w:p w14:paraId="7B76D25D" w14:textId="7691FB91" w:rsidR="00062495" w:rsidRDefault="00062495" w:rsidP="002C01B0">
      <w:pPr>
        <w:pStyle w:val="NormalWeb"/>
        <w:spacing w:before="0" w:beforeAutospacing="0" w:after="0" w:afterAutospacing="0"/>
        <w:ind w:left="720"/>
        <w:jc w:val="both"/>
        <w:rPr>
          <w:color w:val="0070C0"/>
          <w:sz w:val="22"/>
          <w:szCs w:val="22"/>
        </w:rPr>
      </w:pPr>
      <w:r>
        <w:rPr>
          <w:color w:val="0070C0"/>
          <w:sz w:val="22"/>
          <w:szCs w:val="22"/>
        </w:rPr>
        <w:t>In 2012, t</w:t>
      </w:r>
      <w:r w:rsidR="008F4315">
        <w:rPr>
          <w:color w:val="0070C0"/>
          <w:sz w:val="22"/>
          <w:szCs w:val="22"/>
        </w:rPr>
        <w:t xml:space="preserve">he Indonesian Constitutional Court </w:t>
      </w:r>
      <w:r>
        <w:rPr>
          <w:color w:val="0070C0"/>
          <w:sz w:val="22"/>
          <w:szCs w:val="22"/>
        </w:rPr>
        <w:t>published a judicial review decision</w:t>
      </w:r>
      <w:r w:rsidR="00A61542">
        <w:rPr>
          <w:rStyle w:val="FootnoteReference"/>
          <w:color w:val="0070C0"/>
          <w:sz w:val="22"/>
          <w:szCs w:val="22"/>
        </w:rPr>
        <w:footnoteReference w:id="1"/>
      </w:r>
      <w:r>
        <w:rPr>
          <w:color w:val="0070C0"/>
          <w:sz w:val="22"/>
          <w:szCs w:val="22"/>
        </w:rPr>
        <w:t xml:space="preserve"> </w:t>
      </w:r>
      <w:r w:rsidR="005F2655">
        <w:rPr>
          <w:color w:val="0070C0"/>
          <w:sz w:val="22"/>
          <w:szCs w:val="22"/>
        </w:rPr>
        <w:t>(Decision</w:t>
      </w:r>
      <w:r w:rsidR="005F2655" w:rsidRPr="008F4315">
        <w:rPr>
          <w:color w:val="0070C0"/>
          <w:sz w:val="22"/>
          <w:szCs w:val="22"/>
        </w:rPr>
        <w:t xml:space="preserve"> No. 1</w:t>
      </w:r>
      <w:r w:rsidR="005F2655">
        <w:rPr>
          <w:color w:val="0070C0"/>
          <w:sz w:val="22"/>
          <w:szCs w:val="22"/>
        </w:rPr>
        <w:t>4</w:t>
      </w:r>
      <w:r w:rsidR="005F2655" w:rsidRPr="008F4315">
        <w:rPr>
          <w:color w:val="0070C0"/>
          <w:sz w:val="22"/>
          <w:szCs w:val="22"/>
        </w:rPr>
        <w:t>/PUU-X/2012</w:t>
      </w:r>
      <w:r w:rsidR="005F2655">
        <w:rPr>
          <w:color w:val="0070C0"/>
          <w:sz w:val="22"/>
          <w:szCs w:val="22"/>
        </w:rPr>
        <w:t xml:space="preserve">) </w:t>
      </w:r>
      <w:r>
        <w:rPr>
          <w:color w:val="0070C0"/>
          <w:sz w:val="22"/>
          <w:szCs w:val="22"/>
        </w:rPr>
        <w:t xml:space="preserve">regarding </w:t>
      </w:r>
      <w:r w:rsidR="009F4664">
        <w:rPr>
          <w:color w:val="0070C0"/>
          <w:sz w:val="22"/>
          <w:szCs w:val="22"/>
        </w:rPr>
        <w:t xml:space="preserve">the right to adequate housing and </w:t>
      </w:r>
      <w:r>
        <w:rPr>
          <w:color w:val="0070C0"/>
          <w:sz w:val="22"/>
          <w:szCs w:val="22"/>
        </w:rPr>
        <w:t xml:space="preserve">the minimum </w:t>
      </w:r>
      <w:r w:rsidR="00FB606B">
        <w:rPr>
          <w:color w:val="0070C0"/>
          <w:sz w:val="22"/>
          <w:szCs w:val="22"/>
        </w:rPr>
        <w:t>floor space for homes</w:t>
      </w:r>
      <w:r>
        <w:rPr>
          <w:color w:val="0070C0"/>
          <w:sz w:val="22"/>
          <w:szCs w:val="22"/>
        </w:rPr>
        <w:t xml:space="preserve"> that would qualify for MBR housing subsidies</w:t>
      </w:r>
      <w:r w:rsidR="008F4315" w:rsidRPr="008F4315">
        <w:rPr>
          <w:color w:val="0070C0"/>
          <w:sz w:val="22"/>
          <w:szCs w:val="22"/>
        </w:rPr>
        <w:t xml:space="preserve">. </w:t>
      </w:r>
    </w:p>
    <w:p w14:paraId="6264228B" w14:textId="77777777" w:rsidR="00FD3437" w:rsidRDefault="00FD3437" w:rsidP="002C01B0">
      <w:pPr>
        <w:pStyle w:val="NormalWeb"/>
        <w:spacing w:before="0" w:beforeAutospacing="0" w:after="0" w:afterAutospacing="0"/>
        <w:ind w:left="720"/>
        <w:jc w:val="both"/>
        <w:rPr>
          <w:color w:val="0070C0"/>
          <w:sz w:val="22"/>
          <w:szCs w:val="22"/>
        </w:rPr>
      </w:pPr>
    </w:p>
    <w:p w14:paraId="52349B55" w14:textId="068C9322" w:rsidR="00062495" w:rsidRDefault="00A61542" w:rsidP="002C01B0">
      <w:pPr>
        <w:pStyle w:val="NormalWeb"/>
        <w:spacing w:before="0" w:beforeAutospacing="0" w:after="0" w:afterAutospacing="0"/>
        <w:ind w:left="720"/>
        <w:jc w:val="both"/>
        <w:rPr>
          <w:color w:val="0070C0"/>
          <w:sz w:val="22"/>
          <w:szCs w:val="22"/>
        </w:rPr>
      </w:pPr>
      <w:r>
        <w:rPr>
          <w:color w:val="0070C0"/>
          <w:sz w:val="22"/>
          <w:szCs w:val="22"/>
        </w:rPr>
        <w:t xml:space="preserve">The judicial review application was submitted by </w:t>
      </w:r>
      <w:r w:rsidR="00062495">
        <w:rPr>
          <w:color w:val="0070C0"/>
          <w:sz w:val="22"/>
          <w:szCs w:val="22"/>
        </w:rPr>
        <w:t>the association of housing develop</w:t>
      </w:r>
      <w:r w:rsidR="009F4664">
        <w:rPr>
          <w:color w:val="0070C0"/>
          <w:sz w:val="22"/>
          <w:szCs w:val="22"/>
        </w:rPr>
        <w:t>ment</w:t>
      </w:r>
      <w:r w:rsidR="00062495">
        <w:rPr>
          <w:color w:val="0070C0"/>
          <w:sz w:val="22"/>
          <w:szCs w:val="22"/>
        </w:rPr>
        <w:t xml:space="preserve"> companies for MBR</w:t>
      </w:r>
      <w:r>
        <w:rPr>
          <w:color w:val="0070C0"/>
          <w:sz w:val="22"/>
          <w:szCs w:val="22"/>
        </w:rPr>
        <w:t>, to</w:t>
      </w:r>
      <w:r w:rsidR="00062495">
        <w:rPr>
          <w:color w:val="0070C0"/>
          <w:sz w:val="22"/>
          <w:szCs w:val="22"/>
        </w:rPr>
        <w:t xml:space="preserve"> review </w:t>
      </w:r>
      <w:r w:rsidR="00062495" w:rsidRPr="008F4315">
        <w:rPr>
          <w:color w:val="0070C0"/>
          <w:sz w:val="22"/>
          <w:szCs w:val="22"/>
        </w:rPr>
        <w:t xml:space="preserve">Article 22 paragraph (3) of Law No. 1 of 2011 </w:t>
      </w:r>
      <w:r w:rsidR="00F87A0B">
        <w:rPr>
          <w:color w:val="0070C0"/>
          <w:sz w:val="22"/>
          <w:szCs w:val="22"/>
        </w:rPr>
        <w:t>on</w:t>
      </w:r>
      <w:r w:rsidR="00062495" w:rsidRPr="008F4315">
        <w:rPr>
          <w:color w:val="0070C0"/>
          <w:sz w:val="22"/>
          <w:szCs w:val="22"/>
        </w:rPr>
        <w:t xml:space="preserve"> Housing and Settlement Areas</w:t>
      </w:r>
      <w:r>
        <w:rPr>
          <w:color w:val="0070C0"/>
          <w:sz w:val="22"/>
          <w:szCs w:val="22"/>
        </w:rPr>
        <w:t xml:space="preserve">, which </w:t>
      </w:r>
      <w:r w:rsidR="00062495" w:rsidRPr="008F4315">
        <w:rPr>
          <w:color w:val="0070C0"/>
          <w:sz w:val="22"/>
          <w:szCs w:val="22"/>
        </w:rPr>
        <w:t>states that the</w:t>
      </w:r>
      <w:r w:rsidR="00AC32DC">
        <w:rPr>
          <w:color w:val="0070C0"/>
          <w:sz w:val="22"/>
          <w:szCs w:val="22"/>
        </w:rPr>
        <w:t xml:space="preserve"> minimum</w:t>
      </w:r>
      <w:r w:rsidR="00062495" w:rsidRPr="008F4315">
        <w:rPr>
          <w:color w:val="0070C0"/>
          <w:sz w:val="22"/>
          <w:szCs w:val="22"/>
        </w:rPr>
        <w:t xml:space="preserve"> floor </w:t>
      </w:r>
      <w:r w:rsidR="00784848">
        <w:rPr>
          <w:color w:val="0070C0"/>
          <w:sz w:val="22"/>
          <w:szCs w:val="22"/>
        </w:rPr>
        <w:t>space</w:t>
      </w:r>
      <w:r w:rsidR="00062495" w:rsidRPr="008F4315">
        <w:rPr>
          <w:color w:val="0070C0"/>
          <w:sz w:val="22"/>
          <w:szCs w:val="22"/>
        </w:rPr>
        <w:t xml:space="preserve"> o</w:t>
      </w:r>
      <w:r w:rsidR="00AC32DC">
        <w:rPr>
          <w:color w:val="0070C0"/>
          <w:sz w:val="22"/>
          <w:szCs w:val="22"/>
        </w:rPr>
        <w:t>f subsidised housing for MBR</w:t>
      </w:r>
      <w:r w:rsidR="00062495" w:rsidRPr="008F4315">
        <w:rPr>
          <w:color w:val="0070C0"/>
          <w:sz w:val="22"/>
          <w:szCs w:val="22"/>
        </w:rPr>
        <w:t xml:space="preserve"> </w:t>
      </w:r>
      <w:r w:rsidR="00AC32DC">
        <w:rPr>
          <w:color w:val="0070C0"/>
          <w:sz w:val="22"/>
          <w:szCs w:val="22"/>
        </w:rPr>
        <w:t>is</w:t>
      </w:r>
      <w:r w:rsidR="00062495" w:rsidRPr="008F4315">
        <w:rPr>
          <w:color w:val="0070C0"/>
          <w:sz w:val="22"/>
          <w:szCs w:val="22"/>
        </w:rPr>
        <w:t xml:space="preserve"> 36 square meters.</w:t>
      </w:r>
      <w:r w:rsidR="00AC32DC">
        <w:rPr>
          <w:color w:val="0070C0"/>
          <w:sz w:val="22"/>
          <w:szCs w:val="22"/>
        </w:rPr>
        <w:t xml:space="preserve"> The applicant argued that in practice, most MBR</w:t>
      </w:r>
      <w:r w:rsidR="007B6FAA">
        <w:rPr>
          <w:color w:val="0070C0"/>
          <w:sz w:val="22"/>
          <w:szCs w:val="22"/>
        </w:rPr>
        <w:t xml:space="preserve"> households</w:t>
      </w:r>
      <w:r w:rsidR="00AC32DC">
        <w:rPr>
          <w:color w:val="0070C0"/>
          <w:sz w:val="22"/>
          <w:szCs w:val="22"/>
        </w:rPr>
        <w:t xml:space="preserve"> sought and could only afford a </w:t>
      </w:r>
      <w:r w:rsidR="009F4664">
        <w:rPr>
          <w:color w:val="0070C0"/>
          <w:sz w:val="22"/>
          <w:szCs w:val="22"/>
        </w:rPr>
        <w:t xml:space="preserve">21 square meters subsidised </w:t>
      </w:r>
      <w:r w:rsidR="00AC32DC">
        <w:rPr>
          <w:color w:val="0070C0"/>
          <w:sz w:val="22"/>
          <w:szCs w:val="22"/>
        </w:rPr>
        <w:t xml:space="preserve">house, with the intention to further build and expand their house in the future. The 36 square meters minimum </w:t>
      </w:r>
      <w:r w:rsidR="00FB606B">
        <w:rPr>
          <w:color w:val="0070C0"/>
          <w:sz w:val="22"/>
          <w:szCs w:val="22"/>
        </w:rPr>
        <w:t xml:space="preserve">floor space </w:t>
      </w:r>
      <w:r w:rsidR="00AC32DC">
        <w:rPr>
          <w:color w:val="0070C0"/>
          <w:sz w:val="22"/>
          <w:szCs w:val="22"/>
        </w:rPr>
        <w:t>requirement also caused a housing backlog due to limited land availability</w:t>
      </w:r>
      <w:r w:rsidR="007B6FAA">
        <w:rPr>
          <w:color w:val="0070C0"/>
          <w:sz w:val="22"/>
          <w:szCs w:val="22"/>
        </w:rPr>
        <w:t>, longer construction time,</w:t>
      </w:r>
      <w:r w:rsidR="00AC32DC">
        <w:rPr>
          <w:color w:val="0070C0"/>
          <w:sz w:val="22"/>
          <w:szCs w:val="22"/>
        </w:rPr>
        <w:t xml:space="preserve"> </w:t>
      </w:r>
      <w:r w:rsidR="007B6FAA">
        <w:rPr>
          <w:color w:val="0070C0"/>
          <w:sz w:val="22"/>
          <w:szCs w:val="22"/>
        </w:rPr>
        <w:t>and more expensive construction costs.</w:t>
      </w:r>
    </w:p>
    <w:p w14:paraId="01C8BE15" w14:textId="77777777" w:rsidR="00FD3437" w:rsidRDefault="00FD3437" w:rsidP="002C01B0">
      <w:pPr>
        <w:pStyle w:val="NormalWeb"/>
        <w:spacing w:before="0" w:beforeAutospacing="0" w:after="0" w:afterAutospacing="0"/>
        <w:ind w:left="720"/>
        <w:jc w:val="both"/>
        <w:rPr>
          <w:color w:val="0070C0"/>
          <w:sz w:val="22"/>
          <w:szCs w:val="22"/>
        </w:rPr>
      </w:pPr>
    </w:p>
    <w:p w14:paraId="02F59AC0" w14:textId="2A0D8076" w:rsidR="00A61542" w:rsidRDefault="007B6FAA" w:rsidP="00A61542">
      <w:pPr>
        <w:pStyle w:val="NormalWeb"/>
        <w:spacing w:before="0" w:beforeAutospacing="0" w:after="0" w:afterAutospacing="0"/>
        <w:ind w:left="720"/>
        <w:jc w:val="both"/>
        <w:rPr>
          <w:color w:val="0070C0"/>
          <w:sz w:val="22"/>
          <w:szCs w:val="22"/>
        </w:rPr>
      </w:pPr>
      <w:r>
        <w:rPr>
          <w:color w:val="0070C0"/>
          <w:sz w:val="22"/>
          <w:szCs w:val="22"/>
        </w:rPr>
        <w:t xml:space="preserve">The applicant argued that </w:t>
      </w:r>
      <w:r w:rsidRPr="008F4315">
        <w:rPr>
          <w:color w:val="0070C0"/>
          <w:sz w:val="22"/>
          <w:szCs w:val="22"/>
        </w:rPr>
        <w:t>Article 22 paragraph (3)</w:t>
      </w:r>
      <w:r>
        <w:rPr>
          <w:color w:val="0070C0"/>
          <w:sz w:val="22"/>
          <w:szCs w:val="22"/>
        </w:rPr>
        <w:t xml:space="preserve"> </w:t>
      </w:r>
      <w:r w:rsidRPr="008F4315">
        <w:rPr>
          <w:color w:val="0070C0"/>
          <w:sz w:val="22"/>
          <w:szCs w:val="22"/>
        </w:rPr>
        <w:t xml:space="preserve">of Law No. 1 of 2011 </w:t>
      </w:r>
      <w:r>
        <w:rPr>
          <w:color w:val="0070C0"/>
          <w:sz w:val="22"/>
          <w:szCs w:val="22"/>
        </w:rPr>
        <w:t>therefore violates the 1945 Constitution’s provision on the right to adequate housing, as it prevents MBR households from obtaining smaller sized ho</w:t>
      </w:r>
      <w:r w:rsidR="00FB606B">
        <w:rPr>
          <w:color w:val="0070C0"/>
          <w:sz w:val="22"/>
          <w:szCs w:val="22"/>
        </w:rPr>
        <w:t>mes</w:t>
      </w:r>
      <w:r>
        <w:rPr>
          <w:color w:val="0070C0"/>
          <w:sz w:val="22"/>
          <w:szCs w:val="22"/>
        </w:rPr>
        <w:t xml:space="preserve"> that they actually prefer. The Constitutional Court accepted the applicant’s arguments, and decided that the article is unconstitutional and no longer legally binding.</w:t>
      </w:r>
    </w:p>
    <w:p w14:paraId="300A8D05" w14:textId="34988096" w:rsidR="00A61542" w:rsidRDefault="00A61542" w:rsidP="002C01B0">
      <w:pPr>
        <w:jc w:val="both"/>
        <w:rPr>
          <w:sz w:val="22"/>
          <w:szCs w:val="22"/>
        </w:rPr>
      </w:pPr>
    </w:p>
    <w:p w14:paraId="5989C87E" w14:textId="15DD66FD" w:rsidR="00A61542" w:rsidRDefault="00A61542" w:rsidP="002C01B0">
      <w:pPr>
        <w:jc w:val="both"/>
        <w:rPr>
          <w:sz w:val="22"/>
          <w:szCs w:val="22"/>
        </w:rPr>
      </w:pPr>
    </w:p>
    <w:p w14:paraId="69C4A9E3" w14:textId="38B64939" w:rsidR="00A61542" w:rsidRDefault="00A61542" w:rsidP="002C01B0">
      <w:pPr>
        <w:jc w:val="both"/>
        <w:rPr>
          <w:sz w:val="22"/>
          <w:szCs w:val="22"/>
        </w:rPr>
      </w:pPr>
    </w:p>
    <w:p w14:paraId="4423EECB" w14:textId="77777777" w:rsidR="00A61542" w:rsidRPr="00A61542" w:rsidRDefault="00A61542" w:rsidP="002C01B0">
      <w:pPr>
        <w:jc w:val="both"/>
        <w:rPr>
          <w:sz w:val="22"/>
          <w:szCs w:val="22"/>
        </w:rPr>
      </w:pPr>
    </w:p>
    <w:p w14:paraId="1DFD5BEA" w14:textId="4E8DC6A5" w:rsidR="00A16F28" w:rsidRDefault="00BF435D" w:rsidP="002C01B0">
      <w:pPr>
        <w:jc w:val="both"/>
        <w:rPr>
          <w:b/>
          <w:sz w:val="22"/>
          <w:szCs w:val="22"/>
        </w:rPr>
      </w:pPr>
      <w:r>
        <w:rPr>
          <w:b/>
          <w:sz w:val="22"/>
          <w:szCs w:val="22"/>
        </w:rPr>
        <w:lastRenderedPageBreak/>
        <w:t>Data and trends on housing affordability</w:t>
      </w:r>
    </w:p>
    <w:p w14:paraId="5378CB4E" w14:textId="77777777" w:rsidR="00FB606B" w:rsidRDefault="00FB606B" w:rsidP="002C01B0">
      <w:pPr>
        <w:jc w:val="both"/>
        <w:rPr>
          <w:b/>
          <w:sz w:val="22"/>
          <w:szCs w:val="22"/>
        </w:rPr>
      </w:pPr>
    </w:p>
    <w:p w14:paraId="1DFD5BEB" w14:textId="77777777" w:rsidR="00A16F28" w:rsidRDefault="00BF435D" w:rsidP="002C01B0">
      <w:pPr>
        <w:numPr>
          <w:ilvl w:val="0"/>
          <w:numId w:val="1"/>
        </w:numPr>
        <w:jc w:val="both"/>
        <w:rPr>
          <w:sz w:val="22"/>
          <w:szCs w:val="22"/>
        </w:rPr>
      </w:pPr>
      <w:r>
        <w:rPr>
          <w:sz w:val="22"/>
          <w:szCs w:val="22"/>
        </w:rPr>
        <w:t xml:space="preserve">Is housing affordability regularly measured in your country, region or city, by the national statistical office or other entities? Please explain how housing affordability is measured and tracked. Where is the data published?   </w:t>
      </w:r>
    </w:p>
    <w:p w14:paraId="1DFD5BEC" w14:textId="77777777" w:rsidR="00A16F28" w:rsidRDefault="00A16F28" w:rsidP="002C01B0">
      <w:pPr>
        <w:ind w:left="720"/>
        <w:jc w:val="both"/>
        <w:rPr>
          <w:sz w:val="22"/>
          <w:szCs w:val="22"/>
        </w:rPr>
      </w:pPr>
    </w:p>
    <w:p w14:paraId="209E9FB9" w14:textId="1960537F" w:rsidR="00897FB5" w:rsidRPr="007A0C08" w:rsidRDefault="00BF435D" w:rsidP="007A0C08">
      <w:pPr>
        <w:ind w:left="720"/>
        <w:jc w:val="both"/>
        <w:rPr>
          <w:color w:val="0070C0"/>
          <w:sz w:val="22"/>
          <w:szCs w:val="22"/>
          <w:u w:val="single"/>
        </w:rPr>
      </w:pPr>
      <w:r w:rsidRPr="00F46F28">
        <w:rPr>
          <w:color w:val="0070C0"/>
          <w:sz w:val="22"/>
          <w:szCs w:val="22"/>
          <w:u w:val="single"/>
        </w:rPr>
        <w:t>Answer</w:t>
      </w:r>
    </w:p>
    <w:p w14:paraId="1DE5FE60" w14:textId="5DEEDE43" w:rsidR="00FD3437" w:rsidRDefault="00307EC9" w:rsidP="00382762">
      <w:pPr>
        <w:pStyle w:val="NormalWeb"/>
        <w:spacing w:before="240" w:beforeAutospacing="0" w:after="0" w:afterAutospacing="0"/>
        <w:ind w:left="720"/>
        <w:jc w:val="both"/>
        <w:rPr>
          <w:color w:val="0070C0"/>
          <w:sz w:val="22"/>
          <w:szCs w:val="22"/>
        </w:rPr>
      </w:pPr>
      <w:r>
        <w:rPr>
          <w:bCs/>
          <w:color w:val="0070C0"/>
          <w:sz w:val="22"/>
          <w:szCs w:val="22"/>
        </w:rPr>
        <w:t>Statistics Indonesia</w:t>
      </w:r>
      <w:r w:rsidR="00FD3437" w:rsidRPr="00FD3437">
        <w:rPr>
          <w:b/>
          <w:bCs/>
          <w:color w:val="0070C0"/>
          <w:sz w:val="22"/>
          <w:szCs w:val="22"/>
        </w:rPr>
        <w:t xml:space="preserve"> </w:t>
      </w:r>
      <w:r w:rsidR="00FD3437" w:rsidRPr="00FD3437">
        <w:rPr>
          <w:color w:val="0070C0"/>
          <w:sz w:val="22"/>
          <w:szCs w:val="22"/>
        </w:rPr>
        <w:t>(</w:t>
      </w:r>
      <w:r w:rsidR="00FD3437" w:rsidRPr="00FD3437">
        <w:rPr>
          <w:i/>
          <w:color w:val="0070C0"/>
          <w:sz w:val="22"/>
          <w:szCs w:val="22"/>
        </w:rPr>
        <w:t xml:space="preserve">Badan Pusat </w:t>
      </w:r>
      <w:proofErr w:type="spellStart"/>
      <w:r w:rsidR="00FD3437" w:rsidRPr="00FD3437">
        <w:rPr>
          <w:i/>
          <w:color w:val="0070C0"/>
          <w:sz w:val="22"/>
          <w:szCs w:val="22"/>
        </w:rPr>
        <w:t>Statistik</w:t>
      </w:r>
      <w:proofErr w:type="spellEnd"/>
      <w:r w:rsidR="00FD3437" w:rsidRPr="00FD3437">
        <w:rPr>
          <w:color w:val="0070C0"/>
          <w:sz w:val="22"/>
          <w:szCs w:val="22"/>
        </w:rPr>
        <w:t xml:space="preserve"> or </w:t>
      </w:r>
      <w:r w:rsidR="00FD3437">
        <w:rPr>
          <w:color w:val="0070C0"/>
          <w:sz w:val="22"/>
          <w:szCs w:val="22"/>
        </w:rPr>
        <w:t>‘</w:t>
      </w:r>
      <w:r w:rsidR="00FD3437" w:rsidRPr="00FD3437">
        <w:rPr>
          <w:color w:val="0070C0"/>
          <w:sz w:val="22"/>
          <w:szCs w:val="22"/>
        </w:rPr>
        <w:t>BPS</w:t>
      </w:r>
      <w:r w:rsidR="00FD3437">
        <w:rPr>
          <w:color w:val="0070C0"/>
          <w:sz w:val="22"/>
          <w:szCs w:val="22"/>
        </w:rPr>
        <w:t>’</w:t>
      </w:r>
      <w:r w:rsidR="00FD3437" w:rsidRPr="00FD3437">
        <w:rPr>
          <w:color w:val="0070C0"/>
          <w:sz w:val="22"/>
          <w:szCs w:val="22"/>
        </w:rPr>
        <w:t>) regularly measures the adequacy of housings and home ownership rate in Indonesia</w:t>
      </w:r>
      <w:r w:rsidR="00A61542">
        <w:rPr>
          <w:rStyle w:val="FootnoteReference"/>
          <w:color w:val="0070C0"/>
          <w:sz w:val="22"/>
          <w:szCs w:val="22"/>
        </w:rPr>
        <w:footnoteReference w:id="2"/>
      </w:r>
      <w:r w:rsidR="00FD3437" w:rsidRPr="00FD3437">
        <w:rPr>
          <w:color w:val="0070C0"/>
          <w:sz w:val="22"/>
          <w:szCs w:val="22"/>
        </w:rPr>
        <w:t>, but housing affordability</w:t>
      </w:r>
      <w:r w:rsidR="00FD3437">
        <w:rPr>
          <w:color w:val="0070C0"/>
          <w:sz w:val="22"/>
          <w:szCs w:val="22"/>
        </w:rPr>
        <w:t xml:space="preserve"> is not yet measured</w:t>
      </w:r>
      <w:r w:rsidR="00FD3437" w:rsidRPr="00FD3437">
        <w:rPr>
          <w:color w:val="0070C0"/>
          <w:sz w:val="22"/>
          <w:szCs w:val="22"/>
        </w:rPr>
        <w:t>.</w:t>
      </w:r>
    </w:p>
    <w:p w14:paraId="254696CA" w14:textId="77777777" w:rsidR="00FD3437" w:rsidRDefault="00FD3437" w:rsidP="002C01B0">
      <w:pPr>
        <w:pStyle w:val="NormalWeb"/>
        <w:spacing w:before="0" w:beforeAutospacing="0" w:after="0" w:afterAutospacing="0"/>
        <w:ind w:left="720"/>
        <w:jc w:val="both"/>
        <w:rPr>
          <w:b/>
          <w:bCs/>
          <w:color w:val="0070C0"/>
          <w:sz w:val="22"/>
          <w:szCs w:val="22"/>
        </w:rPr>
      </w:pPr>
    </w:p>
    <w:p w14:paraId="78E3AF6E" w14:textId="13A61B7A" w:rsidR="00897FB5" w:rsidRPr="00897FB5" w:rsidRDefault="00897FB5" w:rsidP="002C01B0">
      <w:pPr>
        <w:pStyle w:val="NormalWeb"/>
        <w:spacing w:before="0" w:beforeAutospacing="0" w:after="0" w:afterAutospacing="0"/>
        <w:ind w:left="720"/>
        <w:jc w:val="both"/>
        <w:rPr>
          <w:color w:val="0070C0"/>
        </w:rPr>
      </w:pPr>
      <w:r w:rsidRPr="00897FB5">
        <w:rPr>
          <w:color w:val="0070C0"/>
          <w:sz w:val="22"/>
          <w:szCs w:val="22"/>
        </w:rPr>
        <w:t>BPS has the statistics of in</w:t>
      </w:r>
      <w:r w:rsidR="00FD3437">
        <w:rPr>
          <w:color w:val="0070C0"/>
          <w:sz w:val="22"/>
          <w:szCs w:val="22"/>
        </w:rPr>
        <w:t>adequate</w:t>
      </w:r>
      <w:r w:rsidRPr="00897FB5">
        <w:rPr>
          <w:color w:val="0070C0"/>
          <w:sz w:val="22"/>
          <w:szCs w:val="22"/>
        </w:rPr>
        <w:t xml:space="preserve"> housings in Indonesia according to the criteria of </w:t>
      </w:r>
      <w:r w:rsidR="00F87A0B">
        <w:rPr>
          <w:color w:val="0070C0"/>
          <w:sz w:val="22"/>
          <w:szCs w:val="22"/>
        </w:rPr>
        <w:t>sufficient</w:t>
      </w:r>
      <w:r w:rsidRPr="00897FB5">
        <w:rPr>
          <w:color w:val="0070C0"/>
          <w:sz w:val="22"/>
          <w:szCs w:val="22"/>
        </w:rPr>
        <w:t xml:space="preserve"> living space</w:t>
      </w:r>
      <w:r w:rsidR="00FD3437">
        <w:rPr>
          <w:color w:val="0070C0"/>
          <w:sz w:val="22"/>
          <w:szCs w:val="22"/>
        </w:rPr>
        <w:t xml:space="preserve"> (7.2 square meters per capita)</w:t>
      </w:r>
      <w:r w:rsidRPr="00897FB5">
        <w:rPr>
          <w:color w:val="0070C0"/>
          <w:sz w:val="22"/>
          <w:szCs w:val="22"/>
        </w:rPr>
        <w:t>, access to appropriate drinkable water, access to appropriate sanitation, durable housing, and statistics on housing backlog in Indonesia. In addition, BPS has an Index of Construction Cost (IKK) that measures the spatial cost of building a house.</w:t>
      </w:r>
    </w:p>
    <w:p w14:paraId="2781338D" w14:textId="77777777" w:rsidR="00FD3437" w:rsidRDefault="00FD3437" w:rsidP="002C01B0">
      <w:pPr>
        <w:pStyle w:val="NormalWeb"/>
        <w:spacing w:before="0" w:beforeAutospacing="0" w:after="0" w:afterAutospacing="0"/>
        <w:ind w:left="720"/>
        <w:jc w:val="both"/>
        <w:rPr>
          <w:color w:val="0070C0"/>
          <w:sz w:val="22"/>
          <w:szCs w:val="22"/>
        </w:rPr>
      </w:pPr>
    </w:p>
    <w:p w14:paraId="1DFD5BF1" w14:textId="35AC9D99" w:rsidR="00A16F28" w:rsidRDefault="00897FB5" w:rsidP="002C01B0">
      <w:pPr>
        <w:pStyle w:val="NormalWeb"/>
        <w:spacing w:before="0" w:beforeAutospacing="0" w:after="0" w:afterAutospacing="0"/>
        <w:ind w:left="720"/>
        <w:jc w:val="both"/>
        <w:rPr>
          <w:color w:val="0070C0"/>
          <w:sz w:val="22"/>
          <w:szCs w:val="22"/>
        </w:rPr>
      </w:pPr>
      <w:r w:rsidRPr="00897FB5">
        <w:rPr>
          <w:color w:val="0070C0"/>
          <w:sz w:val="22"/>
          <w:szCs w:val="22"/>
        </w:rPr>
        <w:t xml:space="preserve">Furthermore, the </w:t>
      </w:r>
      <w:r w:rsidR="00A61542">
        <w:rPr>
          <w:color w:val="0070C0"/>
          <w:sz w:val="22"/>
          <w:szCs w:val="22"/>
        </w:rPr>
        <w:t>MPWH</w:t>
      </w:r>
      <w:r w:rsidRPr="00897FB5">
        <w:rPr>
          <w:color w:val="0070C0"/>
          <w:sz w:val="22"/>
          <w:szCs w:val="22"/>
        </w:rPr>
        <w:t xml:space="preserve"> has an information system that contains data on housing in Indonesia and its analysis in the Housing and Real Estate Information System (HREIS).</w:t>
      </w:r>
    </w:p>
    <w:p w14:paraId="6A90A2C2" w14:textId="77777777" w:rsidR="00FD3437" w:rsidRPr="00FD3437" w:rsidRDefault="00FD3437" w:rsidP="00382762">
      <w:pPr>
        <w:pStyle w:val="NormalWeb"/>
        <w:spacing w:before="0" w:beforeAutospacing="0" w:after="0" w:afterAutospacing="0"/>
        <w:jc w:val="both"/>
        <w:rPr>
          <w:color w:val="0070C0"/>
        </w:rPr>
      </w:pPr>
    </w:p>
    <w:p w14:paraId="1DFD5BF2" w14:textId="77777777" w:rsidR="00A16F28" w:rsidRDefault="00BF435D" w:rsidP="002C01B0">
      <w:pPr>
        <w:numPr>
          <w:ilvl w:val="0"/>
          <w:numId w:val="1"/>
        </w:numPr>
        <w:jc w:val="both"/>
        <w:rPr>
          <w:sz w:val="22"/>
          <w:szCs w:val="22"/>
        </w:rPr>
      </w:pPr>
      <w:r>
        <w:rPr>
          <w:sz w:val="22"/>
          <w:szCs w:val="22"/>
        </w:rPr>
        <w:t xml:space="preserve">Has housing affordability increased or decreased in your country over the past 10 years? In which regions or cities have housing affordability changed and for whom? </w:t>
      </w:r>
    </w:p>
    <w:p w14:paraId="1DFD5BF3" w14:textId="77777777" w:rsidR="00A16F28" w:rsidRDefault="00A16F28" w:rsidP="002C01B0">
      <w:pPr>
        <w:ind w:left="720"/>
        <w:jc w:val="both"/>
        <w:rPr>
          <w:sz w:val="22"/>
          <w:szCs w:val="22"/>
        </w:rPr>
      </w:pPr>
    </w:p>
    <w:p w14:paraId="1DFD5BF4" w14:textId="77777777" w:rsidR="00A16F28" w:rsidRPr="00967A58" w:rsidRDefault="00BF435D" w:rsidP="002C01B0">
      <w:pPr>
        <w:ind w:left="720"/>
        <w:jc w:val="both"/>
        <w:rPr>
          <w:color w:val="0070C0"/>
          <w:sz w:val="22"/>
          <w:szCs w:val="22"/>
          <w:u w:val="single"/>
        </w:rPr>
      </w:pPr>
      <w:r w:rsidRPr="00967A58">
        <w:rPr>
          <w:color w:val="0070C0"/>
          <w:sz w:val="22"/>
          <w:szCs w:val="22"/>
          <w:u w:val="single"/>
        </w:rPr>
        <w:t>Answer</w:t>
      </w:r>
    </w:p>
    <w:p w14:paraId="44E35FEC" w14:textId="77777777" w:rsidR="00967A58" w:rsidRPr="00967A58" w:rsidRDefault="00967A58" w:rsidP="002C01B0">
      <w:pPr>
        <w:ind w:left="720"/>
        <w:jc w:val="both"/>
        <w:rPr>
          <w:color w:val="0070C0"/>
          <w:sz w:val="22"/>
          <w:szCs w:val="22"/>
        </w:rPr>
      </w:pPr>
    </w:p>
    <w:tbl>
      <w:tblPr>
        <w:tblW w:w="0" w:type="auto"/>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top w:w="15" w:type="dxa"/>
          <w:left w:w="15" w:type="dxa"/>
          <w:bottom w:w="15" w:type="dxa"/>
          <w:right w:w="15" w:type="dxa"/>
        </w:tblCellMar>
        <w:tblLook w:val="04A0" w:firstRow="1" w:lastRow="0" w:firstColumn="1" w:lastColumn="0" w:noHBand="0" w:noVBand="1"/>
      </w:tblPr>
      <w:tblGrid>
        <w:gridCol w:w="699"/>
        <w:gridCol w:w="755"/>
        <w:gridCol w:w="755"/>
        <w:gridCol w:w="755"/>
        <w:gridCol w:w="755"/>
        <w:gridCol w:w="755"/>
        <w:gridCol w:w="755"/>
        <w:gridCol w:w="755"/>
        <w:gridCol w:w="755"/>
      </w:tblGrid>
      <w:tr w:rsidR="00967A58" w:rsidRPr="00967A58" w14:paraId="4C05964F" w14:textId="77777777" w:rsidTr="007A0C08">
        <w:trPr>
          <w:trHeight w:val="197"/>
          <w:jc w:val="center"/>
        </w:trPr>
        <w:tc>
          <w:tcPr>
            <w:tcW w:w="699" w:type="dxa"/>
            <w:vMerge w:val="restart"/>
            <w:tcMar>
              <w:top w:w="0" w:type="dxa"/>
              <w:left w:w="0" w:type="dxa"/>
              <w:bottom w:w="0" w:type="dxa"/>
              <w:right w:w="0" w:type="dxa"/>
            </w:tcMar>
            <w:vAlign w:val="bottom"/>
            <w:hideMark/>
          </w:tcPr>
          <w:p w14:paraId="09A4CC44" w14:textId="77777777" w:rsidR="00967A58" w:rsidRPr="00967A58" w:rsidRDefault="00967A58" w:rsidP="00967A58">
            <w:pPr>
              <w:jc w:val="center"/>
              <w:rPr>
                <w:color w:val="0070C0"/>
                <w:sz w:val="18"/>
                <w:szCs w:val="18"/>
                <w:lang w:val="en-ID"/>
              </w:rPr>
            </w:pPr>
            <w:r w:rsidRPr="00967A58">
              <w:rPr>
                <w:color w:val="0070C0"/>
                <w:sz w:val="18"/>
                <w:szCs w:val="18"/>
                <w:lang w:val="en-ID"/>
              </w:rPr>
              <w:t>Decile</w:t>
            </w:r>
          </w:p>
        </w:tc>
        <w:tc>
          <w:tcPr>
            <w:tcW w:w="5831" w:type="dxa"/>
            <w:gridSpan w:val="8"/>
            <w:tcMar>
              <w:top w:w="100" w:type="dxa"/>
              <w:left w:w="100" w:type="dxa"/>
              <w:bottom w:w="100" w:type="dxa"/>
              <w:right w:w="100" w:type="dxa"/>
            </w:tcMar>
            <w:vAlign w:val="bottom"/>
            <w:hideMark/>
          </w:tcPr>
          <w:p w14:paraId="123D12C4" w14:textId="0AF4298B" w:rsidR="00967A58" w:rsidRPr="00967A58" w:rsidRDefault="00967A58" w:rsidP="00967A58">
            <w:pPr>
              <w:jc w:val="center"/>
              <w:rPr>
                <w:color w:val="0070C0"/>
                <w:sz w:val="18"/>
                <w:szCs w:val="18"/>
                <w:lang w:val="en-ID"/>
              </w:rPr>
            </w:pPr>
            <w:r w:rsidRPr="00967A58">
              <w:rPr>
                <w:color w:val="0070C0"/>
                <w:sz w:val="18"/>
                <w:szCs w:val="18"/>
                <w:lang w:val="en-ID"/>
              </w:rPr>
              <w:t xml:space="preserve">Percentage of Households Occupying </w:t>
            </w:r>
            <w:proofErr w:type="spellStart"/>
            <w:r w:rsidRPr="00967A58">
              <w:rPr>
                <w:color w:val="0070C0"/>
                <w:sz w:val="18"/>
                <w:szCs w:val="18"/>
                <w:lang w:val="en-ID"/>
              </w:rPr>
              <w:t>Livable</w:t>
            </w:r>
            <w:proofErr w:type="spellEnd"/>
            <w:r>
              <w:rPr>
                <w:color w:val="0070C0"/>
                <w:sz w:val="18"/>
                <w:szCs w:val="18"/>
                <w:lang w:val="en-ID"/>
              </w:rPr>
              <w:t>/Adequate</w:t>
            </w:r>
            <w:r w:rsidRPr="00967A58">
              <w:rPr>
                <w:color w:val="0070C0"/>
                <w:sz w:val="18"/>
                <w:szCs w:val="18"/>
                <w:lang w:val="en-ID"/>
              </w:rPr>
              <w:t xml:space="preserve"> Houses</w:t>
            </w:r>
          </w:p>
        </w:tc>
      </w:tr>
      <w:tr w:rsidR="00967A58" w:rsidRPr="00967A58" w14:paraId="4DDA5241" w14:textId="77777777" w:rsidTr="007A0C08">
        <w:trPr>
          <w:trHeight w:val="240"/>
          <w:jc w:val="center"/>
        </w:trPr>
        <w:tc>
          <w:tcPr>
            <w:tcW w:w="699" w:type="dxa"/>
            <w:vMerge/>
            <w:vAlign w:val="center"/>
            <w:hideMark/>
          </w:tcPr>
          <w:p w14:paraId="0D643BE1" w14:textId="77777777" w:rsidR="00967A58" w:rsidRPr="00967A58" w:rsidRDefault="00967A58" w:rsidP="00967A58">
            <w:pPr>
              <w:rPr>
                <w:color w:val="0070C0"/>
                <w:sz w:val="18"/>
                <w:szCs w:val="18"/>
                <w:lang w:val="en-ID"/>
              </w:rPr>
            </w:pPr>
          </w:p>
        </w:tc>
        <w:tc>
          <w:tcPr>
            <w:tcW w:w="546" w:type="dxa"/>
            <w:tcMar>
              <w:top w:w="100" w:type="dxa"/>
              <w:left w:w="100" w:type="dxa"/>
              <w:bottom w:w="100" w:type="dxa"/>
              <w:right w:w="100" w:type="dxa"/>
            </w:tcMar>
            <w:vAlign w:val="bottom"/>
            <w:hideMark/>
          </w:tcPr>
          <w:p w14:paraId="5959DEC9" w14:textId="77777777" w:rsidR="00967A58" w:rsidRPr="00967A58" w:rsidRDefault="00967A58" w:rsidP="00967A58">
            <w:pPr>
              <w:jc w:val="center"/>
              <w:rPr>
                <w:color w:val="0070C0"/>
                <w:sz w:val="18"/>
                <w:szCs w:val="18"/>
                <w:lang w:val="en-ID"/>
              </w:rPr>
            </w:pPr>
            <w:r w:rsidRPr="00967A58">
              <w:rPr>
                <w:color w:val="0070C0"/>
                <w:sz w:val="18"/>
                <w:szCs w:val="18"/>
                <w:lang w:val="en-ID"/>
              </w:rPr>
              <w:t>2015</w:t>
            </w:r>
          </w:p>
        </w:tc>
        <w:tc>
          <w:tcPr>
            <w:tcW w:w="0" w:type="auto"/>
            <w:tcMar>
              <w:top w:w="100" w:type="dxa"/>
              <w:left w:w="100" w:type="dxa"/>
              <w:bottom w:w="100" w:type="dxa"/>
              <w:right w:w="100" w:type="dxa"/>
            </w:tcMar>
            <w:vAlign w:val="bottom"/>
            <w:hideMark/>
          </w:tcPr>
          <w:p w14:paraId="67C499C3" w14:textId="77777777" w:rsidR="00967A58" w:rsidRPr="00967A58" w:rsidRDefault="00967A58" w:rsidP="00967A58">
            <w:pPr>
              <w:jc w:val="center"/>
              <w:rPr>
                <w:color w:val="0070C0"/>
                <w:sz w:val="18"/>
                <w:szCs w:val="18"/>
                <w:lang w:val="en-ID"/>
              </w:rPr>
            </w:pPr>
            <w:r w:rsidRPr="00967A58">
              <w:rPr>
                <w:color w:val="0070C0"/>
                <w:sz w:val="18"/>
                <w:szCs w:val="18"/>
                <w:lang w:val="en-ID"/>
              </w:rPr>
              <w:t>2016</w:t>
            </w:r>
          </w:p>
        </w:tc>
        <w:tc>
          <w:tcPr>
            <w:tcW w:w="0" w:type="auto"/>
            <w:tcMar>
              <w:top w:w="100" w:type="dxa"/>
              <w:left w:w="100" w:type="dxa"/>
              <w:bottom w:w="100" w:type="dxa"/>
              <w:right w:w="100" w:type="dxa"/>
            </w:tcMar>
            <w:vAlign w:val="bottom"/>
            <w:hideMark/>
          </w:tcPr>
          <w:p w14:paraId="7C4BB862" w14:textId="77777777" w:rsidR="00967A58" w:rsidRPr="00967A58" w:rsidRDefault="00967A58" w:rsidP="00967A58">
            <w:pPr>
              <w:jc w:val="center"/>
              <w:rPr>
                <w:color w:val="0070C0"/>
                <w:sz w:val="18"/>
                <w:szCs w:val="18"/>
                <w:lang w:val="en-ID"/>
              </w:rPr>
            </w:pPr>
            <w:r w:rsidRPr="00967A58">
              <w:rPr>
                <w:color w:val="0070C0"/>
                <w:sz w:val="18"/>
                <w:szCs w:val="18"/>
                <w:lang w:val="en-ID"/>
              </w:rPr>
              <w:t>2017</w:t>
            </w:r>
          </w:p>
        </w:tc>
        <w:tc>
          <w:tcPr>
            <w:tcW w:w="0" w:type="auto"/>
            <w:tcMar>
              <w:top w:w="100" w:type="dxa"/>
              <w:left w:w="100" w:type="dxa"/>
              <w:bottom w:w="100" w:type="dxa"/>
              <w:right w:w="100" w:type="dxa"/>
            </w:tcMar>
            <w:vAlign w:val="bottom"/>
            <w:hideMark/>
          </w:tcPr>
          <w:p w14:paraId="7FED930A" w14:textId="77777777" w:rsidR="00967A58" w:rsidRPr="00967A58" w:rsidRDefault="00967A58" w:rsidP="00967A58">
            <w:pPr>
              <w:jc w:val="center"/>
              <w:rPr>
                <w:color w:val="0070C0"/>
                <w:sz w:val="18"/>
                <w:szCs w:val="18"/>
                <w:lang w:val="en-ID"/>
              </w:rPr>
            </w:pPr>
            <w:r w:rsidRPr="00967A58">
              <w:rPr>
                <w:color w:val="0070C0"/>
                <w:sz w:val="18"/>
                <w:szCs w:val="18"/>
                <w:lang w:val="en-ID"/>
              </w:rPr>
              <w:t>2018</w:t>
            </w:r>
          </w:p>
        </w:tc>
        <w:tc>
          <w:tcPr>
            <w:tcW w:w="0" w:type="auto"/>
            <w:tcMar>
              <w:top w:w="100" w:type="dxa"/>
              <w:left w:w="100" w:type="dxa"/>
              <w:bottom w:w="100" w:type="dxa"/>
              <w:right w:w="100" w:type="dxa"/>
            </w:tcMar>
            <w:vAlign w:val="bottom"/>
            <w:hideMark/>
          </w:tcPr>
          <w:p w14:paraId="582EE82F" w14:textId="77777777" w:rsidR="00967A58" w:rsidRPr="00967A58" w:rsidRDefault="00967A58" w:rsidP="00967A58">
            <w:pPr>
              <w:jc w:val="center"/>
              <w:rPr>
                <w:color w:val="0070C0"/>
                <w:sz w:val="18"/>
                <w:szCs w:val="18"/>
                <w:lang w:val="en-ID"/>
              </w:rPr>
            </w:pPr>
            <w:r w:rsidRPr="00967A58">
              <w:rPr>
                <w:color w:val="0070C0"/>
                <w:sz w:val="18"/>
                <w:szCs w:val="18"/>
                <w:lang w:val="en-ID"/>
              </w:rPr>
              <w:t>2019</w:t>
            </w:r>
          </w:p>
        </w:tc>
        <w:tc>
          <w:tcPr>
            <w:tcW w:w="0" w:type="auto"/>
            <w:tcMar>
              <w:top w:w="100" w:type="dxa"/>
              <w:left w:w="100" w:type="dxa"/>
              <w:bottom w:w="100" w:type="dxa"/>
              <w:right w:w="100" w:type="dxa"/>
            </w:tcMar>
            <w:vAlign w:val="bottom"/>
            <w:hideMark/>
          </w:tcPr>
          <w:p w14:paraId="1A8E2F2A" w14:textId="77777777" w:rsidR="00967A58" w:rsidRPr="00967A58" w:rsidRDefault="00967A58" w:rsidP="00967A58">
            <w:pPr>
              <w:jc w:val="center"/>
              <w:rPr>
                <w:color w:val="0070C0"/>
                <w:sz w:val="18"/>
                <w:szCs w:val="18"/>
                <w:lang w:val="en-ID"/>
              </w:rPr>
            </w:pPr>
            <w:r w:rsidRPr="00967A58">
              <w:rPr>
                <w:color w:val="0070C0"/>
                <w:sz w:val="18"/>
                <w:szCs w:val="18"/>
                <w:lang w:val="en-ID"/>
              </w:rPr>
              <w:t>2020</w:t>
            </w:r>
          </w:p>
        </w:tc>
        <w:tc>
          <w:tcPr>
            <w:tcW w:w="0" w:type="auto"/>
            <w:tcMar>
              <w:top w:w="100" w:type="dxa"/>
              <w:left w:w="100" w:type="dxa"/>
              <w:bottom w:w="100" w:type="dxa"/>
              <w:right w:w="100" w:type="dxa"/>
            </w:tcMar>
            <w:vAlign w:val="bottom"/>
            <w:hideMark/>
          </w:tcPr>
          <w:p w14:paraId="5BB41ACC" w14:textId="77777777" w:rsidR="00967A58" w:rsidRPr="00967A58" w:rsidRDefault="00967A58" w:rsidP="00967A58">
            <w:pPr>
              <w:jc w:val="center"/>
              <w:rPr>
                <w:color w:val="0070C0"/>
                <w:sz w:val="18"/>
                <w:szCs w:val="18"/>
                <w:lang w:val="en-ID"/>
              </w:rPr>
            </w:pPr>
            <w:r w:rsidRPr="00967A58">
              <w:rPr>
                <w:color w:val="0070C0"/>
                <w:sz w:val="18"/>
                <w:szCs w:val="18"/>
                <w:lang w:val="en-ID"/>
              </w:rPr>
              <w:t>2021</w:t>
            </w:r>
          </w:p>
        </w:tc>
        <w:tc>
          <w:tcPr>
            <w:tcW w:w="0" w:type="auto"/>
            <w:tcMar>
              <w:top w:w="100" w:type="dxa"/>
              <w:left w:w="100" w:type="dxa"/>
              <w:bottom w:w="100" w:type="dxa"/>
              <w:right w:w="100" w:type="dxa"/>
            </w:tcMar>
            <w:vAlign w:val="bottom"/>
            <w:hideMark/>
          </w:tcPr>
          <w:p w14:paraId="2774FB52" w14:textId="77777777" w:rsidR="00967A58" w:rsidRPr="00967A58" w:rsidRDefault="00967A58" w:rsidP="00967A58">
            <w:pPr>
              <w:jc w:val="center"/>
              <w:rPr>
                <w:color w:val="0070C0"/>
                <w:sz w:val="18"/>
                <w:szCs w:val="18"/>
                <w:lang w:val="en-ID"/>
              </w:rPr>
            </w:pPr>
            <w:r w:rsidRPr="00967A58">
              <w:rPr>
                <w:color w:val="0070C0"/>
                <w:sz w:val="18"/>
                <w:szCs w:val="18"/>
                <w:lang w:val="en-ID"/>
              </w:rPr>
              <w:t>2022</w:t>
            </w:r>
          </w:p>
        </w:tc>
      </w:tr>
      <w:tr w:rsidR="00967A58" w:rsidRPr="00967A58" w14:paraId="39A45EE8" w14:textId="77777777" w:rsidTr="007A0C08">
        <w:trPr>
          <w:trHeight w:val="240"/>
          <w:jc w:val="center"/>
        </w:trPr>
        <w:tc>
          <w:tcPr>
            <w:tcW w:w="699" w:type="dxa"/>
            <w:tcMar>
              <w:top w:w="100" w:type="dxa"/>
              <w:left w:w="100" w:type="dxa"/>
              <w:bottom w:w="100" w:type="dxa"/>
              <w:right w:w="100" w:type="dxa"/>
            </w:tcMar>
            <w:vAlign w:val="bottom"/>
            <w:hideMark/>
          </w:tcPr>
          <w:p w14:paraId="4B925CCE" w14:textId="77777777" w:rsidR="00967A58" w:rsidRPr="00967A58" w:rsidRDefault="00967A58" w:rsidP="00967A58">
            <w:pPr>
              <w:jc w:val="center"/>
              <w:rPr>
                <w:color w:val="0070C0"/>
                <w:sz w:val="18"/>
                <w:szCs w:val="18"/>
                <w:lang w:val="en-ID"/>
              </w:rPr>
            </w:pPr>
            <w:r w:rsidRPr="00967A58">
              <w:rPr>
                <w:color w:val="0070C0"/>
                <w:sz w:val="18"/>
                <w:szCs w:val="18"/>
                <w:lang w:val="en-ID"/>
              </w:rPr>
              <w:t>1</w:t>
            </w:r>
          </w:p>
        </w:tc>
        <w:tc>
          <w:tcPr>
            <w:tcW w:w="546" w:type="dxa"/>
            <w:tcMar>
              <w:top w:w="100" w:type="dxa"/>
              <w:left w:w="100" w:type="dxa"/>
              <w:bottom w:w="100" w:type="dxa"/>
              <w:right w:w="100" w:type="dxa"/>
            </w:tcMar>
            <w:vAlign w:val="bottom"/>
            <w:hideMark/>
          </w:tcPr>
          <w:p w14:paraId="48FF38D5" w14:textId="77777777" w:rsidR="00967A58" w:rsidRPr="00967A58" w:rsidRDefault="00967A58" w:rsidP="00967A58">
            <w:pPr>
              <w:jc w:val="center"/>
              <w:rPr>
                <w:color w:val="0070C0"/>
                <w:sz w:val="18"/>
                <w:szCs w:val="18"/>
                <w:lang w:val="en-ID"/>
              </w:rPr>
            </w:pPr>
            <w:r w:rsidRPr="00967A58">
              <w:rPr>
                <w:color w:val="0070C0"/>
                <w:sz w:val="18"/>
                <w:szCs w:val="18"/>
                <w:lang w:val="en-ID"/>
              </w:rPr>
              <w:t>25,90%</w:t>
            </w:r>
          </w:p>
        </w:tc>
        <w:tc>
          <w:tcPr>
            <w:tcW w:w="0" w:type="auto"/>
            <w:tcMar>
              <w:top w:w="100" w:type="dxa"/>
              <w:left w:w="100" w:type="dxa"/>
              <w:bottom w:w="100" w:type="dxa"/>
              <w:right w:w="100" w:type="dxa"/>
            </w:tcMar>
            <w:vAlign w:val="bottom"/>
            <w:hideMark/>
          </w:tcPr>
          <w:p w14:paraId="02340FBC" w14:textId="77777777" w:rsidR="00967A58" w:rsidRPr="00967A58" w:rsidRDefault="00967A58" w:rsidP="00967A58">
            <w:pPr>
              <w:jc w:val="center"/>
              <w:rPr>
                <w:color w:val="0070C0"/>
                <w:sz w:val="18"/>
                <w:szCs w:val="18"/>
                <w:lang w:val="en-ID"/>
              </w:rPr>
            </w:pPr>
            <w:r w:rsidRPr="00967A58">
              <w:rPr>
                <w:color w:val="0070C0"/>
                <w:sz w:val="18"/>
                <w:szCs w:val="18"/>
                <w:lang w:val="en-ID"/>
              </w:rPr>
              <w:t>28,57%</w:t>
            </w:r>
          </w:p>
        </w:tc>
        <w:tc>
          <w:tcPr>
            <w:tcW w:w="0" w:type="auto"/>
            <w:tcMar>
              <w:top w:w="100" w:type="dxa"/>
              <w:left w:w="100" w:type="dxa"/>
              <w:bottom w:w="100" w:type="dxa"/>
              <w:right w:w="100" w:type="dxa"/>
            </w:tcMar>
            <w:vAlign w:val="bottom"/>
            <w:hideMark/>
          </w:tcPr>
          <w:p w14:paraId="224C564C" w14:textId="77777777" w:rsidR="00967A58" w:rsidRPr="00967A58" w:rsidRDefault="00967A58" w:rsidP="00967A58">
            <w:pPr>
              <w:jc w:val="center"/>
              <w:rPr>
                <w:color w:val="0070C0"/>
                <w:sz w:val="18"/>
                <w:szCs w:val="18"/>
                <w:lang w:val="en-ID"/>
              </w:rPr>
            </w:pPr>
            <w:r w:rsidRPr="00967A58">
              <w:rPr>
                <w:color w:val="0070C0"/>
                <w:sz w:val="18"/>
                <w:szCs w:val="18"/>
                <w:lang w:val="en-ID"/>
              </w:rPr>
              <w:t>31,75%</w:t>
            </w:r>
          </w:p>
        </w:tc>
        <w:tc>
          <w:tcPr>
            <w:tcW w:w="0" w:type="auto"/>
            <w:tcMar>
              <w:top w:w="100" w:type="dxa"/>
              <w:left w:w="100" w:type="dxa"/>
              <w:bottom w:w="100" w:type="dxa"/>
              <w:right w:w="100" w:type="dxa"/>
            </w:tcMar>
            <w:vAlign w:val="bottom"/>
            <w:hideMark/>
          </w:tcPr>
          <w:p w14:paraId="65976186" w14:textId="77777777" w:rsidR="00967A58" w:rsidRPr="00967A58" w:rsidRDefault="00967A58" w:rsidP="00967A58">
            <w:pPr>
              <w:jc w:val="center"/>
              <w:rPr>
                <w:color w:val="0070C0"/>
                <w:sz w:val="18"/>
                <w:szCs w:val="18"/>
                <w:lang w:val="en-ID"/>
              </w:rPr>
            </w:pPr>
            <w:r w:rsidRPr="00967A58">
              <w:rPr>
                <w:color w:val="0070C0"/>
                <w:sz w:val="18"/>
                <w:szCs w:val="18"/>
                <w:lang w:val="en-ID"/>
              </w:rPr>
              <w:t>33,00%</w:t>
            </w:r>
          </w:p>
        </w:tc>
        <w:tc>
          <w:tcPr>
            <w:tcW w:w="0" w:type="auto"/>
            <w:tcMar>
              <w:top w:w="100" w:type="dxa"/>
              <w:left w:w="100" w:type="dxa"/>
              <w:bottom w:w="100" w:type="dxa"/>
              <w:right w:w="100" w:type="dxa"/>
            </w:tcMar>
            <w:vAlign w:val="bottom"/>
            <w:hideMark/>
          </w:tcPr>
          <w:p w14:paraId="7B854032" w14:textId="77777777" w:rsidR="00967A58" w:rsidRPr="00967A58" w:rsidRDefault="00967A58" w:rsidP="00967A58">
            <w:pPr>
              <w:jc w:val="center"/>
              <w:rPr>
                <w:color w:val="0070C0"/>
                <w:sz w:val="18"/>
                <w:szCs w:val="18"/>
                <w:lang w:val="en-ID"/>
              </w:rPr>
            </w:pPr>
            <w:r w:rsidRPr="00967A58">
              <w:rPr>
                <w:color w:val="0070C0"/>
                <w:sz w:val="18"/>
                <w:szCs w:val="18"/>
                <w:lang w:val="en-ID"/>
              </w:rPr>
              <w:t>36,68%</w:t>
            </w:r>
          </w:p>
        </w:tc>
        <w:tc>
          <w:tcPr>
            <w:tcW w:w="0" w:type="auto"/>
            <w:tcMar>
              <w:top w:w="100" w:type="dxa"/>
              <w:left w:w="100" w:type="dxa"/>
              <w:bottom w:w="100" w:type="dxa"/>
              <w:right w:w="100" w:type="dxa"/>
            </w:tcMar>
            <w:vAlign w:val="bottom"/>
            <w:hideMark/>
          </w:tcPr>
          <w:p w14:paraId="41FCBB4B" w14:textId="77777777" w:rsidR="00967A58" w:rsidRPr="00967A58" w:rsidRDefault="00967A58" w:rsidP="00967A58">
            <w:pPr>
              <w:jc w:val="center"/>
              <w:rPr>
                <w:color w:val="0070C0"/>
                <w:sz w:val="18"/>
                <w:szCs w:val="18"/>
                <w:lang w:val="en-ID"/>
              </w:rPr>
            </w:pPr>
            <w:r w:rsidRPr="00967A58">
              <w:rPr>
                <w:color w:val="0070C0"/>
                <w:sz w:val="18"/>
                <w:szCs w:val="18"/>
                <w:lang w:val="en-ID"/>
              </w:rPr>
              <w:t>40,98%</w:t>
            </w:r>
          </w:p>
        </w:tc>
        <w:tc>
          <w:tcPr>
            <w:tcW w:w="0" w:type="auto"/>
            <w:tcMar>
              <w:top w:w="100" w:type="dxa"/>
              <w:left w:w="100" w:type="dxa"/>
              <w:bottom w:w="100" w:type="dxa"/>
              <w:right w:w="100" w:type="dxa"/>
            </w:tcMar>
            <w:vAlign w:val="bottom"/>
            <w:hideMark/>
          </w:tcPr>
          <w:p w14:paraId="17AA1346" w14:textId="77777777" w:rsidR="00967A58" w:rsidRPr="00967A58" w:rsidRDefault="00967A58" w:rsidP="00967A58">
            <w:pPr>
              <w:jc w:val="center"/>
              <w:rPr>
                <w:color w:val="0070C0"/>
                <w:sz w:val="18"/>
                <w:szCs w:val="18"/>
                <w:lang w:val="en-ID"/>
              </w:rPr>
            </w:pPr>
            <w:r w:rsidRPr="00967A58">
              <w:rPr>
                <w:color w:val="0070C0"/>
                <w:sz w:val="18"/>
                <w:szCs w:val="18"/>
                <w:lang w:val="en-ID"/>
              </w:rPr>
              <w:t>42,27%</w:t>
            </w:r>
          </w:p>
        </w:tc>
        <w:tc>
          <w:tcPr>
            <w:tcW w:w="0" w:type="auto"/>
            <w:tcMar>
              <w:top w:w="100" w:type="dxa"/>
              <w:left w:w="100" w:type="dxa"/>
              <w:bottom w:w="100" w:type="dxa"/>
              <w:right w:w="100" w:type="dxa"/>
            </w:tcMar>
            <w:vAlign w:val="bottom"/>
            <w:hideMark/>
          </w:tcPr>
          <w:p w14:paraId="72B234E6" w14:textId="77777777" w:rsidR="00967A58" w:rsidRPr="00967A58" w:rsidRDefault="00967A58" w:rsidP="00967A58">
            <w:pPr>
              <w:jc w:val="center"/>
              <w:rPr>
                <w:color w:val="0070C0"/>
                <w:sz w:val="18"/>
                <w:szCs w:val="18"/>
                <w:lang w:val="en-ID"/>
              </w:rPr>
            </w:pPr>
            <w:r w:rsidRPr="00967A58">
              <w:rPr>
                <w:color w:val="0070C0"/>
                <w:sz w:val="18"/>
                <w:szCs w:val="18"/>
                <w:lang w:val="en-ID"/>
              </w:rPr>
              <w:t>44,47%</w:t>
            </w:r>
          </w:p>
        </w:tc>
      </w:tr>
      <w:tr w:rsidR="00967A58" w:rsidRPr="00967A58" w14:paraId="498BA1C9" w14:textId="77777777" w:rsidTr="007A0C08">
        <w:trPr>
          <w:trHeight w:val="240"/>
          <w:jc w:val="center"/>
        </w:trPr>
        <w:tc>
          <w:tcPr>
            <w:tcW w:w="699" w:type="dxa"/>
            <w:tcMar>
              <w:top w:w="100" w:type="dxa"/>
              <w:left w:w="100" w:type="dxa"/>
              <w:bottom w:w="100" w:type="dxa"/>
              <w:right w:w="100" w:type="dxa"/>
            </w:tcMar>
            <w:vAlign w:val="bottom"/>
            <w:hideMark/>
          </w:tcPr>
          <w:p w14:paraId="71D9ADCA" w14:textId="77777777" w:rsidR="00967A58" w:rsidRPr="00967A58" w:rsidRDefault="00967A58" w:rsidP="00967A58">
            <w:pPr>
              <w:jc w:val="center"/>
              <w:rPr>
                <w:color w:val="0070C0"/>
                <w:sz w:val="18"/>
                <w:szCs w:val="18"/>
                <w:lang w:val="en-ID"/>
              </w:rPr>
            </w:pPr>
            <w:r w:rsidRPr="00967A58">
              <w:rPr>
                <w:color w:val="0070C0"/>
                <w:sz w:val="18"/>
                <w:szCs w:val="18"/>
                <w:lang w:val="en-ID"/>
              </w:rPr>
              <w:t>2</w:t>
            </w:r>
          </w:p>
        </w:tc>
        <w:tc>
          <w:tcPr>
            <w:tcW w:w="546" w:type="dxa"/>
            <w:tcMar>
              <w:top w:w="100" w:type="dxa"/>
              <w:left w:w="100" w:type="dxa"/>
              <w:bottom w:w="100" w:type="dxa"/>
              <w:right w:w="100" w:type="dxa"/>
            </w:tcMar>
            <w:vAlign w:val="bottom"/>
            <w:hideMark/>
          </w:tcPr>
          <w:p w14:paraId="46ED1179" w14:textId="77777777" w:rsidR="00967A58" w:rsidRPr="00967A58" w:rsidRDefault="00967A58" w:rsidP="00967A58">
            <w:pPr>
              <w:jc w:val="center"/>
              <w:rPr>
                <w:color w:val="0070C0"/>
                <w:sz w:val="18"/>
                <w:szCs w:val="18"/>
                <w:lang w:val="en-ID"/>
              </w:rPr>
            </w:pPr>
            <w:r w:rsidRPr="00967A58">
              <w:rPr>
                <w:color w:val="0070C0"/>
                <w:sz w:val="18"/>
                <w:szCs w:val="18"/>
                <w:lang w:val="en-ID"/>
              </w:rPr>
              <w:t>35,19%</w:t>
            </w:r>
          </w:p>
        </w:tc>
        <w:tc>
          <w:tcPr>
            <w:tcW w:w="0" w:type="auto"/>
            <w:tcMar>
              <w:top w:w="100" w:type="dxa"/>
              <w:left w:w="100" w:type="dxa"/>
              <w:bottom w:w="100" w:type="dxa"/>
              <w:right w:w="100" w:type="dxa"/>
            </w:tcMar>
            <w:vAlign w:val="bottom"/>
            <w:hideMark/>
          </w:tcPr>
          <w:p w14:paraId="0FC428CD" w14:textId="77777777" w:rsidR="00967A58" w:rsidRPr="00967A58" w:rsidRDefault="00967A58" w:rsidP="00967A58">
            <w:pPr>
              <w:jc w:val="center"/>
              <w:rPr>
                <w:color w:val="0070C0"/>
                <w:sz w:val="18"/>
                <w:szCs w:val="18"/>
                <w:lang w:val="en-ID"/>
              </w:rPr>
            </w:pPr>
            <w:r w:rsidRPr="00967A58">
              <w:rPr>
                <w:color w:val="0070C0"/>
                <w:sz w:val="18"/>
                <w:szCs w:val="18"/>
                <w:lang w:val="en-ID"/>
              </w:rPr>
              <w:t>38,25%</w:t>
            </w:r>
          </w:p>
        </w:tc>
        <w:tc>
          <w:tcPr>
            <w:tcW w:w="0" w:type="auto"/>
            <w:tcMar>
              <w:top w:w="100" w:type="dxa"/>
              <w:left w:w="100" w:type="dxa"/>
              <w:bottom w:w="100" w:type="dxa"/>
              <w:right w:w="100" w:type="dxa"/>
            </w:tcMar>
            <w:vAlign w:val="bottom"/>
            <w:hideMark/>
          </w:tcPr>
          <w:p w14:paraId="735DEBC7" w14:textId="77777777" w:rsidR="00967A58" w:rsidRPr="00967A58" w:rsidRDefault="00967A58" w:rsidP="00967A58">
            <w:pPr>
              <w:jc w:val="center"/>
              <w:rPr>
                <w:color w:val="0070C0"/>
                <w:sz w:val="18"/>
                <w:szCs w:val="18"/>
                <w:lang w:val="en-ID"/>
              </w:rPr>
            </w:pPr>
            <w:r w:rsidRPr="00967A58">
              <w:rPr>
                <w:color w:val="0070C0"/>
                <w:sz w:val="18"/>
                <w:szCs w:val="18"/>
                <w:lang w:val="en-ID"/>
              </w:rPr>
              <w:t>40,60%</w:t>
            </w:r>
          </w:p>
        </w:tc>
        <w:tc>
          <w:tcPr>
            <w:tcW w:w="0" w:type="auto"/>
            <w:tcMar>
              <w:top w:w="100" w:type="dxa"/>
              <w:left w:w="100" w:type="dxa"/>
              <w:bottom w:w="100" w:type="dxa"/>
              <w:right w:w="100" w:type="dxa"/>
            </w:tcMar>
            <w:vAlign w:val="bottom"/>
            <w:hideMark/>
          </w:tcPr>
          <w:p w14:paraId="752B310B" w14:textId="77777777" w:rsidR="00967A58" w:rsidRPr="00967A58" w:rsidRDefault="00967A58" w:rsidP="00967A58">
            <w:pPr>
              <w:jc w:val="center"/>
              <w:rPr>
                <w:color w:val="0070C0"/>
                <w:sz w:val="18"/>
                <w:szCs w:val="18"/>
                <w:lang w:val="en-ID"/>
              </w:rPr>
            </w:pPr>
            <w:r w:rsidRPr="00967A58">
              <w:rPr>
                <w:color w:val="0070C0"/>
                <w:sz w:val="18"/>
                <w:szCs w:val="18"/>
                <w:lang w:val="en-ID"/>
              </w:rPr>
              <w:t>41,92%</w:t>
            </w:r>
          </w:p>
        </w:tc>
        <w:tc>
          <w:tcPr>
            <w:tcW w:w="0" w:type="auto"/>
            <w:tcMar>
              <w:top w:w="100" w:type="dxa"/>
              <w:left w:w="100" w:type="dxa"/>
              <w:bottom w:w="100" w:type="dxa"/>
              <w:right w:w="100" w:type="dxa"/>
            </w:tcMar>
            <w:vAlign w:val="bottom"/>
            <w:hideMark/>
          </w:tcPr>
          <w:p w14:paraId="150567AA" w14:textId="77777777" w:rsidR="00967A58" w:rsidRPr="00967A58" w:rsidRDefault="00967A58" w:rsidP="00967A58">
            <w:pPr>
              <w:jc w:val="center"/>
              <w:rPr>
                <w:color w:val="0070C0"/>
                <w:sz w:val="18"/>
                <w:szCs w:val="18"/>
                <w:lang w:val="en-ID"/>
              </w:rPr>
            </w:pPr>
            <w:r w:rsidRPr="00967A58">
              <w:rPr>
                <w:color w:val="0070C0"/>
                <w:sz w:val="18"/>
                <w:szCs w:val="18"/>
                <w:lang w:val="en-ID"/>
              </w:rPr>
              <w:t>45,19%</w:t>
            </w:r>
          </w:p>
        </w:tc>
        <w:tc>
          <w:tcPr>
            <w:tcW w:w="0" w:type="auto"/>
            <w:tcMar>
              <w:top w:w="100" w:type="dxa"/>
              <w:left w:w="100" w:type="dxa"/>
              <w:bottom w:w="100" w:type="dxa"/>
              <w:right w:w="100" w:type="dxa"/>
            </w:tcMar>
            <w:vAlign w:val="bottom"/>
            <w:hideMark/>
          </w:tcPr>
          <w:p w14:paraId="0B669132" w14:textId="77777777" w:rsidR="00967A58" w:rsidRPr="00967A58" w:rsidRDefault="00967A58" w:rsidP="00967A58">
            <w:pPr>
              <w:jc w:val="center"/>
              <w:rPr>
                <w:color w:val="0070C0"/>
                <w:sz w:val="18"/>
                <w:szCs w:val="18"/>
                <w:lang w:val="en-ID"/>
              </w:rPr>
            </w:pPr>
            <w:r w:rsidRPr="00967A58">
              <w:rPr>
                <w:color w:val="0070C0"/>
                <w:sz w:val="18"/>
                <w:szCs w:val="18"/>
                <w:lang w:val="en-ID"/>
              </w:rPr>
              <w:t>48,79%</w:t>
            </w:r>
          </w:p>
        </w:tc>
        <w:tc>
          <w:tcPr>
            <w:tcW w:w="0" w:type="auto"/>
            <w:tcMar>
              <w:top w:w="100" w:type="dxa"/>
              <w:left w:w="100" w:type="dxa"/>
              <w:bottom w:w="100" w:type="dxa"/>
              <w:right w:w="100" w:type="dxa"/>
            </w:tcMar>
            <w:vAlign w:val="bottom"/>
            <w:hideMark/>
          </w:tcPr>
          <w:p w14:paraId="78DCD39F" w14:textId="77777777" w:rsidR="00967A58" w:rsidRPr="00967A58" w:rsidRDefault="00967A58" w:rsidP="00967A58">
            <w:pPr>
              <w:jc w:val="center"/>
              <w:rPr>
                <w:color w:val="0070C0"/>
                <w:sz w:val="18"/>
                <w:szCs w:val="18"/>
                <w:lang w:val="en-ID"/>
              </w:rPr>
            </w:pPr>
            <w:r w:rsidRPr="00967A58">
              <w:rPr>
                <w:color w:val="0070C0"/>
                <w:sz w:val="18"/>
                <w:szCs w:val="18"/>
                <w:lang w:val="en-ID"/>
              </w:rPr>
              <w:t>49,20%</w:t>
            </w:r>
          </w:p>
        </w:tc>
        <w:tc>
          <w:tcPr>
            <w:tcW w:w="0" w:type="auto"/>
            <w:tcMar>
              <w:top w:w="100" w:type="dxa"/>
              <w:left w:w="100" w:type="dxa"/>
              <w:bottom w:w="100" w:type="dxa"/>
              <w:right w:w="100" w:type="dxa"/>
            </w:tcMar>
            <w:vAlign w:val="bottom"/>
            <w:hideMark/>
          </w:tcPr>
          <w:p w14:paraId="4AAF7E43" w14:textId="77777777" w:rsidR="00967A58" w:rsidRPr="00967A58" w:rsidRDefault="00967A58" w:rsidP="00967A58">
            <w:pPr>
              <w:jc w:val="center"/>
              <w:rPr>
                <w:color w:val="0070C0"/>
                <w:sz w:val="18"/>
                <w:szCs w:val="18"/>
                <w:lang w:val="en-ID"/>
              </w:rPr>
            </w:pPr>
            <w:r w:rsidRPr="00967A58">
              <w:rPr>
                <w:color w:val="0070C0"/>
                <w:sz w:val="18"/>
                <w:szCs w:val="18"/>
                <w:lang w:val="en-ID"/>
              </w:rPr>
              <w:t>51,17%</w:t>
            </w:r>
          </w:p>
        </w:tc>
      </w:tr>
      <w:tr w:rsidR="00967A58" w:rsidRPr="00967A58" w14:paraId="604ED104" w14:textId="77777777" w:rsidTr="007A0C08">
        <w:trPr>
          <w:trHeight w:val="240"/>
          <w:jc w:val="center"/>
        </w:trPr>
        <w:tc>
          <w:tcPr>
            <w:tcW w:w="699" w:type="dxa"/>
            <w:tcMar>
              <w:top w:w="100" w:type="dxa"/>
              <w:left w:w="100" w:type="dxa"/>
              <w:bottom w:w="100" w:type="dxa"/>
              <w:right w:w="100" w:type="dxa"/>
            </w:tcMar>
            <w:vAlign w:val="bottom"/>
            <w:hideMark/>
          </w:tcPr>
          <w:p w14:paraId="0CCA86DF" w14:textId="77777777" w:rsidR="00967A58" w:rsidRPr="00967A58" w:rsidRDefault="00967A58" w:rsidP="00967A58">
            <w:pPr>
              <w:jc w:val="center"/>
              <w:rPr>
                <w:color w:val="0070C0"/>
                <w:sz w:val="18"/>
                <w:szCs w:val="18"/>
                <w:lang w:val="en-ID"/>
              </w:rPr>
            </w:pPr>
            <w:r w:rsidRPr="00967A58">
              <w:rPr>
                <w:color w:val="0070C0"/>
                <w:sz w:val="18"/>
                <w:szCs w:val="18"/>
                <w:lang w:val="en-ID"/>
              </w:rPr>
              <w:t>3</w:t>
            </w:r>
          </w:p>
        </w:tc>
        <w:tc>
          <w:tcPr>
            <w:tcW w:w="546" w:type="dxa"/>
            <w:tcMar>
              <w:top w:w="100" w:type="dxa"/>
              <w:left w:w="100" w:type="dxa"/>
              <w:bottom w:w="100" w:type="dxa"/>
              <w:right w:w="100" w:type="dxa"/>
            </w:tcMar>
            <w:vAlign w:val="bottom"/>
            <w:hideMark/>
          </w:tcPr>
          <w:p w14:paraId="50A4CD3C" w14:textId="77777777" w:rsidR="00967A58" w:rsidRPr="00967A58" w:rsidRDefault="00967A58" w:rsidP="00967A58">
            <w:pPr>
              <w:jc w:val="center"/>
              <w:rPr>
                <w:color w:val="0070C0"/>
                <w:sz w:val="18"/>
                <w:szCs w:val="18"/>
                <w:lang w:val="en-ID"/>
              </w:rPr>
            </w:pPr>
            <w:r w:rsidRPr="00967A58">
              <w:rPr>
                <w:color w:val="0070C0"/>
                <w:sz w:val="18"/>
                <w:szCs w:val="18"/>
                <w:lang w:val="en-ID"/>
              </w:rPr>
              <w:t>38,29%</w:t>
            </w:r>
          </w:p>
        </w:tc>
        <w:tc>
          <w:tcPr>
            <w:tcW w:w="0" w:type="auto"/>
            <w:tcMar>
              <w:top w:w="100" w:type="dxa"/>
              <w:left w:w="100" w:type="dxa"/>
              <w:bottom w:w="100" w:type="dxa"/>
              <w:right w:w="100" w:type="dxa"/>
            </w:tcMar>
            <w:vAlign w:val="bottom"/>
            <w:hideMark/>
          </w:tcPr>
          <w:p w14:paraId="5D6267CA" w14:textId="77777777" w:rsidR="00967A58" w:rsidRPr="00967A58" w:rsidRDefault="00967A58" w:rsidP="00967A58">
            <w:pPr>
              <w:jc w:val="center"/>
              <w:rPr>
                <w:color w:val="0070C0"/>
                <w:sz w:val="18"/>
                <w:szCs w:val="18"/>
                <w:lang w:val="en-ID"/>
              </w:rPr>
            </w:pPr>
            <w:r w:rsidRPr="00967A58">
              <w:rPr>
                <w:color w:val="0070C0"/>
                <w:sz w:val="18"/>
                <w:szCs w:val="18"/>
                <w:lang w:val="en-ID"/>
              </w:rPr>
              <w:t>41,87%</w:t>
            </w:r>
          </w:p>
        </w:tc>
        <w:tc>
          <w:tcPr>
            <w:tcW w:w="0" w:type="auto"/>
            <w:tcMar>
              <w:top w:w="100" w:type="dxa"/>
              <w:left w:w="100" w:type="dxa"/>
              <w:bottom w:w="100" w:type="dxa"/>
              <w:right w:w="100" w:type="dxa"/>
            </w:tcMar>
            <w:vAlign w:val="bottom"/>
            <w:hideMark/>
          </w:tcPr>
          <w:p w14:paraId="233486ED" w14:textId="77777777" w:rsidR="00967A58" w:rsidRPr="00967A58" w:rsidRDefault="00967A58" w:rsidP="00967A58">
            <w:pPr>
              <w:jc w:val="center"/>
              <w:rPr>
                <w:color w:val="0070C0"/>
                <w:sz w:val="18"/>
                <w:szCs w:val="18"/>
                <w:lang w:val="en-ID"/>
              </w:rPr>
            </w:pPr>
            <w:r w:rsidRPr="00967A58">
              <w:rPr>
                <w:color w:val="0070C0"/>
                <w:sz w:val="18"/>
                <w:szCs w:val="18"/>
                <w:lang w:val="en-ID"/>
              </w:rPr>
              <w:t>44,43%</w:t>
            </w:r>
          </w:p>
        </w:tc>
        <w:tc>
          <w:tcPr>
            <w:tcW w:w="0" w:type="auto"/>
            <w:tcMar>
              <w:top w:w="100" w:type="dxa"/>
              <w:left w:w="100" w:type="dxa"/>
              <w:bottom w:w="100" w:type="dxa"/>
              <w:right w:w="100" w:type="dxa"/>
            </w:tcMar>
            <w:vAlign w:val="bottom"/>
            <w:hideMark/>
          </w:tcPr>
          <w:p w14:paraId="31290412" w14:textId="77777777" w:rsidR="00967A58" w:rsidRPr="00967A58" w:rsidRDefault="00967A58" w:rsidP="00967A58">
            <w:pPr>
              <w:jc w:val="center"/>
              <w:rPr>
                <w:color w:val="0070C0"/>
                <w:sz w:val="18"/>
                <w:szCs w:val="18"/>
                <w:lang w:val="en-ID"/>
              </w:rPr>
            </w:pPr>
            <w:r w:rsidRPr="00967A58">
              <w:rPr>
                <w:color w:val="0070C0"/>
                <w:sz w:val="18"/>
                <w:szCs w:val="18"/>
                <w:lang w:val="en-ID"/>
              </w:rPr>
              <w:t>44,88%</w:t>
            </w:r>
          </w:p>
        </w:tc>
        <w:tc>
          <w:tcPr>
            <w:tcW w:w="0" w:type="auto"/>
            <w:tcMar>
              <w:top w:w="100" w:type="dxa"/>
              <w:left w:w="100" w:type="dxa"/>
              <w:bottom w:w="100" w:type="dxa"/>
              <w:right w:w="100" w:type="dxa"/>
            </w:tcMar>
            <w:vAlign w:val="bottom"/>
            <w:hideMark/>
          </w:tcPr>
          <w:p w14:paraId="0D8DF571" w14:textId="77777777" w:rsidR="00967A58" w:rsidRPr="00967A58" w:rsidRDefault="00967A58" w:rsidP="00967A58">
            <w:pPr>
              <w:jc w:val="center"/>
              <w:rPr>
                <w:color w:val="0070C0"/>
                <w:sz w:val="18"/>
                <w:szCs w:val="18"/>
                <w:lang w:val="en-ID"/>
              </w:rPr>
            </w:pPr>
            <w:r w:rsidRPr="00967A58">
              <w:rPr>
                <w:color w:val="0070C0"/>
                <w:sz w:val="18"/>
                <w:szCs w:val="18"/>
                <w:lang w:val="en-ID"/>
              </w:rPr>
              <w:t>48,69%</w:t>
            </w:r>
          </w:p>
        </w:tc>
        <w:tc>
          <w:tcPr>
            <w:tcW w:w="0" w:type="auto"/>
            <w:tcMar>
              <w:top w:w="100" w:type="dxa"/>
              <w:left w:w="100" w:type="dxa"/>
              <w:bottom w:w="100" w:type="dxa"/>
              <w:right w:w="100" w:type="dxa"/>
            </w:tcMar>
            <w:vAlign w:val="bottom"/>
            <w:hideMark/>
          </w:tcPr>
          <w:p w14:paraId="1A0DADCB" w14:textId="77777777" w:rsidR="00967A58" w:rsidRPr="00967A58" w:rsidRDefault="00967A58" w:rsidP="00967A58">
            <w:pPr>
              <w:jc w:val="center"/>
              <w:rPr>
                <w:color w:val="0070C0"/>
                <w:sz w:val="18"/>
                <w:szCs w:val="18"/>
                <w:lang w:val="en-ID"/>
              </w:rPr>
            </w:pPr>
            <w:r w:rsidRPr="00967A58">
              <w:rPr>
                <w:color w:val="0070C0"/>
                <w:sz w:val="18"/>
                <w:szCs w:val="18"/>
                <w:lang w:val="en-ID"/>
              </w:rPr>
              <w:t>52,65%</w:t>
            </w:r>
          </w:p>
        </w:tc>
        <w:tc>
          <w:tcPr>
            <w:tcW w:w="0" w:type="auto"/>
            <w:tcMar>
              <w:top w:w="100" w:type="dxa"/>
              <w:left w:w="100" w:type="dxa"/>
              <w:bottom w:w="100" w:type="dxa"/>
              <w:right w:w="100" w:type="dxa"/>
            </w:tcMar>
            <w:vAlign w:val="bottom"/>
            <w:hideMark/>
          </w:tcPr>
          <w:p w14:paraId="19D11200" w14:textId="77777777" w:rsidR="00967A58" w:rsidRPr="00967A58" w:rsidRDefault="00967A58" w:rsidP="00967A58">
            <w:pPr>
              <w:jc w:val="center"/>
              <w:rPr>
                <w:color w:val="0070C0"/>
                <w:sz w:val="18"/>
                <w:szCs w:val="18"/>
                <w:lang w:val="en-ID"/>
              </w:rPr>
            </w:pPr>
            <w:r w:rsidRPr="00967A58">
              <w:rPr>
                <w:color w:val="0070C0"/>
                <w:sz w:val="18"/>
                <w:szCs w:val="18"/>
                <w:lang w:val="en-ID"/>
              </w:rPr>
              <w:t>53,35%</w:t>
            </w:r>
          </w:p>
        </w:tc>
        <w:tc>
          <w:tcPr>
            <w:tcW w:w="0" w:type="auto"/>
            <w:tcMar>
              <w:top w:w="100" w:type="dxa"/>
              <w:left w:w="100" w:type="dxa"/>
              <w:bottom w:w="100" w:type="dxa"/>
              <w:right w:w="100" w:type="dxa"/>
            </w:tcMar>
            <w:vAlign w:val="bottom"/>
            <w:hideMark/>
          </w:tcPr>
          <w:p w14:paraId="04AC47E5" w14:textId="77777777" w:rsidR="00967A58" w:rsidRPr="00967A58" w:rsidRDefault="00967A58" w:rsidP="00967A58">
            <w:pPr>
              <w:jc w:val="center"/>
              <w:rPr>
                <w:color w:val="0070C0"/>
                <w:sz w:val="18"/>
                <w:szCs w:val="18"/>
                <w:lang w:val="en-ID"/>
              </w:rPr>
            </w:pPr>
            <w:r w:rsidRPr="00967A58">
              <w:rPr>
                <w:color w:val="0070C0"/>
                <w:sz w:val="18"/>
                <w:szCs w:val="18"/>
                <w:lang w:val="en-ID"/>
              </w:rPr>
              <w:t>56,07%</w:t>
            </w:r>
          </w:p>
        </w:tc>
      </w:tr>
      <w:tr w:rsidR="00967A58" w:rsidRPr="00967A58" w14:paraId="54C6DEDD" w14:textId="77777777" w:rsidTr="007A0C08">
        <w:trPr>
          <w:trHeight w:val="240"/>
          <w:jc w:val="center"/>
        </w:trPr>
        <w:tc>
          <w:tcPr>
            <w:tcW w:w="699" w:type="dxa"/>
            <w:tcMar>
              <w:top w:w="100" w:type="dxa"/>
              <w:left w:w="100" w:type="dxa"/>
              <w:bottom w:w="100" w:type="dxa"/>
              <w:right w:w="100" w:type="dxa"/>
            </w:tcMar>
            <w:vAlign w:val="bottom"/>
            <w:hideMark/>
          </w:tcPr>
          <w:p w14:paraId="4AB56277" w14:textId="77777777" w:rsidR="00967A58" w:rsidRPr="00967A58" w:rsidRDefault="00967A58" w:rsidP="00967A58">
            <w:pPr>
              <w:jc w:val="center"/>
              <w:rPr>
                <w:color w:val="0070C0"/>
                <w:sz w:val="18"/>
                <w:szCs w:val="18"/>
                <w:lang w:val="en-ID"/>
              </w:rPr>
            </w:pPr>
            <w:r w:rsidRPr="00967A58">
              <w:rPr>
                <w:color w:val="0070C0"/>
                <w:sz w:val="18"/>
                <w:szCs w:val="18"/>
                <w:lang w:val="en-ID"/>
              </w:rPr>
              <w:t>4</w:t>
            </w:r>
          </w:p>
        </w:tc>
        <w:tc>
          <w:tcPr>
            <w:tcW w:w="546" w:type="dxa"/>
            <w:tcMar>
              <w:top w:w="100" w:type="dxa"/>
              <w:left w:w="100" w:type="dxa"/>
              <w:bottom w:w="100" w:type="dxa"/>
              <w:right w:w="100" w:type="dxa"/>
            </w:tcMar>
            <w:vAlign w:val="bottom"/>
            <w:hideMark/>
          </w:tcPr>
          <w:p w14:paraId="2B8F4B2B" w14:textId="77777777" w:rsidR="00967A58" w:rsidRPr="00967A58" w:rsidRDefault="00967A58" w:rsidP="00967A58">
            <w:pPr>
              <w:jc w:val="center"/>
              <w:rPr>
                <w:color w:val="0070C0"/>
                <w:sz w:val="18"/>
                <w:szCs w:val="18"/>
                <w:lang w:val="en-ID"/>
              </w:rPr>
            </w:pPr>
            <w:r w:rsidRPr="00967A58">
              <w:rPr>
                <w:color w:val="0070C0"/>
                <w:sz w:val="18"/>
                <w:szCs w:val="18"/>
                <w:lang w:val="en-ID"/>
              </w:rPr>
              <w:t>40,61%</w:t>
            </w:r>
          </w:p>
        </w:tc>
        <w:tc>
          <w:tcPr>
            <w:tcW w:w="0" w:type="auto"/>
            <w:tcMar>
              <w:top w:w="100" w:type="dxa"/>
              <w:left w:w="100" w:type="dxa"/>
              <w:bottom w:w="100" w:type="dxa"/>
              <w:right w:w="100" w:type="dxa"/>
            </w:tcMar>
            <w:vAlign w:val="bottom"/>
            <w:hideMark/>
          </w:tcPr>
          <w:p w14:paraId="33438597" w14:textId="77777777" w:rsidR="00967A58" w:rsidRPr="00967A58" w:rsidRDefault="00967A58" w:rsidP="00967A58">
            <w:pPr>
              <w:jc w:val="center"/>
              <w:rPr>
                <w:color w:val="0070C0"/>
                <w:sz w:val="18"/>
                <w:szCs w:val="18"/>
                <w:lang w:val="en-ID"/>
              </w:rPr>
            </w:pPr>
            <w:r w:rsidRPr="00967A58">
              <w:rPr>
                <w:color w:val="0070C0"/>
                <w:sz w:val="18"/>
                <w:szCs w:val="18"/>
                <w:lang w:val="en-ID"/>
              </w:rPr>
              <w:t>44,90%</w:t>
            </w:r>
          </w:p>
        </w:tc>
        <w:tc>
          <w:tcPr>
            <w:tcW w:w="0" w:type="auto"/>
            <w:tcMar>
              <w:top w:w="100" w:type="dxa"/>
              <w:left w:w="100" w:type="dxa"/>
              <w:bottom w:w="100" w:type="dxa"/>
              <w:right w:w="100" w:type="dxa"/>
            </w:tcMar>
            <w:vAlign w:val="bottom"/>
            <w:hideMark/>
          </w:tcPr>
          <w:p w14:paraId="4068CAF2" w14:textId="77777777" w:rsidR="00967A58" w:rsidRPr="00967A58" w:rsidRDefault="00967A58" w:rsidP="00967A58">
            <w:pPr>
              <w:jc w:val="center"/>
              <w:rPr>
                <w:color w:val="0070C0"/>
                <w:sz w:val="18"/>
                <w:szCs w:val="18"/>
                <w:lang w:val="en-ID"/>
              </w:rPr>
            </w:pPr>
            <w:r w:rsidRPr="00967A58">
              <w:rPr>
                <w:color w:val="0070C0"/>
                <w:sz w:val="18"/>
                <w:szCs w:val="18"/>
                <w:lang w:val="en-ID"/>
              </w:rPr>
              <w:t>48,57%</w:t>
            </w:r>
          </w:p>
        </w:tc>
        <w:tc>
          <w:tcPr>
            <w:tcW w:w="0" w:type="auto"/>
            <w:tcMar>
              <w:top w:w="100" w:type="dxa"/>
              <w:left w:w="100" w:type="dxa"/>
              <w:bottom w:w="100" w:type="dxa"/>
              <w:right w:w="100" w:type="dxa"/>
            </w:tcMar>
            <w:vAlign w:val="bottom"/>
            <w:hideMark/>
          </w:tcPr>
          <w:p w14:paraId="0F3E7EA2" w14:textId="77777777" w:rsidR="00967A58" w:rsidRPr="00967A58" w:rsidRDefault="00967A58" w:rsidP="00967A58">
            <w:pPr>
              <w:jc w:val="center"/>
              <w:rPr>
                <w:color w:val="0070C0"/>
                <w:sz w:val="18"/>
                <w:szCs w:val="18"/>
                <w:lang w:val="en-ID"/>
              </w:rPr>
            </w:pPr>
            <w:r w:rsidRPr="00967A58">
              <w:rPr>
                <w:color w:val="0070C0"/>
                <w:sz w:val="18"/>
                <w:szCs w:val="18"/>
                <w:lang w:val="en-ID"/>
              </w:rPr>
              <w:t>49,30%</w:t>
            </w:r>
          </w:p>
        </w:tc>
        <w:tc>
          <w:tcPr>
            <w:tcW w:w="0" w:type="auto"/>
            <w:tcMar>
              <w:top w:w="100" w:type="dxa"/>
              <w:left w:w="100" w:type="dxa"/>
              <w:bottom w:w="100" w:type="dxa"/>
              <w:right w:w="100" w:type="dxa"/>
            </w:tcMar>
            <w:vAlign w:val="bottom"/>
            <w:hideMark/>
          </w:tcPr>
          <w:p w14:paraId="6B8CC2B9" w14:textId="77777777" w:rsidR="00967A58" w:rsidRPr="00967A58" w:rsidRDefault="00967A58" w:rsidP="00967A58">
            <w:pPr>
              <w:jc w:val="center"/>
              <w:rPr>
                <w:color w:val="0070C0"/>
                <w:sz w:val="18"/>
                <w:szCs w:val="18"/>
                <w:lang w:val="en-ID"/>
              </w:rPr>
            </w:pPr>
            <w:r w:rsidRPr="00967A58">
              <w:rPr>
                <w:color w:val="0070C0"/>
                <w:sz w:val="18"/>
                <w:szCs w:val="18"/>
                <w:lang w:val="en-ID"/>
              </w:rPr>
              <w:t>52,27%</w:t>
            </w:r>
          </w:p>
        </w:tc>
        <w:tc>
          <w:tcPr>
            <w:tcW w:w="0" w:type="auto"/>
            <w:tcMar>
              <w:top w:w="100" w:type="dxa"/>
              <w:left w:w="100" w:type="dxa"/>
              <w:bottom w:w="100" w:type="dxa"/>
              <w:right w:w="100" w:type="dxa"/>
            </w:tcMar>
            <w:vAlign w:val="bottom"/>
            <w:hideMark/>
          </w:tcPr>
          <w:p w14:paraId="1217240D" w14:textId="77777777" w:rsidR="00967A58" w:rsidRPr="00967A58" w:rsidRDefault="00967A58" w:rsidP="00967A58">
            <w:pPr>
              <w:jc w:val="center"/>
              <w:rPr>
                <w:color w:val="0070C0"/>
                <w:sz w:val="18"/>
                <w:szCs w:val="18"/>
                <w:lang w:val="en-ID"/>
              </w:rPr>
            </w:pPr>
            <w:r w:rsidRPr="00967A58">
              <w:rPr>
                <w:color w:val="0070C0"/>
                <w:sz w:val="18"/>
                <w:szCs w:val="18"/>
                <w:lang w:val="en-ID"/>
              </w:rPr>
              <w:t>56,53%</w:t>
            </w:r>
          </w:p>
        </w:tc>
        <w:tc>
          <w:tcPr>
            <w:tcW w:w="0" w:type="auto"/>
            <w:tcMar>
              <w:top w:w="100" w:type="dxa"/>
              <w:left w:w="100" w:type="dxa"/>
              <w:bottom w:w="100" w:type="dxa"/>
              <w:right w:w="100" w:type="dxa"/>
            </w:tcMar>
            <w:vAlign w:val="bottom"/>
            <w:hideMark/>
          </w:tcPr>
          <w:p w14:paraId="1CCECF7B" w14:textId="77777777" w:rsidR="00967A58" w:rsidRPr="00967A58" w:rsidRDefault="00967A58" w:rsidP="00967A58">
            <w:pPr>
              <w:jc w:val="center"/>
              <w:rPr>
                <w:color w:val="0070C0"/>
                <w:sz w:val="18"/>
                <w:szCs w:val="18"/>
                <w:lang w:val="en-ID"/>
              </w:rPr>
            </w:pPr>
            <w:r w:rsidRPr="00967A58">
              <w:rPr>
                <w:color w:val="0070C0"/>
                <w:sz w:val="18"/>
                <w:szCs w:val="18"/>
                <w:lang w:val="en-ID"/>
              </w:rPr>
              <w:t>55,70%</w:t>
            </w:r>
          </w:p>
        </w:tc>
        <w:tc>
          <w:tcPr>
            <w:tcW w:w="0" w:type="auto"/>
            <w:tcMar>
              <w:top w:w="100" w:type="dxa"/>
              <w:left w:w="100" w:type="dxa"/>
              <w:bottom w:w="100" w:type="dxa"/>
              <w:right w:w="100" w:type="dxa"/>
            </w:tcMar>
            <w:vAlign w:val="bottom"/>
            <w:hideMark/>
          </w:tcPr>
          <w:p w14:paraId="44FA6378" w14:textId="77777777" w:rsidR="00967A58" w:rsidRPr="00967A58" w:rsidRDefault="00967A58" w:rsidP="00967A58">
            <w:pPr>
              <w:jc w:val="center"/>
              <w:rPr>
                <w:color w:val="0070C0"/>
                <w:sz w:val="18"/>
                <w:szCs w:val="18"/>
                <w:lang w:val="en-ID"/>
              </w:rPr>
            </w:pPr>
            <w:r w:rsidRPr="00967A58">
              <w:rPr>
                <w:color w:val="0070C0"/>
                <w:sz w:val="18"/>
                <w:szCs w:val="18"/>
                <w:lang w:val="en-ID"/>
              </w:rPr>
              <w:t>58,32%</w:t>
            </w:r>
          </w:p>
        </w:tc>
      </w:tr>
      <w:tr w:rsidR="00967A58" w:rsidRPr="00967A58" w14:paraId="75D01FAF" w14:textId="77777777" w:rsidTr="007A0C08">
        <w:trPr>
          <w:trHeight w:val="240"/>
          <w:jc w:val="center"/>
        </w:trPr>
        <w:tc>
          <w:tcPr>
            <w:tcW w:w="699" w:type="dxa"/>
            <w:tcMar>
              <w:top w:w="100" w:type="dxa"/>
              <w:left w:w="100" w:type="dxa"/>
              <w:bottom w:w="100" w:type="dxa"/>
              <w:right w:w="100" w:type="dxa"/>
            </w:tcMar>
            <w:vAlign w:val="bottom"/>
            <w:hideMark/>
          </w:tcPr>
          <w:p w14:paraId="6C60B02E" w14:textId="77777777" w:rsidR="00967A58" w:rsidRPr="00967A58" w:rsidRDefault="00967A58" w:rsidP="00967A58">
            <w:pPr>
              <w:jc w:val="center"/>
              <w:rPr>
                <w:color w:val="0070C0"/>
                <w:sz w:val="18"/>
                <w:szCs w:val="18"/>
                <w:lang w:val="en-ID"/>
              </w:rPr>
            </w:pPr>
            <w:r w:rsidRPr="00967A58">
              <w:rPr>
                <w:color w:val="0070C0"/>
                <w:sz w:val="18"/>
                <w:szCs w:val="18"/>
                <w:lang w:val="en-ID"/>
              </w:rPr>
              <w:t>5</w:t>
            </w:r>
          </w:p>
        </w:tc>
        <w:tc>
          <w:tcPr>
            <w:tcW w:w="546" w:type="dxa"/>
            <w:tcMar>
              <w:top w:w="100" w:type="dxa"/>
              <w:left w:w="100" w:type="dxa"/>
              <w:bottom w:w="100" w:type="dxa"/>
              <w:right w:w="100" w:type="dxa"/>
            </w:tcMar>
            <w:vAlign w:val="bottom"/>
            <w:hideMark/>
          </w:tcPr>
          <w:p w14:paraId="5453C421" w14:textId="77777777" w:rsidR="00967A58" w:rsidRPr="00967A58" w:rsidRDefault="00967A58" w:rsidP="00967A58">
            <w:pPr>
              <w:jc w:val="center"/>
              <w:rPr>
                <w:color w:val="0070C0"/>
                <w:sz w:val="18"/>
                <w:szCs w:val="18"/>
                <w:lang w:val="en-ID"/>
              </w:rPr>
            </w:pPr>
            <w:r w:rsidRPr="00967A58">
              <w:rPr>
                <w:color w:val="0070C0"/>
                <w:sz w:val="18"/>
                <w:szCs w:val="18"/>
                <w:lang w:val="en-ID"/>
              </w:rPr>
              <w:t>45,60%</w:t>
            </w:r>
          </w:p>
        </w:tc>
        <w:tc>
          <w:tcPr>
            <w:tcW w:w="0" w:type="auto"/>
            <w:tcMar>
              <w:top w:w="100" w:type="dxa"/>
              <w:left w:w="100" w:type="dxa"/>
              <w:bottom w:w="100" w:type="dxa"/>
              <w:right w:w="100" w:type="dxa"/>
            </w:tcMar>
            <w:vAlign w:val="bottom"/>
            <w:hideMark/>
          </w:tcPr>
          <w:p w14:paraId="2C9803BA" w14:textId="77777777" w:rsidR="00967A58" w:rsidRPr="00967A58" w:rsidRDefault="00967A58" w:rsidP="00967A58">
            <w:pPr>
              <w:jc w:val="center"/>
              <w:rPr>
                <w:color w:val="0070C0"/>
                <w:sz w:val="18"/>
                <w:szCs w:val="18"/>
                <w:lang w:val="en-ID"/>
              </w:rPr>
            </w:pPr>
            <w:r w:rsidRPr="00967A58">
              <w:rPr>
                <w:color w:val="0070C0"/>
                <w:sz w:val="18"/>
                <w:szCs w:val="18"/>
                <w:lang w:val="en-ID"/>
              </w:rPr>
              <w:t>50,06%</w:t>
            </w:r>
          </w:p>
        </w:tc>
        <w:tc>
          <w:tcPr>
            <w:tcW w:w="0" w:type="auto"/>
            <w:tcMar>
              <w:top w:w="100" w:type="dxa"/>
              <w:left w:w="100" w:type="dxa"/>
              <w:bottom w:w="100" w:type="dxa"/>
              <w:right w:w="100" w:type="dxa"/>
            </w:tcMar>
            <w:vAlign w:val="bottom"/>
            <w:hideMark/>
          </w:tcPr>
          <w:p w14:paraId="5ED3B2F6" w14:textId="77777777" w:rsidR="00967A58" w:rsidRPr="00967A58" w:rsidRDefault="00967A58" w:rsidP="00967A58">
            <w:pPr>
              <w:jc w:val="center"/>
              <w:rPr>
                <w:color w:val="0070C0"/>
                <w:sz w:val="18"/>
                <w:szCs w:val="18"/>
                <w:lang w:val="en-ID"/>
              </w:rPr>
            </w:pPr>
            <w:r w:rsidRPr="00967A58">
              <w:rPr>
                <w:color w:val="0070C0"/>
                <w:sz w:val="18"/>
                <w:szCs w:val="18"/>
                <w:lang w:val="en-ID"/>
              </w:rPr>
              <w:t>51,79%</w:t>
            </w:r>
          </w:p>
        </w:tc>
        <w:tc>
          <w:tcPr>
            <w:tcW w:w="0" w:type="auto"/>
            <w:tcMar>
              <w:top w:w="100" w:type="dxa"/>
              <w:left w:w="100" w:type="dxa"/>
              <w:bottom w:w="100" w:type="dxa"/>
              <w:right w:w="100" w:type="dxa"/>
            </w:tcMar>
            <w:vAlign w:val="bottom"/>
            <w:hideMark/>
          </w:tcPr>
          <w:p w14:paraId="7A8570A3" w14:textId="77777777" w:rsidR="00967A58" w:rsidRPr="00967A58" w:rsidRDefault="00967A58" w:rsidP="00967A58">
            <w:pPr>
              <w:jc w:val="center"/>
              <w:rPr>
                <w:color w:val="0070C0"/>
                <w:sz w:val="18"/>
                <w:szCs w:val="18"/>
                <w:lang w:val="en-ID"/>
              </w:rPr>
            </w:pPr>
            <w:r w:rsidRPr="00967A58">
              <w:rPr>
                <w:color w:val="0070C0"/>
                <w:sz w:val="18"/>
                <w:szCs w:val="18"/>
                <w:lang w:val="en-ID"/>
              </w:rPr>
              <w:t>52,67%</w:t>
            </w:r>
          </w:p>
        </w:tc>
        <w:tc>
          <w:tcPr>
            <w:tcW w:w="0" w:type="auto"/>
            <w:tcMar>
              <w:top w:w="100" w:type="dxa"/>
              <w:left w:w="100" w:type="dxa"/>
              <w:bottom w:w="100" w:type="dxa"/>
              <w:right w:w="100" w:type="dxa"/>
            </w:tcMar>
            <w:vAlign w:val="bottom"/>
            <w:hideMark/>
          </w:tcPr>
          <w:p w14:paraId="6C3F2548" w14:textId="77777777" w:rsidR="00967A58" w:rsidRPr="00967A58" w:rsidRDefault="00967A58" w:rsidP="00967A58">
            <w:pPr>
              <w:jc w:val="center"/>
              <w:rPr>
                <w:color w:val="0070C0"/>
                <w:sz w:val="18"/>
                <w:szCs w:val="18"/>
                <w:lang w:val="en-ID"/>
              </w:rPr>
            </w:pPr>
            <w:r w:rsidRPr="00967A58">
              <w:rPr>
                <w:color w:val="0070C0"/>
                <w:sz w:val="18"/>
                <w:szCs w:val="18"/>
                <w:lang w:val="en-ID"/>
              </w:rPr>
              <w:t>54,94%</w:t>
            </w:r>
          </w:p>
        </w:tc>
        <w:tc>
          <w:tcPr>
            <w:tcW w:w="0" w:type="auto"/>
            <w:tcMar>
              <w:top w:w="100" w:type="dxa"/>
              <w:left w:w="100" w:type="dxa"/>
              <w:bottom w:w="100" w:type="dxa"/>
              <w:right w:w="100" w:type="dxa"/>
            </w:tcMar>
            <w:vAlign w:val="bottom"/>
            <w:hideMark/>
          </w:tcPr>
          <w:p w14:paraId="4D8635F7" w14:textId="77777777" w:rsidR="00967A58" w:rsidRPr="00967A58" w:rsidRDefault="00967A58" w:rsidP="00967A58">
            <w:pPr>
              <w:jc w:val="center"/>
              <w:rPr>
                <w:color w:val="0070C0"/>
                <w:sz w:val="18"/>
                <w:szCs w:val="18"/>
                <w:lang w:val="en-ID"/>
              </w:rPr>
            </w:pPr>
            <w:r w:rsidRPr="00967A58">
              <w:rPr>
                <w:color w:val="0070C0"/>
                <w:sz w:val="18"/>
                <w:szCs w:val="18"/>
                <w:lang w:val="en-ID"/>
              </w:rPr>
              <w:t>58,08%</w:t>
            </w:r>
          </w:p>
        </w:tc>
        <w:tc>
          <w:tcPr>
            <w:tcW w:w="0" w:type="auto"/>
            <w:tcMar>
              <w:top w:w="100" w:type="dxa"/>
              <w:left w:w="100" w:type="dxa"/>
              <w:bottom w:w="100" w:type="dxa"/>
              <w:right w:w="100" w:type="dxa"/>
            </w:tcMar>
            <w:vAlign w:val="bottom"/>
            <w:hideMark/>
          </w:tcPr>
          <w:p w14:paraId="30D1137B" w14:textId="77777777" w:rsidR="00967A58" w:rsidRPr="00967A58" w:rsidRDefault="00967A58" w:rsidP="00967A58">
            <w:pPr>
              <w:jc w:val="center"/>
              <w:rPr>
                <w:color w:val="0070C0"/>
                <w:sz w:val="18"/>
                <w:szCs w:val="18"/>
                <w:lang w:val="en-ID"/>
              </w:rPr>
            </w:pPr>
            <w:r w:rsidRPr="00967A58">
              <w:rPr>
                <w:color w:val="0070C0"/>
                <w:sz w:val="18"/>
                <w:szCs w:val="18"/>
                <w:lang w:val="en-ID"/>
              </w:rPr>
              <w:t>58,56%</w:t>
            </w:r>
          </w:p>
        </w:tc>
        <w:tc>
          <w:tcPr>
            <w:tcW w:w="0" w:type="auto"/>
            <w:tcMar>
              <w:top w:w="100" w:type="dxa"/>
              <w:left w:w="100" w:type="dxa"/>
              <w:bottom w:w="100" w:type="dxa"/>
              <w:right w:w="100" w:type="dxa"/>
            </w:tcMar>
            <w:vAlign w:val="bottom"/>
            <w:hideMark/>
          </w:tcPr>
          <w:p w14:paraId="5FE52BD9" w14:textId="77777777" w:rsidR="00967A58" w:rsidRPr="00967A58" w:rsidRDefault="00967A58" w:rsidP="00967A58">
            <w:pPr>
              <w:jc w:val="center"/>
              <w:rPr>
                <w:color w:val="0070C0"/>
                <w:sz w:val="18"/>
                <w:szCs w:val="18"/>
                <w:lang w:val="en-ID"/>
              </w:rPr>
            </w:pPr>
            <w:r w:rsidRPr="00967A58">
              <w:rPr>
                <w:color w:val="0070C0"/>
                <w:sz w:val="18"/>
                <w:szCs w:val="18"/>
                <w:lang w:val="en-ID"/>
              </w:rPr>
              <w:t>60,71%</w:t>
            </w:r>
          </w:p>
        </w:tc>
      </w:tr>
      <w:tr w:rsidR="00967A58" w:rsidRPr="00967A58" w14:paraId="33EC732C" w14:textId="77777777" w:rsidTr="007A0C08">
        <w:trPr>
          <w:trHeight w:val="240"/>
          <w:jc w:val="center"/>
        </w:trPr>
        <w:tc>
          <w:tcPr>
            <w:tcW w:w="699" w:type="dxa"/>
            <w:tcMar>
              <w:top w:w="100" w:type="dxa"/>
              <w:left w:w="100" w:type="dxa"/>
              <w:bottom w:w="100" w:type="dxa"/>
              <w:right w:w="100" w:type="dxa"/>
            </w:tcMar>
            <w:vAlign w:val="bottom"/>
            <w:hideMark/>
          </w:tcPr>
          <w:p w14:paraId="4C5C8671" w14:textId="77777777" w:rsidR="00967A58" w:rsidRPr="00967A58" w:rsidRDefault="00967A58" w:rsidP="00967A58">
            <w:pPr>
              <w:jc w:val="center"/>
              <w:rPr>
                <w:color w:val="0070C0"/>
                <w:sz w:val="18"/>
                <w:szCs w:val="18"/>
                <w:lang w:val="en-ID"/>
              </w:rPr>
            </w:pPr>
            <w:r w:rsidRPr="00967A58">
              <w:rPr>
                <w:color w:val="0070C0"/>
                <w:sz w:val="18"/>
                <w:szCs w:val="18"/>
                <w:lang w:val="en-ID"/>
              </w:rPr>
              <w:t>6</w:t>
            </w:r>
          </w:p>
        </w:tc>
        <w:tc>
          <w:tcPr>
            <w:tcW w:w="546" w:type="dxa"/>
            <w:tcMar>
              <w:top w:w="100" w:type="dxa"/>
              <w:left w:w="100" w:type="dxa"/>
              <w:bottom w:w="100" w:type="dxa"/>
              <w:right w:w="100" w:type="dxa"/>
            </w:tcMar>
            <w:vAlign w:val="bottom"/>
            <w:hideMark/>
          </w:tcPr>
          <w:p w14:paraId="149E7F49" w14:textId="77777777" w:rsidR="00967A58" w:rsidRPr="00967A58" w:rsidRDefault="00967A58" w:rsidP="00967A58">
            <w:pPr>
              <w:jc w:val="center"/>
              <w:rPr>
                <w:color w:val="0070C0"/>
                <w:sz w:val="18"/>
                <w:szCs w:val="18"/>
                <w:lang w:val="en-ID"/>
              </w:rPr>
            </w:pPr>
            <w:r w:rsidRPr="00967A58">
              <w:rPr>
                <w:color w:val="0070C0"/>
                <w:sz w:val="18"/>
                <w:szCs w:val="18"/>
                <w:lang w:val="en-ID"/>
              </w:rPr>
              <w:t>49,87%</w:t>
            </w:r>
          </w:p>
        </w:tc>
        <w:tc>
          <w:tcPr>
            <w:tcW w:w="0" w:type="auto"/>
            <w:tcMar>
              <w:top w:w="100" w:type="dxa"/>
              <w:left w:w="100" w:type="dxa"/>
              <w:bottom w:w="100" w:type="dxa"/>
              <w:right w:w="100" w:type="dxa"/>
            </w:tcMar>
            <w:vAlign w:val="bottom"/>
            <w:hideMark/>
          </w:tcPr>
          <w:p w14:paraId="1F85CC05" w14:textId="77777777" w:rsidR="00967A58" w:rsidRPr="00967A58" w:rsidRDefault="00967A58" w:rsidP="00967A58">
            <w:pPr>
              <w:jc w:val="center"/>
              <w:rPr>
                <w:color w:val="0070C0"/>
                <w:sz w:val="18"/>
                <w:szCs w:val="18"/>
                <w:lang w:val="en-ID"/>
              </w:rPr>
            </w:pPr>
            <w:r w:rsidRPr="00967A58">
              <w:rPr>
                <w:color w:val="0070C0"/>
                <w:sz w:val="18"/>
                <w:szCs w:val="18"/>
                <w:lang w:val="en-ID"/>
              </w:rPr>
              <w:t>52,66%</w:t>
            </w:r>
          </w:p>
        </w:tc>
        <w:tc>
          <w:tcPr>
            <w:tcW w:w="0" w:type="auto"/>
            <w:tcMar>
              <w:top w:w="100" w:type="dxa"/>
              <w:left w:w="100" w:type="dxa"/>
              <w:bottom w:w="100" w:type="dxa"/>
              <w:right w:w="100" w:type="dxa"/>
            </w:tcMar>
            <w:vAlign w:val="bottom"/>
            <w:hideMark/>
          </w:tcPr>
          <w:p w14:paraId="6AF08DA4" w14:textId="77777777" w:rsidR="00967A58" w:rsidRPr="00967A58" w:rsidRDefault="00967A58" w:rsidP="00967A58">
            <w:pPr>
              <w:jc w:val="center"/>
              <w:rPr>
                <w:color w:val="0070C0"/>
                <w:sz w:val="18"/>
                <w:szCs w:val="18"/>
                <w:lang w:val="en-ID"/>
              </w:rPr>
            </w:pPr>
            <w:r w:rsidRPr="00967A58">
              <w:rPr>
                <w:color w:val="0070C0"/>
                <w:sz w:val="18"/>
                <w:szCs w:val="18"/>
                <w:lang w:val="en-ID"/>
              </w:rPr>
              <w:t>55,01%</w:t>
            </w:r>
          </w:p>
        </w:tc>
        <w:tc>
          <w:tcPr>
            <w:tcW w:w="0" w:type="auto"/>
            <w:tcMar>
              <w:top w:w="100" w:type="dxa"/>
              <w:left w:w="100" w:type="dxa"/>
              <w:bottom w:w="100" w:type="dxa"/>
              <w:right w:w="100" w:type="dxa"/>
            </w:tcMar>
            <w:vAlign w:val="bottom"/>
            <w:hideMark/>
          </w:tcPr>
          <w:p w14:paraId="2976C4C4" w14:textId="77777777" w:rsidR="00967A58" w:rsidRPr="00967A58" w:rsidRDefault="00967A58" w:rsidP="00967A58">
            <w:pPr>
              <w:jc w:val="center"/>
              <w:rPr>
                <w:color w:val="0070C0"/>
                <w:sz w:val="18"/>
                <w:szCs w:val="18"/>
                <w:lang w:val="en-ID"/>
              </w:rPr>
            </w:pPr>
            <w:r w:rsidRPr="00967A58">
              <w:rPr>
                <w:color w:val="0070C0"/>
                <w:sz w:val="18"/>
                <w:szCs w:val="18"/>
                <w:lang w:val="en-ID"/>
              </w:rPr>
              <w:t>55,74%</w:t>
            </w:r>
          </w:p>
        </w:tc>
        <w:tc>
          <w:tcPr>
            <w:tcW w:w="0" w:type="auto"/>
            <w:tcMar>
              <w:top w:w="100" w:type="dxa"/>
              <w:left w:w="100" w:type="dxa"/>
              <w:bottom w:w="100" w:type="dxa"/>
              <w:right w:w="100" w:type="dxa"/>
            </w:tcMar>
            <w:vAlign w:val="bottom"/>
            <w:hideMark/>
          </w:tcPr>
          <w:p w14:paraId="4C67542A" w14:textId="77777777" w:rsidR="00967A58" w:rsidRPr="00967A58" w:rsidRDefault="00967A58" w:rsidP="00967A58">
            <w:pPr>
              <w:jc w:val="center"/>
              <w:rPr>
                <w:color w:val="0070C0"/>
                <w:sz w:val="18"/>
                <w:szCs w:val="18"/>
                <w:lang w:val="en-ID"/>
              </w:rPr>
            </w:pPr>
            <w:r w:rsidRPr="00967A58">
              <w:rPr>
                <w:color w:val="0070C0"/>
                <w:sz w:val="18"/>
                <w:szCs w:val="18"/>
                <w:lang w:val="en-ID"/>
              </w:rPr>
              <w:t>58,14%</w:t>
            </w:r>
          </w:p>
        </w:tc>
        <w:tc>
          <w:tcPr>
            <w:tcW w:w="0" w:type="auto"/>
            <w:tcMar>
              <w:top w:w="100" w:type="dxa"/>
              <w:left w:w="100" w:type="dxa"/>
              <w:bottom w:w="100" w:type="dxa"/>
              <w:right w:w="100" w:type="dxa"/>
            </w:tcMar>
            <w:vAlign w:val="bottom"/>
            <w:hideMark/>
          </w:tcPr>
          <w:p w14:paraId="3314BB9B" w14:textId="77777777" w:rsidR="00967A58" w:rsidRPr="00967A58" w:rsidRDefault="00967A58" w:rsidP="00967A58">
            <w:pPr>
              <w:jc w:val="center"/>
              <w:rPr>
                <w:color w:val="0070C0"/>
                <w:sz w:val="18"/>
                <w:szCs w:val="18"/>
                <w:lang w:val="en-ID"/>
              </w:rPr>
            </w:pPr>
            <w:r w:rsidRPr="00967A58">
              <w:rPr>
                <w:color w:val="0070C0"/>
                <w:sz w:val="18"/>
                <w:szCs w:val="18"/>
                <w:lang w:val="en-ID"/>
              </w:rPr>
              <w:t>60,57%</w:t>
            </w:r>
          </w:p>
        </w:tc>
        <w:tc>
          <w:tcPr>
            <w:tcW w:w="0" w:type="auto"/>
            <w:tcMar>
              <w:top w:w="100" w:type="dxa"/>
              <w:left w:w="100" w:type="dxa"/>
              <w:bottom w:w="100" w:type="dxa"/>
              <w:right w:w="100" w:type="dxa"/>
            </w:tcMar>
            <w:vAlign w:val="bottom"/>
            <w:hideMark/>
          </w:tcPr>
          <w:p w14:paraId="3D6DF5D0" w14:textId="77777777" w:rsidR="00967A58" w:rsidRPr="00967A58" w:rsidRDefault="00967A58" w:rsidP="00967A58">
            <w:pPr>
              <w:jc w:val="center"/>
              <w:rPr>
                <w:color w:val="0070C0"/>
                <w:sz w:val="18"/>
                <w:szCs w:val="18"/>
                <w:lang w:val="en-ID"/>
              </w:rPr>
            </w:pPr>
            <w:r w:rsidRPr="00967A58">
              <w:rPr>
                <w:color w:val="0070C0"/>
                <w:sz w:val="18"/>
                <w:szCs w:val="18"/>
                <w:lang w:val="en-ID"/>
              </w:rPr>
              <w:t>61,01%</w:t>
            </w:r>
          </w:p>
        </w:tc>
        <w:tc>
          <w:tcPr>
            <w:tcW w:w="0" w:type="auto"/>
            <w:tcMar>
              <w:top w:w="100" w:type="dxa"/>
              <w:left w:w="100" w:type="dxa"/>
              <w:bottom w:w="100" w:type="dxa"/>
              <w:right w:w="100" w:type="dxa"/>
            </w:tcMar>
            <w:vAlign w:val="bottom"/>
            <w:hideMark/>
          </w:tcPr>
          <w:p w14:paraId="3E7BF17F" w14:textId="77777777" w:rsidR="00967A58" w:rsidRPr="00967A58" w:rsidRDefault="00967A58" w:rsidP="00967A58">
            <w:pPr>
              <w:jc w:val="center"/>
              <w:rPr>
                <w:color w:val="0070C0"/>
                <w:sz w:val="18"/>
                <w:szCs w:val="18"/>
                <w:lang w:val="en-ID"/>
              </w:rPr>
            </w:pPr>
            <w:r w:rsidRPr="00967A58">
              <w:rPr>
                <w:color w:val="0070C0"/>
                <w:sz w:val="18"/>
                <w:szCs w:val="18"/>
                <w:lang w:val="en-ID"/>
              </w:rPr>
              <w:t>62,44%</w:t>
            </w:r>
          </w:p>
        </w:tc>
      </w:tr>
      <w:tr w:rsidR="00967A58" w:rsidRPr="00967A58" w14:paraId="0C05D8A1" w14:textId="77777777" w:rsidTr="007A0C08">
        <w:trPr>
          <w:trHeight w:val="240"/>
          <w:jc w:val="center"/>
        </w:trPr>
        <w:tc>
          <w:tcPr>
            <w:tcW w:w="699" w:type="dxa"/>
            <w:tcMar>
              <w:top w:w="100" w:type="dxa"/>
              <w:left w:w="100" w:type="dxa"/>
              <w:bottom w:w="100" w:type="dxa"/>
              <w:right w:w="100" w:type="dxa"/>
            </w:tcMar>
            <w:vAlign w:val="bottom"/>
            <w:hideMark/>
          </w:tcPr>
          <w:p w14:paraId="110B3741" w14:textId="77777777" w:rsidR="00967A58" w:rsidRPr="00967A58" w:rsidRDefault="00967A58" w:rsidP="00967A58">
            <w:pPr>
              <w:jc w:val="center"/>
              <w:rPr>
                <w:color w:val="0070C0"/>
                <w:sz w:val="18"/>
                <w:szCs w:val="18"/>
                <w:lang w:val="en-ID"/>
              </w:rPr>
            </w:pPr>
            <w:r w:rsidRPr="00967A58">
              <w:rPr>
                <w:color w:val="0070C0"/>
                <w:sz w:val="18"/>
                <w:szCs w:val="18"/>
                <w:lang w:val="en-ID"/>
              </w:rPr>
              <w:t>7</w:t>
            </w:r>
          </w:p>
        </w:tc>
        <w:tc>
          <w:tcPr>
            <w:tcW w:w="546" w:type="dxa"/>
            <w:tcMar>
              <w:top w:w="100" w:type="dxa"/>
              <w:left w:w="100" w:type="dxa"/>
              <w:bottom w:w="100" w:type="dxa"/>
              <w:right w:w="100" w:type="dxa"/>
            </w:tcMar>
            <w:vAlign w:val="bottom"/>
            <w:hideMark/>
          </w:tcPr>
          <w:p w14:paraId="76536B09" w14:textId="77777777" w:rsidR="00967A58" w:rsidRPr="00967A58" w:rsidRDefault="00967A58" w:rsidP="00967A58">
            <w:pPr>
              <w:jc w:val="center"/>
              <w:rPr>
                <w:color w:val="0070C0"/>
                <w:sz w:val="18"/>
                <w:szCs w:val="18"/>
                <w:lang w:val="en-ID"/>
              </w:rPr>
            </w:pPr>
            <w:r w:rsidRPr="00967A58">
              <w:rPr>
                <w:color w:val="0070C0"/>
                <w:sz w:val="18"/>
                <w:szCs w:val="18"/>
                <w:lang w:val="en-ID"/>
              </w:rPr>
              <w:t>54,02%</w:t>
            </w:r>
          </w:p>
        </w:tc>
        <w:tc>
          <w:tcPr>
            <w:tcW w:w="0" w:type="auto"/>
            <w:tcMar>
              <w:top w:w="100" w:type="dxa"/>
              <w:left w:w="100" w:type="dxa"/>
              <w:bottom w:w="100" w:type="dxa"/>
              <w:right w:w="100" w:type="dxa"/>
            </w:tcMar>
            <w:vAlign w:val="bottom"/>
            <w:hideMark/>
          </w:tcPr>
          <w:p w14:paraId="793E41D6" w14:textId="77777777" w:rsidR="00967A58" w:rsidRPr="00967A58" w:rsidRDefault="00967A58" w:rsidP="00967A58">
            <w:pPr>
              <w:jc w:val="center"/>
              <w:rPr>
                <w:color w:val="0070C0"/>
                <w:sz w:val="18"/>
                <w:szCs w:val="18"/>
                <w:lang w:val="en-ID"/>
              </w:rPr>
            </w:pPr>
            <w:r w:rsidRPr="00967A58">
              <w:rPr>
                <w:color w:val="0070C0"/>
                <w:sz w:val="18"/>
                <w:szCs w:val="18"/>
                <w:lang w:val="en-ID"/>
              </w:rPr>
              <w:t>59,40%</w:t>
            </w:r>
          </w:p>
        </w:tc>
        <w:tc>
          <w:tcPr>
            <w:tcW w:w="0" w:type="auto"/>
            <w:tcMar>
              <w:top w:w="100" w:type="dxa"/>
              <w:left w:w="100" w:type="dxa"/>
              <w:bottom w:w="100" w:type="dxa"/>
              <w:right w:w="100" w:type="dxa"/>
            </w:tcMar>
            <w:vAlign w:val="bottom"/>
            <w:hideMark/>
          </w:tcPr>
          <w:p w14:paraId="64709B76" w14:textId="77777777" w:rsidR="00967A58" w:rsidRPr="00967A58" w:rsidRDefault="00967A58" w:rsidP="00967A58">
            <w:pPr>
              <w:jc w:val="center"/>
              <w:rPr>
                <w:color w:val="0070C0"/>
                <w:sz w:val="18"/>
                <w:szCs w:val="18"/>
                <w:lang w:val="en-ID"/>
              </w:rPr>
            </w:pPr>
            <w:r w:rsidRPr="00967A58">
              <w:rPr>
                <w:color w:val="0070C0"/>
                <w:sz w:val="18"/>
                <w:szCs w:val="18"/>
                <w:lang w:val="en-ID"/>
              </w:rPr>
              <w:t>58,69%</w:t>
            </w:r>
          </w:p>
        </w:tc>
        <w:tc>
          <w:tcPr>
            <w:tcW w:w="0" w:type="auto"/>
            <w:tcMar>
              <w:top w:w="100" w:type="dxa"/>
              <w:left w:w="100" w:type="dxa"/>
              <w:bottom w:w="100" w:type="dxa"/>
              <w:right w:w="100" w:type="dxa"/>
            </w:tcMar>
            <w:vAlign w:val="bottom"/>
            <w:hideMark/>
          </w:tcPr>
          <w:p w14:paraId="4F08ED49" w14:textId="77777777" w:rsidR="00967A58" w:rsidRPr="00967A58" w:rsidRDefault="00967A58" w:rsidP="00967A58">
            <w:pPr>
              <w:jc w:val="center"/>
              <w:rPr>
                <w:color w:val="0070C0"/>
                <w:sz w:val="18"/>
                <w:szCs w:val="18"/>
                <w:lang w:val="en-ID"/>
              </w:rPr>
            </w:pPr>
            <w:r w:rsidRPr="00967A58">
              <w:rPr>
                <w:color w:val="0070C0"/>
                <w:sz w:val="18"/>
                <w:szCs w:val="18"/>
                <w:lang w:val="en-ID"/>
              </w:rPr>
              <w:t>58,90%</w:t>
            </w:r>
          </w:p>
        </w:tc>
        <w:tc>
          <w:tcPr>
            <w:tcW w:w="0" w:type="auto"/>
            <w:tcMar>
              <w:top w:w="100" w:type="dxa"/>
              <w:left w:w="100" w:type="dxa"/>
              <w:bottom w:w="100" w:type="dxa"/>
              <w:right w:w="100" w:type="dxa"/>
            </w:tcMar>
            <w:vAlign w:val="bottom"/>
            <w:hideMark/>
          </w:tcPr>
          <w:p w14:paraId="2483E72F" w14:textId="77777777" w:rsidR="00967A58" w:rsidRPr="00967A58" w:rsidRDefault="00967A58" w:rsidP="00967A58">
            <w:pPr>
              <w:jc w:val="center"/>
              <w:rPr>
                <w:color w:val="0070C0"/>
                <w:sz w:val="18"/>
                <w:szCs w:val="18"/>
                <w:lang w:val="en-ID"/>
              </w:rPr>
            </w:pPr>
            <w:r w:rsidRPr="00967A58">
              <w:rPr>
                <w:color w:val="0070C0"/>
                <w:sz w:val="18"/>
                <w:szCs w:val="18"/>
                <w:lang w:val="en-ID"/>
              </w:rPr>
              <w:t>61,41%</w:t>
            </w:r>
          </w:p>
        </w:tc>
        <w:tc>
          <w:tcPr>
            <w:tcW w:w="0" w:type="auto"/>
            <w:tcMar>
              <w:top w:w="100" w:type="dxa"/>
              <w:left w:w="100" w:type="dxa"/>
              <w:bottom w:w="100" w:type="dxa"/>
              <w:right w:w="100" w:type="dxa"/>
            </w:tcMar>
            <w:vAlign w:val="bottom"/>
            <w:hideMark/>
          </w:tcPr>
          <w:p w14:paraId="7348AB7F" w14:textId="77777777" w:rsidR="00967A58" w:rsidRPr="00967A58" w:rsidRDefault="00967A58" w:rsidP="00967A58">
            <w:pPr>
              <w:jc w:val="center"/>
              <w:rPr>
                <w:color w:val="0070C0"/>
                <w:sz w:val="18"/>
                <w:szCs w:val="18"/>
                <w:lang w:val="en-ID"/>
              </w:rPr>
            </w:pPr>
            <w:r w:rsidRPr="00967A58">
              <w:rPr>
                <w:color w:val="0070C0"/>
                <w:sz w:val="18"/>
                <w:szCs w:val="18"/>
                <w:lang w:val="en-ID"/>
              </w:rPr>
              <w:t>64,54%</w:t>
            </w:r>
          </w:p>
        </w:tc>
        <w:tc>
          <w:tcPr>
            <w:tcW w:w="0" w:type="auto"/>
            <w:tcMar>
              <w:top w:w="100" w:type="dxa"/>
              <w:left w:w="100" w:type="dxa"/>
              <w:bottom w:w="100" w:type="dxa"/>
              <w:right w:w="100" w:type="dxa"/>
            </w:tcMar>
            <w:vAlign w:val="bottom"/>
            <w:hideMark/>
          </w:tcPr>
          <w:p w14:paraId="45E81488" w14:textId="77777777" w:rsidR="00967A58" w:rsidRPr="00967A58" w:rsidRDefault="00967A58" w:rsidP="00967A58">
            <w:pPr>
              <w:jc w:val="center"/>
              <w:rPr>
                <w:color w:val="0070C0"/>
                <w:sz w:val="18"/>
                <w:szCs w:val="18"/>
                <w:lang w:val="en-ID"/>
              </w:rPr>
            </w:pPr>
            <w:r w:rsidRPr="00967A58">
              <w:rPr>
                <w:color w:val="0070C0"/>
                <w:sz w:val="18"/>
                <w:szCs w:val="18"/>
                <w:lang w:val="en-ID"/>
              </w:rPr>
              <w:t>63,66%</w:t>
            </w:r>
          </w:p>
        </w:tc>
        <w:tc>
          <w:tcPr>
            <w:tcW w:w="0" w:type="auto"/>
            <w:tcMar>
              <w:top w:w="100" w:type="dxa"/>
              <w:left w:w="100" w:type="dxa"/>
              <w:bottom w:w="100" w:type="dxa"/>
              <w:right w:w="100" w:type="dxa"/>
            </w:tcMar>
            <w:vAlign w:val="bottom"/>
            <w:hideMark/>
          </w:tcPr>
          <w:p w14:paraId="736886BC" w14:textId="77777777" w:rsidR="00967A58" w:rsidRPr="00967A58" w:rsidRDefault="00967A58" w:rsidP="00967A58">
            <w:pPr>
              <w:jc w:val="center"/>
              <w:rPr>
                <w:color w:val="0070C0"/>
                <w:sz w:val="18"/>
                <w:szCs w:val="18"/>
                <w:lang w:val="en-ID"/>
              </w:rPr>
            </w:pPr>
            <w:r w:rsidRPr="00967A58">
              <w:rPr>
                <w:color w:val="0070C0"/>
                <w:sz w:val="18"/>
                <w:szCs w:val="18"/>
                <w:lang w:val="en-ID"/>
              </w:rPr>
              <w:t>64,10%</w:t>
            </w:r>
          </w:p>
        </w:tc>
      </w:tr>
      <w:tr w:rsidR="00967A58" w:rsidRPr="00967A58" w14:paraId="09255123" w14:textId="77777777" w:rsidTr="007A0C08">
        <w:trPr>
          <w:trHeight w:val="240"/>
          <w:jc w:val="center"/>
        </w:trPr>
        <w:tc>
          <w:tcPr>
            <w:tcW w:w="699" w:type="dxa"/>
            <w:tcMar>
              <w:top w:w="100" w:type="dxa"/>
              <w:left w:w="100" w:type="dxa"/>
              <w:bottom w:w="100" w:type="dxa"/>
              <w:right w:w="100" w:type="dxa"/>
            </w:tcMar>
            <w:vAlign w:val="bottom"/>
            <w:hideMark/>
          </w:tcPr>
          <w:p w14:paraId="5754558E" w14:textId="77777777" w:rsidR="00967A58" w:rsidRPr="00967A58" w:rsidRDefault="00967A58" w:rsidP="00967A58">
            <w:pPr>
              <w:jc w:val="center"/>
              <w:rPr>
                <w:color w:val="0070C0"/>
                <w:sz w:val="18"/>
                <w:szCs w:val="18"/>
                <w:lang w:val="en-ID"/>
              </w:rPr>
            </w:pPr>
            <w:r w:rsidRPr="00967A58">
              <w:rPr>
                <w:color w:val="0070C0"/>
                <w:sz w:val="18"/>
                <w:szCs w:val="18"/>
                <w:lang w:val="en-ID"/>
              </w:rPr>
              <w:t>8</w:t>
            </w:r>
          </w:p>
        </w:tc>
        <w:tc>
          <w:tcPr>
            <w:tcW w:w="546" w:type="dxa"/>
            <w:tcMar>
              <w:top w:w="100" w:type="dxa"/>
              <w:left w:w="100" w:type="dxa"/>
              <w:bottom w:w="100" w:type="dxa"/>
              <w:right w:w="100" w:type="dxa"/>
            </w:tcMar>
            <w:vAlign w:val="bottom"/>
            <w:hideMark/>
          </w:tcPr>
          <w:p w14:paraId="596303D9" w14:textId="77777777" w:rsidR="00967A58" w:rsidRPr="00967A58" w:rsidRDefault="00967A58" w:rsidP="00967A58">
            <w:pPr>
              <w:jc w:val="center"/>
              <w:rPr>
                <w:color w:val="0070C0"/>
                <w:sz w:val="18"/>
                <w:szCs w:val="18"/>
                <w:lang w:val="en-ID"/>
              </w:rPr>
            </w:pPr>
            <w:r w:rsidRPr="00967A58">
              <w:rPr>
                <w:color w:val="0070C0"/>
                <w:sz w:val="18"/>
                <w:szCs w:val="18"/>
                <w:lang w:val="en-ID"/>
              </w:rPr>
              <w:t>56,97%</w:t>
            </w:r>
          </w:p>
        </w:tc>
        <w:tc>
          <w:tcPr>
            <w:tcW w:w="0" w:type="auto"/>
            <w:tcMar>
              <w:top w:w="100" w:type="dxa"/>
              <w:left w:w="100" w:type="dxa"/>
              <w:bottom w:w="100" w:type="dxa"/>
              <w:right w:w="100" w:type="dxa"/>
            </w:tcMar>
            <w:vAlign w:val="bottom"/>
            <w:hideMark/>
          </w:tcPr>
          <w:p w14:paraId="46977ED0" w14:textId="77777777" w:rsidR="00967A58" w:rsidRPr="00967A58" w:rsidRDefault="00967A58" w:rsidP="00967A58">
            <w:pPr>
              <w:jc w:val="center"/>
              <w:rPr>
                <w:color w:val="0070C0"/>
                <w:sz w:val="18"/>
                <w:szCs w:val="18"/>
                <w:lang w:val="en-ID"/>
              </w:rPr>
            </w:pPr>
            <w:r w:rsidRPr="00967A58">
              <w:rPr>
                <w:color w:val="0070C0"/>
                <w:sz w:val="18"/>
                <w:szCs w:val="18"/>
                <w:lang w:val="en-ID"/>
              </w:rPr>
              <w:t>61,75%</w:t>
            </w:r>
          </w:p>
        </w:tc>
        <w:tc>
          <w:tcPr>
            <w:tcW w:w="0" w:type="auto"/>
            <w:tcMar>
              <w:top w:w="100" w:type="dxa"/>
              <w:left w:w="100" w:type="dxa"/>
              <w:bottom w:w="100" w:type="dxa"/>
              <w:right w:w="100" w:type="dxa"/>
            </w:tcMar>
            <w:vAlign w:val="bottom"/>
            <w:hideMark/>
          </w:tcPr>
          <w:p w14:paraId="3CE8C961" w14:textId="77777777" w:rsidR="00967A58" w:rsidRPr="00967A58" w:rsidRDefault="00967A58" w:rsidP="00967A58">
            <w:pPr>
              <w:jc w:val="center"/>
              <w:rPr>
                <w:color w:val="0070C0"/>
                <w:sz w:val="18"/>
                <w:szCs w:val="18"/>
                <w:lang w:val="en-ID"/>
              </w:rPr>
            </w:pPr>
            <w:r w:rsidRPr="00967A58">
              <w:rPr>
                <w:color w:val="0070C0"/>
                <w:sz w:val="18"/>
                <w:szCs w:val="18"/>
                <w:lang w:val="en-ID"/>
              </w:rPr>
              <w:t>62,72%</w:t>
            </w:r>
          </w:p>
        </w:tc>
        <w:tc>
          <w:tcPr>
            <w:tcW w:w="0" w:type="auto"/>
            <w:tcMar>
              <w:top w:w="100" w:type="dxa"/>
              <w:left w:w="100" w:type="dxa"/>
              <w:bottom w:w="100" w:type="dxa"/>
              <w:right w:w="100" w:type="dxa"/>
            </w:tcMar>
            <w:vAlign w:val="bottom"/>
            <w:hideMark/>
          </w:tcPr>
          <w:p w14:paraId="49826395" w14:textId="77777777" w:rsidR="00967A58" w:rsidRPr="00967A58" w:rsidRDefault="00967A58" w:rsidP="00967A58">
            <w:pPr>
              <w:jc w:val="center"/>
              <w:rPr>
                <w:color w:val="0070C0"/>
                <w:sz w:val="18"/>
                <w:szCs w:val="18"/>
                <w:lang w:val="en-ID"/>
              </w:rPr>
            </w:pPr>
            <w:r w:rsidRPr="00967A58">
              <w:rPr>
                <w:color w:val="0070C0"/>
                <w:sz w:val="18"/>
                <w:szCs w:val="18"/>
                <w:lang w:val="en-ID"/>
              </w:rPr>
              <w:t>63,17%</w:t>
            </w:r>
          </w:p>
        </w:tc>
        <w:tc>
          <w:tcPr>
            <w:tcW w:w="0" w:type="auto"/>
            <w:tcMar>
              <w:top w:w="100" w:type="dxa"/>
              <w:left w:w="100" w:type="dxa"/>
              <w:bottom w:w="100" w:type="dxa"/>
              <w:right w:w="100" w:type="dxa"/>
            </w:tcMar>
            <w:vAlign w:val="bottom"/>
            <w:hideMark/>
          </w:tcPr>
          <w:p w14:paraId="2A3320B3" w14:textId="77777777" w:rsidR="00967A58" w:rsidRPr="00967A58" w:rsidRDefault="00967A58" w:rsidP="00967A58">
            <w:pPr>
              <w:jc w:val="center"/>
              <w:rPr>
                <w:color w:val="0070C0"/>
                <w:sz w:val="18"/>
                <w:szCs w:val="18"/>
                <w:lang w:val="en-ID"/>
              </w:rPr>
            </w:pPr>
            <w:r w:rsidRPr="00967A58">
              <w:rPr>
                <w:color w:val="0070C0"/>
                <w:sz w:val="18"/>
                <w:szCs w:val="18"/>
                <w:lang w:val="en-ID"/>
              </w:rPr>
              <w:t>65,29%</w:t>
            </w:r>
          </w:p>
        </w:tc>
        <w:tc>
          <w:tcPr>
            <w:tcW w:w="0" w:type="auto"/>
            <w:tcMar>
              <w:top w:w="100" w:type="dxa"/>
              <w:left w:w="100" w:type="dxa"/>
              <w:bottom w:w="100" w:type="dxa"/>
              <w:right w:w="100" w:type="dxa"/>
            </w:tcMar>
            <w:vAlign w:val="bottom"/>
            <w:hideMark/>
          </w:tcPr>
          <w:p w14:paraId="067A3724" w14:textId="77777777" w:rsidR="00967A58" w:rsidRPr="00967A58" w:rsidRDefault="00967A58" w:rsidP="00967A58">
            <w:pPr>
              <w:jc w:val="center"/>
              <w:rPr>
                <w:color w:val="0070C0"/>
                <w:sz w:val="18"/>
                <w:szCs w:val="18"/>
                <w:lang w:val="en-ID"/>
              </w:rPr>
            </w:pPr>
            <w:r w:rsidRPr="00967A58">
              <w:rPr>
                <w:color w:val="0070C0"/>
                <w:sz w:val="18"/>
                <w:szCs w:val="18"/>
                <w:lang w:val="en-ID"/>
              </w:rPr>
              <w:t>66,74%</w:t>
            </w:r>
          </w:p>
        </w:tc>
        <w:tc>
          <w:tcPr>
            <w:tcW w:w="0" w:type="auto"/>
            <w:tcMar>
              <w:top w:w="100" w:type="dxa"/>
              <w:left w:w="100" w:type="dxa"/>
              <w:bottom w:w="100" w:type="dxa"/>
              <w:right w:w="100" w:type="dxa"/>
            </w:tcMar>
            <w:vAlign w:val="bottom"/>
            <w:hideMark/>
          </w:tcPr>
          <w:p w14:paraId="19A217D4" w14:textId="77777777" w:rsidR="00967A58" w:rsidRPr="00967A58" w:rsidRDefault="00967A58" w:rsidP="00967A58">
            <w:pPr>
              <w:jc w:val="center"/>
              <w:rPr>
                <w:color w:val="0070C0"/>
                <w:sz w:val="18"/>
                <w:szCs w:val="18"/>
                <w:lang w:val="en-ID"/>
              </w:rPr>
            </w:pPr>
            <w:r w:rsidRPr="00967A58">
              <w:rPr>
                <w:color w:val="0070C0"/>
                <w:sz w:val="18"/>
                <w:szCs w:val="18"/>
                <w:lang w:val="en-ID"/>
              </w:rPr>
              <w:t>66,18%</w:t>
            </w:r>
          </w:p>
        </w:tc>
        <w:tc>
          <w:tcPr>
            <w:tcW w:w="0" w:type="auto"/>
            <w:tcMar>
              <w:top w:w="100" w:type="dxa"/>
              <w:left w:w="100" w:type="dxa"/>
              <w:bottom w:w="100" w:type="dxa"/>
              <w:right w:w="100" w:type="dxa"/>
            </w:tcMar>
            <w:vAlign w:val="bottom"/>
            <w:hideMark/>
          </w:tcPr>
          <w:p w14:paraId="7A78D8E2" w14:textId="77777777" w:rsidR="00967A58" w:rsidRPr="00967A58" w:rsidRDefault="00967A58" w:rsidP="00967A58">
            <w:pPr>
              <w:jc w:val="center"/>
              <w:rPr>
                <w:color w:val="0070C0"/>
                <w:sz w:val="18"/>
                <w:szCs w:val="18"/>
                <w:lang w:val="en-ID"/>
              </w:rPr>
            </w:pPr>
            <w:r w:rsidRPr="00967A58">
              <w:rPr>
                <w:color w:val="0070C0"/>
                <w:sz w:val="18"/>
                <w:szCs w:val="18"/>
                <w:lang w:val="en-ID"/>
              </w:rPr>
              <w:t>65,57%</w:t>
            </w:r>
          </w:p>
        </w:tc>
      </w:tr>
      <w:tr w:rsidR="00967A58" w:rsidRPr="00967A58" w14:paraId="6BFC3603" w14:textId="77777777" w:rsidTr="007A0C08">
        <w:trPr>
          <w:trHeight w:val="240"/>
          <w:jc w:val="center"/>
        </w:trPr>
        <w:tc>
          <w:tcPr>
            <w:tcW w:w="699" w:type="dxa"/>
            <w:tcMar>
              <w:top w:w="100" w:type="dxa"/>
              <w:left w:w="100" w:type="dxa"/>
              <w:bottom w:w="100" w:type="dxa"/>
              <w:right w:w="100" w:type="dxa"/>
            </w:tcMar>
            <w:vAlign w:val="bottom"/>
            <w:hideMark/>
          </w:tcPr>
          <w:p w14:paraId="77A66914" w14:textId="77777777" w:rsidR="00967A58" w:rsidRPr="00967A58" w:rsidRDefault="00967A58" w:rsidP="00967A58">
            <w:pPr>
              <w:jc w:val="center"/>
              <w:rPr>
                <w:color w:val="0070C0"/>
                <w:sz w:val="18"/>
                <w:szCs w:val="18"/>
                <w:lang w:val="en-ID"/>
              </w:rPr>
            </w:pPr>
            <w:r w:rsidRPr="00967A58">
              <w:rPr>
                <w:color w:val="0070C0"/>
                <w:sz w:val="18"/>
                <w:szCs w:val="18"/>
                <w:lang w:val="en-ID"/>
              </w:rPr>
              <w:t>9</w:t>
            </w:r>
          </w:p>
        </w:tc>
        <w:tc>
          <w:tcPr>
            <w:tcW w:w="546" w:type="dxa"/>
            <w:tcMar>
              <w:top w:w="100" w:type="dxa"/>
              <w:left w:w="100" w:type="dxa"/>
              <w:bottom w:w="100" w:type="dxa"/>
              <w:right w:w="100" w:type="dxa"/>
            </w:tcMar>
            <w:vAlign w:val="bottom"/>
            <w:hideMark/>
          </w:tcPr>
          <w:p w14:paraId="461A1B67" w14:textId="77777777" w:rsidR="00967A58" w:rsidRPr="00967A58" w:rsidRDefault="00967A58" w:rsidP="00967A58">
            <w:pPr>
              <w:jc w:val="center"/>
              <w:rPr>
                <w:color w:val="0070C0"/>
                <w:sz w:val="18"/>
                <w:szCs w:val="18"/>
                <w:lang w:val="en-ID"/>
              </w:rPr>
            </w:pPr>
            <w:r w:rsidRPr="00967A58">
              <w:rPr>
                <w:color w:val="0070C0"/>
                <w:sz w:val="18"/>
                <w:szCs w:val="18"/>
                <w:lang w:val="en-ID"/>
              </w:rPr>
              <w:t>62,94%</w:t>
            </w:r>
          </w:p>
        </w:tc>
        <w:tc>
          <w:tcPr>
            <w:tcW w:w="0" w:type="auto"/>
            <w:tcMar>
              <w:top w:w="100" w:type="dxa"/>
              <w:left w:w="100" w:type="dxa"/>
              <w:bottom w:w="100" w:type="dxa"/>
              <w:right w:w="100" w:type="dxa"/>
            </w:tcMar>
            <w:vAlign w:val="bottom"/>
            <w:hideMark/>
          </w:tcPr>
          <w:p w14:paraId="729A1110" w14:textId="77777777" w:rsidR="00967A58" w:rsidRPr="00967A58" w:rsidRDefault="00967A58" w:rsidP="00967A58">
            <w:pPr>
              <w:jc w:val="center"/>
              <w:rPr>
                <w:color w:val="0070C0"/>
                <w:sz w:val="18"/>
                <w:szCs w:val="18"/>
                <w:lang w:val="en-ID"/>
              </w:rPr>
            </w:pPr>
            <w:r w:rsidRPr="00967A58">
              <w:rPr>
                <w:color w:val="0070C0"/>
                <w:sz w:val="18"/>
                <w:szCs w:val="18"/>
                <w:lang w:val="en-ID"/>
              </w:rPr>
              <w:t>65,74%</w:t>
            </w:r>
          </w:p>
        </w:tc>
        <w:tc>
          <w:tcPr>
            <w:tcW w:w="0" w:type="auto"/>
            <w:tcMar>
              <w:top w:w="100" w:type="dxa"/>
              <w:left w:w="100" w:type="dxa"/>
              <w:bottom w:w="100" w:type="dxa"/>
              <w:right w:w="100" w:type="dxa"/>
            </w:tcMar>
            <w:vAlign w:val="bottom"/>
            <w:hideMark/>
          </w:tcPr>
          <w:p w14:paraId="1B8D7A11" w14:textId="77777777" w:rsidR="00967A58" w:rsidRPr="00967A58" w:rsidRDefault="00967A58" w:rsidP="00967A58">
            <w:pPr>
              <w:jc w:val="center"/>
              <w:rPr>
                <w:color w:val="0070C0"/>
                <w:sz w:val="18"/>
                <w:szCs w:val="18"/>
                <w:lang w:val="en-ID"/>
              </w:rPr>
            </w:pPr>
            <w:r w:rsidRPr="00967A58">
              <w:rPr>
                <w:color w:val="0070C0"/>
                <w:sz w:val="18"/>
                <w:szCs w:val="18"/>
                <w:lang w:val="en-ID"/>
              </w:rPr>
              <w:t>66,58%</w:t>
            </w:r>
          </w:p>
        </w:tc>
        <w:tc>
          <w:tcPr>
            <w:tcW w:w="0" w:type="auto"/>
            <w:tcMar>
              <w:top w:w="100" w:type="dxa"/>
              <w:left w:w="100" w:type="dxa"/>
              <w:bottom w:w="100" w:type="dxa"/>
              <w:right w:w="100" w:type="dxa"/>
            </w:tcMar>
            <w:vAlign w:val="bottom"/>
            <w:hideMark/>
          </w:tcPr>
          <w:p w14:paraId="1D909D58" w14:textId="77777777" w:rsidR="00967A58" w:rsidRPr="00967A58" w:rsidRDefault="00967A58" w:rsidP="00967A58">
            <w:pPr>
              <w:jc w:val="center"/>
              <w:rPr>
                <w:color w:val="0070C0"/>
                <w:sz w:val="18"/>
                <w:szCs w:val="18"/>
                <w:lang w:val="en-ID"/>
              </w:rPr>
            </w:pPr>
            <w:r w:rsidRPr="00967A58">
              <w:rPr>
                <w:color w:val="0070C0"/>
                <w:sz w:val="18"/>
                <w:szCs w:val="18"/>
                <w:lang w:val="en-ID"/>
              </w:rPr>
              <w:t>66,97%</w:t>
            </w:r>
          </w:p>
        </w:tc>
        <w:tc>
          <w:tcPr>
            <w:tcW w:w="0" w:type="auto"/>
            <w:tcMar>
              <w:top w:w="100" w:type="dxa"/>
              <w:left w:w="100" w:type="dxa"/>
              <w:bottom w:w="100" w:type="dxa"/>
              <w:right w:w="100" w:type="dxa"/>
            </w:tcMar>
            <w:vAlign w:val="bottom"/>
            <w:hideMark/>
          </w:tcPr>
          <w:p w14:paraId="4FF0F12A" w14:textId="77777777" w:rsidR="00967A58" w:rsidRPr="00967A58" w:rsidRDefault="00967A58" w:rsidP="00967A58">
            <w:pPr>
              <w:jc w:val="center"/>
              <w:rPr>
                <w:color w:val="0070C0"/>
                <w:sz w:val="18"/>
                <w:szCs w:val="18"/>
                <w:lang w:val="en-ID"/>
              </w:rPr>
            </w:pPr>
            <w:r w:rsidRPr="00967A58">
              <w:rPr>
                <w:color w:val="0070C0"/>
                <w:sz w:val="18"/>
                <w:szCs w:val="18"/>
                <w:lang w:val="en-ID"/>
              </w:rPr>
              <w:t>68,32%</w:t>
            </w:r>
          </w:p>
        </w:tc>
        <w:tc>
          <w:tcPr>
            <w:tcW w:w="0" w:type="auto"/>
            <w:tcMar>
              <w:top w:w="100" w:type="dxa"/>
              <w:left w:w="100" w:type="dxa"/>
              <w:bottom w:w="100" w:type="dxa"/>
              <w:right w:w="100" w:type="dxa"/>
            </w:tcMar>
            <w:vAlign w:val="bottom"/>
            <w:hideMark/>
          </w:tcPr>
          <w:p w14:paraId="6960BAF0" w14:textId="77777777" w:rsidR="00967A58" w:rsidRPr="00967A58" w:rsidRDefault="00967A58" w:rsidP="00967A58">
            <w:pPr>
              <w:jc w:val="center"/>
              <w:rPr>
                <w:color w:val="0070C0"/>
                <w:sz w:val="18"/>
                <w:szCs w:val="18"/>
                <w:lang w:val="en-ID"/>
              </w:rPr>
            </w:pPr>
            <w:r w:rsidRPr="00967A58">
              <w:rPr>
                <w:color w:val="0070C0"/>
                <w:sz w:val="18"/>
                <w:szCs w:val="18"/>
                <w:lang w:val="en-ID"/>
              </w:rPr>
              <w:t>70,32%</w:t>
            </w:r>
          </w:p>
        </w:tc>
        <w:tc>
          <w:tcPr>
            <w:tcW w:w="0" w:type="auto"/>
            <w:tcMar>
              <w:top w:w="100" w:type="dxa"/>
              <w:left w:w="100" w:type="dxa"/>
              <w:bottom w:w="100" w:type="dxa"/>
              <w:right w:w="100" w:type="dxa"/>
            </w:tcMar>
            <w:vAlign w:val="bottom"/>
            <w:hideMark/>
          </w:tcPr>
          <w:p w14:paraId="3EF06B7E" w14:textId="77777777" w:rsidR="00967A58" w:rsidRPr="00967A58" w:rsidRDefault="00967A58" w:rsidP="00967A58">
            <w:pPr>
              <w:jc w:val="center"/>
              <w:rPr>
                <w:color w:val="0070C0"/>
                <w:sz w:val="18"/>
                <w:szCs w:val="18"/>
                <w:lang w:val="en-ID"/>
              </w:rPr>
            </w:pPr>
            <w:r w:rsidRPr="00967A58">
              <w:rPr>
                <w:color w:val="0070C0"/>
                <w:sz w:val="18"/>
                <w:szCs w:val="18"/>
                <w:lang w:val="en-ID"/>
              </w:rPr>
              <w:t>70,57%</w:t>
            </w:r>
          </w:p>
        </w:tc>
        <w:tc>
          <w:tcPr>
            <w:tcW w:w="0" w:type="auto"/>
            <w:tcMar>
              <w:top w:w="100" w:type="dxa"/>
              <w:left w:w="100" w:type="dxa"/>
              <w:bottom w:w="100" w:type="dxa"/>
              <w:right w:w="100" w:type="dxa"/>
            </w:tcMar>
            <w:vAlign w:val="bottom"/>
            <w:hideMark/>
          </w:tcPr>
          <w:p w14:paraId="2858A69A" w14:textId="77777777" w:rsidR="00967A58" w:rsidRPr="00967A58" w:rsidRDefault="00967A58" w:rsidP="00967A58">
            <w:pPr>
              <w:jc w:val="center"/>
              <w:rPr>
                <w:color w:val="0070C0"/>
                <w:sz w:val="18"/>
                <w:szCs w:val="18"/>
                <w:lang w:val="en-ID"/>
              </w:rPr>
            </w:pPr>
            <w:r w:rsidRPr="00967A58">
              <w:rPr>
                <w:color w:val="0070C0"/>
                <w:sz w:val="18"/>
                <w:szCs w:val="18"/>
                <w:lang w:val="en-ID"/>
              </w:rPr>
              <w:t>69,08%</w:t>
            </w:r>
          </w:p>
        </w:tc>
      </w:tr>
      <w:tr w:rsidR="00967A58" w:rsidRPr="00967A58" w14:paraId="20A8BA8C" w14:textId="77777777" w:rsidTr="007A0C08">
        <w:trPr>
          <w:trHeight w:val="240"/>
          <w:jc w:val="center"/>
        </w:trPr>
        <w:tc>
          <w:tcPr>
            <w:tcW w:w="699" w:type="dxa"/>
            <w:tcMar>
              <w:top w:w="100" w:type="dxa"/>
              <w:left w:w="100" w:type="dxa"/>
              <w:bottom w:w="100" w:type="dxa"/>
              <w:right w:w="100" w:type="dxa"/>
            </w:tcMar>
            <w:vAlign w:val="bottom"/>
            <w:hideMark/>
          </w:tcPr>
          <w:p w14:paraId="45B109A6" w14:textId="77777777" w:rsidR="00967A58" w:rsidRPr="00967A58" w:rsidRDefault="00967A58" w:rsidP="00967A58">
            <w:pPr>
              <w:jc w:val="center"/>
              <w:rPr>
                <w:color w:val="0070C0"/>
                <w:sz w:val="18"/>
                <w:szCs w:val="18"/>
                <w:lang w:val="en-ID"/>
              </w:rPr>
            </w:pPr>
            <w:r w:rsidRPr="00967A58">
              <w:rPr>
                <w:color w:val="0070C0"/>
                <w:sz w:val="18"/>
                <w:szCs w:val="18"/>
                <w:lang w:val="en-ID"/>
              </w:rPr>
              <w:t>10</w:t>
            </w:r>
          </w:p>
        </w:tc>
        <w:tc>
          <w:tcPr>
            <w:tcW w:w="546" w:type="dxa"/>
            <w:tcMar>
              <w:top w:w="100" w:type="dxa"/>
              <w:left w:w="100" w:type="dxa"/>
              <w:bottom w:w="100" w:type="dxa"/>
              <w:right w:w="100" w:type="dxa"/>
            </w:tcMar>
            <w:vAlign w:val="bottom"/>
            <w:hideMark/>
          </w:tcPr>
          <w:p w14:paraId="33CC092F" w14:textId="77777777" w:rsidR="00967A58" w:rsidRPr="00967A58" w:rsidRDefault="00967A58" w:rsidP="00967A58">
            <w:pPr>
              <w:jc w:val="center"/>
              <w:rPr>
                <w:color w:val="0070C0"/>
                <w:sz w:val="18"/>
                <w:szCs w:val="18"/>
                <w:lang w:val="en-ID"/>
              </w:rPr>
            </w:pPr>
            <w:r w:rsidRPr="00967A58">
              <w:rPr>
                <w:color w:val="0070C0"/>
                <w:sz w:val="18"/>
                <w:szCs w:val="18"/>
                <w:lang w:val="en-ID"/>
              </w:rPr>
              <w:t>70,52%</w:t>
            </w:r>
          </w:p>
        </w:tc>
        <w:tc>
          <w:tcPr>
            <w:tcW w:w="0" w:type="auto"/>
            <w:tcMar>
              <w:top w:w="100" w:type="dxa"/>
              <w:left w:w="100" w:type="dxa"/>
              <w:bottom w:w="100" w:type="dxa"/>
              <w:right w:w="100" w:type="dxa"/>
            </w:tcMar>
            <w:vAlign w:val="bottom"/>
            <w:hideMark/>
          </w:tcPr>
          <w:p w14:paraId="35892EC9" w14:textId="77777777" w:rsidR="00967A58" w:rsidRPr="00967A58" w:rsidRDefault="00967A58" w:rsidP="00967A58">
            <w:pPr>
              <w:jc w:val="center"/>
              <w:rPr>
                <w:color w:val="0070C0"/>
                <w:sz w:val="18"/>
                <w:szCs w:val="18"/>
                <w:lang w:val="en-ID"/>
              </w:rPr>
            </w:pPr>
            <w:r w:rsidRPr="00967A58">
              <w:rPr>
                <w:color w:val="0070C0"/>
                <w:sz w:val="18"/>
                <w:szCs w:val="18"/>
                <w:lang w:val="en-ID"/>
              </w:rPr>
              <w:t>74,13%</w:t>
            </w:r>
          </w:p>
        </w:tc>
        <w:tc>
          <w:tcPr>
            <w:tcW w:w="0" w:type="auto"/>
            <w:tcMar>
              <w:top w:w="100" w:type="dxa"/>
              <w:left w:w="100" w:type="dxa"/>
              <w:bottom w:w="100" w:type="dxa"/>
              <w:right w:w="100" w:type="dxa"/>
            </w:tcMar>
            <w:vAlign w:val="bottom"/>
            <w:hideMark/>
          </w:tcPr>
          <w:p w14:paraId="6AD49F45" w14:textId="77777777" w:rsidR="00967A58" w:rsidRPr="00967A58" w:rsidRDefault="00967A58" w:rsidP="00967A58">
            <w:pPr>
              <w:jc w:val="center"/>
              <w:rPr>
                <w:color w:val="0070C0"/>
                <w:sz w:val="18"/>
                <w:szCs w:val="18"/>
                <w:lang w:val="en-ID"/>
              </w:rPr>
            </w:pPr>
            <w:r w:rsidRPr="00967A58">
              <w:rPr>
                <w:color w:val="0070C0"/>
                <w:sz w:val="18"/>
                <w:szCs w:val="18"/>
                <w:lang w:val="en-ID"/>
              </w:rPr>
              <w:t>72,94%</w:t>
            </w:r>
          </w:p>
        </w:tc>
        <w:tc>
          <w:tcPr>
            <w:tcW w:w="0" w:type="auto"/>
            <w:tcMar>
              <w:top w:w="100" w:type="dxa"/>
              <w:left w:w="100" w:type="dxa"/>
              <w:bottom w:w="100" w:type="dxa"/>
              <w:right w:w="100" w:type="dxa"/>
            </w:tcMar>
            <w:vAlign w:val="bottom"/>
            <w:hideMark/>
          </w:tcPr>
          <w:p w14:paraId="79EF1A7E" w14:textId="77777777" w:rsidR="00967A58" w:rsidRPr="00967A58" w:rsidRDefault="00967A58" w:rsidP="00967A58">
            <w:pPr>
              <w:jc w:val="center"/>
              <w:rPr>
                <w:color w:val="0070C0"/>
                <w:sz w:val="18"/>
                <w:szCs w:val="18"/>
                <w:lang w:val="en-ID"/>
              </w:rPr>
            </w:pPr>
            <w:r w:rsidRPr="00967A58">
              <w:rPr>
                <w:color w:val="0070C0"/>
                <w:sz w:val="18"/>
                <w:szCs w:val="18"/>
                <w:lang w:val="en-ID"/>
              </w:rPr>
              <w:t>74,33%</w:t>
            </w:r>
          </w:p>
        </w:tc>
        <w:tc>
          <w:tcPr>
            <w:tcW w:w="0" w:type="auto"/>
            <w:tcMar>
              <w:top w:w="100" w:type="dxa"/>
              <w:left w:w="100" w:type="dxa"/>
              <w:bottom w:w="100" w:type="dxa"/>
              <w:right w:w="100" w:type="dxa"/>
            </w:tcMar>
            <w:vAlign w:val="bottom"/>
            <w:hideMark/>
          </w:tcPr>
          <w:p w14:paraId="64D83A80" w14:textId="77777777" w:rsidR="00967A58" w:rsidRPr="00967A58" w:rsidRDefault="00967A58" w:rsidP="00967A58">
            <w:pPr>
              <w:jc w:val="center"/>
              <w:rPr>
                <w:color w:val="0070C0"/>
                <w:sz w:val="18"/>
                <w:szCs w:val="18"/>
                <w:lang w:val="en-ID"/>
              </w:rPr>
            </w:pPr>
            <w:r w:rsidRPr="00967A58">
              <w:rPr>
                <w:color w:val="0070C0"/>
                <w:sz w:val="18"/>
                <w:szCs w:val="18"/>
                <w:lang w:val="en-ID"/>
              </w:rPr>
              <w:t>74,13%</w:t>
            </w:r>
          </w:p>
        </w:tc>
        <w:tc>
          <w:tcPr>
            <w:tcW w:w="0" w:type="auto"/>
            <w:tcMar>
              <w:top w:w="100" w:type="dxa"/>
              <w:left w:w="100" w:type="dxa"/>
              <w:bottom w:w="100" w:type="dxa"/>
              <w:right w:w="100" w:type="dxa"/>
            </w:tcMar>
            <w:vAlign w:val="bottom"/>
            <w:hideMark/>
          </w:tcPr>
          <w:p w14:paraId="56491B89" w14:textId="77777777" w:rsidR="00967A58" w:rsidRPr="00967A58" w:rsidRDefault="00967A58" w:rsidP="00967A58">
            <w:pPr>
              <w:jc w:val="center"/>
              <w:rPr>
                <w:color w:val="0070C0"/>
                <w:sz w:val="18"/>
                <w:szCs w:val="18"/>
                <w:lang w:val="en-ID"/>
              </w:rPr>
            </w:pPr>
            <w:r w:rsidRPr="00967A58">
              <w:rPr>
                <w:color w:val="0070C0"/>
                <w:sz w:val="18"/>
                <w:szCs w:val="18"/>
                <w:lang w:val="en-ID"/>
              </w:rPr>
              <w:t>76,20%</w:t>
            </w:r>
          </w:p>
        </w:tc>
        <w:tc>
          <w:tcPr>
            <w:tcW w:w="0" w:type="auto"/>
            <w:tcMar>
              <w:top w:w="100" w:type="dxa"/>
              <w:left w:w="100" w:type="dxa"/>
              <w:bottom w:w="100" w:type="dxa"/>
              <w:right w:w="100" w:type="dxa"/>
            </w:tcMar>
            <w:vAlign w:val="bottom"/>
            <w:hideMark/>
          </w:tcPr>
          <w:p w14:paraId="4DB24B35" w14:textId="77777777" w:rsidR="00967A58" w:rsidRPr="00967A58" w:rsidRDefault="00967A58" w:rsidP="00967A58">
            <w:pPr>
              <w:jc w:val="center"/>
              <w:rPr>
                <w:color w:val="0070C0"/>
                <w:sz w:val="18"/>
                <w:szCs w:val="18"/>
                <w:lang w:val="en-ID"/>
              </w:rPr>
            </w:pPr>
            <w:r w:rsidRPr="00967A58">
              <w:rPr>
                <w:color w:val="0070C0"/>
                <w:sz w:val="18"/>
                <w:szCs w:val="18"/>
                <w:lang w:val="en-ID"/>
              </w:rPr>
              <w:t>75,88%</w:t>
            </w:r>
          </w:p>
        </w:tc>
        <w:tc>
          <w:tcPr>
            <w:tcW w:w="0" w:type="auto"/>
            <w:tcMar>
              <w:top w:w="100" w:type="dxa"/>
              <w:left w:w="100" w:type="dxa"/>
              <w:bottom w:w="100" w:type="dxa"/>
              <w:right w:w="100" w:type="dxa"/>
            </w:tcMar>
            <w:vAlign w:val="bottom"/>
            <w:hideMark/>
          </w:tcPr>
          <w:p w14:paraId="4BFC146F" w14:textId="77777777" w:rsidR="00967A58" w:rsidRPr="00967A58" w:rsidRDefault="00967A58" w:rsidP="00967A58">
            <w:pPr>
              <w:jc w:val="center"/>
              <w:rPr>
                <w:color w:val="0070C0"/>
                <w:sz w:val="18"/>
                <w:szCs w:val="18"/>
                <w:lang w:val="en-ID"/>
              </w:rPr>
            </w:pPr>
            <w:r w:rsidRPr="00967A58">
              <w:rPr>
                <w:color w:val="0070C0"/>
                <w:sz w:val="18"/>
                <w:szCs w:val="18"/>
                <w:lang w:val="en-ID"/>
              </w:rPr>
              <w:t>74,67%</w:t>
            </w:r>
          </w:p>
        </w:tc>
      </w:tr>
    </w:tbl>
    <w:p w14:paraId="040946A2" w14:textId="0FF74625" w:rsidR="00967A58" w:rsidRPr="00967A58" w:rsidRDefault="00967A58" w:rsidP="00967A58">
      <w:pPr>
        <w:jc w:val="center"/>
        <w:rPr>
          <w:color w:val="0070C0"/>
          <w:sz w:val="18"/>
          <w:szCs w:val="18"/>
          <w:lang w:val="en-ID"/>
        </w:rPr>
      </w:pPr>
      <w:r w:rsidRPr="00967A58">
        <w:rPr>
          <w:i/>
          <w:iCs/>
          <w:color w:val="0070C0"/>
          <w:sz w:val="18"/>
          <w:szCs w:val="18"/>
          <w:lang w:val="en-ID"/>
        </w:rPr>
        <w:t xml:space="preserve">Source: </w:t>
      </w:r>
      <w:r w:rsidR="00382762" w:rsidRPr="00382762">
        <w:rPr>
          <w:i/>
          <w:iCs/>
          <w:color w:val="0070C0"/>
          <w:sz w:val="18"/>
          <w:szCs w:val="18"/>
          <w:lang w:val="en-ID"/>
        </w:rPr>
        <w:t>National Socio-Economic Survey (‘</w:t>
      </w:r>
      <w:proofErr w:type="spellStart"/>
      <w:r w:rsidRPr="00967A58">
        <w:rPr>
          <w:i/>
          <w:iCs/>
          <w:color w:val="0070C0"/>
          <w:sz w:val="18"/>
          <w:szCs w:val="18"/>
          <w:lang w:val="en-ID"/>
        </w:rPr>
        <w:t>Susenas</w:t>
      </w:r>
      <w:proofErr w:type="spellEnd"/>
      <w:r w:rsidRPr="00967A58">
        <w:rPr>
          <w:i/>
          <w:iCs/>
          <w:color w:val="0070C0"/>
          <w:sz w:val="18"/>
          <w:szCs w:val="18"/>
          <w:lang w:val="en-ID"/>
        </w:rPr>
        <w:t xml:space="preserve"> K</w:t>
      </w:r>
      <w:r w:rsidR="00382762" w:rsidRPr="00382762">
        <w:rPr>
          <w:i/>
          <w:iCs/>
          <w:color w:val="0070C0"/>
          <w:sz w:val="18"/>
          <w:szCs w:val="18"/>
          <w:lang w:val="en-ID"/>
        </w:rPr>
        <w:t>or’)</w:t>
      </w:r>
      <w:r w:rsidRPr="00967A58">
        <w:rPr>
          <w:i/>
          <w:iCs/>
          <w:color w:val="0070C0"/>
          <w:sz w:val="18"/>
          <w:szCs w:val="18"/>
          <w:lang w:val="en-ID"/>
        </w:rPr>
        <w:t xml:space="preserve"> 2015-2022, processed</w:t>
      </w:r>
    </w:p>
    <w:p w14:paraId="77E111ED" w14:textId="72E76A0C" w:rsidR="00967A58" w:rsidRDefault="00967A58" w:rsidP="002C01B0">
      <w:pPr>
        <w:ind w:left="720"/>
        <w:jc w:val="both"/>
        <w:rPr>
          <w:color w:val="0070C0"/>
          <w:sz w:val="22"/>
          <w:szCs w:val="22"/>
        </w:rPr>
      </w:pPr>
    </w:p>
    <w:p w14:paraId="32DC4D37" w14:textId="4FE7169E" w:rsidR="00967A58" w:rsidRPr="00967A58" w:rsidRDefault="00967A58" w:rsidP="002C01B0">
      <w:pPr>
        <w:ind w:left="720"/>
        <w:jc w:val="both"/>
        <w:rPr>
          <w:color w:val="0070C0"/>
          <w:sz w:val="22"/>
          <w:szCs w:val="22"/>
        </w:rPr>
      </w:pPr>
      <w:r w:rsidRPr="00967A58">
        <w:rPr>
          <w:color w:val="0070C0"/>
          <w:sz w:val="22"/>
          <w:szCs w:val="22"/>
        </w:rPr>
        <w:t>The percentage of households in 1-4 deciles</w:t>
      </w:r>
      <w:r w:rsidR="00382762">
        <w:rPr>
          <w:color w:val="0070C0"/>
          <w:sz w:val="22"/>
          <w:szCs w:val="22"/>
        </w:rPr>
        <w:t xml:space="preserve"> (households </w:t>
      </w:r>
      <w:r w:rsidR="00A611F9">
        <w:rPr>
          <w:color w:val="0070C0"/>
          <w:sz w:val="22"/>
          <w:szCs w:val="22"/>
        </w:rPr>
        <w:t>at</w:t>
      </w:r>
      <w:r w:rsidR="00382762">
        <w:rPr>
          <w:color w:val="0070C0"/>
          <w:sz w:val="22"/>
          <w:szCs w:val="22"/>
        </w:rPr>
        <w:t xml:space="preserve"> </w:t>
      </w:r>
      <w:r w:rsidR="00A61542">
        <w:rPr>
          <w:color w:val="0070C0"/>
          <w:sz w:val="22"/>
          <w:szCs w:val="22"/>
        </w:rPr>
        <w:t xml:space="preserve">the </w:t>
      </w:r>
      <w:r w:rsidR="00382762">
        <w:rPr>
          <w:color w:val="0070C0"/>
          <w:sz w:val="22"/>
          <w:szCs w:val="22"/>
        </w:rPr>
        <w:t>bottom 40% of income</w:t>
      </w:r>
      <w:r w:rsidR="00A611F9">
        <w:rPr>
          <w:color w:val="0070C0"/>
          <w:sz w:val="22"/>
          <w:szCs w:val="22"/>
        </w:rPr>
        <w:t xml:space="preserve"> distribution</w:t>
      </w:r>
      <w:r w:rsidR="00382762">
        <w:rPr>
          <w:color w:val="0070C0"/>
          <w:sz w:val="22"/>
          <w:szCs w:val="22"/>
        </w:rPr>
        <w:t>)</w:t>
      </w:r>
      <w:r w:rsidRPr="00967A58">
        <w:rPr>
          <w:color w:val="0070C0"/>
          <w:sz w:val="22"/>
          <w:szCs w:val="22"/>
        </w:rPr>
        <w:t xml:space="preserve"> that occupy </w:t>
      </w:r>
      <w:r w:rsidR="00EF412A" w:rsidRPr="00967A58">
        <w:rPr>
          <w:color w:val="0070C0"/>
          <w:sz w:val="22"/>
          <w:szCs w:val="22"/>
        </w:rPr>
        <w:t>liveable</w:t>
      </w:r>
      <w:r w:rsidRPr="00967A58">
        <w:rPr>
          <w:color w:val="0070C0"/>
          <w:sz w:val="22"/>
          <w:szCs w:val="22"/>
        </w:rPr>
        <w:t xml:space="preserve"> houses increases every year from 2015-2022</w:t>
      </w:r>
      <w:r w:rsidR="00A61542">
        <w:rPr>
          <w:color w:val="0070C0"/>
          <w:sz w:val="22"/>
          <w:szCs w:val="22"/>
        </w:rPr>
        <w:t xml:space="preserve">. This </w:t>
      </w:r>
      <w:r w:rsidR="00A61542">
        <w:rPr>
          <w:color w:val="0070C0"/>
          <w:sz w:val="22"/>
          <w:szCs w:val="22"/>
        </w:rPr>
        <w:lastRenderedPageBreak/>
        <w:t xml:space="preserve">indicates that the </w:t>
      </w:r>
      <w:r w:rsidR="007A0C08">
        <w:rPr>
          <w:color w:val="0070C0"/>
          <w:sz w:val="22"/>
          <w:szCs w:val="22"/>
        </w:rPr>
        <w:t>number of</w:t>
      </w:r>
      <w:r w:rsidRPr="00967A58">
        <w:rPr>
          <w:color w:val="0070C0"/>
          <w:sz w:val="22"/>
          <w:szCs w:val="22"/>
        </w:rPr>
        <w:t xml:space="preserve"> households with vulnerable financial capabilities </w:t>
      </w:r>
      <w:r w:rsidR="00A61542">
        <w:rPr>
          <w:color w:val="0070C0"/>
          <w:sz w:val="22"/>
          <w:szCs w:val="22"/>
        </w:rPr>
        <w:t xml:space="preserve">who are </w:t>
      </w:r>
      <w:r w:rsidRPr="00967A58">
        <w:rPr>
          <w:color w:val="0070C0"/>
          <w:sz w:val="22"/>
          <w:szCs w:val="22"/>
        </w:rPr>
        <w:t>a</w:t>
      </w:r>
      <w:r w:rsidR="00A61542">
        <w:rPr>
          <w:color w:val="0070C0"/>
          <w:sz w:val="22"/>
          <w:szCs w:val="22"/>
        </w:rPr>
        <w:t>ble</w:t>
      </w:r>
      <w:r w:rsidRPr="00967A58">
        <w:rPr>
          <w:color w:val="0070C0"/>
          <w:sz w:val="22"/>
          <w:szCs w:val="22"/>
        </w:rPr>
        <w:t xml:space="preserve"> access adequate housing</w:t>
      </w:r>
      <w:r w:rsidR="00A61542">
        <w:rPr>
          <w:color w:val="0070C0"/>
          <w:sz w:val="22"/>
          <w:szCs w:val="22"/>
        </w:rPr>
        <w:t xml:space="preserve"> improves every year</w:t>
      </w:r>
      <w:r w:rsidRPr="00967A58">
        <w:rPr>
          <w:color w:val="0070C0"/>
          <w:sz w:val="22"/>
          <w:szCs w:val="22"/>
        </w:rPr>
        <w:t>.</w:t>
      </w:r>
    </w:p>
    <w:p w14:paraId="1DFD5BFA" w14:textId="61E3B69A" w:rsidR="00A16F28" w:rsidRDefault="00BF435D" w:rsidP="002C01B0">
      <w:pPr>
        <w:ind w:left="720"/>
        <w:jc w:val="both"/>
        <w:rPr>
          <w:sz w:val="22"/>
          <w:szCs w:val="22"/>
        </w:rPr>
      </w:pPr>
      <w:r>
        <w:rPr>
          <w:sz w:val="22"/>
          <w:szCs w:val="22"/>
        </w:rPr>
        <w:tab/>
      </w:r>
    </w:p>
    <w:p w14:paraId="1DFD5BFB" w14:textId="77777777" w:rsidR="00A16F28" w:rsidRDefault="00BF435D" w:rsidP="002C01B0">
      <w:pPr>
        <w:numPr>
          <w:ilvl w:val="0"/>
          <w:numId w:val="1"/>
        </w:numPr>
        <w:jc w:val="both"/>
        <w:rPr>
          <w:sz w:val="22"/>
          <w:szCs w:val="22"/>
        </w:rPr>
      </w:pPr>
      <w:r>
        <w:rPr>
          <w:sz w:val="22"/>
          <w:szCs w:val="22"/>
        </w:rPr>
        <w:t>Please describe which households, persons or groups are at particular risk of being exposed to housing affordability in your country, region or city.</w:t>
      </w:r>
    </w:p>
    <w:p w14:paraId="1DFD5BFC" w14:textId="77777777" w:rsidR="00A16F28" w:rsidRDefault="00A16F28" w:rsidP="002C01B0">
      <w:pPr>
        <w:ind w:left="720"/>
        <w:jc w:val="both"/>
        <w:rPr>
          <w:sz w:val="22"/>
          <w:szCs w:val="22"/>
        </w:rPr>
      </w:pPr>
    </w:p>
    <w:p w14:paraId="1DFD5BFD" w14:textId="77777777" w:rsidR="00A16F28" w:rsidRDefault="00BF435D" w:rsidP="002C01B0">
      <w:pPr>
        <w:ind w:left="720"/>
        <w:jc w:val="both"/>
        <w:rPr>
          <w:sz w:val="22"/>
          <w:szCs w:val="22"/>
        </w:rPr>
      </w:pPr>
      <w:r>
        <w:rPr>
          <w:sz w:val="22"/>
          <w:szCs w:val="22"/>
        </w:rPr>
        <w:t>(Please provide data on housing affordability disaggregated on the basis of household size, form of tenure (living in self-owned housing, rental, other), type and quality of housing (e.g. living in formal or informal housing); location (region, urban, rural), type of household (with or without children, single-parent households), income, employment status, gender, disability, age, nationality, ethnicity, religious affiliation or immigration status.)</w:t>
      </w:r>
    </w:p>
    <w:p w14:paraId="1DFD5BFE" w14:textId="77777777" w:rsidR="00A16F28" w:rsidRDefault="00A16F28" w:rsidP="002C01B0">
      <w:pPr>
        <w:ind w:left="720"/>
        <w:jc w:val="both"/>
        <w:rPr>
          <w:sz w:val="22"/>
          <w:szCs w:val="22"/>
        </w:rPr>
      </w:pPr>
    </w:p>
    <w:p w14:paraId="1DFD5BFF" w14:textId="77777777" w:rsidR="00A16F28" w:rsidRPr="002552FA" w:rsidRDefault="00BF435D" w:rsidP="002C01B0">
      <w:pPr>
        <w:ind w:left="720"/>
        <w:jc w:val="both"/>
        <w:rPr>
          <w:color w:val="0070C0"/>
          <w:sz w:val="22"/>
          <w:szCs w:val="22"/>
          <w:u w:val="single"/>
        </w:rPr>
      </w:pPr>
      <w:r w:rsidRPr="002552FA">
        <w:rPr>
          <w:color w:val="0070C0"/>
          <w:sz w:val="22"/>
          <w:szCs w:val="22"/>
          <w:u w:val="single"/>
        </w:rPr>
        <w:t>Answer</w:t>
      </w:r>
    </w:p>
    <w:p w14:paraId="1DFD5C00" w14:textId="77777777" w:rsidR="00A16F28" w:rsidRDefault="00A16F28" w:rsidP="002C01B0">
      <w:pPr>
        <w:ind w:left="720"/>
        <w:jc w:val="both"/>
        <w:rPr>
          <w:sz w:val="22"/>
          <w:szCs w:val="22"/>
          <w:u w:val="single"/>
        </w:rPr>
      </w:pPr>
    </w:p>
    <w:p w14:paraId="283ADF30" w14:textId="151C6C32" w:rsidR="00E46D5F" w:rsidRDefault="00E46D5F" w:rsidP="002C01B0">
      <w:pPr>
        <w:pStyle w:val="NormalWeb"/>
        <w:spacing w:before="0" w:beforeAutospacing="0" w:after="0" w:afterAutospacing="0"/>
        <w:ind w:left="720"/>
        <w:jc w:val="both"/>
        <w:rPr>
          <w:color w:val="0070C0"/>
          <w:sz w:val="22"/>
          <w:szCs w:val="22"/>
        </w:rPr>
      </w:pPr>
      <w:r w:rsidRPr="00E46D5F">
        <w:rPr>
          <w:color w:val="0070C0"/>
          <w:sz w:val="22"/>
          <w:szCs w:val="22"/>
        </w:rPr>
        <w:t xml:space="preserve">The risk of housing </w:t>
      </w:r>
      <w:r w:rsidR="007A0C08">
        <w:rPr>
          <w:color w:val="0070C0"/>
          <w:sz w:val="22"/>
          <w:szCs w:val="22"/>
        </w:rPr>
        <w:t>unaffordability</w:t>
      </w:r>
      <w:r w:rsidRPr="00E46D5F">
        <w:rPr>
          <w:color w:val="0070C0"/>
          <w:sz w:val="22"/>
          <w:szCs w:val="22"/>
        </w:rPr>
        <w:t xml:space="preserve"> primarily occurs </w:t>
      </w:r>
      <w:r w:rsidR="00A61542">
        <w:rPr>
          <w:color w:val="0070C0"/>
          <w:sz w:val="22"/>
          <w:szCs w:val="22"/>
        </w:rPr>
        <w:t>to</w:t>
      </w:r>
      <w:r w:rsidRPr="00E46D5F">
        <w:rPr>
          <w:color w:val="0070C0"/>
          <w:sz w:val="22"/>
          <w:szCs w:val="22"/>
        </w:rPr>
        <w:t xml:space="preserve"> </w:t>
      </w:r>
      <w:r w:rsidR="007A0C08">
        <w:rPr>
          <w:color w:val="0070C0"/>
          <w:sz w:val="22"/>
          <w:szCs w:val="22"/>
        </w:rPr>
        <w:t>MBR</w:t>
      </w:r>
      <w:r w:rsidRPr="00E46D5F">
        <w:rPr>
          <w:color w:val="0070C0"/>
          <w:sz w:val="22"/>
          <w:szCs w:val="22"/>
        </w:rPr>
        <w:t xml:space="preserve"> who work in the informal sector and do not have </w:t>
      </w:r>
      <w:r w:rsidR="00A61542">
        <w:rPr>
          <w:color w:val="0070C0"/>
          <w:sz w:val="22"/>
          <w:szCs w:val="22"/>
        </w:rPr>
        <w:t xml:space="preserve">steady </w:t>
      </w:r>
      <w:r w:rsidRPr="00E46D5F">
        <w:rPr>
          <w:color w:val="0070C0"/>
          <w:sz w:val="22"/>
          <w:szCs w:val="22"/>
        </w:rPr>
        <w:t xml:space="preserve">income, making it difficult to </w:t>
      </w:r>
      <w:r w:rsidR="00A61542">
        <w:rPr>
          <w:color w:val="0070C0"/>
          <w:sz w:val="22"/>
          <w:szCs w:val="22"/>
        </w:rPr>
        <w:t>access</w:t>
      </w:r>
      <w:r w:rsidRPr="00E46D5F">
        <w:rPr>
          <w:color w:val="0070C0"/>
          <w:sz w:val="22"/>
          <w:szCs w:val="22"/>
        </w:rPr>
        <w:t xml:space="preserve"> long-term financing</w:t>
      </w:r>
      <w:r w:rsidR="00683A25">
        <w:rPr>
          <w:color w:val="0070C0"/>
          <w:sz w:val="22"/>
          <w:szCs w:val="22"/>
        </w:rPr>
        <w:t xml:space="preserve"> for home ownership</w:t>
      </w:r>
      <w:r w:rsidRPr="00E46D5F">
        <w:rPr>
          <w:color w:val="0070C0"/>
          <w:sz w:val="22"/>
          <w:szCs w:val="22"/>
        </w:rPr>
        <w:t>. Informal workers account for a dominant share (60%) of the Indonesian workforce, comprising 77 million individuals or 31 million households, of which there are over 4 million housing ownership backlogs and over 7 million uninhabitable houses. According to BPS</w:t>
      </w:r>
      <w:r w:rsidR="00A61542">
        <w:rPr>
          <w:color w:val="0070C0"/>
          <w:sz w:val="22"/>
          <w:szCs w:val="22"/>
        </w:rPr>
        <w:t xml:space="preserve"> data,</w:t>
      </w:r>
      <w:r w:rsidRPr="00E46D5F">
        <w:rPr>
          <w:color w:val="0070C0"/>
          <w:sz w:val="22"/>
          <w:szCs w:val="22"/>
        </w:rPr>
        <w:t xml:space="preserve"> informal workers are </w:t>
      </w:r>
      <w:r w:rsidR="00A61542" w:rsidRPr="00E46D5F">
        <w:rPr>
          <w:color w:val="0070C0"/>
          <w:sz w:val="22"/>
          <w:szCs w:val="22"/>
        </w:rPr>
        <w:t>geographically</w:t>
      </w:r>
      <w:r w:rsidR="00A61542">
        <w:rPr>
          <w:color w:val="0070C0"/>
          <w:sz w:val="22"/>
          <w:szCs w:val="22"/>
        </w:rPr>
        <w:t xml:space="preserve"> </w:t>
      </w:r>
      <w:r w:rsidRPr="00E46D5F">
        <w:rPr>
          <w:color w:val="0070C0"/>
          <w:sz w:val="22"/>
          <w:szCs w:val="22"/>
        </w:rPr>
        <w:t>concentrated on the islands of Java and Sumatra (</w:t>
      </w:r>
      <w:r w:rsidR="00A61542">
        <w:rPr>
          <w:color w:val="0070C0"/>
          <w:sz w:val="22"/>
          <w:szCs w:val="22"/>
        </w:rPr>
        <w:t>a total of</w:t>
      </w:r>
      <w:r w:rsidRPr="00E46D5F">
        <w:rPr>
          <w:color w:val="0070C0"/>
          <w:sz w:val="22"/>
          <w:szCs w:val="22"/>
        </w:rPr>
        <w:t xml:space="preserve"> 77% of informal workers or 46 million MBR</w:t>
      </w:r>
      <w:r w:rsidR="00683A25">
        <w:rPr>
          <w:color w:val="0070C0"/>
          <w:sz w:val="22"/>
          <w:szCs w:val="22"/>
        </w:rPr>
        <w:t xml:space="preserve"> working in the informal sector</w:t>
      </w:r>
      <w:r w:rsidRPr="00E46D5F">
        <w:rPr>
          <w:color w:val="0070C0"/>
          <w:sz w:val="22"/>
          <w:szCs w:val="22"/>
        </w:rPr>
        <w:t>).</w:t>
      </w:r>
    </w:p>
    <w:p w14:paraId="1DFD5C05" w14:textId="1C66BCFF" w:rsidR="00A16F28" w:rsidRDefault="00A16F28" w:rsidP="007A0C08">
      <w:pPr>
        <w:jc w:val="both"/>
        <w:rPr>
          <w:sz w:val="22"/>
          <w:szCs w:val="22"/>
        </w:rPr>
      </w:pPr>
    </w:p>
    <w:p w14:paraId="1DFD5C06" w14:textId="77777777" w:rsidR="00A16F28" w:rsidRDefault="00BF435D" w:rsidP="002C01B0">
      <w:pPr>
        <w:numPr>
          <w:ilvl w:val="0"/>
          <w:numId w:val="1"/>
        </w:numPr>
        <w:jc w:val="both"/>
        <w:rPr>
          <w:sz w:val="22"/>
          <w:szCs w:val="22"/>
        </w:rPr>
      </w:pPr>
      <w:r>
        <w:rPr>
          <w:sz w:val="22"/>
          <w:szCs w:val="22"/>
        </w:rPr>
        <w:t xml:space="preserve">May certain specific groups or persons, such as persons experiencing homelessness, living in informal settlements, students, asylum seekers or refugees, potentially be left out in data collection in relation to housing affordability?   </w:t>
      </w:r>
    </w:p>
    <w:p w14:paraId="1DFD5C07" w14:textId="77777777" w:rsidR="00A16F28" w:rsidRDefault="00A16F28" w:rsidP="002C01B0">
      <w:pPr>
        <w:ind w:left="720"/>
        <w:jc w:val="both"/>
        <w:rPr>
          <w:sz w:val="22"/>
          <w:szCs w:val="22"/>
        </w:rPr>
      </w:pPr>
    </w:p>
    <w:p w14:paraId="1DFD5C08" w14:textId="77777777" w:rsidR="00A16F28" w:rsidRPr="00967A58" w:rsidRDefault="00BF435D" w:rsidP="002C01B0">
      <w:pPr>
        <w:ind w:left="720"/>
        <w:jc w:val="both"/>
        <w:rPr>
          <w:color w:val="0070C0"/>
          <w:sz w:val="22"/>
          <w:szCs w:val="22"/>
          <w:u w:val="single"/>
        </w:rPr>
      </w:pPr>
      <w:r w:rsidRPr="00967A58">
        <w:rPr>
          <w:color w:val="0070C0"/>
          <w:sz w:val="22"/>
          <w:szCs w:val="22"/>
          <w:u w:val="single"/>
        </w:rPr>
        <w:t>Answer</w:t>
      </w:r>
    </w:p>
    <w:p w14:paraId="660E051E" w14:textId="77777777" w:rsidR="00967A58" w:rsidRPr="00967A58" w:rsidRDefault="00967A58" w:rsidP="002C01B0">
      <w:pPr>
        <w:ind w:left="720"/>
        <w:jc w:val="both"/>
        <w:rPr>
          <w:color w:val="0070C0"/>
          <w:sz w:val="22"/>
          <w:szCs w:val="22"/>
        </w:rPr>
      </w:pPr>
    </w:p>
    <w:p w14:paraId="6D3E42CC" w14:textId="0D01540A" w:rsidR="00967A58" w:rsidRPr="0073658D" w:rsidRDefault="00967A58" w:rsidP="00967A58">
      <w:pPr>
        <w:ind w:left="720"/>
        <w:jc w:val="both"/>
        <w:rPr>
          <w:color w:val="0070C0"/>
          <w:sz w:val="22"/>
          <w:szCs w:val="22"/>
        </w:rPr>
      </w:pPr>
      <w:r w:rsidRPr="0073658D">
        <w:rPr>
          <w:color w:val="0070C0"/>
          <w:sz w:val="22"/>
          <w:szCs w:val="22"/>
        </w:rPr>
        <w:t xml:space="preserve">There is a possibility that certain groups or people are not reflected in the data collection process that is not carried out in the population census format. BPS has anticipated data collection inaccuracies </w:t>
      </w:r>
      <w:r w:rsidR="0073658D" w:rsidRPr="0073658D">
        <w:rPr>
          <w:color w:val="0070C0"/>
          <w:sz w:val="22"/>
          <w:szCs w:val="22"/>
        </w:rPr>
        <w:t>in</w:t>
      </w:r>
      <w:r w:rsidR="00683A25">
        <w:rPr>
          <w:color w:val="0070C0"/>
          <w:sz w:val="22"/>
          <w:szCs w:val="22"/>
        </w:rPr>
        <w:t xml:space="preserve"> </w:t>
      </w:r>
      <w:r w:rsidRPr="0073658D">
        <w:rPr>
          <w:color w:val="0070C0"/>
          <w:sz w:val="22"/>
          <w:szCs w:val="22"/>
        </w:rPr>
        <w:t>survey</w:t>
      </w:r>
      <w:r w:rsidR="00683A25">
        <w:rPr>
          <w:color w:val="0070C0"/>
          <w:sz w:val="22"/>
          <w:szCs w:val="22"/>
        </w:rPr>
        <w:t>s</w:t>
      </w:r>
      <w:r w:rsidRPr="0073658D">
        <w:rPr>
          <w:color w:val="0070C0"/>
          <w:sz w:val="22"/>
          <w:szCs w:val="22"/>
        </w:rPr>
        <w:t xml:space="preserve"> which is indicated by the </w:t>
      </w:r>
      <w:r w:rsidR="0073658D" w:rsidRPr="0073658D">
        <w:rPr>
          <w:color w:val="0070C0"/>
          <w:sz w:val="22"/>
          <w:szCs w:val="22"/>
        </w:rPr>
        <w:t>Relative Standard Error (RSE) number</w:t>
      </w:r>
      <w:r w:rsidRPr="0073658D">
        <w:rPr>
          <w:color w:val="0070C0"/>
          <w:sz w:val="22"/>
          <w:szCs w:val="22"/>
        </w:rPr>
        <w:t>.</w:t>
      </w:r>
    </w:p>
    <w:p w14:paraId="1C60B7E5" w14:textId="77777777" w:rsidR="00967A58" w:rsidRPr="00561A42" w:rsidRDefault="00967A58" w:rsidP="00967A58">
      <w:pPr>
        <w:ind w:left="720"/>
        <w:jc w:val="both"/>
        <w:rPr>
          <w:color w:val="0070C0"/>
          <w:sz w:val="22"/>
          <w:szCs w:val="22"/>
        </w:rPr>
      </w:pPr>
    </w:p>
    <w:p w14:paraId="1DFD5C09" w14:textId="4D999436" w:rsidR="00A16F28" w:rsidRDefault="00683A25" w:rsidP="00967A58">
      <w:pPr>
        <w:ind w:left="720"/>
        <w:jc w:val="both"/>
        <w:rPr>
          <w:sz w:val="22"/>
          <w:szCs w:val="22"/>
        </w:rPr>
      </w:pPr>
      <w:r w:rsidRPr="00561A42">
        <w:rPr>
          <w:color w:val="0070C0"/>
          <w:sz w:val="22"/>
          <w:szCs w:val="22"/>
        </w:rPr>
        <w:t>Data collection on homelessness in particular has become a specific</w:t>
      </w:r>
      <w:r w:rsidR="00967A58" w:rsidRPr="00561A42">
        <w:rPr>
          <w:color w:val="0070C0"/>
          <w:sz w:val="22"/>
          <w:szCs w:val="22"/>
        </w:rPr>
        <w:t xml:space="preserve"> agenda in th</w:t>
      </w:r>
      <w:r w:rsidRPr="00561A42">
        <w:rPr>
          <w:color w:val="0070C0"/>
          <w:sz w:val="22"/>
          <w:szCs w:val="22"/>
        </w:rPr>
        <w:t>e</w:t>
      </w:r>
      <w:r w:rsidR="00967A58" w:rsidRPr="00561A42">
        <w:rPr>
          <w:color w:val="0070C0"/>
          <w:sz w:val="22"/>
          <w:szCs w:val="22"/>
        </w:rPr>
        <w:t xml:space="preserve"> 2022 Socio-Economic Registration Initial Data Collection throughout Indonesia</w:t>
      </w:r>
      <w:r w:rsidRPr="00561A42">
        <w:rPr>
          <w:color w:val="0070C0"/>
          <w:sz w:val="22"/>
          <w:szCs w:val="22"/>
        </w:rPr>
        <w:t xml:space="preserve">; which collects information </w:t>
      </w:r>
      <w:r w:rsidR="00967A58" w:rsidRPr="00561A42">
        <w:rPr>
          <w:color w:val="0070C0"/>
          <w:sz w:val="22"/>
          <w:szCs w:val="22"/>
        </w:rPr>
        <w:t xml:space="preserve">regarding demographic socio-economic conditions, asset ownership, </w:t>
      </w:r>
      <w:r w:rsidRPr="00561A42">
        <w:rPr>
          <w:color w:val="0070C0"/>
          <w:sz w:val="22"/>
          <w:szCs w:val="22"/>
        </w:rPr>
        <w:t xml:space="preserve">access to </w:t>
      </w:r>
      <w:r w:rsidR="00967A58" w:rsidRPr="00561A42">
        <w:rPr>
          <w:color w:val="0070C0"/>
          <w:sz w:val="22"/>
          <w:szCs w:val="22"/>
        </w:rPr>
        <w:t xml:space="preserve">clean water </w:t>
      </w:r>
      <w:r w:rsidRPr="00561A42">
        <w:rPr>
          <w:color w:val="0070C0"/>
          <w:sz w:val="22"/>
          <w:szCs w:val="22"/>
        </w:rPr>
        <w:t xml:space="preserve">and </w:t>
      </w:r>
      <w:r w:rsidR="00967A58" w:rsidRPr="00561A42">
        <w:rPr>
          <w:color w:val="0070C0"/>
          <w:sz w:val="22"/>
          <w:szCs w:val="22"/>
        </w:rPr>
        <w:t xml:space="preserve">sanitation, housing conditions, </w:t>
      </w:r>
      <w:r w:rsidR="00561A42" w:rsidRPr="00561A42">
        <w:rPr>
          <w:color w:val="0070C0"/>
          <w:sz w:val="22"/>
          <w:szCs w:val="22"/>
        </w:rPr>
        <w:t>vulnerable</w:t>
      </w:r>
      <w:r w:rsidR="00967A58" w:rsidRPr="00561A42">
        <w:rPr>
          <w:color w:val="0070C0"/>
          <w:sz w:val="22"/>
          <w:szCs w:val="22"/>
        </w:rPr>
        <w:t xml:space="preserve"> groups, geospatial information, level of welfare, and other socio-economic information.</w:t>
      </w:r>
      <w:r w:rsidR="00BF435D">
        <w:rPr>
          <w:sz w:val="22"/>
          <w:szCs w:val="22"/>
        </w:rPr>
        <w:tab/>
      </w:r>
    </w:p>
    <w:p w14:paraId="1DFD5C0A" w14:textId="77777777" w:rsidR="00A16F28" w:rsidRDefault="00BF435D" w:rsidP="002C01B0">
      <w:pPr>
        <w:ind w:left="720"/>
        <w:jc w:val="both"/>
        <w:rPr>
          <w:sz w:val="22"/>
          <w:szCs w:val="22"/>
        </w:rPr>
      </w:pPr>
      <w:r>
        <w:rPr>
          <w:sz w:val="22"/>
          <w:szCs w:val="22"/>
        </w:rPr>
        <w:tab/>
      </w:r>
      <w:r>
        <w:rPr>
          <w:sz w:val="22"/>
          <w:szCs w:val="22"/>
        </w:rPr>
        <w:tab/>
      </w:r>
      <w:r>
        <w:rPr>
          <w:sz w:val="22"/>
          <w:szCs w:val="22"/>
        </w:rPr>
        <w:tab/>
      </w:r>
    </w:p>
    <w:p w14:paraId="1DFD5C0B" w14:textId="769932FF" w:rsidR="00A16F28" w:rsidRDefault="00BF435D" w:rsidP="002C01B0">
      <w:pPr>
        <w:jc w:val="both"/>
        <w:rPr>
          <w:b/>
          <w:sz w:val="22"/>
          <w:szCs w:val="22"/>
        </w:rPr>
      </w:pPr>
      <w:r>
        <w:rPr>
          <w:b/>
          <w:sz w:val="22"/>
          <w:szCs w:val="22"/>
        </w:rPr>
        <w:t>Causes and Consequences of housing unaffordability</w:t>
      </w:r>
    </w:p>
    <w:p w14:paraId="6E4648B6" w14:textId="77777777" w:rsidR="007A0C08" w:rsidRDefault="007A0C08" w:rsidP="002C01B0">
      <w:pPr>
        <w:jc w:val="both"/>
        <w:rPr>
          <w:b/>
          <w:sz w:val="22"/>
          <w:szCs w:val="22"/>
        </w:rPr>
      </w:pPr>
    </w:p>
    <w:p w14:paraId="1DFD5C0C" w14:textId="77777777" w:rsidR="00A16F28" w:rsidRDefault="00BF435D" w:rsidP="002C01B0">
      <w:pPr>
        <w:numPr>
          <w:ilvl w:val="0"/>
          <w:numId w:val="1"/>
        </w:numPr>
        <w:jc w:val="both"/>
        <w:rPr>
          <w:sz w:val="22"/>
          <w:szCs w:val="22"/>
        </w:rPr>
      </w:pPr>
      <w:r>
        <w:rPr>
          <w:sz w:val="22"/>
          <w:szCs w:val="22"/>
        </w:rPr>
        <w:t xml:space="preserve">What are the main reasons why housing is unaffordable to certain persons or groups in your country? Please provide if possible as good links to (scientific) studies that have analysed such reasons. </w:t>
      </w:r>
    </w:p>
    <w:p w14:paraId="1DFD5C0D" w14:textId="77777777" w:rsidR="00A16F28" w:rsidRDefault="00A16F28" w:rsidP="002C01B0">
      <w:pPr>
        <w:ind w:left="720"/>
        <w:jc w:val="both"/>
        <w:rPr>
          <w:sz w:val="22"/>
          <w:szCs w:val="22"/>
        </w:rPr>
      </w:pPr>
    </w:p>
    <w:p w14:paraId="1DFD5C0E" w14:textId="77777777" w:rsidR="00A16F28" w:rsidRDefault="00BF435D" w:rsidP="002C01B0">
      <w:pPr>
        <w:ind w:left="720"/>
        <w:jc w:val="both"/>
        <w:rPr>
          <w:sz w:val="22"/>
          <w:szCs w:val="22"/>
          <w:u w:val="single"/>
        </w:rPr>
      </w:pPr>
      <w:r>
        <w:rPr>
          <w:sz w:val="22"/>
          <w:szCs w:val="22"/>
          <w:u w:val="single"/>
        </w:rPr>
        <w:t>Answer</w:t>
      </w:r>
    </w:p>
    <w:p w14:paraId="6CE5E659" w14:textId="77777777" w:rsidR="002C01B0" w:rsidRDefault="002C01B0" w:rsidP="002C01B0">
      <w:pPr>
        <w:ind w:left="720"/>
        <w:jc w:val="both"/>
        <w:rPr>
          <w:sz w:val="22"/>
          <w:szCs w:val="22"/>
        </w:rPr>
      </w:pPr>
    </w:p>
    <w:p w14:paraId="0D0F1389" w14:textId="29474622" w:rsidR="002C01B0" w:rsidRDefault="00A61542" w:rsidP="002C01B0">
      <w:pPr>
        <w:pStyle w:val="NormalWeb"/>
        <w:spacing w:before="0" w:beforeAutospacing="0" w:after="0" w:afterAutospacing="0"/>
        <w:ind w:left="720"/>
        <w:jc w:val="both"/>
        <w:rPr>
          <w:color w:val="0070C0"/>
        </w:rPr>
      </w:pPr>
      <w:r>
        <w:rPr>
          <w:color w:val="0070C0"/>
          <w:sz w:val="22"/>
          <w:szCs w:val="22"/>
        </w:rPr>
        <w:t xml:space="preserve">A gap between supply and demand has caused </w:t>
      </w:r>
      <w:r w:rsidR="002C01B0" w:rsidRPr="002C01B0">
        <w:rPr>
          <w:color w:val="0070C0"/>
          <w:sz w:val="22"/>
          <w:szCs w:val="22"/>
        </w:rPr>
        <w:t xml:space="preserve">affordability </w:t>
      </w:r>
      <w:r>
        <w:rPr>
          <w:color w:val="0070C0"/>
          <w:sz w:val="22"/>
          <w:szCs w:val="22"/>
        </w:rPr>
        <w:t xml:space="preserve">problem. </w:t>
      </w:r>
      <w:r w:rsidR="002C01B0" w:rsidRPr="002C01B0">
        <w:rPr>
          <w:color w:val="0070C0"/>
          <w:sz w:val="22"/>
          <w:szCs w:val="22"/>
        </w:rPr>
        <w:t>This gap is caused by various factors, including the high population growth rate and high urbanization in cities that is not balanced with the provision of adequate housing.</w:t>
      </w:r>
    </w:p>
    <w:p w14:paraId="75572A94" w14:textId="77777777" w:rsidR="002C01B0" w:rsidRDefault="002C01B0" w:rsidP="002C01B0">
      <w:pPr>
        <w:pStyle w:val="NormalWeb"/>
        <w:spacing w:before="0" w:beforeAutospacing="0" w:after="0" w:afterAutospacing="0"/>
        <w:ind w:left="720"/>
        <w:jc w:val="both"/>
        <w:rPr>
          <w:color w:val="0070C0"/>
          <w:sz w:val="22"/>
          <w:szCs w:val="22"/>
        </w:rPr>
      </w:pPr>
    </w:p>
    <w:p w14:paraId="0DA66A8C" w14:textId="71C45412" w:rsidR="002C01B0" w:rsidRDefault="002C01B0" w:rsidP="002C01B0">
      <w:pPr>
        <w:pStyle w:val="NormalWeb"/>
        <w:spacing w:before="0" w:beforeAutospacing="0" w:after="0" w:afterAutospacing="0"/>
        <w:ind w:left="720"/>
        <w:jc w:val="both"/>
        <w:rPr>
          <w:color w:val="0070C0"/>
        </w:rPr>
      </w:pPr>
      <w:r w:rsidRPr="002C01B0">
        <w:rPr>
          <w:color w:val="0070C0"/>
          <w:sz w:val="22"/>
          <w:szCs w:val="22"/>
        </w:rPr>
        <w:t xml:space="preserve">From the demand side, the main problem is the low ability, especially </w:t>
      </w:r>
      <w:r w:rsidR="00A61542">
        <w:rPr>
          <w:color w:val="0070C0"/>
          <w:sz w:val="22"/>
          <w:szCs w:val="22"/>
        </w:rPr>
        <w:t xml:space="preserve">of </w:t>
      </w:r>
      <w:r w:rsidRPr="002C01B0">
        <w:rPr>
          <w:color w:val="0070C0"/>
          <w:sz w:val="22"/>
          <w:szCs w:val="22"/>
        </w:rPr>
        <w:t xml:space="preserve">the </w:t>
      </w:r>
      <w:r w:rsidR="0085208F">
        <w:rPr>
          <w:color w:val="0070C0"/>
          <w:sz w:val="22"/>
          <w:szCs w:val="22"/>
        </w:rPr>
        <w:t>MBR</w:t>
      </w:r>
      <w:r w:rsidRPr="002C01B0">
        <w:rPr>
          <w:color w:val="0070C0"/>
          <w:sz w:val="22"/>
          <w:szCs w:val="22"/>
        </w:rPr>
        <w:t xml:space="preserve">, to buy decent houses or to build them independently. </w:t>
      </w:r>
      <w:r w:rsidR="00A61542">
        <w:rPr>
          <w:color w:val="0070C0"/>
          <w:sz w:val="22"/>
          <w:szCs w:val="22"/>
        </w:rPr>
        <w:t>There are</w:t>
      </w:r>
      <w:r w:rsidRPr="0085208F">
        <w:rPr>
          <w:color w:val="0070C0"/>
          <w:sz w:val="22"/>
          <w:szCs w:val="22"/>
        </w:rPr>
        <w:t xml:space="preserve"> 62% of informal </w:t>
      </w:r>
      <w:r w:rsidR="007A0C08" w:rsidRPr="0085208F">
        <w:rPr>
          <w:color w:val="0070C0"/>
          <w:sz w:val="22"/>
          <w:szCs w:val="22"/>
        </w:rPr>
        <w:t>workers</w:t>
      </w:r>
      <w:r w:rsidRPr="0085208F">
        <w:rPr>
          <w:color w:val="0070C0"/>
          <w:sz w:val="22"/>
          <w:szCs w:val="22"/>
        </w:rPr>
        <w:t xml:space="preserve"> </w:t>
      </w:r>
      <w:r w:rsidR="00A61542">
        <w:rPr>
          <w:color w:val="0070C0"/>
          <w:sz w:val="22"/>
          <w:szCs w:val="22"/>
        </w:rPr>
        <w:t xml:space="preserve">who </w:t>
      </w:r>
      <w:r w:rsidR="00A61542">
        <w:rPr>
          <w:color w:val="0070C0"/>
          <w:sz w:val="22"/>
          <w:szCs w:val="22"/>
        </w:rPr>
        <w:lastRenderedPageBreak/>
        <w:t>have income</w:t>
      </w:r>
      <w:r w:rsidRPr="0085208F">
        <w:rPr>
          <w:color w:val="0070C0"/>
          <w:sz w:val="22"/>
          <w:szCs w:val="22"/>
        </w:rPr>
        <w:t xml:space="preserve"> below the Minimum Wage, 37% have incomes between the Minimum Wage and </w:t>
      </w:r>
      <w:r w:rsidR="007A0C08" w:rsidRPr="0085208F">
        <w:rPr>
          <w:color w:val="0070C0"/>
          <w:sz w:val="22"/>
          <w:szCs w:val="22"/>
        </w:rPr>
        <w:t xml:space="preserve">IDR </w:t>
      </w:r>
      <w:r w:rsidRPr="0085208F">
        <w:rPr>
          <w:color w:val="0070C0"/>
          <w:sz w:val="22"/>
          <w:szCs w:val="22"/>
        </w:rPr>
        <w:t xml:space="preserve">8 million, and 1% have incomes above </w:t>
      </w:r>
      <w:r w:rsidR="007A0C08" w:rsidRPr="0085208F">
        <w:rPr>
          <w:color w:val="0070C0"/>
          <w:sz w:val="22"/>
          <w:szCs w:val="22"/>
        </w:rPr>
        <w:t xml:space="preserve">IDR </w:t>
      </w:r>
      <w:r w:rsidRPr="0085208F">
        <w:rPr>
          <w:color w:val="0070C0"/>
          <w:sz w:val="22"/>
          <w:szCs w:val="22"/>
        </w:rPr>
        <w:t xml:space="preserve">8 million. </w:t>
      </w:r>
      <w:r w:rsidR="00A61542">
        <w:rPr>
          <w:color w:val="0070C0"/>
          <w:sz w:val="22"/>
          <w:szCs w:val="22"/>
        </w:rPr>
        <w:t xml:space="preserve">Around </w:t>
      </w:r>
      <w:r w:rsidRPr="0085208F">
        <w:rPr>
          <w:color w:val="0070C0"/>
          <w:sz w:val="22"/>
          <w:szCs w:val="22"/>
        </w:rPr>
        <w:t xml:space="preserve">43% of informal </w:t>
      </w:r>
      <w:r w:rsidR="007A0C08" w:rsidRPr="0085208F">
        <w:rPr>
          <w:color w:val="0070C0"/>
          <w:sz w:val="22"/>
          <w:szCs w:val="22"/>
        </w:rPr>
        <w:t>workers</w:t>
      </w:r>
      <w:r w:rsidRPr="0085208F">
        <w:rPr>
          <w:color w:val="0070C0"/>
          <w:sz w:val="22"/>
          <w:szCs w:val="22"/>
        </w:rPr>
        <w:t xml:space="preserve"> have highly fluctuating incomes, making it difficult to obtain long-term financing such as</w:t>
      </w:r>
      <w:r w:rsidR="007A0C08" w:rsidRPr="0085208F">
        <w:rPr>
          <w:color w:val="0070C0"/>
          <w:sz w:val="22"/>
          <w:szCs w:val="22"/>
        </w:rPr>
        <w:t xml:space="preserve"> mortgage </w:t>
      </w:r>
      <w:r w:rsidRPr="0085208F">
        <w:rPr>
          <w:color w:val="0070C0"/>
          <w:sz w:val="22"/>
          <w:szCs w:val="22"/>
        </w:rPr>
        <w:t xml:space="preserve">from financial institutions. In addition, only 30% of informal </w:t>
      </w:r>
      <w:r w:rsidR="007A0C08" w:rsidRPr="0085208F">
        <w:rPr>
          <w:color w:val="0070C0"/>
          <w:sz w:val="22"/>
          <w:szCs w:val="22"/>
        </w:rPr>
        <w:t xml:space="preserve">workers in the </w:t>
      </w:r>
      <w:r w:rsidRPr="0085208F">
        <w:rPr>
          <w:color w:val="0070C0"/>
          <w:sz w:val="22"/>
          <w:szCs w:val="22"/>
        </w:rPr>
        <w:t>MBR</w:t>
      </w:r>
      <w:r w:rsidR="007A0C08" w:rsidRPr="0085208F">
        <w:rPr>
          <w:color w:val="0070C0"/>
          <w:sz w:val="22"/>
          <w:szCs w:val="22"/>
        </w:rPr>
        <w:t xml:space="preserve"> category</w:t>
      </w:r>
      <w:r w:rsidRPr="0085208F">
        <w:rPr>
          <w:color w:val="0070C0"/>
          <w:sz w:val="22"/>
          <w:szCs w:val="22"/>
        </w:rPr>
        <w:t xml:space="preserve"> have savings accounts, </w:t>
      </w:r>
      <w:r w:rsidR="00A61542">
        <w:rPr>
          <w:color w:val="0070C0"/>
          <w:sz w:val="22"/>
          <w:szCs w:val="22"/>
        </w:rPr>
        <w:t>despite</w:t>
      </w:r>
      <w:r w:rsidRPr="0085208F">
        <w:rPr>
          <w:color w:val="0070C0"/>
          <w:sz w:val="22"/>
          <w:szCs w:val="22"/>
        </w:rPr>
        <w:t xml:space="preserve"> hav</w:t>
      </w:r>
      <w:r w:rsidR="00A61542">
        <w:rPr>
          <w:color w:val="0070C0"/>
          <w:sz w:val="22"/>
          <w:szCs w:val="22"/>
        </w:rPr>
        <w:t>ing</w:t>
      </w:r>
      <w:r w:rsidRPr="0085208F">
        <w:rPr>
          <w:color w:val="0070C0"/>
          <w:sz w:val="22"/>
          <w:szCs w:val="22"/>
        </w:rPr>
        <w:t xml:space="preserve"> the ability to save per month </w:t>
      </w:r>
      <w:r w:rsidR="00A61542">
        <w:rPr>
          <w:color w:val="0070C0"/>
          <w:sz w:val="22"/>
          <w:szCs w:val="22"/>
        </w:rPr>
        <w:t xml:space="preserve">generally </w:t>
      </w:r>
      <w:r w:rsidRPr="0085208F">
        <w:rPr>
          <w:color w:val="0070C0"/>
          <w:sz w:val="22"/>
          <w:szCs w:val="22"/>
        </w:rPr>
        <w:t xml:space="preserve">ranging from </w:t>
      </w:r>
      <w:r w:rsidR="007A0C08" w:rsidRPr="0085208F">
        <w:rPr>
          <w:color w:val="0070C0"/>
          <w:sz w:val="22"/>
          <w:szCs w:val="22"/>
        </w:rPr>
        <w:t xml:space="preserve">IDR </w:t>
      </w:r>
      <w:r w:rsidRPr="0085208F">
        <w:rPr>
          <w:color w:val="0070C0"/>
          <w:sz w:val="22"/>
          <w:szCs w:val="22"/>
        </w:rPr>
        <w:t xml:space="preserve">400,000 to </w:t>
      </w:r>
      <w:r w:rsidR="007A0C08" w:rsidRPr="0085208F">
        <w:rPr>
          <w:color w:val="0070C0"/>
          <w:sz w:val="22"/>
          <w:szCs w:val="22"/>
        </w:rPr>
        <w:t xml:space="preserve">IDR </w:t>
      </w:r>
      <w:r w:rsidRPr="0085208F">
        <w:rPr>
          <w:color w:val="0070C0"/>
          <w:sz w:val="22"/>
          <w:szCs w:val="22"/>
        </w:rPr>
        <w:t>1,200,000</w:t>
      </w:r>
      <w:r w:rsidR="007A0C08" w:rsidRPr="0085208F">
        <w:rPr>
          <w:color w:val="0070C0"/>
          <w:sz w:val="22"/>
          <w:szCs w:val="22"/>
        </w:rPr>
        <w:t>.</w:t>
      </w:r>
    </w:p>
    <w:p w14:paraId="1FE1673F" w14:textId="77777777" w:rsidR="002C01B0" w:rsidRDefault="002C01B0" w:rsidP="002C01B0">
      <w:pPr>
        <w:pStyle w:val="NormalWeb"/>
        <w:spacing w:before="0" w:beforeAutospacing="0" w:after="0" w:afterAutospacing="0"/>
        <w:ind w:left="720"/>
        <w:jc w:val="both"/>
        <w:rPr>
          <w:color w:val="0070C0"/>
          <w:sz w:val="22"/>
          <w:szCs w:val="22"/>
        </w:rPr>
      </w:pPr>
    </w:p>
    <w:p w14:paraId="0DC63598" w14:textId="6D1E807A" w:rsidR="002C01B0" w:rsidRPr="00A61542" w:rsidRDefault="002C01B0" w:rsidP="00A61542">
      <w:pPr>
        <w:pStyle w:val="NormalWeb"/>
        <w:spacing w:before="0" w:beforeAutospacing="0" w:after="0" w:afterAutospacing="0"/>
        <w:ind w:left="720"/>
        <w:jc w:val="both"/>
        <w:rPr>
          <w:color w:val="0070C0"/>
          <w:sz w:val="22"/>
          <w:szCs w:val="22"/>
        </w:rPr>
      </w:pPr>
      <w:r w:rsidRPr="002C01B0">
        <w:rPr>
          <w:color w:val="0070C0"/>
          <w:sz w:val="22"/>
          <w:szCs w:val="22"/>
        </w:rPr>
        <w:t>From the supply side, affordable ho</w:t>
      </w:r>
      <w:r w:rsidR="00A61542">
        <w:rPr>
          <w:color w:val="0070C0"/>
          <w:sz w:val="22"/>
          <w:szCs w:val="22"/>
        </w:rPr>
        <w:t>uses</w:t>
      </w:r>
      <w:r w:rsidRPr="002C01B0">
        <w:rPr>
          <w:color w:val="0070C0"/>
          <w:sz w:val="22"/>
          <w:szCs w:val="22"/>
        </w:rPr>
        <w:t xml:space="preserve"> for MBR provided by developers</w:t>
      </w:r>
      <w:r w:rsidR="00A61542">
        <w:rPr>
          <w:color w:val="0070C0"/>
          <w:sz w:val="22"/>
          <w:szCs w:val="22"/>
        </w:rPr>
        <w:t xml:space="preserve"> are limited</w:t>
      </w:r>
      <w:r w:rsidRPr="002C01B0">
        <w:rPr>
          <w:color w:val="0070C0"/>
          <w:sz w:val="22"/>
          <w:szCs w:val="22"/>
        </w:rPr>
        <w:t>.</w:t>
      </w:r>
      <w:r w:rsidR="008067AB">
        <w:rPr>
          <w:color w:val="0070C0"/>
        </w:rPr>
        <w:t xml:space="preserve"> </w:t>
      </w:r>
      <w:r w:rsidR="00A61542">
        <w:rPr>
          <w:color w:val="0070C0"/>
          <w:sz w:val="22"/>
          <w:szCs w:val="22"/>
        </w:rPr>
        <w:t xml:space="preserve">The scarcity of land due to limited </w:t>
      </w:r>
      <w:r w:rsidRPr="002C01B0">
        <w:rPr>
          <w:color w:val="0070C0"/>
          <w:sz w:val="22"/>
          <w:szCs w:val="22"/>
        </w:rPr>
        <w:t xml:space="preserve">land with adequate size and price for housing development, especially in urban areas, </w:t>
      </w:r>
      <w:r w:rsidR="00A61542">
        <w:rPr>
          <w:color w:val="0070C0"/>
          <w:sz w:val="22"/>
          <w:szCs w:val="22"/>
        </w:rPr>
        <w:t>also has caused</w:t>
      </w:r>
      <w:r w:rsidRPr="002C01B0">
        <w:rPr>
          <w:color w:val="0070C0"/>
          <w:sz w:val="22"/>
          <w:szCs w:val="22"/>
        </w:rPr>
        <w:t xml:space="preserve"> </w:t>
      </w:r>
      <w:r w:rsidR="00A61542">
        <w:rPr>
          <w:color w:val="0070C0"/>
          <w:sz w:val="22"/>
          <w:szCs w:val="22"/>
        </w:rPr>
        <w:t xml:space="preserve">the rising </w:t>
      </w:r>
      <w:r w:rsidRPr="002C01B0">
        <w:rPr>
          <w:color w:val="0070C0"/>
          <w:sz w:val="22"/>
          <w:szCs w:val="22"/>
        </w:rPr>
        <w:t>land prices and homes</w:t>
      </w:r>
      <w:r w:rsidR="00A61542">
        <w:rPr>
          <w:color w:val="0070C0"/>
          <w:sz w:val="22"/>
          <w:szCs w:val="22"/>
        </w:rPr>
        <w:t>.</w:t>
      </w:r>
    </w:p>
    <w:p w14:paraId="1DFD5C10" w14:textId="77777777" w:rsidR="00A16F28" w:rsidRDefault="00BF435D" w:rsidP="002C01B0">
      <w:pPr>
        <w:jc w:val="both"/>
        <w:rPr>
          <w:sz w:val="22"/>
          <w:szCs w:val="22"/>
        </w:rPr>
      </w:pPr>
      <w:r>
        <w:rPr>
          <w:sz w:val="22"/>
          <w:szCs w:val="22"/>
        </w:rPr>
        <w:tab/>
      </w:r>
      <w:r>
        <w:rPr>
          <w:sz w:val="22"/>
          <w:szCs w:val="22"/>
        </w:rPr>
        <w:tab/>
      </w:r>
      <w:r>
        <w:rPr>
          <w:sz w:val="22"/>
          <w:szCs w:val="22"/>
        </w:rPr>
        <w:tab/>
      </w:r>
    </w:p>
    <w:p w14:paraId="1DFD5C11" w14:textId="77777777" w:rsidR="00A16F28" w:rsidRDefault="00BF435D" w:rsidP="002C01B0">
      <w:pPr>
        <w:numPr>
          <w:ilvl w:val="0"/>
          <w:numId w:val="1"/>
        </w:numPr>
        <w:jc w:val="both"/>
        <w:rPr>
          <w:sz w:val="22"/>
          <w:szCs w:val="22"/>
        </w:rPr>
      </w:pPr>
      <w:r>
        <w:rPr>
          <w:sz w:val="22"/>
          <w:szCs w:val="22"/>
        </w:rPr>
        <w:t>What percentage of land is owned or otherwise controlled by the State or other public entities, as contrasted with private entities (both for-profit and not-for-profit)?  Please explain if there are any policies or laws which seek to control the price of land, and prevent land speculation including its supply and finance.</w:t>
      </w:r>
    </w:p>
    <w:p w14:paraId="1DFD5C13" w14:textId="77777777" w:rsidR="00A16F28" w:rsidRDefault="00A16F28" w:rsidP="008067AB">
      <w:pPr>
        <w:jc w:val="both"/>
        <w:rPr>
          <w:sz w:val="22"/>
          <w:szCs w:val="22"/>
          <w:u w:val="single"/>
        </w:rPr>
      </w:pPr>
    </w:p>
    <w:p w14:paraId="1DFD5C14" w14:textId="77777777" w:rsidR="00A16F28" w:rsidRPr="008067AB" w:rsidRDefault="00BF435D" w:rsidP="002C01B0">
      <w:pPr>
        <w:ind w:left="720"/>
        <w:jc w:val="both"/>
        <w:rPr>
          <w:color w:val="0070C0"/>
          <w:sz w:val="22"/>
          <w:szCs w:val="22"/>
          <w:u w:val="single"/>
        </w:rPr>
      </w:pPr>
      <w:r w:rsidRPr="008067AB">
        <w:rPr>
          <w:color w:val="0070C0"/>
          <w:sz w:val="22"/>
          <w:szCs w:val="22"/>
          <w:u w:val="single"/>
        </w:rPr>
        <w:t>Answer</w:t>
      </w:r>
    </w:p>
    <w:p w14:paraId="636AE069" w14:textId="04B49095" w:rsidR="002C01B0" w:rsidRDefault="002C01B0" w:rsidP="002C01B0">
      <w:pPr>
        <w:ind w:left="720"/>
        <w:jc w:val="both"/>
        <w:rPr>
          <w:sz w:val="22"/>
          <w:szCs w:val="22"/>
        </w:rPr>
      </w:pPr>
    </w:p>
    <w:p w14:paraId="4ECEDD57" w14:textId="3564897E" w:rsidR="002C01B0" w:rsidRPr="002C01B0" w:rsidRDefault="00A61542" w:rsidP="002C01B0">
      <w:pPr>
        <w:ind w:left="720"/>
        <w:jc w:val="both"/>
        <w:rPr>
          <w:sz w:val="22"/>
          <w:szCs w:val="22"/>
        </w:rPr>
      </w:pPr>
      <w:r>
        <w:rPr>
          <w:color w:val="0070C0"/>
          <w:sz w:val="22"/>
          <w:szCs w:val="22"/>
        </w:rPr>
        <w:t>A</w:t>
      </w:r>
      <w:r w:rsidR="002C01B0" w:rsidRPr="002C01B0">
        <w:rPr>
          <w:color w:val="0070C0"/>
          <w:sz w:val="22"/>
          <w:szCs w:val="22"/>
        </w:rPr>
        <w:t xml:space="preserve"> special agency called the Land Bank</w:t>
      </w:r>
      <w:r>
        <w:rPr>
          <w:color w:val="0070C0"/>
          <w:sz w:val="22"/>
          <w:szCs w:val="22"/>
        </w:rPr>
        <w:t xml:space="preserve"> </w:t>
      </w:r>
      <w:r w:rsidR="002C01B0" w:rsidRPr="002C01B0">
        <w:rPr>
          <w:color w:val="0070C0"/>
          <w:sz w:val="22"/>
          <w:szCs w:val="22"/>
        </w:rPr>
        <w:t xml:space="preserve">Agency </w:t>
      </w:r>
      <w:r>
        <w:rPr>
          <w:color w:val="0070C0"/>
          <w:sz w:val="22"/>
          <w:szCs w:val="22"/>
        </w:rPr>
        <w:t xml:space="preserve">is </w:t>
      </w:r>
      <w:r w:rsidR="002C01B0" w:rsidRPr="002C01B0">
        <w:rPr>
          <w:color w:val="0070C0"/>
          <w:sz w:val="22"/>
          <w:szCs w:val="22"/>
        </w:rPr>
        <w:t xml:space="preserve">established with special authority to manage state land based on </w:t>
      </w:r>
      <w:r w:rsidR="002C01B0">
        <w:rPr>
          <w:color w:val="0070C0"/>
          <w:sz w:val="22"/>
          <w:szCs w:val="22"/>
        </w:rPr>
        <w:t>Government</w:t>
      </w:r>
      <w:r w:rsidR="002C01B0" w:rsidRPr="002C01B0">
        <w:rPr>
          <w:color w:val="0070C0"/>
          <w:sz w:val="22"/>
          <w:szCs w:val="22"/>
        </w:rPr>
        <w:t xml:space="preserve"> Regulation No. 64 of 2021 </w:t>
      </w:r>
      <w:r w:rsidR="002C01B0">
        <w:rPr>
          <w:color w:val="0070C0"/>
          <w:sz w:val="22"/>
          <w:szCs w:val="22"/>
        </w:rPr>
        <w:t xml:space="preserve">on Land Bank </w:t>
      </w:r>
      <w:r w:rsidR="002C01B0" w:rsidRPr="002C01B0">
        <w:rPr>
          <w:color w:val="0070C0"/>
          <w:sz w:val="22"/>
          <w:szCs w:val="22"/>
        </w:rPr>
        <w:t xml:space="preserve">and Presidential Regulation No. 113 of 2021. Article 13(c) of the Government Regulation No. 64 of 2021 states that the Land Bank </w:t>
      </w:r>
      <w:r>
        <w:rPr>
          <w:color w:val="0070C0"/>
          <w:sz w:val="22"/>
          <w:szCs w:val="22"/>
        </w:rPr>
        <w:t>serves</w:t>
      </w:r>
      <w:r w:rsidR="002C01B0" w:rsidRPr="002C01B0">
        <w:rPr>
          <w:color w:val="0070C0"/>
          <w:sz w:val="22"/>
          <w:szCs w:val="22"/>
        </w:rPr>
        <w:t xml:space="preserve"> </w:t>
      </w:r>
      <w:r>
        <w:rPr>
          <w:color w:val="0070C0"/>
          <w:sz w:val="22"/>
          <w:szCs w:val="22"/>
        </w:rPr>
        <w:t>to</w:t>
      </w:r>
      <w:r w:rsidR="002C01B0" w:rsidRPr="002C01B0">
        <w:rPr>
          <w:color w:val="0070C0"/>
          <w:sz w:val="22"/>
          <w:szCs w:val="22"/>
        </w:rPr>
        <w:t xml:space="preserve"> control the value/price of land and prevents land speculation. </w:t>
      </w:r>
    </w:p>
    <w:p w14:paraId="29C56C12" w14:textId="77777777" w:rsidR="002C01B0" w:rsidRDefault="002C01B0" w:rsidP="002C01B0">
      <w:pPr>
        <w:jc w:val="both"/>
        <w:rPr>
          <w:color w:val="0070C0"/>
          <w:sz w:val="22"/>
          <w:szCs w:val="22"/>
        </w:rPr>
      </w:pPr>
    </w:p>
    <w:p w14:paraId="1DFD5C1D" w14:textId="556A3A11" w:rsidR="00A16F28" w:rsidRPr="00162F5B" w:rsidRDefault="00A61542" w:rsidP="00162F5B">
      <w:pPr>
        <w:ind w:left="720"/>
        <w:jc w:val="both"/>
        <w:rPr>
          <w:color w:val="0070C0"/>
          <w:sz w:val="22"/>
          <w:szCs w:val="22"/>
        </w:rPr>
      </w:pPr>
      <w:r>
        <w:rPr>
          <w:color w:val="0070C0"/>
          <w:sz w:val="22"/>
          <w:szCs w:val="22"/>
        </w:rPr>
        <w:t>Ministry of Public Works and Housing,</w:t>
      </w:r>
      <w:r w:rsidRPr="002C01B0">
        <w:rPr>
          <w:color w:val="0070C0"/>
          <w:sz w:val="22"/>
          <w:szCs w:val="22"/>
        </w:rPr>
        <w:t xml:space="preserve"> and the Ministry of Agrarian Affairs and Spatial Planning</w:t>
      </w:r>
      <w:r>
        <w:rPr>
          <w:color w:val="0070C0"/>
          <w:sz w:val="22"/>
          <w:szCs w:val="22"/>
        </w:rPr>
        <w:t xml:space="preserve"> </w:t>
      </w:r>
      <w:r w:rsidRPr="002C01B0">
        <w:rPr>
          <w:color w:val="0070C0"/>
          <w:sz w:val="22"/>
          <w:szCs w:val="22"/>
        </w:rPr>
        <w:t>/</w:t>
      </w:r>
      <w:r>
        <w:rPr>
          <w:color w:val="0070C0"/>
          <w:sz w:val="22"/>
          <w:szCs w:val="22"/>
        </w:rPr>
        <w:t xml:space="preserve"> </w:t>
      </w:r>
      <w:r w:rsidRPr="002C01B0">
        <w:rPr>
          <w:color w:val="0070C0"/>
          <w:sz w:val="22"/>
          <w:szCs w:val="22"/>
        </w:rPr>
        <w:t xml:space="preserve">National Land Agency </w:t>
      </w:r>
      <w:r>
        <w:rPr>
          <w:color w:val="0070C0"/>
          <w:sz w:val="22"/>
          <w:szCs w:val="22"/>
        </w:rPr>
        <w:t>is initiating</w:t>
      </w:r>
      <w:r w:rsidR="002C01B0" w:rsidRPr="002C01B0">
        <w:rPr>
          <w:color w:val="0070C0"/>
          <w:sz w:val="22"/>
          <w:szCs w:val="22"/>
        </w:rPr>
        <w:t xml:space="preserve"> to develop a</w:t>
      </w:r>
      <w:r>
        <w:rPr>
          <w:color w:val="0070C0"/>
          <w:sz w:val="22"/>
          <w:szCs w:val="22"/>
        </w:rPr>
        <w:t xml:space="preserve"> </w:t>
      </w:r>
      <w:r w:rsidR="002C01B0" w:rsidRPr="002C01B0">
        <w:rPr>
          <w:color w:val="0070C0"/>
          <w:sz w:val="22"/>
          <w:szCs w:val="22"/>
        </w:rPr>
        <w:t xml:space="preserve">Memorandum of Understanding (MoU) </w:t>
      </w:r>
      <w:r>
        <w:rPr>
          <w:color w:val="0070C0"/>
          <w:sz w:val="22"/>
          <w:szCs w:val="22"/>
        </w:rPr>
        <w:t>on</w:t>
      </w:r>
      <w:r w:rsidR="002C01B0" w:rsidRPr="002C01B0">
        <w:rPr>
          <w:color w:val="0070C0"/>
          <w:sz w:val="22"/>
          <w:szCs w:val="22"/>
        </w:rPr>
        <w:t xml:space="preserve"> </w:t>
      </w:r>
      <w:r>
        <w:rPr>
          <w:color w:val="0070C0"/>
          <w:sz w:val="22"/>
          <w:szCs w:val="22"/>
        </w:rPr>
        <w:t>land data sharing</w:t>
      </w:r>
      <w:r w:rsidR="002C01B0">
        <w:rPr>
          <w:color w:val="0070C0"/>
          <w:sz w:val="22"/>
          <w:szCs w:val="22"/>
        </w:rPr>
        <w:t xml:space="preserve"> in Indonesia</w:t>
      </w:r>
      <w:r w:rsidR="002C01B0" w:rsidRPr="002C01B0">
        <w:rPr>
          <w:color w:val="0070C0"/>
          <w:sz w:val="22"/>
          <w:szCs w:val="22"/>
        </w:rPr>
        <w:t>.</w:t>
      </w:r>
      <w:r w:rsidR="002C01B0">
        <w:rPr>
          <w:color w:val="0070C0"/>
          <w:sz w:val="22"/>
          <w:szCs w:val="22"/>
        </w:rPr>
        <w:t xml:space="preserve"> </w:t>
      </w:r>
      <w:r w:rsidR="00BF435D" w:rsidRPr="00162F5B">
        <w:rPr>
          <w:color w:val="0070C0"/>
          <w:sz w:val="22"/>
          <w:szCs w:val="22"/>
        </w:rPr>
        <w:t>Currently, the Ministry of Agrarian and Spatial Planning</w:t>
      </w:r>
      <w:r w:rsidR="00665E85">
        <w:rPr>
          <w:color w:val="0070C0"/>
          <w:sz w:val="22"/>
          <w:szCs w:val="22"/>
        </w:rPr>
        <w:t xml:space="preserve"> </w:t>
      </w:r>
      <w:r w:rsidR="00BF435D" w:rsidRPr="00162F5B">
        <w:rPr>
          <w:color w:val="0070C0"/>
          <w:sz w:val="22"/>
          <w:szCs w:val="22"/>
        </w:rPr>
        <w:t>/</w:t>
      </w:r>
      <w:r w:rsidR="00665E85">
        <w:rPr>
          <w:color w:val="0070C0"/>
          <w:sz w:val="22"/>
          <w:szCs w:val="22"/>
        </w:rPr>
        <w:t xml:space="preserve"> </w:t>
      </w:r>
      <w:r w:rsidR="00BF435D" w:rsidRPr="00162F5B">
        <w:rPr>
          <w:color w:val="0070C0"/>
          <w:sz w:val="22"/>
          <w:szCs w:val="22"/>
        </w:rPr>
        <w:t xml:space="preserve">National Land Agency is in the process of establishing a national land pricing system to achieve equitable land values.   </w:t>
      </w:r>
      <w:r w:rsidR="00BF435D">
        <w:rPr>
          <w:sz w:val="22"/>
          <w:szCs w:val="22"/>
        </w:rPr>
        <w:tab/>
      </w:r>
    </w:p>
    <w:p w14:paraId="1DFD5C1F" w14:textId="31B09DDF" w:rsidR="00A16F28" w:rsidRPr="00162F5B" w:rsidRDefault="00BF435D" w:rsidP="00162F5B">
      <w:pPr>
        <w:ind w:left="720"/>
        <w:jc w:val="both"/>
        <w:rPr>
          <w:sz w:val="22"/>
          <w:szCs w:val="22"/>
        </w:rPr>
      </w:pPr>
      <w:r>
        <w:rPr>
          <w:sz w:val="22"/>
          <w:szCs w:val="22"/>
        </w:rPr>
        <w:tab/>
      </w:r>
      <w:r>
        <w:rPr>
          <w:sz w:val="22"/>
          <w:szCs w:val="22"/>
        </w:rPr>
        <w:tab/>
      </w:r>
      <w:r>
        <w:rPr>
          <w:sz w:val="22"/>
          <w:szCs w:val="22"/>
        </w:rPr>
        <w:tab/>
      </w:r>
    </w:p>
    <w:p w14:paraId="1DFD5C20" w14:textId="5B0DFB39" w:rsidR="00A16F28" w:rsidRDefault="00BF435D" w:rsidP="002C01B0">
      <w:pPr>
        <w:numPr>
          <w:ilvl w:val="0"/>
          <w:numId w:val="1"/>
        </w:numPr>
        <w:jc w:val="both"/>
        <w:rPr>
          <w:sz w:val="22"/>
          <w:szCs w:val="22"/>
        </w:rPr>
      </w:pPr>
      <w:r>
        <w:rPr>
          <w:sz w:val="22"/>
          <w:szCs w:val="22"/>
        </w:rPr>
        <w:t xml:space="preserve">How many households have, during the last ten years been evicted because of their non-payment of housing costs?  Please provide, if possible, more information on the socio-economic profile of the concerned households. </w:t>
      </w:r>
    </w:p>
    <w:p w14:paraId="426BAC33" w14:textId="77777777" w:rsidR="008067AB" w:rsidRDefault="008067AB" w:rsidP="008067AB">
      <w:pPr>
        <w:ind w:left="720"/>
        <w:jc w:val="both"/>
        <w:rPr>
          <w:sz w:val="22"/>
          <w:szCs w:val="22"/>
        </w:rPr>
      </w:pPr>
    </w:p>
    <w:p w14:paraId="1DFD5C21" w14:textId="37B9FFFD" w:rsidR="00A16F28" w:rsidRPr="00DE0C26" w:rsidRDefault="00BF435D" w:rsidP="002C01B0">
      <w:pPr>
        <w:ind w:left="720"/>
        <w:jc w:val="both"/>
        <w:rPr>
          <w:color w:val="0070C0"/>
          <w:sz w:val="22"/>
          <w:szCs w:val="22"/>
          <w:u w:val="single"/>
        </w:rPr>
      </w:pPr>
      <w:r w:rsidRPr="00DE0C26">
        <w:rPr>
          <w:color w:val="0070C0"/>
          <w:sz w:val="22"/>
          <w:szCs w:val="22"/>
          <w:u w:val="single"/>
        </w:rPr>
        <w:t>Answer</w:t>
      </w:r>
    </w:p>
    <w:p w14:paraId="759E501E" w14:textId="48D106CB" w:rsidR="008067AB" w:rsidRDefault="008067AB" w:rsidP="002C01B0">
      <w:pPr>
        <w:ind w:left="720"/>
        <w:jc w:val="both"/>
        <w:rPr>
          <w:sz w:val="22"/>
          <w:szCs w:val="22"/>
          <w:u w:val="single"/>
        </w:rPr>
      </w:pPr>
    </w:p>
    <w:p w14:paraId="1DFD5C2A" w14:textId="5F57880C" w:rsidR="00A16F28" w:rsidRDefault="00DE0C26" w:rsidP="00544583">
      <w:pPr>
        <w:ind w:left="720"/>
        <w:jc w:val="both"/>
        <w:rPr>
          <w:color w:val="0070C0"/>
          <w:sz w:val="22"/>
          <w:szCs w:val="22"/>
        </w:rPr>
      </w:pPr>
      <w:r w:rsidRPr="00DE0C26">
        <w:rPr>
          <w:color w:val="0070C0"/>
          <w:sz w:val="22"/>
          <w:szCs w:val="22"/>
        </w:rPr>
        <w:t xml:space="preserve">Most of the problems with </w:t>
      </w:r>
      <w:r w:rsidR="00365E1C">
        <w:rPr>
          <w:color w:val="0070C0"/>
          <w:sz w:val="22"/>
          <w:szCs w:val="22"/>
        </w:rPr>
        <w:t xml:space="preserve">housing </w:t>
      </w:r>
      <w:r w:rsidRPr="00DE0C26">
        <w:rPr>
          <w:color w:val="0070C0"/>
          <w:sz w:val="22"/>
          <w:szCs w:val="22"/>
        </w:rPr>
        <w:t>evictions</w:t>
      </w:r>
      <w:r w:rsidR="00365E1C">
        <w:rPr>
          <w:color w:val="0070C0"/>
          <w:sz w:val="22"/>
          <w:szCs w:val="22"/>
        </w:rPr>
        <w:t xml:space="preserve"> in Indonesia</w:t>
      </w:r>
      <w:r w:rsidRPr="00DE0C26">
        <w:rPr>
          <w:color w:val="0070C0"/>
          <w:sz w:val="22"/>
          <w:szCs w:val="22"/>
        </w:rPr>
        <w:t xml:space="preserve"> </w:t>
      </w:r>
      <w:r w:rsidR="00365E1C">
        <w:rPr>
          <w:color w:val="0070C0"/>
          <w:sz w:val="22"/>
          <w:szCs w:val="22"/>
        </w:rPr>
        <w:t>were</w:t>
      </w:r>
      <w:r w:rsidRPr="00DE0C26">
        <w:rPr>
          <w:color w:val="0070C0"/>
          <w:sz w:val="22"/>
          <w:szCs w:val="22"/>
        </w:rPr>
        <w:t xml:space="preserve"> caused by </w:t>
      </w:r>
      <w:r w:rsidR="00365E1C">
        <w:rPr>
          <w:color w:val="0070C0"/>
          <w:sz w:val="22"/>
          <w:szCs w:val="22"/>
        </w:rPr>
        <w:t>violation of spatial planning or illegal construction of houses</w:t>
      </w:r>
      <w:r w:rsidRPr="00DE0C26">
        <w:rPr>
          <w:color w:val="0070C0"/>
          <w:sz w:val="22"/>
          <w:szCs w:val="22"/>
        </w:rPr>
        <w:t>.</w:t>
      </w:r>
      <w:r w:rsidR="00365E1C">
        <w:rPr>
          <w:color w:val="0070C0"/>
          <w:sz w:val="22"/>
          <w:szCs w:val="22"/>
        </w:rPr>
        <w:t xml:space="preserve"> The Indonesian National Commission on Human Rights maintains a database on </w:t>
      </w:r>
      <w:r w:rsidR="00544583">
        <w:rPr>
          <w:color w:val="0070C0"/>
          <w:sz w:val="22"/>
          <w:szCs w:val="22"/>
        </w:rPr>
        <w:t xml:space="preserve">the number </w:t>
      </w:r>
      <w:r w:rsidR="00365E1C">
        <w:rPr>
          <w:color w:val="0070C0"/>
          <w:sz w:val="22"/>
          <w:szCs w:val="22"/>
        </w:rPr>
        <w:t>human rights violation complaints</w:t>
      </w:r>
      <w:r w:rsidR="00544583">
        <w:rPr>
          <w:color w:val="0070C0"/>
          <w:sz w:val="22"/>
          <w:szCs w:val="22"/>
        </w:rPr>
        <w:t xml:space="preserve"> submitted to the Commission, including complaints related to housing evictions,</w:t>
      </w:r>
      <w:r w:rsidR="00544583">
        <w:rPr>
          <w:rStyle w:val="FootnoteReference"/>
          <w:color w:val="0070C0"/>
          <w:sz w:val="22"/>
          <w:szCs w:val="22"/>
        </w:rPr>
        <w:footnoteReference w:id="3"/>
      </w:r>
      <w:r w:rsidR="00544583">
        <w:rPr>
          <w:color w:val="0070C0"/>
          <w:sz w:val="22"/>
          <w:szCs w:val="22"/>
        </w:rPr>
        <w:t xml:space="preserve"> although it does not specify the number of eviction complaints arising out of non-payment of housing costs in particular.</w:t>
      </w:r>
    </w:p>
    <w:p w14:paraId="19BA1130" w14:textId="77777777" w:rsidR="00544583" w:rsidRPr="00544583" w:rsidRDefault="00544583" w:rsidP="00544583">
      <w:pPr>
        <w:ind w:left="720"/>
        <w:jc w:val="both"/>
        <w:rPr>
          <w:color w:val="0070C0"/>
          <w:sz w:val="22"/>
          <w:szCs w:val="22"/>
        </w:rPr>
      </w:pPr>
    </w:p>
    <w:p w14:paraId="1DFD5C2B" w14:textId="77777777" w:rsidR="00A16F28" w:rsidRDefault="00BF435D" w:rsidP="002C01B0">
      <w:pPr>
        <w:numPr>
          <w:ilvl w:val="0"/>
          <w:numId w:val="1"/>
        </w:numPr>
        <w:jc w:val="both"/>
        <w:rPr>
          <w:sz w:val="22"/>
          <w:szCs w:val="22"/>
        </w:rPr>
      </w:pPr>
      <w:r>
        <w:rPr>
          <w:sz w:val="22"/>
          <w:szCs w:val="22"/>
        </w:rPr>
        <w:t>How many individuals, households or groups have, during the last ten years, been rendered homeless because of the inability to afford housing?  Please provide a breakdown of the socio-economic characteristics of such individuals.</w:t>
      </w:r>
    </w:p>
    <w:p w14:paraId="1DFD5C2C" w14:textId="77777777" w:rsidR="00A16F28" w:rsidRDefault="00A16F28" w:rsidP="002C01B0">
      <w:pPr>
        <w:jc w:val="both"/>
        <w:rPr>
          <w:sz w:val="22"/>
          <w:szCs w:val="22"/>
        </w:rPr>
      </w:pPr>
    </w:p>
    <w:p w14:paraId="1DFD5C2D" w14:textId="77777777" w:rsidR="00A16F28" w:rsidRDefault="00BF435D" w:rsidP="00162F5B">
      <w:pPr>
        <w:ind w:firstLine="720"/>
        <w:jc w:val="both"/>
        <w:rPr>
          <w:sz w:val="22"/>
          <w:szCs w:val="22"/>
          <w:u w:val="single"/>
        </w:rPr>
      </w:pPr>
      <w:r>
        <w:rPr>
          <w:sz w:val="22"/>
          <w:szCs w:val="22"/>
          <w:u w:val="single"/>
        </w:rPr>
        <w:t>Answer</w:t>
      </w:r>
    </w:p>
    <w:p w14:paraId="53149CBD" w14:textId="77777777" w:rsidR="00A5723A" w:rsidRDefault="00BF435D" w:rsidP="00A5723A">
      <w:pPr>
        <w:jc w:val="both"/>
        <w:rPr>
          <w:sz w:val="22"/>
          <w:szCs w:val="22"/>
        </w:rPr>
      </w:pPr>
      <w:r>
        <w:rPr>
          <w:sz w:val="22"/>
          <w:szCs w:val="22"/>
        </w:rPr>
        <w:tab/>
      </w:r>
    </w:p>
    <w:p w14:paraId="1DFD5C3F" w14:textId="1874C83C" w:rsidR="00A16F28" w:rsidRDefault="00A61542" w:rsidP="00A5723A">
      <w:pPr>
        <w:ind w:left="720"/>
        <w:jc w:val="both"/>
        <w:rPr>
          <w:color w:val="0070C0"/>
          <w:sz w:val="22"/>
          <w:szCs w:val="22"/>
        </w:rPr>
      </w:pPr>
      <w:r>
        <w:rPr>
          <w:color w:val="0070C0"/>
          <w:sz w:val="22"/>
          <w:szCs w:val="22"/>
        </w:rPr>
        <w:t>According to the</w:t>
      </w:r>
      <w:r w:rsidR="00A5723A" w:rsidRPr="00A5723A">
        <w:rPr>
          <w:color w:val="0070C0"/>
          <w:sz w:val="22"/>
          <w:szCs w:val="22"/>
        </w:rPr>
        <w:t xml:space="preserve"> data from Bank Indonesia, non-performing loans</w:t>
      </w:r>
      <w:r w:rsidR="00A5723A">
        <w:rPr>
          <w:color w:val="0070C0"/>
          <w:sz w:val="22"/>
          <w:szCs w:val="22"/>
        </w:rPr>
        <w:t xml:space="preserve"> (NPL)</w:t>
      </w:r>
      <w:r w:rsidR="00A5723A" w:rsidRPr="00A5723A">
        <w:rPr>
          <w:color w:val="0070C0"/>
          <w:sz w:val="22"/>
          <w:szCs w:val="22"/>
        </w:rPr>
        <w:t xml:space="preserve"> for housing loans on landed properties from 2016 to March 2023 have shown a decreasing trend. As of March 2023, the NPL for </w:t>
      </w:r>
      <w:r w:rsidR="002552FA">
        <w:rPr>
          <w:color w:val="0070C0"/>
          <w:sz w:val="22"/>
          <w:szCs w:val="22"/>
        </w:rPr>
        <w:t xml:space="preserve">MBR who purchase subsidised </w:t>
      </w:r>
      <w:r w:rsidR="00A5723A" w:rsidRPr="00A5723A">
        <w:rPr>
          <w:color w:val="0070C0"/>
          <w:sz w:val="22"/>
          <w:szCs w:val="22"/>
        </w:rPr>
        <w:t>houses (22 to 70 m</w:t>
      </w:r>
      <w:r w:rsidR="006A216A">
        <w:rPr>
          <w:color w:val="0070C0"/>
          <w:sz w:val="22"/>
          <w:szCs w:val="22"/>
        </w:rPr>
        <w:t>eter square</w:t>
      </w:r>
      <w:r w:rsidR="00A5723A" w:rsidRPr="00A5723A">
        <w:rPr>
          <w:color w:val="0070C0"/>
          <w:sz w:val="22"/>
          <w:szCs w:val="22"/>
        </w:rPr>
        <w:t>) is 1.95%, while the NPL for houses larger than 70 m2 is 2.59%.</w:t>
      </w:r>
      <w:r w:rsidR="00A5723A">
        <w:rPr>
          <w:color w:val="0070C0"/>
          <w:sz w:val="22"/>
          <w:szCs w:val="22"/>
        </w:rPr>
        <w:t xml:space="preserve"> </w:t>
      </w:r>
      <w:r w:rsidR="00A5723A" w:rsidRPr="00A5723A">
        <w:rPr>
          <w:color w:val="0070C0"/>
          <w:sz w:val="22"/>
          <w:szCs w:val="22"/>
        </w:rPr>
        <w:t xml:space="preserve">Based on Bank </w:t>
      </w:r>
      <w:r w:rsidR="00A5723A" w:rsidRPr="00A5723A">
        <w:rPr>
          <w:color w:val="0070C0"/>
          <w:sz w:val="22"/>
          <w:szCs w:val="22"/>
        </w:rPr>
        <w:lastRenderedPageBreak/>
        <w:t xml:space="preserve">Indonesia's residential property survey in 2022, more than 69% of Indonesian </w:t>
      </w:r>
      <w:r w:rsidR="00665E85">
        <w:rPr>
          <w:color w:val="0070C0"/>
          <w:sz w:val="22"/>
          <w:szCs w:val="22"/>
        </w:rPr>
        <w:t>homeowners purchase</w:t>
      </w:r>
      <w:r w:rsidR="00A5723A" w:rsidRPr="00A5723A">
        <w:rPr>
          <w:color w:val="0070C0"/>
          <w:sz w:val="22"/>
          <w:szCs w:val="22"/>
        </w:rPr>
        <w:t xml:space="preserve"> their ho</w:t>
      </w:r>
      <w:r w:rsidR="00665E85">
        <w:rPr>
          <w:color w:val="0070C0"/>
          <w:sz w:val="22"/>
          <w:szCs w:val="22"/>
        </w:rPr>
        <w:t>use</w:t>
      </w:r>
      <w:r w:rsidR="00A5723A" w:rsidRPr="00A5723A">
        <w:rPr>
          <w:color w:val="0070C0"/>
          <w:sz w:val="22"/>
          <w:szCs w:val="22"/>
        </w:rPr>
        <w:t xml:space="preserve"> through a mortgage, while the rest through gradual cash payments and direct cash payments.</w:t>
      </w:r>
    </w:p>
    <w:p w14:paraId="1091A4C4" w14:textId="3E6A9D17" w:rsidR="00F909F3" w:rsidRDefault="00F909F3" w:rsidP="00A5723A">
      <w:pPr>
        <w:ind w:left="720"/>
        <w:jc w:val="both"/>
        <w:rPr>
          <w:color w:val="0070C0"/>
          <w:sz w:val="22"/>
          <w:szCs w:val="22"/>
        </w:rPr>
      </w:pPr>
    </w:p>
    <w:p w14:paraId="1B194370" w14:textId="213591DD" w:rsidR="00F909F3" w:rsidRPr="00A5723A" w:rsidRDefault="00D1663F" w:rsidP="00A5723A">
      <w:pPr>
        <w:ind w:left="720"/>
        <w:jc w:val="both"/>
        <w:rPr>
          <w:color w:val="0070C0"/>
          <w:sz w:val="22"/>
          <w:szCs w:val="22"/>
        </w:rPr>
      </w:pPr>
      <w:r>
        <w:rPr>
          <w:color w:val="0070C0"/>
          <w:sz w:val="22"/>
          <w:szCs w:val="22"/>
        </w:rPr>
        <w:t xml:space="preserve">A unique aspect of the housing unaffordability issue in Indonesia is the cultural factor, where kinship and familial bond may prevent homelessness arising out of housing unaffordability. For instance, </w:t>
      </w:r>
      <w:r w:rsidR="00CC7347">
        <w:rPr>
          <w:color w:val="0070C0"/>
          <w:sz w:val="22"/>
          <w:szCs w:val="22"/>
        </w:rPr>
        <w:t xml:space="preserve">individuals or </w:t>
      </w:r>
      <w:r w:rsidR="00111268">
        <w:rPr>
          <w:color w:val="0070C0"/>
          <w:sz w:val="22"/>
          <w:szCs w:val="22"/>
        </w:rPr>
        <w:t>newlyweds</w:t>
      </w:r>
      <w:r>
        <w:rPr>
          <w:color w:val="0070C0"/>
          <w:sz w:val="22"/>
          <w:szCs w:val="22"/>
        </w:rPr>
        <w:t xml:space="preserve"> that could not </w:t>
      </w:r>
      <w:r w:rsidR="001D06A5">
        <w:rPr>
          <w:color w:val="0070C0"/>
          <w:sz w:val="22"/>
          <w:szCs w:val="22"/>
        </w:rPr>
        <w:t>afford to own or rent</w:t>
      </w:r>
      <w:r>
        <w:rPr>
          <w:color w:val="0070C0"/>
          <w:sz w:val="22"/>
          <w:szCs w:val="22"/>
        </w:rPr>
        <w:t xml:space="preserve"> a ho</w:t>
      </w:r>
      <w:r w:rsidR="001D06A5">
        <w:rPr>
          <w:color w:val="0070C0"/>
          <w:sz w:val="22"/>
          <w:szCs w:val="22"/>
        </w:rPr>
        <w:t>use</w:t>
      </w:r>
      <w:r>
        <w:rPr>
          <w:color w:val="0070C0"/>
          <w:sz w:val="22"/>
          <w:szCs w:val="22"/>
        </w:rPr>
        <w:t xml:space="preserve"> may temporarily live with their parents or extended family, forming multigenerational homes that are quite common in Indonesia. In this context, </w:t>
      </w:r>
      <w:r w:rsidR="00CC7347">
        <w:rPr>
          <w:color w:val="0070C0"/>
          <w:sz w:val="22"/>
          <w:szCs w:val="22"/>
        </w:rPr>
        <w:t xml:space="preserve">inadequate living condition (such as </w:t>
      </w:r>
      <w:r>
        <w:rPr>
          <w:color w:val="0070C0"/>
          <w:sz w:val="22"/>
          <w:szCs w:val="22"/>
        </w:rPr>
        <w:t xml:space="preserve">overcrowding </w:t>
      </w:r>
      <w:r w:rsidR="00CC7347">
        <w:rPr>
          <w:color w:val="0070C0"/>
          <w:sz w:val="22"/>
          <w:szCs w:val="22"/>
        </w:rPr>
        <w:t>or</w:t>
      </w:r>
      <w:r>
        <w:rPr>
          <w:color w:val="0070C0"/>
          <w:sz w:val="22"/>
          <w:szCs w:val="22"/>
        </w:rPr>
        <w:t xml:space="preserve"> </w:t>
      </w:r>
      <w:r w:rsidR="00CC7347">
        <w:rPr>
          <w:color w:val="0070C0"/>
          <w:sz w:val="22"/>
          <w:szCs w:val="22"/>
        </w:rPr>
        <w:t>limited access to</w:t>
      </w:r>
      <w:r>
        <w:rPr>
          <w:color w:val="0070C0"/>
          <w:sz w:val="22"/>
          <w:szCs w:val="22"/>
        </w:rPr>
        <w:t xml:space="preserve"> water and sanitation</w:t>
      </w:r>
      <w:r w:rsidR="00CC7347">
        <w:rPr>
          <w:color w:val="0070C0"/>
          <w:sz w:val="22"/>
          <w:szCs w:val="22"/>
        </w:rPr>
        <w:t>)</w:t>
      </w:r>
      <w:r>
        <w:rPr>
          <w:color w:val="0070C0"/>
          <w:sz w:val="22"/>
          <w:szCs w:val="22"/>
        </w:rPr>
        <w:t xml:space="preserve"> becomes the primary issue arising out of housing unaffordability instead of homelessness.</w:t>
      </w:r>
    </w:p>
    <w:p w14:paraId="28279ADC" w14:textId="129FB8FD" w:rsidR="00A5723A" w:rsidRDefault="00A5723A" w:rsidP="00A5723A">
      <w:pPr>
        <w:jc w:val="both"/>
        <w:rPr>
          <w:sz w:val="22"/>
          <w:szCs w:val="22"/>
        </w:rPr>
      </w:pPr>
      <w:r>
        <w:rPr>
          <w:sz w:val="22"/>
          <w:szCs w:val="22"/>
        </w:rPr>
        <w:tab/>
      </w:r>
    </w:p>
    <w:p w14:paraId="1DFD5C40" w14:textId="77777777" w:rsidR="00A16F28" w:rsidRDefault="00BF435D" w:rsidP="002C01B0">
      <w:pPr>
        <w:numPr>
          <w:ilvl w:val="0"/>
          <w:numId w:val="1"/>
        </w:numPr>
        <w:jc w:val="both"/>
        <w:rPr>
          <w:sz w:val="22"/>
          <w:szCs w:val="22"/>
        </w:rPr>
      </w:pPr>
      <w:r>
        <w:rPr>
          <w:sz w:val="22"/>
          <w:szCs w:val="22"/>
        </w:rPr>
        <w:t>Please describe how housing unaffordability impacts the capacity of individuals and families to enjoy their other human rights including rights to work, health, education, and access to personal security in all its dimensions.</w:t>
      </w:r>
    </w:p>
    <w:p w14:paraId="1DFD5C41" w14:textId="77777777" w:rsidR="00A16F28" w:rsidRDefault="00A16F28" w:rsidP="002C01B0">
      <w:pPr>
        <w:ind w:left="720"/>
        <w:jc w:val="both"/>
        <w:rPr>
          <w:sz w:val="22"/>
          <w:szCs w:val="22"/>
        </w:rPr>
      </w:pPr>
    </w:p>
    <w:p w14:paraId="1DFD5C42" w14:textId="77777777" w:rsidR="00A16F28" w:rsidRPr="000F59C5" w:rsidRDefault="00BF435D" w:rsidP="002C01B0">
      <w:pPr>
        <w:ind w:left="720"/>
        <w:jc w:val="both"/>
        <w:rPr>
          <w:color w:val="0070C0"/>
          <w:sz w:val="22"/>
          <w:szCs w:val="22"/>
        </w:rPr>
      </w:pPr>
      <w:r w:rsidRPr="000F59C5">
        <w:rPr>
          <w:color w:val="0070C0"/>
          <w:sz w:val="22"/>
          <w:szCs w:val="22"/>
          <w:u w:val="single"/>
        </w:rPr>
        <w:t>Answer</w:t>
      </w:r>
    </w:p>
    <w:p w14:paraId="5588AFC2" w14:textId="77777777" w:rsidR="00143E4E" w:rsidRDefault="00143E4E" w:rsidP="002C01B0">
      <w:pPr>
        <w:ind w:left="720"/>
        <w:jc w:val="both"/>
        <w:rPr>
          <w:sz w:val="22"/>
          <w:szCs w:val="22"/>
        </w:rPr>
      </w:pPr>
    </w:p>
    <w:p w14:paraId="57A2F0D3" w14:textId="7B0C6F9F" w:rsidR="00E06B63" w:rsidRDefault="00143E4E" w:rsidP="00E06B63">
      <w:pPr>
        <w:ind w:left="720"/>
        <w:jc w:val="both"/>
        <w:rPr>
          <w:color w:val="0070C0"/>
          <w:sz w:val="22"/>
          <w:szCs w:val="22"/>
        </w:rPr>
      </w:pPr>
      <w:r w:rsidRPr="00143E4E">
        <w:rPr>
          <w:color w:val="0070C0"/>
          <w:sz w:val="22"/>
          <w:szCs w:val="22"/>
        </w:rPr>
        <w:t xml:space="preserve">Housing is one of the basic human </w:t>
      </w:r>
      <w:r w:rsidR="00665E85">
        <w:rPr>
          <w:color w:val="0070C0"/>
          <w:sz w:val="22"/>
          <w:szCs w:val="22"/>
        </w:rPr>
        <w:t>needs</w:t>
      </w:r>
      <w:r w:rsidRPr="00143E4E">
        <w:rPr>
          <w:color w:val="0070C0"/>
          <w:sz w:val="22"/>
          <w:szCs w:val="22"/>
        </w:rPr>
        <w:t xml:space="preserve">, after food and clothing. </w:t>
      </w:r>
      <w:r w:rsidR="00E06B63">
        <w:rPr>
          <w:color w:val="0070C0"/>
          <w:sz w:val="22"/>
          <w:szCs w:val="22"/>
        </w:rPr>
        <w:t>The need for housing</w:t>
      </w:r>
      <w:r w:rsidRPr="00143E4E">
        <w:rPr>
          <w:color w:val="0070C0"/>
          <w:sz w:val="22"/>
          <w:szCs w:val="22"/>
        </w:rPr>
        <w:t xml:space="preserve"> is not only about meeting basic needs </w:t>
      </w:r>
      <w:r w:rsidR="00E06B63">
        <w:rPr>
          <w:color w:val="0070C0"/>
          <w:sz w:val="22"/>
          <w:szCs w:val="22"/>
        </w:rPr>
        <w:t xml:space="preserve">for </w:t>
      </w:r>
      <w:r w:rsidRPr="00143E4E">
        <w:rPr>
          <w:color w:val="0070C0"/>
          <w:sz w:val="22"/>
          <w:szCs w:val="22"/>
        </w:rPr>
        <w:t xml:space="preserve">safety and security, but also becoming a dwelling and shelter for families. </w:t>
      </w:r>
      <w:r w:rsidR="00E06B63">
        <w:rPr>
          <w:color w:val="0070C0"/>
          <w:sz w:val="22"/>
          <w:szCs w:val="22"/>
        </w:rPr>
        <w:t xml:space="preserve">Having adequate and affordable housing </w:t>
      </w:r>
      <w:r w:rsidR="00E06B63" w:rsidRPr="00143E4E">
        <w:rPr>
          <w:color w:val="0070C0"/>
          <w:sz w:val="22"/>
          <w:szCs w:val="22"/>
        </w:rPr>
        <w:t xml:space="preserve">will </w:t>
      </w:r>
      <w:r w:rsidR="00E06B63">
        <w:rPr>
          <w:color w:val="0070C0"/>
          <w:sz w:val="22"/>
          <w:szCs w:val="22"/>
        </w:rPr>
        <w:t>provide</w:t>
      </w:r>
      <w:r w:rsidR="00E06B63" w:rsidRPr="00143E4E">
        <w:rPr>
          <w:color w:val="0070C0"/>
          <w:sz w:val="22"/>
          <w:szCs w:val="22"/>
        </w:rPr>
        <w:t xml:space="preserve"> the sense of securit</w:t>
      </w:r>
      <w:r w:rsidR="00E06B63">
        <w:rPr>
          <w:color w:val="0070C0"/>
          <w:sz w:val="22"/>
          <w:szCs w:val="22"/>
        </w:rPr>
        <w:t xml:space="preserve">y and encourage better attainment of </w:t>
      </w:r>
      <w:r w:rsidR="00E06B63" w:rsidRPr="00143E4E">
        <w:rPr>
          <w:color w:val="0070C0"/>
          <w:sz w:val="22"/>
          <w:szCs w:val="22"/>
        </w:rPr>
        <w:t>education</w:t>
      </w:r>
      <w:r w:rsidR="00726207">
        <w:rPr>
          <w:color w:val="0070C0"/>
          <w:sz w:val="22"/>
          <w:szCs w:val="22"/>
        </w:rPr>
        <w:t>,</w:t>
      </w:r>
      <w:r w:rsidR="00E06B63" w:rsidRPr="00143E4E">
        <w:rPr>
          <w:color w:val="0070C0"/>
          <w:sz w:val="22"/>
          <w:szCs w:val="22"/>
        </w:rPr>
        <w:t xml:space="preserve"> health</w:t>
      </w:r>
      <w:r w:rsidR="00726207">
        <w:rPr>
          <w:color w:val="0070C0"/>
          <w:sz w:val="22"/>
          <w:szCs w:val="22"/>
        </w:rPr>
        <w:t>, and employment;</w:t>
      </w:r>
      <w:r w:rsidR="00E06B63" w:rsidRPr="00143E4E">
        <w:rPr>
          <w:color w:val="0070C0"/>
          <w:sz w:val="22"/>
          <w:szCs w:val="22"/>
        </w:rPr>
        <w:t xml:space="preserve"> </w:t>
      </w:r>
      <w:r w:rsidR="00726207">
        <w:rPr>
          <w:color w:val="0070C0"/>
          <w:sz w:val="22"/>
          <w:szCs w:val="22"/>
        </w:rPr>
        <w:t>while</w:t>
      </w:r>
      <w:r w:rsidR="00E06B63">
        <w:rPr>
          <w:color w:val="0070C0"/>
          <w:sz w:val="22"/>
          <w:szCs w:val="22"/>
        </w:rPr>
        <w:t xml:space="preserve"> housing unaffordability</w:t>
      </w:r>
      <w:r w:rsidR="00E06B63" w:rsidRPr="00143E4E">
        <w:rPr>
          <w:color w:val="0070C0"/>
          <w:sz w:val="22"/>
          <w:szCs w:val="22"/>
        </w:rPr>
        <w:t xml:space="preserve"> can have an impact on the quality of health, education, and security.</w:t>
      </w:r>
    </w:p>
    <w:p w14:paraId="1DFD5C4C" w14:textId="7BEAAAA1" w:rsidR="00A16F28" w:rsidRDefault="00BF435D" w:rsidP="00A61542">
      <w:pPr>
        <w:jc w:val="both"/>
        <w:rPr>
          <w:sz w:val="22"/>
          <w:szCs w:val="22"/>
        </w:rPr>
      </w:pPr>
      <w:r>
        <w:rPr>
          <w:sz w:val="22"/>
          <w:szCs w:val="22"/>
        </w:rPr>
        <w:tab/>
      </w:r>
    </w:p>
    <w:p w14:paraId="1DFD5C4D" w14:textId="3132A266" w:rsidR="00A16F28" w:rsidRDefault="00BF435D" w:rsidP="002C01B0">
      <w:pPr>
        <w:jc w:val="both"/>
        <w:rPr>
          <w:b/>
          <w:sz w:val="22"/>
          <w:szCs w:val="22"/>
        </w:rPr>
      </w:pPr>
      <w:r>
        <w:rPr>
          <w:b/>
          <w:sz w:val="22"/>
          <w:szCs w:val="22"/>
        </w:rPr>
        <w:t>Laws, policies, programmes and practices aiming to ensure that housing is affordable to all without discrimination</w:t>
      </w:r>
    </w:p>
    <w:p w14:paraId="7E8CEF67" w14:textId="77777777" w:rsidR="00323259" w:rsidRDefault="00323259" w:rsidP="002C01B0">
      <w:pPr>
        <w:jc w:val="both"/>
        <w:rPr>
          <w:b/>
          <w:sz w:val="22"/>
          <w:szCs w:val="22"/>
        </w:rPr>
      </w:pPr>
    </w:p>
    <w:p w14:paraId="1DFD5C4E" w14:textId="77777777" w:rsidR="00A16F28" w:rsidRDefault="00BF435D" w:rsidP="002C01B0">
      <w:pPr>
        <w:numPr>
          <w:ilvl w:val="0"/>
          <w:numId w:val="1"/>
        </w:numPr>
        <w:jc w:val="both"/>
        <w:rPr>
          <w:sz w:val="22"/>
          <w:szCs w:val="22"/>
        </w:rPr>
      </w:pPr>
      <w:r>
        <w:rPr>
          <w:sz w:val="22"/>
          <w:szCs w:val="22"/>
        </w:rPr>
        <w:t xml:space="preserve">Please share an overview of the laws, policies, programmes and practices adopted in your country/region/city to ensure that housing is affordable for all without any discrimination, Please, provide links to relevant official texts.  </w:t>
      </w:r>
    </w:p>
    <w:p w14:paraId="1DFD5C4F" w14:textId="1186357D" w:rsidR="00A16F28" w:rsidRDefault="00BF435D" w:rsidP="002C01B0">
      <w:pPr>
        <w:ind w:left="720"/>
        <w:jc w:val="both"/>
        <w:rPr>
          <w:sz w:val="22"/>
          <w:szCs w:val="22"/>
        </w:rPr>
      </w:pPr>
      <w:r>
        <w:rPr>
          <w:sz w:val="22"/>
          <w:szCs w:val="22"/>
        </w:rPr>
        <w:t xml:space="preserve">(e.g. affordable housing, social and energy cost subsidies, preferential mortgage, building support schemes, provision of social and public housing, of serviced land for </w:t>
      </w:r>
      <w:r w:rsidR="007A1326">
        <w:rPr>
          <w:sz w:val="22"/>
          <w:szCs w:val="22"/>
        </w:rPr>
        <w:t>self-build</w:t>
      </w:r>
      <w:r>
        <w:rPr>
          <w:sz w:val="22"/>
          <w:szCs w:val="22"/>
        </w:rPr>
        <w:t xml:space="preserve">, rent containment and rent control measures, taxation, measures to reduce housing vacancy, multi-stakeholder initiatives by State, local Governments, construction industry, housing providers, tenant unions etc). </w:t>
      </w:r>
    </w:p>
    <w:p w14:paraId="49E0C7BB" w14:textId="77777777" w:rsidR="006A216A" w:rsidRDefault="00BF435D" w:rsidP="002C01B0">
      <w:pPr>
        <w:jc w:val="both"/>
        <w:rPr>
          <w:sz w:val="22"/>
          <w:szCs w:val="22"/>
        </w:rPr>
      </w:pPr>
      <w:r>
        <w:rPr>
          <w:sz w:val="22"/>
          <w:szCs w:val="22"/>
        </w:rPr>
        <w:tab/>
      </w:r>
    </w:p>
    <w:p w14:paraId="1DFD5C50" w14:textId="0E2C05A2" w:rsidR="00A16F28" w:rsidRPr="00D417FD" w:rsidRDefault="00BF435D" w:rsidP="006A216A">
      <w:pPr>
        <w:ind w:firstLine="720"/>
        <w:jc w:val="both"/>
        <w:rPr>
          <w:color w:val="0070C0"/>
          <w:sz w:val="22"/>
          <w:szCs w:val="22"/>
          <w:u w:val="single"/>
        </w:rPr>
      </w:pPr>
      <w:r w:rsidRPr="00D417FD">
        <w:rPr>
          <w:color w:val="0070C0"/>
          <w:sz w:val="22"/>
          <w:szCs w:val="22"/>
          <w:u w:val="single"/>
        </w:rPr>
        <w:t>Answer</w:t>
      </w:r>
    </w:p>
    <w:p w14:paraId="77E95B12" w14:textId="79F5E7F6" w:rsidR="006A216A" w:rsidRDefault="006A216A" w:rsidP="002C01B0">
      <w:pPr>
        <w:ind w:left="720"/>
        <w:jc w:val="both"/>
        <w:rPr>
          <w:sz w:val="22"/>
          <w:szCs w:val="22"/>
        </w:rPr>
      </w:pPr>
    </w:p>
    <w:p w14:paraId="21576EE0" w14:textId="3245462B" w:rsidR="00E62D18" w:rsidRPr="00B24B1D" w:rsidRDefault="00B24B1D" w:rsidP="00E62D18">
      <w:pPr>
        <w:ind w:left="720"/>
        <w:jc w:val="both"/>
        <w:rPr>
          <w:b/>
          <w:color w:val="0070C0"/>
          <w:sz w:val="22"/>
          <w:szCs w:val="22"/>
        </w:rPr>
      </w:pPr>
      <w:r w:rsidRPr="00B24B1D">
        <w:rPr>
          <w:b/>
          <w:color w:val="0070C0"/>
          <w:sz w:val="22"/>
          <w:szCs w:val="22"/>
        </w:rPr>
        <w:t>Laws:</w:t>
      </w:r>
    </w:p>
    <w:p w14:paraId="09DD9AAB" w14:textId="71AA9C68" w:rsidR="00C54E67" w:rsidRPr="00A61542" w:rsidRDefault="00C54E67" w:rsidP="00A61542">
      <w:pPr>
        <w:pStyle w:val="ListParagraph"/>
        <w:numPr>
          <w:ilvl w:val="0"/>
          <w:numId w:val="3"/>
        </w:numPr>
        <w:ind w:left="1134"/>
        <w:jc w:val="both"/>
        <w:rPr>
          <w:color w:val="0070C0"/>
          <w:sz w:val="22"/>
          <w:szCs w:val="22"/>
        </w:rPr>
      </w:pPr>
      <w:r w:rsidRPr="00F56B00">
        <w:rPr>
          <w:color w:val="0070C0"/>
          <w:sz w:val="22"/>
          <w:szCs w:val="22"/>
        </w:rPr>
        <w:t xml:space="preserve">Article 28 H(1) of the 1945 Constitution: </w:t>
      </w:r>
      <w:r w:rsidRPr="00A61542">
        <w:rPr>
          <w:color w:val="0070C0"/>
          <w:sz w:val="22"/>
          <w:szCs w:val="22"/>
        </w:rPr>
        <w:t>Every citizen has the right to be able to live in prosperity, physically and mentally, to have a place to live, and to have a good and healthy environment.</w:t>
      </w:r>
    </w:p>
    <w:p w14:paraId="15833C62" w14:textId="78E84334" w:rsidR="00C54E67" w:rsidRPr="00A61542" w:rsidRDefault="00C54E67" w:rsidP="00A61542">
      <w:pPr>
        <w:pStyle w:val="ListParagraph"/>
        <w:numPr>
          <w:ilvl w:val="0"/>
          <w:numId w:val="3"/>
        </w:numPr>
        <w:ind w:left="1134"/>
        <w:jc w:val="both"/>
        <w:rPr>
          <w:color w:val="0070C0"/>
          <w:sz w:val="22"/>
          <w:szCs w:val="22"/>
        </w:rPr>
      </w:pPr>
      <w:r w:rsidRPr="00F56B00">
        <w:rPr>
          <w:color w:val="0070C0"/>
          <w:sz w:val="22"/>
          <w:szCs w:val="22"/>
        </w:rPr>
        <w:t xml:space="preserve">Law </w:t>
      </w:r>
      <w:r w:rsidR="00C438C8" w:rsidRPr="00F56B00">
        <w:rPr>
          <w:color w:val="0070C0"/>
          <w:sz w:val="22"/>
          <w:szCs w:val="22"/>
        </w:rPr>
        <w:t xml:space="preserve">No. </w:t>
      </w:r>
      <w:r w:rsidRPr="00F56B00">
        <w:rPr>
          <w:color w:val="0070C0"/>
          <w:sz w:val="22"/>
          <w:szCs w:val="22"/>
        </w:rPr>
        <w:t>39 of 1999 on Human Rights</w:t>
      </w:r>
      <w:r w:rsidR="00C438C8" w:rsidRPr="00F56B00">
        <w:rPr>
          <w:color w:val="0070C0"/>
          <w:sz w:val="22"/>
          <w:szCs w:val="22"/>
        </w:rPr>
        <w:t>,</w:t>
      </w:r>
      <w:r w:rsidRPr="00F56B00">
        <w:rPr>
          <w:color w:val="0070C0"/>
          <w:sz w:val="22"/>
          <w:szCs w:val="22"/>
        </w:rPr>
        <w:t xml:space="preserve"> Article 40: </w:t>
      </w:r>
      <w:r w:rsidRPr="00A61542">
        <w:rPr>
          <w:color w:val="0070C0"/>
          <w:sz w:val="22"/>
          <w:szCs w:val="22"/>
        </w:rPr>
        <w:t>Everyone has the right to a place to live and a decent life.</w:t>
      </w:r>
    </w:p>
    <w:p w14:paraId="66B04029" w14:textId="66B324A6" w:rsidR="00C54E67" w:rsidRPr="00A61542" w:rsidRDefault="00C54E67" w:rsidP="00A61542">
      <w:pPr>
        <w:pStyle w:val="ListParagraph"/>
        <w:numPr>
          <w:ilvl w:val="0"/>
          <w:numId w:val="3"/>
        </w:numPr>
        <w:ind w:left="1134"/>
        <w:jc w:val="both"/>
        <w:rPr>
          <w:color w:val="0070C0"/>
          <w:sz w:val="22"/>
          <w:szCs w:val="22"/>
        </w:rPr>
      </w:pPr>
      <w:r w:rsidRPr="00F56B00">
        <w:rPr>
          <w:color w:val="0070C0"/>
          <w:sz w:val="22"/>
          <w:szCs w:val="22"/>
        </w:rPr>
        <w:t xml:space="preserve">Law </w:t>
      </w:r>
      <w:r w:rsidR="00C438C8" w:rsidRPr="00F56B00">
        <w:rPr>
          <w:color w:val="0070C0"/>
          <w:sz w:val="22"/>
          <w:szCs w:val="22"/>
        </w:rPr>
        <w:t xml:space="preserve">No. </w:t>
      </w:r>
      <w:r w:rsidRPr="00F56B00">
        <w:rPr>
          <w:color w:val="0070C0"/>
          <w:sz w:val="22"/>
          <w:szCs w:val="22"/>
        </w:rPr>
        <w:t>1 of 2011 on Housing and Settlement</w:t>
      </w:r>
      <w:r w:rsidR="00C438C8" w:rsidRPr="00F56B00">
        <w:rPr>
          <w:color w:val="0070C0"/>
          <w:sz w:val="22"/>
          <w:szCs w:val="22"/>
        </w:rPr>
        <w:t xml:space="preserve"> Areas</w:t>
      </w:r>
      <w:r w:rsidRPr="00F56B00">
        <w:rPr>
          <w:color w:val="0070C0"/>
          <w:sz w:val="22"/>
          <w:szCs w:val="22"/>
        </w:rPr>
        <w:t xml:space="preserve">, Article 2: </w:t>
      </w:r>
      <w:r w:rsidRPr="00A61542">
        <w:rPr>
          <w:color w:val="0070C0"/>
          <w:sz w:val="22"/>
          <w:szCs w:val="22"/>
        </w:rPr>
        <w:t xml:space="preserve">Housing and residential areas are organized on the basis of: a) welfare; b) justice and equity; c) nationality; d) efficiency and benefit; </w:t>
      </w:r>
      <w:r w:rsidRPr="00A61542">
        <w:rPr>
          <w:b/>
          <w:color w:val="0070C0"/>
          <w:sz w:val="22"/>
          <w:szCs w:val="22"/>
        </w:rPr>
        <w:t>e) affordability and convenience</w:t>
      </w:r>
      <w:r w:rsidRPr="00A61542">
        <w:rPr>
          <w:color w:val="0070C0"/>
          <w:sz w:val="22"/>
          <w:szCs w:val="22"/>
        </w:rPr>
        <w:t xml:space="preserve">; f) independence and togetherness; g) partnerships; h) harmony and balance; </w:t>
      </w:r>
      <w:proofErr w:type="spellStart"/>
      <w:r w:rsidRPr="00A61542">
        <w:rPr>
          <w:color w:val="0070C0"/>
          <w:sz w:val="22"/>
          <w:szCs w:val="22"/>
        </w:rPr>
        <w:t>i</w:t>
      </w:r>
      <w:proofErr w:type="spellEnd"/>
      <w:r w:rsidRPr="00A61542">
        <w:rPr>
          <w:color w:val="0070C0"/>
          <w:sz w:val="22"/>
          <w:szCs w:val="22"/>
        </w:rPr>
        <w:t>) cohesiveness; j) health; k) sustainability and sustainability; and l) safety, security, order and regularity.</w:t>
      </w:r>
    </w:p>
    <w:p w14:paraId="129A4674" w14:textId="5C9329BD" w:rsidR="00C54E67" w:rsidRPr="00A61542" w:rsidRDefault="00C54E67" w:rsidP="00A61542">
      <w:pPr>
        <w:pStyle w:val="ListParagraph"/>
        <w:numPr>
          <w:ilvl w:val="0"/>
          <w:numId w:val="3"/>
        </w:numPr>
        <w:ind w:left="1134"/>
        <w:jc w:val="both"/>
        <w:rPr>
          <w:color w:val="0070C0"/>
          <w:sz w:val="22"/>
          <w:szCs w:val="22"/>
        </w:rPr>
      </w:pPr>
      <w:r w:rsidRPr="00F56B00">
        <w:rPr>
          <w:color w:val="0070C0"/>
          <w:sz w:val="22"/>
          <w:szCs w:val="22"/>
        </w:rPr>
        <w:t xml:space="preserve">Law </w:t>
      </w:r>
      <w:r w:rsidR="00C438C8" w:rsidRPr="00F56B00">
        <w:rPr>
          <w:color w:val="0070C0"/>
          <w:sz w:val="22"/>
          <w:szCs w:val="22"/>
        </w:rPr>
        <w:t xml:space="preserve">No. </w:t>
      </w:r>
      <w:r w:rsidRPr="00F56B00">
        <w:rPr>
          <w:color w:val="0070C0"/>
          <w:sz w:val="22"/>
          <w:szCs w:val="22"/>
        </w:rPr>
        <w:t>1 of 2011</w:t>
      </w:r>
      <w:r w:rsidR="00C438C8" w:rsidRPr="00F56B00">
        <w:rPr>
          <w:color w:val="0070C0"/>
          <w:sz w:val="22"/>
          <w:szCs w:val="22"/>
        </w:rPr>
        <w:t>,</w:t>
      </w:r>
      <w:r w:rsidRPr="00F56B00">
        <w:rPr>
          <w:color w:val="0070C0"/>
          <w:sz w:val="22"/>
          <w:szCs w:val="22"/>
        </w:rPr>
        <w:t xml:space="preserve"> Article 3: </w:t>
      </w:r>
      <w:r w:rsidRPr="00A61542">
        <w:rPr>
          <w:color w:val="0070C0"/>
          <w:sz w:val="22"/>
          <w:szCs w:val="22"/>
        </w:rPr>
        <w:t xml:space="preserve">Housing and residential areas are organized to: a) …; b) …; c) …; d) …; e) …; f) ensure </w:t>
      </w:r>
      <w:r w:rsidRPr="00A61542">
        <w:rPr>
          <w:b/>
          <w:color w:val="0070C0"/>
          <w:sz w:val="22"/>
          <w:szCs w:val="22"/>
        </w:rPr>
        <w:t xml:space="preserve">the realization of </w:t>
      </w:r>
      <w:r w:rsidR="00770AE1" w:rsidRPr="00A61542">
        <w:rPr>
          <w:b/>
          <w:color w:val="0070C0"/>
          <w:sz w:val="22"/>
          <w:szCs w:val="22"/>
        </w:rPr>
        <w:t>liveable</w:t>
      </w:r>
      <w:r w:rsidRPr="00A61542">
        <w:rPr>
          <w:b/>
          <w:color w:val="0070C0"/>
          <w:sz w:val="22"/>
          <w:szCs w:val="22"/>
        </w:rPr>
        <w:t xml:space="preserve"> and affordable housing</w:t>
      </w:r>
      <w:r w:rsidRPr="00A61542">
        <w:rPr>
          <w:color w:val="0070C0"/>
          <w:sz w:val="22"/>
          <w:szCs w:val="22"/>
        </w:rPr>
        <w:t xml:space="preserve"> in a healthy, safe, harmonious, orderly, planned, integrated and sustainable environment.</w:t>
      </w:r>
    </w:p>
    <w:p w14:paraId="438D96A6" w14:textId="6F38369C" w:rsidR="00C54E67" w:rsidRPr="00A61542" w:rsidRDefault="00C54E67" w:rsidP="00A61542">
      <w:pPr>
        <w:pStyle w:val="ListParagraph"/>
        <w:numPr>
          <w:ilvl w:val="0"/>
          <w:numId w:val="3"/>
        </w:numPr>
        <w:ind w:left="1134"/>
        <w:jc w:val="both"/>
        <w:rPr>
          <w:color w:val="0070C0"/>
          <w:sz w:val="22"/>
          <w:szCs w:val="22"/>
        </w:rPr>
      </w:pPr>
      <w:r w:rsidRPr="00F56B00">
        <w:rPr>
          <w:color w:val="0070C0"/>
          <w:sz w:val="22"/>
          <w:szCs w:val="22"/>
        </w:rPr>
        <w:lastRenderedPageBreak/>
        <w:t xml:space="preserve">Law </w:t>
      </w:r>
      <w:r w:rsidR="00C438C8" w:rsidRPr="00F56B00">
        <w:rPr>
          <w:color w:val="0070C0"/>
          <w:sz w:val="22"/>
          <w:szCs w:val="22"/>
        </w:rPr>
        <w:t xml:space="preserve">No. </w:t>
      </w:r>
      <w:r w:rsidRPr="00F56B00">
        <w:rPr>
          <w:color w:val="0070C0"/>
          <w:sz w:val="22"/>
          <w:szCs w:val="22"/>
        </w:rPr>
        <w:t>1 of 2011</w:t>
      </w:r>
      <w:r w:rsidR="00C438C8" w:rsidRPr="00F56B00">
        <w:rPr>
          <w:color w:val="0070C0"/>
          <w:sz w:val="22"/>
          <w:szCs w:val="22"/>
        </w:rPr>
        <w:t>,</w:t>
      </w:r>
      <w:r w:rsidRPr="00F56B00">
        <w:rPr>
          <w:color w:val="0070C0"/>
          <w:sz w:val="22"/>
          <w:szCs w:val="22"/>
        </w:rPr>
        <w:t xml:space="preserve"> Article 122: </w:t>
      </w:r>
      <w:r w:rsidRPr="00A61542">
        <w:rPr>
          <w:color w:val="0070C0"/>
          <w:sz w:val="22"/>
          <w:szCs w:val="22"/>
        </w:rPr>
        <w:t>In the case of construction and ownership of public and self-supporting houses, the financing legal entity as referred to in paragraph (1) is obliged to guarantee: a) the availability of long-term low-cost funds; b) ease in obtaining access to credit or financing; and c) affordability in building, repairing, or owning a house.</w:t>
      </w:r>
    </w:p>
    <w:p w14:paraId="29D93539" w14:textId="2698E94D" w:rsidR="00C54E67" w:rsidRPr="00A61542" w:rsidRDefault="00C54E67" w:rsidP="00A61542">
      <w:pPr>
        <w:pStyle w:val="ListParagraph"/>
        <w:numPr>
          <w:ilvl w:val="0"/>
          <w:numId w:val="3"/>
        </w:numPr>
        <w:ind w:left="1134"/>
        <w:jc w:val="both"/>
        <w:rPr>
          <w:color w:val="0070C0"/>
          <w:sz w:val="22"/>
          <w:szCs w:val="22"/>
        </w:rPr>
      </w:pPr>
      <w:r w:rsidRPr="00F56B00">
        <w:rPr>
          <w:color w:val="0070C0"/>
          <w:sz w:val="22"/>
          <w:szCs w:val="22"/>
        </w:rPr>
        <w:t xml:space="preserve">Law </w:t>
      </w:r>
      <w:r w:rsidR="00C438C8" w:rsidRPr="00F56B00">
        <w:rPr>
          <w:color w:val="0070C0"/>
          <w:sz w:val="22"/>
          <w:szCs w:val="22"/>
        </w:rPr>
        <w:t xml:space="preserve">No. </w:t>
      </w:r>
      <w:r w:rsidRPr="00F56B00">
        <w:rPr>
          <w:color w:val="0070C0"/>
          <w:sz w:val="22"/>
          <w:szCs w:val="22"/>
        </w:rPr>
        <w:t>20 of 2011</w:t>
      </w:r>
      <w:r w:rsidR="00C438C8" w:rsidRPr="00F56B00">
        <w:rPr>
          <w:color w:val="0070C0"/>
          <w:sz w:val="22"/>
          <w:szCs w:val="22"/>
        </w:rPr>
        <w:t xml:space="preserve"> on Apartment,</w:t>
      </w:r>
      <w:r w:rsidR="00C438C8" w:rsidRPr="00F56B00">
        <w:rPr>
          <w:rStyle w:val="FootnoteReference"/>
          <w:color w:val="0070C0"/>
          <w:sz w:val="22"/>
          <w:szCs w:val="22"/>
        </w:rPr>
        <w:footnoteReference w:id="4"/>
      </w:r>
      <w:r w:rsidRPr="00F56B00">
        <w:rPr>
          <w:color w:val="0070C0"/>
          <w:sz w:val="22"/>
          <w:szCs w:val="22"/>
        </w:rPr>
        <w:t xml:space="preserve"> Article 2: </w:t>
      </w:r>
      <w:r w:rsidRPr="00A61542">
        <w:rPr>
          <w:color w:val="0070C0"/>
          <w:sz w:val="22"/>
          <w:szCs w:val="22"/>
        </w:rPr>
        <w:t xml:space="preserve">The implementation of flats is based on: a) welfare; b) justice and equity; c) nationality; </w:t>
      </w:r>
      <w:r w:rsidRPr="00A61542">
        <w:rPr>
          <w:b/>
          <w:color w:val="0070C0"/>
          <w:sz w:val="22"/>
          <w:szCs w:val="22"/>
        </w:rPr>
        <w:t>d) affordability and convenience</w:t>
      </w:r>
      <w:r w:rsidRPr="00A61542">
        <w:rPr>
          <w:color w:val="0070C0"/>
          <w:sz w:val="22"/>
          <w:szCs w:val="22"/>
        </w:rPr>
        <w:t xml:space="preserve">; e) efficiency and benefit; f) independence and togetherness; g) partnerships; h) harmony and balance; </w:t>
      </w:r>
      <w:proofErr w:type="spellStart"/>
      <w:r w:rsidRPr="00A61542">
        <w:rPr>
          <w:color w:val="0070C0"/>
          <w:sz w:val="22"/>
          <w:szCs w:val="22"/>
        </w:rPr>
        <w:t>i</w:t>
      </w:r>
      <w:proofErr w:type="spellEnd"/>
      <w:r w:rsidRPr="00A61542">
        <w:rPr>
          <w:color w:val="0070C0"/>
          <w:sz w:val="22"/>
          <w:szCs w:val="22"/>
        </w:rPr>
        <w:t>) cohesiveness; j) health; k) sustainability and sustainability; and l) safety, comfort, and convenience; and m) security, order and regularity.</w:t>
      </w:r>
    </w:p>
    <w:p w14:paraId="0CDB9A29" w14:textId="4B3D8B19" w:rsidR="00C54E67" w:rsidRPr="00A61542" w:rsidRDefault="00C54E67" w:rsidP="00A61542">
      <w:pPr>
        <w:pStyle w:val="ListParagraph"/>
        <w:numPr>
          <w:ilvl w:val="0"/>
          <w:numId w:val="3"/>
        </w:numPr>
        <w:ind w:left="1134"/>
        <w:jc w:val="both"/>
        <w:rPr>
          <w:color w:val="0070C0"/>
          <w:sz w:val="22"/>
          <w:szCs w:val="22"/>
        </w:rPr>
      </w:pPr>
      <w:r w:rsidRPr="00F56B00">
        <w:rPr>
          <w:color w:val="0070C0"/>
          <w:sz w:val="22"/>
          <w:szCs w:val="22"/>
        </w:rPr>
        <w:t>Law 20 of 2011</w:t>
      </w:r>
      <w:r w:rsidR="00C438C8" w:rsidRPr="00F56B00">
        <w:rPr>
          <w:color w:val="0070C0"/>
          <w:sz w:val="22"/>
          <w:szCs w:val="22"/>
        </w:rPr>
        <w:t>,</w:t>
      </w:r>
      <w:r w:rsidRPr="00F56B00">
        <w:rPr>
          <w:color w:val="0070C0"/>
          <w:sz w:val="22"/>
          <w:szCs w:val="22"/>
        </w:rPr>
        <w:t xml:space="preserve"> Article 21(4): </w:t>
      </w:r>
      <w:r w:rsidRPr="00A61542">
        <w:rPr>
          <w:color w:val="0070C0"/>
          <w:sz w:val="22"/>
          <w:szCs w:val="22"/>
        </w:rPr>
        <w:t>Determination of rental rates for land is carried out by the Government to ensure the affordability of selling prices for public flats for MBR.</w:t>
      </w:r>
    </w:p>
    <w:p w14:paraId="1CEE73BF" w14:textId="0C9C7A38" w:rsidR="00C54E67" w:rsidRPr="00A61542" w:rsidRDefault="00C54E67" w:rsidP="00A61542">
      <w:pPr>
        <w:pStyle w:val="ListParagraph"/>
        <w:numPr>
          <w:ilvl w:val="0"/>
          <w:numId w:val="3"/>
        </w:numPr>
        <w:ind w:left="1134"/>
        <w:jc w:val="both"/>
        <w:rPr>
          <w:color w:val="0070C0"/>
          <w:sz w:val="22"/>
          <w:szCs w:val="22"/>
        </w:rPr>
      </w:pPr>
      <w:r w:rsidRPr="00F56B00">
        <w:rPr>
          <w:color w:val="0070C0"/>
          <w:sz w:val="22"/>
          <w:szCs w:val="22"/>
        </w:rPr>
        <w:t>Law 20 of 2011</w:t>
      </w:r>
      <w:r w:rsidR="00C438C8" w:rsidRPr="00F56B00">
        <w:rPr>
          <w:color w:val="0070C0"/>
          <w:sz w:val="22"/>
          <w:szCs w:val="22"/>
        </w:rPr>
        <w:t>,</w:t>
      </w:r>
      <w:r w:rsidRPr="00F56B00">
        <w:rPr>
          <w:color w:val="0070C0"/>
          <w:sz w:val="22"/>
          <w:szCs w:val="22"/>
        </w:rPr>
        <w:t xml:space="preserve"> Article 89: </w:t>
      </w:r>
      <w:r w:rsidRPr="00A61542">
        <w:rPr>
          <w:color w:val="0070C0"/>
          <w:sz w:val="22"/>
          <w:szCs w:val="22"/>
        </w:rPr>
        <w:t xml:space="preserve">Everyone has the right to live in a decent, </w:t>
      </w:r>
      <w:r w:rsidRPr="00A61542">
        <w:rPr>
          <w:b/>
          <w:color w:val="0070C0"/>
          <w:sz w:val="22"/>
          <w:szCs w:val="22"/>
        </w:rPr>
        <w:t xml:space="preserve">affordable </w:t>
      </w:r>
      <w:r w:rsidRPr="00A61542">
        <w:rPr>
          <w:color w:val="0070C0"/>
          <w:sz w:val="22"/>
          <w:szCs w:val="22"/>
        </w:rPr>
        <w:t>and sustainable apartment in a healthy, safe and harmonious environment.</w:t>
      </w:r>
    </w:p>
    <w:p w14:paraId="657C5349" w14:textId="4A7EF0E3" w:rsidR="00C438C8" w:rsidRPr="00A61542" w:rsidRDefault="00C438C8" w:rsidP="00A61542">
      <w:pPr>
        <w:pStyle w:val="ListParagraph"/>
        <w:numPr>
          <w:ilvl w:val="0"/>
          <w:numId w:val="3"/>
        </w:numPr>
        <w:ind w:left="1134"/>
        <w:jc w:val="both"/>
        <w:rPr>
          <w:color w:val="0070C0"/>
          <w:sz w:val="22"/>
          <w:szCs w:val="22"/>
        </w:rPr>
      </w:pPr>
      <w:r w:rsidRPr="00F56B00">
        <w:rPr>
          <w:color w:val="0070C0"/>
          <w:sz w:val="22"/>
          <w:szCs w:val="22"/>
        </w:rPr>
        <w:t xml:space="preserve">MPWH </w:t>
      </w:r>
      <w:r w:rsidR="00F56B00" w:rsidRPr="00F56B00">
        <w:rPr>
          <w:color w:val="0070C0"/>
          <w:sz w:val="22"/>
          <w:szCs w:val="22"/>
        </w:rPr>
        <w:t>Regulation No. 35 of 2021 on Facilitation and Assistance for Housing Financing for Low-Income Communities</w:t>
      </w:r>
      <w:r w:rsidRPr="00F56B00">
        <w:rPr>
          <w:color w:val="0070C0"/>
          <w:sz w:val="22"/>
          <w:szCs w:val="22"/>
        </w:rPr>
        <w:t>, Article 2:</w:t>
      </w:r>
      <w:r w:rsidR="00A61542">
        <w:rPr>
          <w:color w:val="0070C0"/>
          <w:sz w:val="22"/>
          <w:szCs w:val="22"/>
        </w:rPr>
        <w:t xml:space="preserve"> </w:t>
      </w:r>
      <w:r w:rsidRPr="00A61542">
        <w:rPr>
          <w:color w:val="0070C0"/>
          <w:sz w:val="22"/>
          <w:szCs w:val="22"/>
        </w:rPr>
        <w:t>The ease of and/or assistance for housing financing is provided to low-income households through long-term, low-cost funds, housing financing subsidies, and other government assistance in accordance with the laws and regulations.</w:t>
      </w:r>
    </w:p>
    <w:p w14:paraId="4FEAEBA9" w14:textId="77777777" w:rsidR="00B24B1D" w:rsidRDefault="00B24B1D" w:rsidP="00A61542">
      <w:pPr>
        <w:ind w:left="1134"/>
        <w:jc w:val="both"/>
        <w:rPr>
          <w:color w:val="0070C0"/>
          <w:sz w:val="22"/>
          <w:szCs w:val="22"/>
        </w:rPr>
      </w:pPr>
    </w:p>
    <w:p w14:paraId="1E433F91" w14:textId="298238D2" w:rsidR="00354B8A" w:rsidRPr="00B24B1D" w:rsidRDefault="00B24B1D" w:rsidP="00A61542">
      <w:pPr>
        <w:ind w:firstLine="720"/>
        <w:jc w:val="both"/>
        <w:rPr>
          <w:b/>
          <w:color w:val="0070C0"/>
          <w:sz w:val="22"/>
          <w:szCs w:val="22"/>
        </w:rPr>
      </w:pPr>
      <w:r w:rsidRPr="00B24B1D">
        <w:rPr>
          <w:b/>
          <w:color w:val="0070C0"/>
          <w:sz w:val="22"/>
          <w:szCs w:val="22"/>
        </w:rPr>
        <w:t>Policies / programmes:</w:t>
      </w:r>
    </w:p>
    <w:p w14:paraId="7D5789E7" w14:textId="305C0C9F" w:rsidR="00354B8A" w:rsidRPr="00B24B1D" w:rsidRDefault="00354B8A" w:rsidP="00A61542">
      <w:pPr>
        <w:pStyle w:val="ListParagraph"/>
        <w:numPr>
          <w:ilvl w:val="0"/>
          <w:numId w:val="4"/>
        </w:numPr>
        <w:ind w:left="1134"/>
        <w:jc w:val="both"/>
        <w:rPr>
          <w:color w:val="0070C0"/>
          <w:sz w:val="22"/>
          <w:szCs w:val="22"/>
        </w:rPr>
      </w:pPr>
      <w:r w:rsidRPr="00B24B1D">
        <w:rPr>
          <w:color w:val="0070C0"/>
          <w:sz w:val="22"/>
          <w:szCs w:val="22"/>
        </w:rPr>
        <w:t>The national policy direction and strategy for the housing sector are laid out in the National Medium-Term Development Plan (</w:t>
      </w:r>
      <w:proofErr w:type="spellStart"/>
      <w:r w:rsidRPr="00B24B1D">
        <w:rPr>
          <w:i/>
          <w:color w:val="0070C0"/>
          <w:sz w:val="22"/>
          <w:szCs w:val="22"/>
        </w:rPr>
        <w:t>Rencana</w:t>
      </w:r>
      <w:proofErr w:type="spellEnd"/>
      <w:r w:rsidRPr="00B24B1D">
        <w:rPr>
          <w:i/>
          <w:color w:val="0070C0"/>
          <w:sz w:val="22"/>
          <w:szCs w:val="22"/>
        </w:rPr>
        <w:t xml:space="preserve"> Pembangunan </w:t>
      </w:r>
      <w:proofErr w:type="spellStart"/>
      <w:r w:rsidRPr="00B24B1D">
        <w:rPr>
          <w:i/>
          <w:color w:val="0070C0"/>
          <w:sz w:val="22"/>
          <w:szCs w:val="22"/>
        </w:rPr>
        <w:t>Jangka</w:t>
      </w:r>
      <w:proofErr w:type="spellEnd"/>
      <w:r w:rsidRPr="00B24B1D">
        <w:rPr>
          <w:i/>
          <w:color w:val="0070C0"/>
          <w:sz w:val="22"/>
          <w:szCs w:val="22"/>
        </w:rPr>
        <w:t xml:space="preserve"> </w:t>
      </w:r>
      <w:proofErr w:type="spellStart"/>
      <w:r w:rsidRPr="00B24B1D">
        <w:rPr>
          <w:i/>
          <w:color w:val="0070C0"/>
          <w:sz w:val="22"/>
          <w:szCs w:val="22"/>
        </w:rPr>
        <w:t>Menengah</w:t>
      </w:r>
      <w:proofErr w:type="spellEnd"/>
      <w:r w:rsidRPr="00B24B1D">
        <w:rPr>
          <w:i/>
          <w:color w:val="0070C0"/>
          <w:sz w:val="22"/>
          <w:szCs w:val="22"/>
        </w:rPr>
        <w:t xml:space="preserve"> Nasional </w:t>
      </w:r>
      <w:r w:rsidRPr="00B24B1D">
        <w:rPr>
          <w:color w:val="0070C0"/>
          <w:sz w:val="22"/>
          <w:szCs w:val="22"/>
        </w:rPr>
        <w:t>or ‘RPJMN’) 2020-2024.</w:t>
      </w:r>
      <w:r w:rsidR="00D417FD">
        <w:rPr>
          <w:rStyle w:val="FootnoteReference"/>
          <w:color w:val="0070C0"/>
          <w:sz w:val="22"/>
          <w:szCs w:val="22"/>
        </w:rPr>
        <w:footnoteReference w:id="5"/>
      </w:r>
      <w:r w:rsidRPr="00B24B1D">
        <w:rPr>
          <w:color w:val="0070C0"/>
          <w:sz w:val="22"/>
          <w:szCs w:val="22"/>
        </w:rPr>
        <w:t xml:space="preserve"> The RPJMN 2020-2024 sets out that the policy for housing and settlement development is aimed at increasing people's access to decent, safe, and affordable housing to achieve an inclusive and </w:t>
      </w:r>
      <w:r w:rsidR="00770AE1" w:rsidRPr="00B24B1D">
        <w:rPr>
          <w:color w:val="0070C0"/>
          <w:sz w:val="22"/>
          <w:szCs w:val="22"/>
        </w:rPr>
        <w:t>liveable</w:t>
      </w:r>
      <w:r w:rsidRPr="00B24B1D">
        <w:rPr>
          <w:color w:val="0070C0"/>
          <w:sz w:val="22"/>
          <w:szCs w:val="22"/>
        </w:rPr>
        <w:t xml:space="preserve"> city.</w:t>
      </w:r>
    </w:p>
    <w:p w14:paraId="62F6D645" w14:textId="77777777" w:rsidR="00B24B1D" w:rsidRDefault="00D417FD" w:rsidP="00A61542">
      <w:pPr>
        <w:pStyle w:val="ListParagraph"/>
        <w:numPr>
          <w:ilvl w:val="0"/>
          <w:numId w:val="4"/>
        </w:numPr>
        <w:ind w:left="1134"/>
        <w:jc w:val="both"/>
        <w:rPr>
          <w:color w:val="0070C0"/>
          <w:sz w:val="22"/>
          <w:szCs w:val="22"/>
        </w:rPr>
      </w:pPr>
      <w:r w:rsidRPr="00B24B1D">
        <w:rPr>
          <w:color w:val="0070C0"/>
          <w:sz w:val="22"/>
          <w:szCs w:val="22"/>
        </w:rPr>
        <w:t>The Ministry of Public Work and Housing</w:t>
      </w:r>
      <w:r w:rsidR="00354B8A" w:rsidRPr="00B24B1D">
        <w:rPr>
          <w:color w:val="0070C0"/>
          <w:sz w:val="22"/>
          <w:szCs w:val="22"/>
        </w:rPr>
        <w:t xml:space="preserve">’s Directorate General of Housing has a Strategic Plan 2020-2024 for the policy direction of housing development, which is a detailed explanation of the national development targets in the RPJMN 2020-2024. </w:t>
      </w:r>
    </w:p>
    <w:p w14:paraId="4F1B9DB6" w14:textId="012C1DF1" w:rsidR="00354B8A" w:rsidRPr="00B24B1D" w:rsidRDefault="00354B8A" w:rsidP="00A61542">
      <w:pPr>
        <w:pStyle w:val="ListParagraph"/>
        <w:numPr>
          <w:ilvl w:val="0"/>
          <w:numId w:val="4"/>
        </w:numPr>
        <w:ind w:left="1134"/>
        <w:jc w:val="both"/>
        <w:rPr>
          <w:color w:val="0070C0"/>
          <w:sz w:val="22"/>
          <w:szCs w:val="22"/>
        </w:rPr>
      </w:pPr>
      <w:r w:rsidRPr="00B24B1D">
        <w:rPr>
          <w:color w:val="0070C0"/>
          <w:sz w:val="22"/>
          <w:szCs w:val="22"/>
        </w:rPr>
        <w:t xml:space="preserve">The Directorate General of Housing has implemented several efforts to provide decent housing for every citizen through assistance in providing housing for low-income households, such as the construction of </w:t>
      </w:r>
      <w:r w:rsidR="007A1326">
        <w:rPr>
          <w:color w:val="0070C0"/>
          <w:sz w:val="22"/>
          <w:szCs w:val="22"/>
        </w:rPr>
        <w:t>apartments</w:t>
      </w:r>
      <w:r w:rsidRPr="00B24B1D">
        <w:rPr>
          <w:color w:val="0070C0"/>
          <w:sz w:val="22"/>
          <w:szCs w:val="22"/>
        </w:rPr>
        <w:t xml:space="preserve"> for </w:t>
      </w:r>
      <w:r w:rsidR="007A1326">
        <w:rPr>
          <w:color w:val="0070C0"/>
          <w:sz w:val="22"/>
          <w:szCs w:val="22"/>
        </w:rPr>
        <w:t xml:space="preserve">MBR and </w:t>
      </w:r>
      <w:r w:rsidRPr="00B24B1D">
        <w:rPr>
          <w:color w:val="0070C0"/>
          <w:sz w:val="22"/>
          <w:szCs w:val="22"/>
        </w:rPr>
        <w:t>special housing for victims of natural disasters or social conflicts</w:t>
      </w:r>
      <w:r w:rsidR="007A1326">
        <w:rPr>
          <w:color w:val="0070C0"/>
          <w:sz w:val="22"/>
          <w:szCs w:val="22"/>
        </w:rPr>
        <w:t>.</w:t>
      </w:r>
      <w:r w:rsidRPr="00B24B1D">
        <w:rPr>
          <w:color w:val="0070C0"/>
          <w:sz w:val="22"/>
          <w:szCs w:val="22"/>
        </w:rPr>
        <w:t xml:space="preserve"> </w:t>
      </w:r>
    </w:p>
    <w:p w14:paraId="32B2AE42" w14:textId="77777777" w:rsidR="009D6E61" w:rsidRDefault="00354B8A" w:rsidP="00A61542">
      <w:pPr>
        <w:pStyle w:val="ListParagraph"/>
        <w:numPr>
          <w:ilvl w:val="0"/>
          <w:numId w:val="4"/>
        </w:numPr>
        <w:ind w:left="1134"/>
        <w:jc w:val="both"/>
        <w:rPr>
          <w:color w:val="0070C0"/>
          <w:sz w:val="22"/>
          <w:szCs w:val="22"/>
        </w:rPr>
      </w:pPr>
      <w:r w:rsidRPr="00B24B1D">
        <w:rPr>
          <w:color w:val="0070C0"/>
          <w:sz w:val="22"/>
          <w:szCs w:val="22"/>
        </w:rPr>
        <w:t>Housing development policy is also directed at improving people's access to decent housing through collaborative pro</w:t>
      </w:r>
      <w:r w:rsidR="00B24B1D">
        <w:rPr>
          <w:color w:val="0070C0"/>
          <w:sz w:val="22"/>
          <w:szCs w:val="22"/>
        </w:rPr>
        <w:t>grams</w:t>
      </w:r>
      <w:r w:rsidRPr="00B24B1D">
        <w:rPr>
          <w:color w:val="0070C0"/>
          <w:sz w:val="22"/>
          <w:szCs w:val="22"/>
        </w:rPr>
        <w:t>, such as community-based housing provision in</w:t>
      </w:r>
      <w:r w:rsidR="00B24B1D">
        <w:rPr>
          <w:color w:val="0070C0"/>
          <w:sz w:val="22"/>
          <w:szCs w:val="22"/>
        </w:rPr>
        <w:t xml:space="preserve"> various districts such as</w:t>
      </w:r>
      <w:r w:rsidRPr="00B24B1D">
        <w:rPr>
          <w:color w:val="0070C0"/>
          <w:sz w:val="22"/>
          <w:szCs w:val="22"/>
        </w:rPr>
        <w:t xml:space="preserve"> </w:t>
      </w:r>
      <w:proofErr w:type="spellStart"/>
      <w:r w:rsidRPr="00B24B1D">
        <w:rPr>
          <w:color w:val="0070C0"/>
          <w:sz w:val="22"/>
          <w:szCs w:val="22"/>
        </w:rPr>
        <w:t>Garut</w:t>
      </w:r>
      <w:proofErr w:type="spellEnd"/>
      <w:r w:rsidRPr="00B24B1D">
        <w:rPr>
          <w:color w:val="0070C0"/>
          <w:sz w:val="22"/>
          <w:szCs w:val="22"/>
        </w:rPr>
        <w:t xml:space="preserve">, Kendal, </w:t>
      </w:r>
      <w:proofErr w:type="spellStart"/>
      <w:r w:rsidRPr="00B24B1D">
        <w:rPr>
          <w:color w:val="0070C0"/>
          <w:sz w:val="22"/>
          <w:szCs w:val="22"/>
        </w:rPr>
        <w:t>Cilacap</w:t>
      </w:r>
      <w:proofErr w:type="spellEnd"/>
      <w:r w:rsidRPr="00B24B1D">
        <w:rPr>
          <w:color w:val="0070C0"/>
          <w:sz w:val="22"/>
          <w:szCs w:val="22"/>
        </w:rPr>
        <w:t>, and other areas.</w:t>
      </w:r>
    </w:p>
    <w:p w14:paraId="56221259" w14:textId="2F51FFB5" w:rsidR="007A1326" w:rsidRPr="009D6E61" w:rsidRDefault="007A1326" w:rsidP="00A61542">
      <w:pPr>
        <w:pStyle w:val="ListParagraph"/>
        <w:numPr>
          <w:ilvl w:val="0"/>
          <w:numId w:val="4"/>
        </w:numPr>
        <w:ind w:left="1134"/>
        <w:jc w:val="both"/>
        <w:rPr>
          <w:color w:val="0070C0"/>
          <w:sz w:val="22"/>
          <w:szCs w:val="22"/>
        </w:rPr>
      </w:pPr>
      <w:r w:rsidRPr="009D6E61">
        <w:rPr>
          <w:color w:val="0070C0"/>
          <w:sz w:val="22"/>
          <w:szCs w:val="22"/>
          <w:u w:val="single"/>
        </w:rPr>
        <w:t>Self-build Housing Stimulus Assistance (</w:t>
      </w:r>
      <w:proofErr w:type="spellStart"/>
      <w:r w:rsidRPr="009D6E61">
        <w:rPr>
          <w:i/>
          <w:color w:val="0070C0"/>
          <w:sz w:val="22"/>
          <w:szCs w:val="22"/>
          <w:u w:val="single"/>
        </w:rPr>
        <w:t>Bantuan</w:t>
      </w:r>
      <w:proofErr w:type="spellEnd"/>
      <w:r w:rsidRPr="009D6E61">
        <w:rPr>
          <w:i/>
          <w:color w:val="0070C0"/>
          <w:sz w:val="22"/>
          <w:szCs w:val="22"/>
          <w:u w:val="single"/>
        </w:rPr>
        <w:t xml:space="preserve"> </w:t>
      </w:r>
      <w:proofErr w:type="spellStart"/>
      <w:r w:rsidRPr="009D6E61">
        <w:rPr>
          <w:i/>
          <w:color w:val="0070C0"/>
          <w:sz w:val="22"/>
          <w:szCs w:val="22"/>
          <w:u w:val="single"/>
        </w:rPr>
        <w:t>Stimulan</w:t>
      </w:r>
      <w:proofErr w:type="spellEnd"/>
      <w:r w:rsidRPr="009D6E61">
        <w:rPr>
          <w:i/>
          <w:color w:val="0070C0"/>
          <w:sz w:val="22"/>
          <w:szCs w:val="22"/>
          <w:u w:val="single"/>
        </w:rPr>
        <w:t xml:space="preserve"> </w:t>
      </w:r>
      <w:proofErr w:type="spellStart"/>
      <w:r w:rsidRPr="009D6E61">
        <w:rPr>
          <w:i/>
          <w:color w:val="0070C0"/>
          <w:sz w:val="22"/>
          <w:szCs w:val="22"/>
          <w:u w:val="single"/>
        </w:rPr>
        <w:t>Perumahan</w:t>
      </w:r>
      <w:proofErr w:type="spellEnd"/>
      <w:r w:rsidRPr="009D6E61">
        <w:rPr>
          <w:i/>
          <w:color w:val="0070C0"/>
          <w:sz w:val="22"/>
          <w:szCs w:val="22"/>
          <w:u w:val="single"/>
        </w:rPr>
        <w:t xml:space="preserve"> </w:t>
      </w:r>
      <w:proofErr w:type="spellStart"/>
      <w:r w:rsidRPr="009D6E61">
        <w:rPr>
          <w:i/>
          <w:color w:val="0070C0"/>
          <w:sz w:val="22"/>
          <w:szCs w:val="22"/>
          <w:u w:val="single"/>
        </w:rPr>
        <w:t>Swadaya</w:t>
      </w:r>
      <w:proofErr w:type="spellEnd"/>
      <w:r w:rsidRPr="009D6E61">
        <w:rPr>
          <w:color w:val="0070C0"/>
          <w:sz w:val="22"/>
          <w:szCs w:val="22"/>
          <w:u w:val="single"/>
        </w:rPr>
        <w:t xml:space="preserve"> or ‘BSPS’)</w:t>
      </w:r>
      <w:r w:rsidRPr="009D6E61">
        <w:rPr>
          <w:color w:val="0070C0"/>
          <w:sz w:val="22"/>
          <w:szCs w:val="22"/>
        </w:rPr>
        <w:t xml:space="preserve">: </w:t>
      </w:r>
      <w:r w:rsidR="009D6E61">
        <w:rPr>
          <w:color w:val="0070C0"/>
          <w:sz w:val="22"/>
          <w:szCs w:val="22"/>
        </w:rPr>
        <w:t>The government provides financial assistance for MBR to improve</w:t>
      </w:r>
      <w:r w:rsidR="009D6E61" w:rsidRPr="009D6E61">
        <w:rPr>
          <w:color w:val="0070C0"/>
          <w:sz w:val="22"/>
          <w:szCs w:val="22"/>
        </w:rPr>
        <w:t xml:space="preserve"> the quality of their houses </w:t>
      </w:r>
      <w:r w:rsidR="009D6E61">
        <w:rPr>
          <w:color w:val="0070C0"/>
          <w:sz w:val="22"/>
          <w:szCs w:val="22"/>
        </w:rPr>
        <w:t>as well as its</w:t>
      </w:r>
      <w:r w:rsidR="009D6E61" w:rsidRPr="009D6E61">
        <w:rPr>
          <w:color w:val="0070C0"/>
          <w:sz w:val="22"/>
          <w:szCs w:val="22"/>
        </w:rPr>
        <w:t xml:space="preserve"> infrastructure, facilities and general utilities. </w:t>
      </w:r>
      <w:r w:rsidRPr="009D6E61">
        <w:rPr>
          <w:color w:val="0070C0"/>
          <w:sz w:val="22"/>
          <w:szCs w:val="22"/>
        </w:rPr>
        <w:t xml:space="preserve">In addition, to increase community self-reliance in building </w:t>
      </w:r>
      <w:r w:rsidR="00566DC1" w:rsidRPr="009D6E61">
        <w:rPr>
          <w:color w:val="0070C0"/>
          <w:sz w:val="22"/>
          <w:szCs w:val="22"/>
        </w:rPr>
        <w:t>liveable</w:t>
      </w:r>
      <w:r w:rsidRPr="009D6E61">
        <w:rPr>
          <w:color w:val="0070C0"/>
          <w:sz w:val="22"/>
          <w:szCs w:val="22"/>
        </w:rPr>
        <w:t xml:space="preserve"> homes independently, the Directorate General of Housing has the Self-build Housing Clinic program, which facilitates self-build housing provision and provides guidance to individuals in building or repairing self-build housing.</w:t>
      </w:r>
    </w:p>
    <w:p w14:paraId="1DFD5C5B" w14:textId="7232B731" w:rsidR="00A16F28" w:rsidRDefault="00B24B1D" w:rsidP="00A61542">
      <w:pPr>
        <w:pStyle w:val="ListParagraph"/>
        <w:numPr>
          <w:ilvl w:val="0"/>
          <w:numId w:val="4"/>
        </w:numPr>
        <w:ind w:left="1134"/>
        <w:jc w:val="both"/>
        <w:rPr>
          <w:color w:val="0070C0"/>
          <w:sz w:val="22"/>
          <w:szCs w:val="22"/>
        </w:rPr>
      </w:pPr>
      <w:r w:rsidRPr="00C54E67">
        <w:rPr>
          <w:color w:val="0070C0"/>
          <w:sz w:val="22"/>
          <w:szCs w:val="22"/>
          <w:u w:val="single"/>
        </w:rPr>
        <w:t>National Affordable Housing Program (NAHP)</w:t>
      </w:r>
      <w:r w:rsidRPr="00C54E67">
        <w:rPr>
          <w:color w:val="0070C0"/>
          <w:sz w:val="22"/>
          <w:szCs w:val="22"/>
        </w:rPr>
        <w:t>:</w:t>
      </w:r>
      <w:r w:rsidRPr="00C54E67">
        <w:rPr>
          <w:rStyle w:val="FootnoteReference"/>
          <w:color w:val="0070C0"/>
          <w:sz w:val="22"/>
          <w:szCs w:val="22"/>
        </w:rPr>
        <w:footnoteReference w:id="6"/>
      </w:r>
      <w:r w:rsidRPr="00C54E67">
        <w:rPr>
          <w:color w:val="0070C0"/>
          <w:sz w:val="22"/>
          <w:szCs w:val="22"/>
        </w:rPr>
        <w:t xml:space="preserve"> NAHP is a program with the goal of helping individuals and families in poverty to be able to own a residence and increase the quality of housing which they own through the development of housing </w:t>
      </w:r>
      <w:r w:rsidRPr="00C54E67">
        <w:rPr>
          <w:color w:val="0070C0"/>
          <w:sz w:val="22"/>
          <w:szCs w:val="22"/>
        </w:rPr>
        <w:lastRenderedPageBreak/>
        <w:t xml:space="preserve">finance schemes, strengthening the implementation system of the </w:t>
      </w:r>
      <w:r w:rsidR="007A1326">
        <w:rPr>
          <w:color w:val="0070C0"/>
          <w:sz w:val="22"/>
          <w:szCs w:val="22"/>
        </w:rPr>
        <w:t>self-build</w:t>
      </w:r>
      <w:r w:rsidRPr="00C54E67">
        <w:rPr>
          <w:color w:val="0070C0"/>
          <w:sz w:val="22"/>
          <w:szCs w:val="22"/>
        </w:rPr>
        <w:t xml:space="preserve"> housing program, and encouraging reforms in the development of decent and affordable housing programs and policies in Indonesia. This program </w:t>
      </w:r>
      <w:r w:rsidR="00E62D18" w:rsidRPr="00C54E67">
        <w:rPr>
          <w:color w:val="0070C0"/>
          <w:sz w:val="22"/>
          <w:szCs w:val="22"/>
        </w:rPr>
        <w:t xml:space="preserve">was developed through </w:t>
      </w:r>
      <w:r w:rsidRPr="00C54E67">
        <w:rPr>
          <w:color w:val="0070C0"/>
          <w:sz w:val="22"/>
          <w:szCs w:val="22"/>
        </w:rPr>
        <w:t xml:space="preserve">cooperation between the Government of Indonesia’s Ministry of Public Work and Housing </w:t>
      </w:r>
      <w:r w:rsidR="00E62D18" w:rsidRPr="00C54E67">
        <w:rPr>
          <w:color w:val="0070C0"/>
          <w:sz w:val="22"/>
          <w:szCs w:val="22"/>
        </w:rPr>
        <w:t>and</w:t>
      </w:r>
      <w:r w:rsidRPr="00C54E67">
        <w:rPr>
          <w:color w:val="0070C0"/>
          <w:sz w:val="22"/>
          <w:szCs w:val="22"/>
        </w:rPr>
        <w:t xml:space="preserve"> the World Bank.</w:t>
      </w:r>
    </w:p>
    <w:p w14:paraId="1A64FF6D" w14:textId="1768064C" w:rsidR="00071031" w:rsidRPr="00071031" w:rsidRDefault="00071031" w:rsidP="00A61542">
      <w:pPr>
        <w:pStyle w:val="ListParagraph"/>
        <w:numPr>
          <w:ilvl w:val="0"/>
          <w:numId w:val="4"/>
        </w:numPr>
        <w:ind w:left="1134"/>
        <w:jc w:val="both"/>
        <w:rPr>
          <w:color w:val="0070C0"/>
          <w:sz w:val="22"/>
          <w:szCs w:val="22"/>
        </w:rPr>
      </w:pPr>
      <w:r w:rsidRPr="00071031">
        <w:rPr>
          <w:color w:val="0070C0"/>
          <w:sz w:val="22"/>
          <w:szCs w:val="22"/>
          <w:u w:val="single"/>
        </w:rPr>
        <w:t>The Housing Finance Liquidity Facility (</w:t>
      </w:r>
      <w:proofErr w:type="spellStart"/>
      <w:r w:rsidRPr="00071031">
        <w:rPr>
          <w:i/>
          <w:color w:val="0070C0"/>
          <w:sz w:val="22"/>
          <w:szCs w:val="22"/>
          <w:u w:val="single"/>
        </w:rPr>
        <w:t>Fasilitas</w:t>
      </w:r>
      <w:proofErr w:type="spellEnd"/>
      <w:r w:rsidRPr="00071031">
        <w:rPr>
          <w:i/>
          <w:color w:val="0070C0"/>
          <w:sz w:val="22"/>
          <w:szCs w:val="22"/>
          <w:u w:val="single"/>
        </w:rPr>
        <w:t xml:space="preserve"> </w:t>
      </w:r>
      <w:proofErr w:type="spellStart"/>
      <w:r w:rsidRPr="00071031">
        <w:rPr>
          <w:i/>
          <w:color w:val="0070C0"/>
          <w:sz w:val="22"/>
          <w:szCs w:val="22"/>
          <w:u w:val="single"/>
        </w:rPr>
        <w:t>Likuiditas</w:t>
      </w:r>
      <w:proofErr w:type="spellEnd"/>
      <w:r w:rsidRPr="00071031">
        <w:rPr>
          <w:i/>
          <w:color w:val="0070C0"/>
          <w:sz w:val="22"/>
          <w:szCs w:val="22"/>
          <w:u w:val="single"/>
        </w:rPr>
        <w:t xml:space="preserve"> </w:t>
      </w:r>
      <w:proofErr w:type="spellStart"/>
      <w:r w:rsidRPr="00071031">
        <w:rPr>
          <w:i/>
          <w:color w:val="0070C0"/>
          <w:sz w:val="22"/>
          <w:szCs w:val="22"/>
          <w:u w:val="single"/>
        </w:rPr>
        <w:t>Pembiayaan</w:t>
      </w:r>
      <w:proofErr w:type="spellEnd"/>
      <w:r w:rsidRPr="00071031">
        <w:rPr>
          <w:i/>
          <w:color w:val="0070C0"/>
          <w:sz w:val="22"/>
          <w:szCs w:val="22"/>
          <w:u w:val="single"/>
        </w:rPr>
        <w:t xml:space="preserve"> </w:t>
      </w:r>
      <w:proofErr w:type="spellStart"/>
      <w:r w:rsidRPr="00071031">
        <w:rPr>
          <w:i/>
          <w:color w:val="0070C0"/>
          <w:sz w:val="22"/>
          <w:szCs w:val="22"/>
          <w:u w:val="single"/>
        </w:rPr>
        <w:t>Perumahan</w:t>
      </w:r>
      <w:proofErr w:type="spellEnd"/>
      <w:r w:rsidRPr="00071031">
        <w:rPr>
          <w:color w:val="0070C0"/>
          <w:sz w:val="22"/>
          <w:szCs w:val="22"/>
          <w:u w:val="single"/>
        </w:rPr>
        <w:t xml:space="preserve"> or ‘FLPP’)</w:t>
      </w:r>
      <w:r w:rsidRPr="00071031">
        <w:rPr>
          <w:color w:val="0070C0"/>
          <w:sz w:val="22"/>
          <w:szCs w:val="22"/>
        </w:rPr>
        <w:t>: This program is a cooperation between banks with the Government of Indonesia to increase home ownership for MBR through subsidised mortgage. The FLPP is intended for MBR with certain criteria, such as having a certain income level, not having received housing subsidies, and not owning a house. People who meet these criteria can apply for FLPP subsidised mortgage through participating banks located throughout the provinces in Indonesia.</w:t>
      </w:r>
    </w:p>
    <w:p w14:paraId="236BDF33" w14:textId="77777777" w:rsidR="00071031" w:rsidRPr="00A61542" w:rsidRDefault="00071031" w:rsidP="00A61542">
      <w:pPr>
        <w:jc w:val="both"/>
        <w:rPr>
          <w:color w:val="0070C0"/>
          <w:sz w:val="22"/>
          <w:szCs w:val="22"/>
        </w:rPr>
      </w:pPr>
    </w:p>
    <w:p w14:paraId="1DFD5C5C" w14:textId="77777777" w:rsidR="00A16F28" w:rsidRDefault="00BF435D" w:rsidP="002C01B0">
      <w:pPr>
        <w:numPr>
          <w:ilvl w:val="0"/>
          <w:numId w:val="1"/>
        </w:numPr>
        <w:rPr>
          <w:sz w:val="22"/>
          <w:szCs w:val="22"/>
        </w:rPr>
      </w:pPr>
      <w:r>
        <w:rPr>
          <w:sz w:val="22"/>
          <w:szCs w:val="22"/>
        </w:rPr>
        <w:t>Please share an assessment of the success, limitations or potential failures of the above-mentioned laws and policies in your country/region/city, including any studies or independent evaluation reports related to them. Who has benefited from them, and who has not? What has worked well, what - less? What lessons can be learned? What could potentially be replicable in other countries/regions/cities?</w:t>
      </w:r>
    </w:p>
    <w:p w14:paraId="1DFD5C5D" w14:textId="77777777" w:rsidR="00A16F28" w:rsidRDefault="00A16F28" w:rsidP="002C01B0">
      <w:pPr>
        <w:rPr>
          <w:sz w:val="22"/>
          <w:szCs w:val="22"/>
        </w:rPr>
      </w:pPr>
    </w:p>
    <w:p w14:paraId="1DFD5C5E" w14:textId="5B171336" w:rsidR="00A16F28" w:rsidRDefault="00BF435D" w:rsidP="006A216A">
      <w:pPr>
        <w:ind w:firstLine="720"/>
        <w:rPr>
          <w:color w:val="0070C0"/>
          <w:sz w:val="22"/>
          <w:szCs w:val="22"/>
          <w:u w:val="single"/>
        </w:rPr>
      </w:pPr>
      <w:r w:rsidRPr="00C54E67">
        <w:rPr>
          <w:color w:val="0070C0"/>
          <w:sz w:val="22"/>
          <w:szCs w:val="22"/>
          <w:u w:val="single"/>
        </w:rPr>
        <w:t>Answer</w:t>
      </w:r>
    </w:p>
    <w:p w14:paraId="77FF5EDB" w14:textId="77777777" w:rsidR="007A1326" w:rsidRDefault="007A1326" w:rsidP="00071031">
      <w:pPr>
        <w:jc w:val="both"/>
        <w:rPr>
          <w:color w:val="0070C0"/>
          <w:sz w:val="22"/>
          <w:szCs w:val="22"/>
        </w:rPr>
      </w:pPr>
    </w:p>
    <w:p w14:paraId="1DFD5C6C" w14:textId="65910954" w:rsidR="00A16F28" w:rsidRPr="006778CC" w:rsidRDefault="00F56B00" w:rsidP="006778CC">
      <w:pPr>
        <w:ind w:left="709" w:firstLine="11"/>
        <w:jc w:val="both"/>
        <w:rPr>
          <w:color w:val="0070C0"/>
          <w:sz w:val="22"/>
          <w:szCs w:val="22"/>
        </w:rPr>
      </w:pPr>
      <w:r w:rsidRPr="006778CC">
        <w:rPr>
          <w:color w:val="0070C0"/>
          <w:sz w:val="22"/>
          <w:szCs w:val="22"/>
        </w:rPr>
        <w:t>The</w:t>
      </w:r>
      <w:r w:rsidR="00412129" w:rsidRPr="006778CC">
        <w:rPr>
          <w:color w:val="0070C0"/>
          <w:sz w:val="22"/>
          <w:szCs w:val="22"/>
        </w:rPr>
        <w:t xml:space="preserve"> housing</w:t>
      </w:r>
      <w:r w:rsidRPr="006778CC">
        <w:rPr>
          <w:color w:val="0070C0"/>
          <w:sz w:val="22"/>
          <w:szCs w:val="22"/>
        </w:rPr>
        <w:t xml:space="preserve"> </w:t>
      </w:r>
      <w:r w:rsidR="00566DC1" w:rsidRPr="006778CC">
        <w:rPr>
          <w:color w:val="0070C0"/>
          <w:sz w:val="22"/>
          <w:szCs w:val="22"/>
        </w:rPr>
        <w:t>unaffordability</w:t>
      </w:r>
      <w:r w:rsidR="00412129" w:rsidRPr="006778CC">
        <w:rPr>
          <w:color w:val="0070C0"/>
          <w:sz w:val="22"/>
          <w:szCs w:val="22"/>
        </w:rPr>
        <w:t xml:space="preserve"> issue cannot be resolved </w:t>
      </w:r>
      <w:r w:rsidRPr="006778CC">
        <w:rPr>
          <w:color w:val="0070C0"/>
          <w:sz w:val="22"/>
          <w:szCs w:val="22"/>
        </w:rPr>
        <w:t>in silos.</w:t>
      </w:r>
      <w:r w:rsidR="00412129" w:rsidRPr="006778CC">
        <w:rPr>
          <w:color w:val="0070C0"/>
          <w:sz w:val="22"/>
          <w:szCs w:val="22"/>
        </w:rPr>
        <w:t xml:space="preserve"> </w:t>
      </w:r>
      <w:r w:rsidRPr="006778CC">
        <w:rPr>
          <w:color w:val="0070C0"/>
          <w:sz w:val="22"/>
          <w:szCs w:val="22"/>
        </w:rPr>
        <w:t>I</w:t>
      </w:r>
      <w:r w:rsidR="00412129" w:rsidRPr="006778CC">
        <w:rPr>
          <w:color w:val="0070C0"/>
          <w:sz w:val="22"/>
          <w:szCs w:val="22"/>
        </w:rPr>
        <w:t>t requires the involvement</w:t>
      </w:r>
      <w:r w:rsidRPr="006778CC">
        <w:rPr>
          <w:color w:val="0070C0"/>
          <w:sz w:val="22"/>
          <w:szCs w:val="22"/>
        </w:rPr>
        <w:t xml:space="preserve"> and cooperation</w:t>
      </w:r>
      <w:r w:rsidR="00412129" w:rsidRPr="006778CC">
        <w:rPr>
          <w:color w:val="0070C0"/>
          <w:sz w:val="22"/>
          <w:szCs w:val="22"/>
        </w:rPr>
        <w:t xml:space="preserve"> of all </w:t>
      </w:r>
      <w:r w:rsidR="00A61542">
        <w:rPr>
          <w:color w:val="0070C0"/>
          <w:sz w:val="22"/>
          <w:szCs w:val="22"/>
        </w:rPr>
        <w:t>stakeholders</w:t>
      </w:r>
      <w:r w:rsidR="00412129" w:rsidRPr="006778CC">
        <w:rPr>
          <w:color w:val="0070C0"/>
          <w:sz w:val="22"/>
          <w:szCs w:val="22"/>
        </w:rPr>
        <w:t xml:space="preserve">, </w:t>
      </w:r>
      <w:r w:rsidRPr="006778CC">
        <w:rPr>
          <w:color w:val="0070C0"/>
          <w:sz w:val="22"/>
          <w:szCs w:val="22"/>
        </w:rPr>
        <w:t>in particular</w:t>
      </w:r>
      <w:r w:rsidR="00412129" w:rsidRPr="006778CC">
        <w:rPr>
          <w:color w:val="0070C0"/>
          <w:sz w:val="22"/>
          <w:szCs w:val="22"/>
        </w:rPr>
        <w:t xml:space="preserve"> to protect the rights of </w:t>
      </w:r>
      <w:r w:rsidRPr="006778CC">
        <w:rPr>
          <w:color w:val="0070C0"/>
          <w:sz w:val="22"/>
          <w:szCs w:val="22"/>
        </w:rPr>
        <w:t>MBR</w:t>
      </w:r>
      <w:r w:rsidR="00412129" w:rsidRPr="006778CC">
        <w:rPr>
          <w:color w:val="0070C0"/>
          <w:sz w:val="22"/>
          <w:szCs w:val="22"/>
        </w:rPr>
        <w:t xml:space="preserve"> to occupy decent housing. </w:t>
      </w:r>
      <w:r w:rsidR="006778CC" w:rsidRPr="006778CC">
        <w:rPr>
          <w:color w:val="0070C0"/>
          <w:sz w:val="22"/>
          <w:szCs w:val="22"/>
        </w:rPr>
        <w:t xml:space="preserve">In Indonesia, the decentralization between central and regional governments at times may present a challenge to concerted efforts to achieve the government’s target for the provision of decent housing for all. </w:t>
      </w:r>
      <w:r w:rsidR="00412129" w:rsidRPr="006778CC">
        <w:rPr>
          <w:color w:val="0070C0"/>
          <w:sz w:val="22"/>
          <w:szCs w:val="22"/>
        </w:rPr>
        <w:t xml:space="preserve">On the other hand, there are </w:t>
      </w:r>
      <w:r w:rsidR="006778CC" w:rsidRPr="006778CC">
        <w:rPr>
          <w:color w:val="0070C0"/>
          <w:sz w:val="22"/>
          <w:szCs w:val="22"/>
        </w:rPr>
        <w:t>also best practices</w:t>
      </w:r>
      <w:r w:rsidR="00412129" w:rsidRPr="006778CC">
        <w:rPr>
          <w:color w:val="0070C0"/>
          <w:sz w:val="22"/>
          <w:szCs w:val="22"/>
        </w:rPr>
        <w:t xml:space="preserve"> from local government </w:t>
      </w:r>
      <w:r w:rsidR="006778CC" w:rsidRPr="006778CC">
        <w:rPr>
          <w:color w:val="0070C0"/>
          <w:sz w:val="22"/>
          <w:szCs w:val="22"/>
        </w:rPr>
        <w:t>initiatives that collaborates with the community and other stakeholders (such as the private sector, banking, philanthropy) in developing projects to address housing unaffordability.</w:t>
      </w:r>
    </w:p>
    <w:p w14:paraId="1DFD5C76" w14:textId="77777777" w:rsidR="00A16F28" w:rsidRDefault="00A16F28" w:rsidP="002C01B0">
      <w:pPr>
        <w:rPr>
          <w:sz w:val="22"/>
          <w:szCs w:val="22"/>
        </w:rPr>
      </w:pPr>
    </w:p>
    <w:p w14:paraId="1DFD5C80" w14:textId="77777777" w:rsidR="00A16F28" w:rsidRDefault="00BF435D" w:rsidP="002C01B0">
      <w:pPr>
        <w:ind w:left="1134" w:right="1134"/>
        <w:jc w:val="center"/>
        <w:rPr>
          <w:u w:val="single"/>
        </w:rPr>
      </w:pPr>
      <w:r>
        <w:rPr>
          <w:sz w:val="22"/>
          <w:szCs w:val="22"/>
          <w:u w:val="single"/>
        </w:rPr>
        <w:tab/>
      </w:r>
      <w:r>
        <w:rPr>
          <w:sz w:val="22"/>
          <w:szCs w:val="22"/>
          <w:u w:val="single"/>
        </w:rPr>
        <w:tab/>
      </w:r>
      <w:r>
        <w:rPr>
          <w:sz w:val="22"/>
          <w:szCs w:val="22"/>
          <w:u w:val="single"/>
        </w:rPr>
        <w:tab/>
      </w:r>
    </w:p>
    <w:p w14:paraId="1DFD5C81" w14:textId="77777777" w:rsidR="00A16F28" w:rsidRDefault="00A16F28" w:rsidP="002C01B0"/>
    <w:sectPr w:rsidR="00A16F28">
      <w:headerReference w:type="even" r:id="rId9"/>
      <w:headerReference w:type="default" r:id="rId10"/>
      <w:footerReference w:type="even" r:id="rId11"/>
      <w:footerReference w:type="default" r:id="rId12"/>
      <w:headerReference w:type="first" r:id="rId13"/>
      <w:footerReference w:type="first" r:id="rId14"/>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06A0" w14:textId="77777777" w:rsidR="00FD20E2" w:rsidRDefault="00FD20E2">
      <w:r>
        <w:separator/>
      </w:r>
    </w:p>
  </w:endnote>
  <w:endnote w:type="continuationSeparator" w:id="0">
    <w:p w14:paraId="218DBC3C" w14:textId="77777777" w:rsidR="00FD20E2" w:rsidRDefault="00FD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5C84" w14:textId="77777777" w:rsidR="00F56B00" w:rsidRDefault="00F56B00">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5C85" w14:textId="3731B77C" w:rsidR="00F56B00" w:rsidRDefault="00F56B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DFD5C86" w14:textId="77777777" w:rsidR="00F56B00" w:rsidRDefault="00F56B00">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5C89" w14:textId="4A28A19D" w:rsidR="00F56B00" w:rsidRDefault="00F56B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DFD5C8A" w14:textId="77777777" w:rsidR="00F56B00" w:rsidRDefault="00F56B00">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3625" w14:textId="77777777" w:rsidR="00FD20E2" w:rsidRDefault="00FD20E2">
      <w:r>
        <w:separator/>
      </w:r>
    </w:p>
  </w:footnote>
  <w:footnote w:type="continuationSeparator" w:id="0">
    <w:p w14:paraId="74B5B4D7" w14:textId="77777777" w:rsidR="00FD20E2" w:rsidRDefault="00FD20E2">
      <w:r>
        <w:continuationSeparator/>
      </w:r>
    </w:p>
  </w:footnote>
  <w:footnote w:id="1">
    <w:p w14:paraId="1D2E5B2A" w14:textId="1ADA37B4" w:rsidR="00A61542" w:rsidRPr="00A61542" w:rsidRDefault="00A61542" w:rsidP="00A61542">
      <w:pPr>
        <w:pStyle w:val="NormalWeb"/>
        <w:spacing w:before="0" w:beforeAutospacing="0" w:after="0" w:afterAutospacing="0"/>
        <w:rPr>
          <w:color w:val="0070C0"/>
          <w:sz w:val="18"/>
          <w:szCs w:val="18"/>
        </w:rPr>
      </w:pPr>
      <w:r w:rsidRPr="00A61542">
        <w:rPr>
          <w:rStyle w:val="FootnoteReference"/>
          <w:sz w:val="18"/>
          <w:szCs w:val="18"/>
        </w:rPr>
        <w:footnoteRef/>
      </w:r>
      <w:r w:rsidRPr="00A61542">
        <w:rPr>
          <w:sz w:val="18"/>
          <w:szCs w:val="18"/>
        </w:rPr>
        <w:t xml:space="preserve"> </w:t>
      </w:r>
      <w:r w:rsidRPr="00A61542">
        <w:rPr>
          <w:color w:val="0070C0"/>
          <w:sz w:val="18"/>
          <w:szCs w:val="18"/>
        </w:rPr>
        <w:t xml:space="preserve">The decision in Bahasa Indonesia can be accessed: </w:t>
      </w:r>
      <w:hyperlink r:id="rId1" w:history="1">
        <w:r w:rsidRPr="00A61542">
          <w:rPr>
            <w:rStyle w:val="Hyperlink"/>
            <w:sz w:val="18"/>
            <w:szCs w:val="18"/>
          </w:rPr>
          <w:t>https://www.bphn.go.id/data/documents/14._putusan_14-puu-x-2012-(perumahan_dan_kawasan_pemukiman)_.pdf</w:t>
        </w:r>
      </w:hyperlink>
      <w:r w:rsidRPr="00A61542">
        <w:rPr>
          <w:color w:val="0070C0"/>
          <w:sz w:val="18"/>
          <w:szCs w:val="18"/>
        </w:rPr>
        <w:t xml:space="preserve"> </w:t>
      </w:r>
    </w:p>
    <w:p w14:paraId="596CD0DA" w14:textId="166C196D" w:rsidR="00A61542" w:rsidRPr="00A61542" w:rsidRDefault="00A61542">
      <w:pPr>
        <w:pStyle w:val="FootnoteText"/>
        <w:rPr>
          <w:lang w:val="en-US"/>
        </w:rPr>
      </w:pPr>
    </w:p>
  </w:footnote>
  <w:footnote w:id="2">
    <w:p w14:paraId="1640A76C" w14:textId="4097B1D5" w:rsidR="00A61542" w:rsidRDefault="00A61542" w:rsidP="00A61542">
      <w:pPr>
        <w:pStyle w:val="NormalWeb"/>
        <w:spacing w:before="0" w:beforeAutospacing="0" w:after="0" w:afterAutospacing="0"/>
        <w:rPr>
          <w:color w:val="0070C0"/>
          <w:sz w:val="22"/>
          <w:szCs w:val="22"/>
        </w:rPr>
      </w:pPr>
      <w:r>
        <w:rPr>
          <w:rStyle w:val="FootnoteReference"/>
        </w:rPr>
        <w:footnoteRef/>
      </w:r>
      <w:r>
        <w:t xml:space="preserve"> </w:t>
      </w:r>
      <w:r w:rsidRPr="00A61542">
        <w:rPr>
          <w:color w:val="0070C0"/>
          <w:sz w:val="18"/>
          <w:szCs w:val="18"/>
        </w:rPr>
        <w:t>The data (in Bahasa Indonesia) is published in the BPS website</w:t>
      </w:r>
      <w:r>
        <w:rPr>
          <w:color w:val="0070C0"/>
          <w:sz w:val="18"/>
          <w:szCs w:val="18"/>
        </w:rPr>
        <w:t xml:space="preserve">: </w:t>
      </w:r>
      <w:r w:rsidRPr="00A61542">
        <w:rPr>
          <w:color w:val="0070C0"/>
          <w:sz w:val="18"/>
          <w:szCs w:val="18"/>
        </w:rPr>
        <w:t>(</w:t>
      </w:r>
      <w:hyperlink r:id="rId2" w:anchor="subjekViewTab3.html" w:history="1">
        <w:r w:rsidRPr="00A61542">
          <w:rPr>
            <w:rStyle w:val="Hyperlink"/>
            <w:sz w:val="18"/>
            <w:szCs w:val="18"/>
          </w:rPr>
          <w:t>https://www.bps.go.id/subject/29/perumahan.html#subjekViewTab3.html</w:t>
        </w:r>
      </w:hyperlink>
      <w:r w:rsidRPr="00A61542">
        <w:rPr>
          <w:color w:val="0070C0"/>
          <w:sz w:val="18"/>
          <w:szCs w:val="18"/>
        </w:rPr>
        <w:t>).</w:t>
      </w:r>
      <w:r>
        <w:rPr>
          <w:color w:val="0070C0"/>
          <w:sz w:val="22"/>
          <w:szCs w:val="22"/>
        </w:rPr>
        <w:t xml:space="preserve"> </w:t>
      </w:r>
    </w:p>
    <w:p w14:paraId="2FD18D7A" w14:textId="4963A47D" w:rsidR="00A61542" w:rsidRPr="00A61542" w:rsidRDefault="00A61542">
      <w:pPr>
        <w:pStyle w:val="FootnoteText"/>
        <w:rPr>
          <w:lang w:val="en-US"/>
        </w:rPr>
      </w:pPr>
    </w:p>
  </w:footnote>
  <w:footnote w:id="3">
    <w:p w14:paraId="4EC5F040" w14:textId="22C4C8C6" w:rsidR="00F56B00" w:rsidRPr="006778CC" w:rsidRDefault="00F56B00" w:rsidP="006778CC">
      <w:pPr>
        <w:pStyle w:val="FootnoteText"/>
        <w:rPr>
          <w:sz w:val="18"/>
          <w:szCs w:val="18"/>
          <w:lang w:val="en-US"/>
        </w:rPr>
      </w:pPr>
      <w:r w:rsidRPr="006778CC">
        <w:rPr>
          <w:rStyle w:val="FootnoteReference"/>
          <w:sz w:val="18"/>
          <w:szCs w:val="18"/>
        </w:rPr>
        <w:footnoteRef/>
      </w:r>
      <w:r w:rsidRPr="006778CC">
        <w:rPr>
          <w:sz w:val="18"/>
          <w:szCs w:val="18"/>
        </w:rPr>
        <w:t xml:space="preserve"> </w:t>
      </w:r>
      <w:hyperlink r:id="rId3" w:anchor="/dashboard" w:history="1">
        <w:r w:rsidRPr="006778CC">
          <w:rPr>
            <w:rStyle w:val="Hyperlink"/>
            <w:sz w:val="18"/>
            <w:szCs w:val="18"/>
          </w:rPr>
          <w:t>https://dataaduan.komnasham.go.id/#/dashboard</w:t>
        </w:r>
      </w:hyperlink>
      <w:r w:rsidRPr="006778CC">
        <w:rPr>
          <w:sz w:val="18"/>
          <w:szCs w:val="18"/>
        </w:rPr>
        <w:t xml:space="preserve"> </w:t>
      </w:r>
    </w:p>
  </w:footnote>
  <w:footnote w:id="4">
    <w:p w14:paraId="65C2A2EF" w14:textId="711D079E" w:rsidR="00F56B00" w:rsidRPr="006778CC" w:rsidRDefault="00F56B00" w:rsidP="006778CC">
      <w:pPr>
        <w:pStyle w:val="FootnoteText"/>
        <w:rPr>
          <w:sz w:val="18"/>
          <w:szCs w:val="18"/>
          <w:lang w:val="en-US"/>
        </w:rPr>
      </w:pPr>
      <w:r w:rsidRPr="006778CC">
        <w:rPr>
          <w:rStyle w:val="FootnoteReference"/>
          <w:sz w:val="18"/>
          <w:szCs w:val="18"/>
        </w:rPr>
        <w:footnoteRef/>
      </w:r>
      <w:r w:rsidRPr="006778CC">
        <w:rPr>
          <w:sz w:val="18"/>
          <w:szCs w:val="18"/>
        </w:rPr>
        <w:t xml:space="preserve"> </w:t>
      </w:r>
      <w:hyperlink r:id="rId4" w:history="1">
        <w:r w:rsidRPr="006778CC">
          <w:rPr>
            <w:rStyle w:val="Hyperlink"/>
            <w:sz w:val="18"/>
            <w:szCs w:val="18"/>
          </w:rPr>
          <w:t>https://jdih.atrbpn.go.id/api/download/1044/Terjemahan%20Resmi%20Undang-Undang%20Nomor%2020%20Tahun%202011.pdf</w:t>
        </w:r>
      </w:hyperlink>
      <w:r w:rsidRPr="006778CC">
        <w:rPr>
          <w:sz w:val="18"/>
          <w:szCs w:val="18"/>
        </w:rPr>
        <w:t xml:space="preserve"> </w:t>
      </w:r>
    </w:p>
  </w:footnote>
  <w:footnote w:id="5">
    <w:p w14:paraId="5DD8095A" w14:textId="14DD5A72" w:rsidR="00F56B00" w:rsidRPr="006778CC" w:rsidRDefault="00F56B00" w:rsidP="006778CC">
      <w:pPr>
        <w:pStyle w:val="FootnoteText"/>
        <w:rPr>
          <w:sz w:val="18"/>
          <w:szCs w:val="18"/>
          <w:lang w:val="en-US"/>
        </w:rPr>
      </w:pPr>
      <w:r w:rsidRPr="006778CC">
        <w:rPr>
          <w:rStyle w:val="FootnoteReference"/>
          <w:sz w:val="18"/>
          <w:szCs w:val="18"/>
        </w:rPr>
        <w:footnoteRef/>
      </w:r>
      <w:r w:rsidRPr="006778CC">
        <w:rPr>
          <w:sz w:val="18"/>
          <w:szCs w:val="18"/>
        </w:rPr>
        <w:t xml:space="preserve"> </w:t>
      </w:r>
      <w:hyperlink r:id="rId5" w:history="1">
        <w:r w:rsidRPr="006778CC">
          <w:rPr>
            <w:rStyle w:val="Hyperlink"/>
            <w:sz w:val="18"/>
            <w:szCs w:val="18"/>
          </w:rPr>
          <w:t>https://perpustakaan.bappenas.go.id/e-library/file_upload/koleksi/migrasi-data-publikasi/file/RP_RKP/Dokumen%20RPJMN%202020-2024/Lampiran%201.%20Narasi%20RPJMN%202020-2024.pdf</w:t>
        </w:r>
      </w:hyperlink>
      <w:r w:rsidRPr="006778CC">
        <w:rPr>
          <w:sz w:val="18"/>
          <w:szCs w:val="18"/>
        </w:rPr>
        <w:t xml:space="preserve"> </w:t>
      </w:r>
    </w:p>
  </w:footnote>
  <w:footnote w:id="6">
    <w:p w14:paraId="7F298963" w14:textId="13A3B1B7" w:rsidR="00F56B00" w:rsidRPr="006778CC" w:rsidRDefault="00F56B00" w:rsidP="006778CC">
      <w:pPr>
        <w:pStyle w:val="FootnoteText"/>
        <w:rPr>
          <w:sz w:val="18"/>
          <w:szCs w:val="18"/>
          <w:lang w:val="en-US"/>
        </w:rPr>
      </w:pPr>
      <w:r w:rsidRPr="006778CC">
        <w:rPr>
          <w:rStyle w:val="FootnoteReference"/>
          <w:sz w:val="18"/>
          <w:szCs w:val="18"/>
        </w:rPr>
        <w:footnoteRef/>
      </w:r>
      <w:r w:rsidRPr="006778CC">
        <w:rPr>
          <w:sz w:val="18"/>
          <w:szCs w:val="18"/>
        </w:rPr>
        <w:t xml:space="preserve"> </w:t>
      </w:r>
      <w:hyperlink r:id="rId6" w:history="1">
        <w:r w:rsidRPr="006778CC">
          <w:rPr>
            <w:rStyle w:val="Hyperlink"/>
            <w:sz w:val="18"/>
            <w:szCs w:val="18"/>
          </w:rPr>
          <w:t>http://nahp.pu.go.id/assets/files/storage/NAHP_Book_-_English_version.pdf</w:t>
        </w:r>
      </w:hyperlink>
      <w:r w:rsidRPr="006778CC">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5C82" w14:textId="77777777" w:rsidR="00F56B00" w:rsidRDefault="00F56B00">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5C83" w14:textId="77777777" w:rsidR="00F56B00" w:rsidRDefault="00F56B00">
    <w:pPr>
      <w:pBdr>
        <w:top w:val="nil"/>
        <w:left w:val="nil"/>
        <w:bottom w:val="nil"/>
        <w:right w:val="nil"/>
        <w:between w:val="nil"/>
      </w:pBdr>
      <w:tabs>
        <w:tab w:val="center" w:pos="4153"/>
        <w:tab w:val="right" w:pos="8306"/>
        <w:tab w:val="right" w:pos="9214"/>
      </w:tabs>
      <w:spacing w:before="360" w:after="840"/>
      <w:jc w:val="right"/>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5C87" w14:textId="77777777" w:rsidR="00F56B00" w:rsidRDefault="00F56B00">
    <w:pPr>
      <w:pBdr>
        <w:top w:val="nil"/>
        <w:left w:val="nil"/>
        <w:bottom w:val="nil"/>
        <w:right w:val="nil"/>
        <w:between w:val="nil"/>
      </w:pBdr>
      <w:tabs>
        <w:tab w:val="center" w:pos="4153"/>
        <w:tab w:val="right" w:pos="8306"/>
      </w:tabs>
      <w:jc w:val="center"/>
      <w:rPr>
        <w:color w:val="000000"/>
        <w:sz w:val="14"/>
        <w:szCs w:val="14"/>
      </w:rPr>
    </w:pPr>
    <w:r>
      <w:rPr>
        <w:noProof/>
        <w:color w:val="000000"/>
        <w:sz w:val="14"/>
        <w:szCs w:val="14"/>
      </w:rPr>
      <w:drawing>
        <wp:inline distT="0" distB="0" distL="0" distR="0" wp14:anchorId="1DFD5C8B" wp14:editId="1DFD5C8C">
          <wp:extent cx="2838450" cy="1219200"/>
          <wp:effectExtent l="0" t="0" r="0" b="0"/>
          <wp:docPr id="3" name="image1.png" descr="SP Logo black - english"/>
          <wp:cNvGraphicFramePr/>
          <a:graphic xmlns:a="http://schemas.openxmlformats.org/drawingml/2006/main">
            <a:graphicData uri="http://schemas.openxmlformats.org/drawingml/2006/picture">
              <pic:pic xmlns:pic="http://schemas.openxmlformats.org/drawingml/2006/picture">
                <pic:nvPicPr>
                  <pic:cNvPr id="0" name="image1.png" descr="SP Logo black - english"/>
                  <pic:cNvPicPr preferRelativeResize="0"/>
                </pic:nvPicPr>
                <pic:blipFill>
                  <a:blip r:embed="rId1"/>
                  <a:srcRect/>
                  <a:stretch>
                    <a:fillRect/>
                  </a:stretch>
                </pic:blipFill>
                <pic:spPr>
                  <a:xfrm>
                    <a:off x="0" y="0"/>
                    <a:ext cx="2838450" cy="1219200"/>
                  </a:xfrm>
                  <a:prstGeom prst="rect">
                    <a:avLst/>
                  </a:prstGeom>
                  <a:ln/>
                </pic:spPr>
              </pic:pic>
            </a:graphicData>
          </a:graphic>
        </wp:inline>
      </w:drawing>
    </w:r>
  </w:p>
  <w:p w14:paraId="1DFD5C88" w14:textId="77777777" w:rsidR="00F56B00" w:rsidRDefault="00F56B00">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F3B"/>
    <w:multiLevelType w:val="hybridMultilevel"/>
    <w:tmpl w:val="5B5EB9AE"/>
    <w:lvl w:ilvl="0" w:tplc="38090001">
      <w:start w:val="1"/>
      <w:numFmt w:val="bullet"/>
      <w:lvlText w:val=""/>
      <w:lvlJc w:val="left"/>
      <w:pPr>
        <w:ind w:left="1440" w:hanging="360"/>
      </w:pPr>
      <w:rPr>
        <w:rFonts w:ascii="Symbol" w:hAnsi="Symbol" w:hint="default"/>
      </w:rPr>
    </w:lvl>
    <w:lvl w:ilvl="1" w:tplc="38090003">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1BB5356A"/>
    <w:multiLevelType w:val="multilevel"/>
    <w:tmpl w:val="ACEEA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443F0A"/>
    <w:multiLevelType w:val="multilevel"/>
    <w:tmpl w:val="69A4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A2AD2"/>
    <w:multiLevelType w:val="hybridMultilevel"/>
    <w:tmpl w:val="FECA3A4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16cid:durableId="1193418255">
    <w:abstractNumId w:val="1"/>
  </w:num>
  <w:num w:numId="2" w16cid:durableId="2021589411">
    <w:abstractNumId w:val="2"/>
  </w:num>
  <w:num w:numId="3" w16cid:durableId="1682005156">
    <w:abstractNumId w:val="0"/>
  </w:num>
  <w:num w:numId="4" w16cid:durableId="1659193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28"/>
    <w:rsid w:val="00062495"/>
    <w:rsid w:val="00071031"/>
    <w:rsid w:val="000F59C5"/>
    <w:rsid w:val="001049F9"/>
    <w:rsid w:val="00110E01"/>
    <w:rsid w:val="00111268"/>
    <w:rsid w:val="00143E4E"/>
    <w:rsid w:val="00162F5B"/>
    <w:rsid w:val="001C04C3"/>
    <w:rsid w:val="001D06A5"/>
    <w:rsid w:val="002552FA"/>
    <w:rsid w:val="002C01B0"/>
    <w:rsid w:val="00307EC9"/>
    <w:rsid w:val="00323259"/>
    <w:rsid w:val="00332D8E"/>
    <w:rsid w:val="00354B8A"/>
    <w:rsid w:val="00365E1C"/>
    <w:rsid w:val="00382762"/>
    <w:rsid w:val="00412129"/>
    <w:rsid w:val="0048676D"/>
    <w:rsid w:val="00544583"/>
    <w:rsid w:val="00552B4B"/>
    <w:rsid w:val="00561A42"/>
    <w:rsid w:val="00566DC1"/>
    <w:rsid w:val="005F2655"/>
    <w:rsid w:val="00665E85"/>
    <w:rsid w:val="006778CC"/>
    <w:rsid w:val="00683A25"/>
    <w:rsid w:val="006A216A"/>
    <w:rsid w:val="00726207"/>
    <w:rsid w:val="0073658D"/>
    <w:rsid w:val="00770AE1"/>
    <w:rsid w:val="00784848"/>
    <w:rsid w:val="007A0C08"/>
    <w:rsid w:val="007A1326"/>
    <w:rsid w:val="007B6FAA"/>
    <w:rsid w:val="008067AB"/>
    <w:rsid w:val="00810A69"/>
    <w:rsid w:val="0085208F"/>
    <w:rsid w:val="008928AE"/>
    <w:rsid w:val="00897FB5"/>
    <w:rsid w:val="008F4315"/>
    <w:rsid w:val="00967A58"/>
    <w:rsid w:val="009D6E61"/>
    <w:rsid w:val="009F4664"/>
    <w:rsid w:val="00A16F28"/>
    <w:rsid w:val="00A5723A"/>
    <w:rsid w:val="00A611F9"/>
    <w:rsid w:val="00A61542"/>
    <w:rsid w:val="00A75D29"/>
    <w:rsid w:val="00AC32DC"/>
    <w:rsid w:val="00B24B1D"/>
    <w:rsid w:val="00B62595"/>
    <w:rsid w:val="00BC5895"/>
    <w:rsid w:val="00BD5E8A"/>
    <w:rsid w:val="00BF435D"/>
    <w:rsid w:val="00C438C8"/>
    <w:rsid w:val="00C54E67"/>
    <w:rsid w:val="00CC7347"/>
    <w:rsid w:val="00CE5D94"/>
    <w:rsid w:val="00D1663F"/>
    <w:rsid w:val="00D417FD"/>
    <w:rsid w:val="00D55F8B"/>
    <w:rsid w:val="00DB62FA"/>
    <w:rsid w:val="00DE0C26"/>
    <w:rsid w:val="00DF28C7"/>
    <w:rsid w:val="00E06B63"/>
    <w:rsid w:val="00E46D5F"/>
    <w:rsid w:val="00E62D18"/>
    <w:rsid w:val="00EA291F"/>
    <w:rsid w:val="00EF412A"/>
    <w:rsid w:val="00F0407E"/>
    <w:rsid w:val="00F45E30"/>
    <w:rsid w:val="00F46F28"/>
    <w:rsid w:val="00F56B00"/>
    <w:rsid w:val="00F87A0B"/>
    <w:rsid w:val="00F909F3"/>
    <w:rsid w:val="00FB606B"/>
    <w:rsid w:val="00FD20E2"/>
    <w:rsid w:val="00FD34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5BC4"/>
  <w15:docId w15:val="{AC3F64AD-8836-4C69-94AC-777A8A99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6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A83B64"/>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A83B64"/>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A83B64"/>
    <w:pPr>
      <w:tabs>
        <w:tab w:val="center" w:pos="4153"/>
        <w:tab w:val="right" w:pos="8306"/>
      </w:tabs>
    </w:pPr>
  </w:style>
  <w:style w:type="character" w:customStyle="1" w:styleId="FooterChar">
    <w:name w:val="Footer Char"/>
    <w:basedOn w:val="DefaultParagraphFont"/>
    <w:link w:val="Footer"/>
    <w:uiPriority w:val="99"/>
    <w:rsid w:val="00A83B64"/>
    <w:rPr>
      <w:rFonts w:ascii="Times New Roman" w:eastAsia="Times New Roman" w:hAnsi="Times New Roman" w:cs="Times New Roman"/>
      <w:sz w:val="20"/>
      <w:szCs w:val="20"/>
    </w:rPr>
  </w:style>
  <w:style w:type="paragraph" w:styleId="ListParagraph">
    <w:name w:val="List Paragraph"/>
    <w:basedOn w:val="Normal"/>
    <w:uiPriority w:val="34"/>
    <w:qFormat/>
    <w:rsid w:val="00A83B6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46F28"/>
    <w:pPr>
      <w:spacing w:before="100" w:beforeAutospacing="1" w:after="100" w:afterAutospacing="1"/>
    </w:pPr>
    <w:rPr>
      <w:sz w:val="24"/>
      <w:szCs w:val="24"/>
      <w:lang w:val="en-ID"/>
    </w:rPr>
  </w:style>
  <w:style w:type="character" w:styleId="Hyperlink">
    <w:name w:val="Hyperlink"/>
    <w:basedOn w:val="DefaultParagraphFont"/>
    <w:uiPriority w:val="99"/>
    <w:unhideWhenUsed/>
    <w:rsid w:val="007B6FAA"/>
    <w:rPr>
      <w:color w:val="0563C1" w:themeColor="hyperlink"/>
      <w:u w:val="single"/>
    </w:rPr>
  </w:style>
  <w:style w:type="character" w:styleId="UnresolvedMention">
    <w:name w:val="Unresolved Mention"/>
    <w:basedOn w:val="DefaultParagraphFont"/>
    <w:uiPriority w:val="99"/>
    <w:semiHidden/>
    <w:unhideWhenUsed/>
    <w:rsid w:val="007B6FAA"/>
    <w:rPr>
      <w:color w:val="605E5C"/>
      <w:shd w:val="clear" w:color="auto" w:fill="E1DFDD"/>
    </w:rPr>
  </w:style>
  <w:style w:type="paragraph" w:styleId="FootnoteText">
    <w:name w:val="footnote text"/>
    <w:basedOn w:val="Normal"/>
    <w:link w:val="FootnoteTextChar"/>
    <w:uiPriority w:val="99"/>
    <w:semiHidden/>
    <w:unhideWhenUsed/>
    <w:rsid w:val="00726207"/>
  </w:style>
  <w:style w:type="character" w:customStyle="1" w:styleId="FootnoteTextChar">
    <w:name w:val="Footnote Text Char"/>
    <w:basedOn w:val="DefaultParagraphFont"/>
    <w:link w:val="FootnoteText"/>
    <w:uiPriority w:val="99"/>
    <w:semiHidden/>
    <w:rsid w:val="00726207"/>
  </w:style>
  <w:style w:type="character" w:styleId="FootnoteReference">
    <w:name w:val="footnote reference"/>
    <w:basedOn w:val="DefaultParagraphFont"/>
    <w:uiPriority w:val="99"/>
    <w:semiHidden/>
    <w:unhideWhenUsed/>
    <w:rsid w:val="00726207"/>
    <w:rPr>
      <w:vertAlign w:val="superscript"/>
    </w:rPr>
  </w:style>
  <w:style w:type="character" w:styleId="FollowedHyperlink">
    <w:name w:val="FollowedHyperlink"/>
    <w:basedOn w:val="DefaultParagraphFont"/>
    <w:uiPriority w:val="99"/>
    <w:semiHidden/>
    <w:unhideWhenUsed/>
    <w:rsid w:val="00A615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4232">
      <w:bodyDiv w:val="1"/>
      <w:marLeft w:val="0"/>
      <w:marRight w:val="0"/>
      <w:marTop w:val="0"/>
      <w:marBottom w:val="0"/>
      <w:divBdr>
        <w:top w:val="none" w:sz="0" w:space="0" w:color="auto"/>
        <w:left w:val="none" w:sz="0" w:space="0" w:color="auto"/>
        <w:bottom w:val="none" w:sz="0" w:space="0" w:color="auto"/>
        <w:right w:val="none" w:sz="0" w:space="0" w:color="auto"/>
      </w:divBdr>
    </w:div>
    <w:div w:id="166750747">
      <w:bodyDiv w:val="1"/>
      <w:marLeft w:val="0"/>
      <w:marRight w:val="0"/>
      <w:marTop w:val="0"/>
      <w:marBottom w:val="0"/>
      <w:divBdr>
        <w:top w:val="none" w:sz="0" w:space="0" w:color="auto"/>
        <w:left w:val="none" w:sz="0" w:space="0" w:color="auto"/>
        <w:bottom w:val="none" w:sz="0" w:space="0" w:color="auto"/>
        <w:right w:val="none" w:sz="0" w:space="0" w:color="auto"/>
      </w:divBdr>
    </w:div>
    <w:div w:id="518274555">
      <w:bodyDiv w:val="1"/>
      <w:marLeft w:val="0"/>
      <w:marRight w:val="0"/>
      <w:marTop w:val="0"/>
      <w:marBottom w:val="0"/>
      <w:divBdr>
        <w:top w:val="none" w:sz="0" w:space="0" w:color="auto"/>
        <w:left w:val="none" w:sz="0" w:space="0" w:color="auto"/>
        <w:bottom w:val="none" w:sz="0" w:space="0" w:color="auto"/>
        <w:right w:val="none" w:sz="0" w:space="0" w:color="auto"/>
      </w:divBdr>
    </w:div>
    <w:div w:id="628322249">
      <w:bodyDiv w:val="1"/>
      <w:marLeft w:val="0"/>
      <w:marRight w:val="0"/>
      <w:marTop w:val="0"/>
      <w:marBottom w:val="0"/>
      <w:divBdr>
        <w:top w:val="none" w:sz="0" w:space="0" w:color="auto"/>
        <w:left w:val="none" w:sz="0" w:space="0" w:color="auto"/>
        <w:bottom w:val="none" w:sz="0" w:space="0" w:color="auto"/>
        <w:right w:val="none" w:sz="0" w:space="0" w:color="auto"/>
      </w:divBdr>
    </w:div>
    <w:div w:id="653342384">
      <w:bodyDiv w:val="1"/>
      <w:marLeft w:val="0"/>
      <w:marRight w:val="0"/>
      <w:marTop w:val="0"/>
      <w:marBottom w:val="0"/>
      <w:divBdr>
        <w:top w:val="none" w:sz="0" w:space="0" w:color="auto"/>
        <w:left w:val="none" w:sz="0" w:space="0" w:color="auto"/>
        <w:bottom w:val="none" w:sz="0" w:space="0" w:color="auto"/>
        <w:right w:val="none" w:sz="0" w:space="0" w:color="auto"/>
      </w:divBdr>
    </w:div>
    <w:div w:id="781459404">
      <w:bodyDiv w:val="1"/>
      <w:marLeft w:val="0"/>
      <w:marRight w:val="0"/>
      <w:marTop w:val="0"/>
      <w:marBottom w:val="0"/>
      <w:divBdr>
        <w:top w:val="none" w:sz="0" w:space="0" w:color="auto"/>
        <w:left w:val="none" w:sz="0" w:space="0" w:color="auto"/>
        <w:bottom w:val="none" w:sz="0" w:space="0" w:color="auto"/>
        <w:right w:val="none" w:sz="0" w:space="0" w:color="auto"/>
      </w:divBdr>
    </w:div>
    <w:div w:id="945845436">
      <w:bodyDiv w:val="1"/>
      <w:marLeft w:val="0"/>
      <w:marRight w:val="0"/>
      <w:marTop w:val="0"/>
      <w:marBottom w:val="0"/>
      <w:divBdr>
        <w:top w:val="none" w:sz="0" w:space="0" w:color="auto"/>
        <w:left w:val="none" w:sz="0" w:space="0" w:color="auto"/>
        <w:bottom w:val="none" w:sz="0" w:space="0" w:color="auto"/>
        <w:right w:val="none" w:sz="0" w:space="0" w:color="auto"/>
      </w:divBdr>
    </w:div>
    <w:div w:id="946812819">
      <w:bodyDiv w:val="1"/>
      <w:marLeft w:val="0"/>
      <w:marRight w:val="0"/>
      <w:marTop w:val="0"/>
      <w:marBottom w:val="0"/>
      <w:divBdr>
        <w:top w:val="none" w:sz="0" w:space="0" w:color="auto"/>
        <w:left w:val="none" w:sz="0" w:space="0" w:color="auto"/>
        <w:bottom w:val="none" w:sz="0" w:space="0" w:color="auto"/>
        <w:right w:val="none" w:sz="0" w:space="0" w:color="auto"/>
      </w:divBdr>
    </w:div>
    <w:div w:id="1028339859">
      <w:bodyDiv w:val="1"/>
      <w:marLeft w:val="0"/>
      <w:marRight w:val="0"/>
      <w:marTop w:val="0"/>
      <w:marBottom w:val="0"/>
      <w:divBdr>
        <w:top w:val="none" w:sz="0" w:space="0" w:color="auto"/>
        <w:left w:val="none" w:sz="0" w:space="0" w:color="auto"/>
        <w:bottom w:val="none" w:sz="0" w:space="0" w:color="auto"/>
        <w:right w:val="none" w:sz="0" w:space="0" w:color="auto"/>
      </w:divBdr>
    </w:div>
    <w:div w:id="1264924153">
      <w:bodyDiv w:val="1"/>
      <w:marLeft w:val="0"/>
      <w:marRight w:val="0"/>
      <w:marTop w:val="0"/>
      <w:marBottom w:val="0"/>
      <w:divBdr>
        <w:top w:val="none" w:sz="0" w:space="0" w:color="auto"/>
        <w:left w:val="none" w:sz="0" w:space="0" w:color="auto"/>
        <w:bottom w:val="none" w:sz="0" w:space="0" w:color="auto"/>
        <w:right w:val="none" w:sz="0" w:space="0" w:color="auto"/>
      </w:divBdr>
    </w:div>
    <w:div w:id="1375693172">
      <w:bodyDiv w:val="1"/>
      <w:marLeft w:val="0"/>
      <w:marRight w:val="0"/>
      <w:marTop w:val="0"/>
      <w:marBottom w:val="0"/>
      <w:divBdr>
        <w:top w:val="none" w:sz="0" w:space="0" w:color="auto"/>
        <w:left w:val="none" w:sz="0" w:space="0" w:color="auto"/>
        <w:bottom w:val="none" w:sz="0" w:space="0" w:color="auto"/>
        <w:right w:val="none" w:sz="0" w:space="0" w:color="auto"/>
      </w:divBdr>
    </w:div>
    <w:div w:id="1395546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dataaduan.komnasham.go.id/" TargetMode="External"/><Relationship Id="rId2" Type="http://schemas.openxmlformats.org/officeDocument/2006/relationships/hyperlink" Target="https://www.bps.go.id/subject/29/perumahan.html" TargetMode="External"/><Relationship Id="rId1" Type="http://schemas.openxmlformats.org/officeDocument/2006/relationships/hyperlink" Target="https://www.bphn.go.id/data/documents/14._putusan_14-puu-x-2012-(perumahan_dan_kawasan_pemukiman)_.pdf" TargetMode="External"/><Relationship Id="rId6" Type="http://schemas.openxmlformats.org/officeDocument/2006/relationships/hyperlink" Target="http://nahp.pu.go.id/assets/files/storage/NAHP_Book_-_English_version.pdf" TargetMode="External"/><Relationship Id="rId5" Type="http://schemas.openxmlformats.org/officeDocument/2006/relationships/hyperlink" Target="https://perpustakaan.bappenas.go.id/e-library/file_upload/koleksi/migrasi-data-publikasi/file/RP_RKP/Dokumen%20RPJMN%202020-2024/Lampiran%201.%20Narasi%20RPJMN%202020-2024.pdf" TargetMode="External"/><Relationship Id="rId4" Type="http://schemas.openxmlformats.org/officeDocument/2006/relationships/hyperlink" Target="https://jdih.atrbpn.go.id/api/download/1044/Terjemahan%20Resmi%20Undang-Undang%20Nomor%2020%20Tahun%20201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r3w0vmMEtzeNl8Va6WVBuSqxew==">AMUW2mVnIYa9OSxTJmyj/2eHlS0BpiMbyIukwgH11bDKhQXZfoBBRG+Y4xapA+b7k+8tJ+R08CEcIHj9Ahq1FXgEyj85rEiSH4rotReGGAr1cHHm4gAXq6bheLHMDVsQf+HvAhvf2HDi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E51C8F-55AD-4B43-BA86-4A8BCE36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8</Pages>
  <Words>3447</Words>
  <Characters>19652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Theissen</dc:creator>
  <cp:lastModifiedBy>Astari Anjani</cp:lastModifiedBy>
  <cp:revision>25</cp:revision>
  <dcterms:created xsi:type="dcterms:W3CDTF">2023-05-02T02:09:00Z</dcterms:created>
  <dcterms:modified xsi:type="dcterms:W3CDTF">2023-05-18T11:35:00Z</dcterms:modified>
</cp:coreProperties>
</file>