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24120" w:rsidRDefault="00000000">
      <w:pPr>
        <w:pStyle w:val="Title"/>
        <w:spacing w:after="0" w:line="276" w:lineRule="auto"/>
        <w:rPr>
          <w:rFonts w:ascii="Lexend Black" w:eastAsia="Lexend Black" w:hAnsi="Lexend Black" w:cs="Lexend Black"/>
          <w:sz w:val="36"/>
          <w:szCs w:val="36"/>
        </w:rPr>
      </w:pPr>
      <w:bookmarkStart w:id="0" w:name="_gj0wmg3owoxj" w:colFirst="0" w:colLast="0"/>
      <w:bookmarkEnd w:id="0"/>
      <w:r>
        <w:rPr>
          <w:rFonts w:ascii="Lexend Black" w:eastAsia="Lexend Black" w:hAnsi="Lexend Black" w:cs="Lexend Black"/>
          <w:sz w:val="36"/>
          <w:szCs w:val="36"/>
        </w:rPr>
        <w:t>ASERTOS</w:t>
      </w:r>
    </w:p>
    <w:p w14:paraId="00000002" w14:textId="77777777" w:rsidR="00B24120" w:rsidRDefault="00000000">
      <w:pPr>
        <w:pStyle w:val="Subtitle"/>
        <w:spacing w:after="0" w:line="276" w:lineRule="auto"/>
        <w:rPr>
          <w:rFonts w:ascii="Lexend" w:eastAsia="Lexend" w:hAnsi="Lexend" w:cs="Lexend"/>
          <w:color w:val="000000"/>
          <w:sz w:val="28"/>
          <w:szCs w:val="28"/>
        </w:rPr>
      </w:pPr>
      <w:bookmarkStart w:id="1" w:name="_xhwj21y2izxo" w:colFirst="0" w:colLast="0"/>
      <w:bookmarkEnd w:id="1"/>
      <w:r>
        <w:rPr>
          <w:rFonts w:ascii="Lexend" w:eastAsia="Lexend" w:hAnsi="Lexend" w:cs="Lexend"/>
          <w:color w:val="000000"/>
          <w:sz w:val="28"/>
          <w:szCs w:val="28"/>
        </w:rPr>
        <w:t>Regeneración comunitaria de barrios vulnerados</w:t>
      </w:r>
    </w:p>
    <w:p w14:paraId="00000003" w14:textId="77777777" w:rsidR="00B24120" w:rsidRDefault="00000000">
      <w:pPr>
        <w:pStyle w:val="Subtitle"/>
        <w:spacing w:after="0" w:line="276" w:lineRule="auto"/>
        <w:rPr>
          <w:rFonts w:ascii="Lexend Black" w:eastAsia="Lexend Black" w:hAnsi="Lexend Black" w:cs="Lexend Black"/>
          <w:sz w:val="22"/>
          <w:szCs w:val="22"/>
        </w:rPr>
      </w:pPr>
      <w:bookmarkStart w:id="2" w:name="_31yexjemg6us" w:colFirst="0" w:colLast="0"/>
      <w:bookmarkEnd w:id="2"/>
      <w:r>
        <w:rPr>
          <w:rFonts w:ascii="Lexend Black" w:eastAsia="Lexend Black" w:hAnsi="Lexend Black" w:cs="Lexend Black"/>
          <w:color w:val="F1C232"/>
          <w:sz w:val="20"/>
          <w:szCs w:val="20"/>
        </w:rPr>
        <w:t>Relator Especial sobre el derecho a una vivienda adecuada de la ONU 2024</w:t>
      </w:r>
    </w:p>
    <w:p w14:paraId="00000004" w14:textId="77777777" w:rsidR="00B24120" w:rsidRDefault="00000000">
      <w:pPr>
        <w:pStyle w:val="Heading1"/>
      </w:pPr>
      <w:bookmarkStart w:id="3" w:name="_9o4pgpmgt7cp" w:colFirst="0" w:colLast="0"/>
      <w:bookmarkEnd w:id="3"/>
      <w:r>
        <w:t>El problema de la vulnerabilidad urbana</w:t>
      </w:r>
    </w:p>
    <w:p w14:paraId="00000005" w14:textId="77777777" w:rsidR="00B24120" w:rsidRDefault="00000000">
      <w:r>
        <w:t>La vulnerabilidad urbana es un fenómeno habitual en las ciudades europeas. Aparece como resultado de la combinación de múltiples situaciones de desventaja y es generadora de malestar en las personas que lo sufren, caracterizada por un sentimiento de imposibilidad de mejora y el miedo continuo a un empeoramiento (Hernández Aja, s. f.). Los criterios de vulnerabilidad han ido evolucionando a lo largo de los años y difieren en función del territorio. Hay observatorios similares en Dinamarca, España, Francia, Gran Bretaña, Irlanda y Países Bajos. Cada observatorio parte de las preocupaciones específicas de su territorio y difiere en el tratamiento de los datos y en los indicadores seleccionados. Sin embargo, se tienen en cuenta tres dimensiones equivalentes: la social, la económica y la residencial (Hernández et al., 2021). En estas zonas degradadas de nuestras ciudades apreciamos la combinación de múltiples dimensiones de desigualdad, materiales y sociales, que tienen un impacto determinante en la salud física, mental y social de sus residentes (Wilkinson et al., 1998). En estos procesos de malestar urbano, la movilidad social ascendente parece inalcanzable y hay miedo a un empeoramiento.</w:t>
      </w:r>
    </w:p>
    <w:p w14:paraId="00000006" w14:textId="77777777" w:rsidR="00B24120" w:rsidRDefault="00000000">
      <w:r>
        <w:t>Según los últimos datos del Observatorio Nacional de la Vulnerabilidad Urbana (2011), España cuenta con 918 Barrios Vulnerados, habitados por 6,7 millones de personas (aumento del 136% en 20 años). La Comunitat Valenciana, y en especial, la provincia de Alicante, se han visto afectadas por la vulnerabilidad urbana de manera progresiva durante las últimas décadas (Alguacil Gómez &amp; Camacho Gutiérrez, 2013). Según los últimos datos disponibles por el observatorio nacional, la Comunitat Valenciana ha pasado de tener al 12,3% de su población residiendo en barrios vulnerados en 1991, al 43% en 2011, el índice más elevado de la España peninsular. Esta evolución ha supuesto un aumento de 0 a 5 barrios en situación de vulnerabilidad crítica o severa a lo largo de 20 años (Hernández Aja et al., 2018). Los datos del Visor de Espacios Urbanos Sensibles de la Comunidad Valenciana (VEUS) nos permiten analizar la situación interna de la Comunitat Valenciana. Se muestra que en 2020 la provincia más afectada era Alicante, con el 26,31% de su población residiendo en zonas con vulnerabilidad baja, el 33,09% en zonas de vulnerabilidad media y el 12,19% en zonas de vulnerabilidad integral. Estos datos reflejan la magnitud de la situación, que actualmente afecta a casi tres cuartos de la población alicantina (Azcárraga Monzonís, s. f.).</w:t>
      </w:r>
    </w:p>
    <w:p w14:paraId="00000007" w14:textId="77777777" w:rsidR="00B24120" w:rsidRDefault="00000000">
      <w:pPr>
        <w:rPr>
          <w:rFonts w:ascii="Lexend" w:eastAsia="Lexend" w:hAnsi="Lexend" w:cs="Lexend"/>
        </w:rPr>
      </w:pPr>
      <w:r>
        <w:t xml:space="preserve">Las herramientas que nos proporcionan estos observatorios, son fundamentales para el diagnóstico previo a las intervenciones de regeneración urbana, ya que permiten analizar un conjunto muy amplio de indicadores a la escala del barrio y compararlos con las medias nacional, autonómica y municipal. También permite comprender la evolución de las zonas, gracias al análisis decenal de los datos del censo de población y vivienda. Los datos disponibles son los de los censos de 1991, 2001, 2006, 2011 y, a lo largo de 2023, estarán analizados los datos del censo de 2021 (Rodríguez, 2018). Sin embargo, </w:t>
      </w:r>
      <w:r>
        <w:lastRenderedPageBreak/>
        <w:t>es importante complementar estos análisis con un trabajo cualitativo a escala local para poder identificar zonas de “vulnerabilidad desapercibida” y de “vulnerabilidad ambigua”, que se muestran invisibles a los observatorios (García-Araque, 2022). La monitorización y evaluación periódica de las zonas detectadas puede servir para validar el efecto de las políticas, ya sean sociales, de salud, económicas, medioambientales, y por supuesto, de regeneración urbana (Hernández et al., 2021).</w:t>
      </w:r>
    </w:p>
    <w:p w14:paraId="00000008" w14:textId="77777777" w:rsidR="00B24120" w:rsidRDefault="00000000">
      <w:r>
        <w:t>Para poder combatir las desigualdades de nuestra sociedad reflejadas en el espacio, necesitamos recuperar nuestras comunidades, fuentes de salud, bienestar y acción social. Proponemos como medio para aumentar la inclusión y cohesión social, una transformación participativa de los barrios degradados liderada por sus habitantes, usando la excusa de la mejora física como herramienta para descubrir, conectar y movilizar los talentos presentes en estas zonas. Precipitar un cambio sostenible y satisfactorio a través del poder relacional de los habitantes, proyectando una estrategia de actuación innovadora que mire hacia un futuro digno, democrático y no asistencialista a la escala del barrio. Partiendo de las redes vecinales como fuente primaria de recursos, se trabajará con entidades sociales e instituciones públicas para lograr dinámicas de intercambio y aprendizaje lideradas por la ciudadanía, logrando una regeneración urbana comunitaria.</w:t>
      </w:r>
    </w:p>
    <w:p w14:paraId="00000009" w14:textId="77777777" w:rsidR="00B24120" w:rsidRDefault="00000000">
      <w:pPr>
        <w:pStyle w:val="Heading1"/>
      </w:pPr>
      <w:bookmarkStart w:id="4" w:name="_14l8l43qbxvk" w:colFirst="0" w:colLast="0"/>
      <w:bookmarkEnd w:id="4"/>
      <w:r>
        <w:t xml:space="preserve">Descripción / Estrategia </w:t>
      </w:r>
    </w:p>
    <w:p w14:paraId="0000000A" w14:textId="77777777" w:rsidR="00B24120" w:rsidRDefault="00000000">
      <w:r>
        <w:t>En el programa Asertos promovemos un desarrollo local de barrios vulnerados, o espacios urbanos sensibles, partiendo de los recursos locales de la población que habita el territorio. Para promover un Desarrollo Comunitario Basado en Activos (entendidos como recursos locales, autopercibidos por parte de la comunidad), proponemos la creación de Bancos de Recursos con implantación en los barrios vulnerados. Debido a la situación de degradación de las zonas, se incrementa  la voluntad de mejorarlas por parte de la población residente para descubrir, conectar y movilizar recursos, persiguiendo un objetivo común: la regeneración comunitaria del entorno.</w:t>
      </w:r>
    </w:p>
    <w:p w14:paraId="0000000B" w14:textId="77777777" w:rsidR="00B24120" w:rsidRDefault="00000000">
      <w:r>
        <w:t>Se fomenta la participación social y cultural de colectivos vulnerados cambiando la mirada y considerando a las personas por lo que pueden aportar, no por lo que les falta. Se fomenta una forma de actuar circular basada en la retroalimentación, donde los y las ciudadanos/as toman la iniciativa utilizando lo que tienen para conseguir lo que necesitan. Un equipo de proyecto trabaja localmente en la animación comunitaria para formar grupos de interés que lideren desde dentro proyectos comunes, lo cual refuerza el sentimiento de pertenencia y los vínculos con los barrios, así como la promoción de cuidados y la inclusión de las personas que se encuentran más al margen. De manera simultánea, se pretende dar respuesta a necesidades sociales, crear nuevas relaciones en los vecindarios y hacia fuera de los mismos, y reforzar la autonomía e independencia en un contexto generalizado de dependencia de los servicios sociales.</w:t>
      </w:r>
    </w:p>
    <w:p w14:paraId="0000000C" w14:textId="77777777" w:rsidR="00B24120" w:rsidRDefault="00000000">
      <w:pPr>
        <w:rPr>
          <w:rFonts w:ascii="Lexend" w:eastAsia="Lexend" w:hAnsi="Lexend" w:cs="Lexend"/>
          <w:b/>
          <w:sz w:val="28"/>
          <w:szCs w:val="28"/>
          <w:u w:val="single"/>
        </w:rPr>
      </w:pPr>
      <w:r>
        <w:t xml:space="preserve">Para ello, la realización de un mapeo de activos permite reunir los conocimientos, historias, competencias, talentos, espacios de calidad y entidades locales con impacto positivo, para poner en marcha un banco de tiempo, que registre y "fiscalice" una cadena de intercambios, aprovechando </w:t>
      </w:r>
      <w:r>
        <w:lastRenderedPageBreak/>
        <w:t>aquello en lo que cada uno/a es bueno y sabe hacer. Se programan actividades y eventos para ir dando forma a un desarrollo comunitario basado en activos, que permita la mejora de las condiciones de vida inmediatas en entornos de gran necesidad, y teja los lazos necesarios con las comunidades de los barrios y las Asociaciones Vecinales para un bienestar comunitario a largo plazo, siempre desde una perspectiva de dentro hacia fuera dirigida por los y las ciudadanos/as.</w:t>
      </w:r>
    </w:p>
    <w:p w14:paraId="0000000D" w14:textId="77777777" w:rsidR="00B24120" w:rsidRDefault="00000000">
      <w:pPr>
        <w:pStyle w:val="Heading1"/>
      </w:pPr>
      <w:bookmarkStart w:id="5" w:name="_b0ifdy8970h4" w:colFirst="0" w:colLast="0"/>
      <w:bookmarkEnd w:id="5"/>
      <w:r>
        <w:t>Relación con los ODS</w:t>
      </w:r>
    </w:p>
    <w:p w14:paraId="0000000E" w14:textId="77777777" w:rsidR="00B24120" w:rsidRDefault="00000000">
      <w:pPr>
        <w:pStyle w:val="Heading2"/>
      </w:pPr>
      <w:bookmarkStart w:id="6" w:name="_7u0xwuz92f7a" w:colFirst="0" w:colLast="0"/>
      <w:bookmarkEnd w:id="6"/>
      <w:r>
        <w:t>Acompañamiento Residencial Comunitario</w:t>
      </w:r>
    </w:p>
    <w:p w14:paraId="0000000F" w14:textId="77777777" w:rsidR="00B24120" w:rsidRDefault="00000000">
      <w:pPr>
        <w:numPr>
          <w:ilvl w:val="0"/>
          <w:numId w:val="1"/>
        </w:numPr>
        <w:spacing w:after="0"/>
        <w:rPr>
          <w:color w:val="999999"/>
        </w:rPr>
      </w:pPr>
      <w:r>
        <w:rPr>
          <w:color w:val="999999"/>
        </w:rPr>
        <w:t>ODS 1: Fin de la pobreza.</w:t>
      </w:r>
    </w:p>
    <w:p w14:paraId="00000010" w14:textId="77777777" w:rsidR="00B24120" w:rsidRDefault="00000000">
      <w:pPr>
        <w:numPr>
          <w:ilvl w:val="0"/>
          <w:numId w:val="1"/>
        </w:numPr>
        <w:spacing w:before="0"/>
        <w:rPr>
          <w:color w:val="999999"/>
        </w:rPr>
      </w:pPr>
      <w:r>
        <w:rPr>
          <w:color w:val="999999"/>
        </w:rPr>
        <w:t>ODS 2: Hambre cero.</w:t>
      </w:r>
    </w:p>
    <w:p w14:paraId="00000011" w14:textId="77777777" w:rsidR="00B24120" w:rsidRDefault="00000000">
      <w:pPr>
        <w:rPr>
          <w:color w:val="999999"/>
        </w:rPr>
      </w:pPr>
      <w:r>
        <w:t>En un territorio afectado por la degradación de viviendas, altas tasas de desempleo y falta de educación formal, la exclusión social se ve exacerbada por factores sociales y espaciales que se retroalimentan negativamente. Sin embargo, mediante el enfoque del Desarrollo Comunitario Basado en Activos, se pueden aprovechar los recursos existentes en la comunidad para mejorar el entorno. La participación comunitaria, a través de la co-concepción y co-construcción, promueve procesos inclusivos que buscan el acceso a vivienda y empleo dignos.</w:t>
      </w:r>
    </w:p>
    <w:p w14:paraId="00000012" w14:textId="77777777" w:rsidR="00B24120" w:rsidRDefault="00000000">
      <w:pPr>
        <w:pStyle w:val="Heading2"/>
      </w:pPr>
      <w:bookmarkStart w:id="7" w:name="_wynhotomtjsv" w:colFirst="0" w:colLast="0"/>
      <w:bookmarkEnd w:id="7"/>
      <w:r>
        <w:t>Enfoque Salutogénico</w:t>
      </w:r>
    </w:p>
    <w:p w14:paraId="00000013" w14:textId="77777777" w:rsidR="00B24120" w:rsidRDefault="00000000">
      <w:pPr>
        <w:numPr>
          <w:ilvl w:val="0"/>
          <w:numId w:val="4"/>
        </w:numPr>
        <w:rPr>
          <w:color w:val="999999"/>
        </w:rPr>
      </w:pPr>
      <w:r>
        <w:rPr>
          <w:color w:val="999999"/>
        </w:rPr>
        <w:t>ODS 3: Salud y bienestar.</w:t>
      </w:r>
    </w:p>
    <w:p w14:paraId="00000014" w14:textId="77777777" w:rsidR="00B24120" w:rsidRDefault="00000000">
      <w:r>
        <w:t>Si ponemos el foco en la transformación del hábitat desde dentro y por medio de un liderazgo ciudadano que promueva la cohesión social, hablamos de modificar el conjunto de Determinantes Sociales de la Salud. Esto tiene un impacto en la salud física, mental y social. Es necesario un cambio de paradigma, pasando de un enfoque basado en el déficit para buscar la generación de salud desde el interior de las comunidades. Una vez que asumimos que la fuente de nuestra salud está en nuestras comunidades, basta con encontrar oportunidades para reforzarlas.</w:t>
      </w:r>
    </w:p>
    <w:p w14:paraId="00000015" w14:textId="77777777" w:rsidR="00B24120" w:rsidRDefault="00000000">
      <w:pPr>
        <w:pStyle w:val="Heading2"/>
      </w:pPr>
      <w:bookmarkStart w:id="8" w:name="_1z5frx4zpns6" w:colFirst="0" w:colLast="0"/>
      <w:bookmarkEnd w:id="8"/>
      <w:r>
        <w:t>Puentes de Aprender Haciendo</w:t>
      </w:r>
    </w:p>
    <w:p w14:paraId="00000016" w14:textId="77777777" w:rsidR="00B24120" w:rsidRDefault="00000000">
      <w:pPr>
        <w:numPr>
          <w:ilvl w:val="0"/>
          <w:numId w:val="5"/>
        </w:numPr>
        <w:rPr>
          <w:color w:val="999999"/>
        </w:rPr>
      </w:pPr>
      <w:r>
        <w:rPr>
          <w:color w:val="999999"/>
        </w:rPr>
        <w:t>ODS 4: Educación de calidad.</w:t>
      </w:r>
    </w:p>
    <w:p w14:paraId="00000017" w14:textId="77777777" w:rsidR="00B24120" w:rsidRDefault="00000000">
      <w:r>
        <w:t>Los grupos de trabajo comunitarios pueden ser un puente para todas las personas habitantes del barrio que se encuentren alejadas del empleo. Se llevan a cabo momentos de formación activa (aprender haciendo) en áreas que interesen al vecindario: construcción, mantenimiento, jardinería, artesanía, peluquería, maquillaje, cocina, mecánica, atención sociosanitaria, informática, etc. Las acciones directas en la zona permiten la creación de escuelas-taller, que junto con entidades especialistas en inserción sociolaboral permiten derivaciones a formación reglada e intermediación con empresas.</w:t>
      </w:r>
    </w:p>
    <w:p w14:paraId="00000018" w14:textId="77777777" w:rsidR="00B24120" w:rsidRDefault="00000000">
      <w:pPr>
        <w:pStyle w:val="Heading2"/>
      </w:pPr>
      <w:bookmarkStart w:id="9" w:name="_wk8nq9mc08v5" w:colFirst="0" w:colLast="0"/>
      <w:bookmarkEnd w:id="9"/>
      <w:r>
        <w:lastRenderedPageBreak/>
        <w:t>Igualdad de Género</w:t>
      </w:r>
    </w:p>
    <w:p w14:paraId="00000019" w14:textId="77777777" w:rsidR="00B24120" w:rsidRDefault="00000000">
      <w:pPr>
        <w:numPr>
          <w:ilvl w:val="0"/>
          <w:numId w:val="10"/>
        </w:numPr>
        <w:rPr>
          <w:color w:val="999999"/>
        </w:rPr>
      </w:pPr>
      <w:r>
        <w:rPr>
          <w:color w:val="999999"/>
        </w:rPr>
        <w:t>ODS 5: Igualdad de género.</w:t>
      </w:r>
    </w:p>
    <w:p w14:paraId="0000001A" w14:textId="77777777" w:rsidR="00B24120" w:rsidRDefault="00000000">
      <w:r>
        <w:t>El Patriarcado está arraigado al imaginario social y crea dinámicas desiguales de forma estructural e institucional, que dan lugar a un aprendizaje social basado en desigualdades por razón de género. Encontramos mujeres que están atravesadas por una triple discriminación, racial, de clase y de género. En materia de género es importante crear espacios que las mujeres consideren seguros y que permitan una dinámica comunicativa libre, además de basar toda intervención en una escucha activa y empática hacia las vivencias que las mujeres quieran compartir. Se trata de que las mujeres sean las protagonistas de su propio desarrollo y de que las inequidades de género se reduzcan al máximo, evitando o minimizando su perpetuación en las futuras generaciones.</w:t>
      </w:r>
    </w:p>
    <w:p w14:paraId="0000001B" w14:textId="77777777" w:rsidR="00B24120" w:rsidRDefault="00000000">
      <w:pPr>
        <w:pStyle w:val="Heading2"/>
      </w:pPr>
      <w:bookmarkStart w:id="10" w:name="_mg43muhxogec" w:colFirst="0" w:colLast="0"/>
      <w:bookmarkEnd w:id="10"/>
      <w:r>
        <w:t>Emergencia de Comunes Urbanos</w:t>
      </w:r>
    </w:p>
    <w:p w14:paraId="0000001C" w14:textId="77777777" w:rsidR="00B24120" w:rsidRDefault="00000000">
      <w:pPr>
        <w:numPr>
          <w:ilvl w:val="0"/>
          <w:numId w:val="6"/>
        </w:numPr>
        <w:spacing w:after="0"/>
        <w:rPr>
          <w:color w:val="999999"/>
        </w:rPr>
      </w:pPr>
      <w:r>
        <w:rPr>
          <w:color w:val="999999"/>
        </w:rPr>
        <w:t>ODS 6: Agua Limpia y Saneamiento.</w:t>
      </w:r>
    </w:p>
    <w:p w14:paraId="0000001D" w14:textId="77777777" w:rsidR="00B24120" w:rsidRDefault="00000000">
      <w:pPr>
        <w:numPr>
          <w:ilvl w:val="0"/>
          <w:numId w:val="6"/>
        </w:numPr>
        <w:spacing w:before="0"/>
        <w:rPr>
          <w:color w:val="999999"/>
        </w:rPr>
      </w:pPr>
      <w:r>
        <w:rPr>
          <w:color w:val="999999"/>
        </w:rPr>
        <w:t>ODS 7: Energía Asequible y no Contaminante.</w:t>
      </w:r>
    </w:p>
    <w:p w14:paraId="0000001E" w14:textId="77777777" w:rsidR="00B24120" w:rsidRDefault="00000000">
      <w:pPr>
        <w:rPr>
          <w:color w:val="999999"/>
        </w:rPr>
      </w:pPr>
      <w:r>
        <w:t>El cambio climático está aumentando el riesgo de sequía en muchos territorios, especialmente en municipios agrícolas. La escasez de agua ya está afectando los rendimientos agrícolas y los niveles de ríos y embalses están disminuyendo. Para abordar esta situación, se están gestionando ayudas para el acceso al bono social del agua y se están mejorando las instalaciones para evitar pérdidas y optimizar el uso de las aguas grises. Se está promocionando el autoconsumo eléctrico y las comunidades energéticas locales para depender menos de la energía centralizada y fomentar el uso de energías renovables. Además, se están creando espacios de gestión de comunes urbanos para prepararse para la escasez energética futura, la recolección y aprovechamiento de aguas pluviales, y el tratamiento de residuos a nivel de barrio.</w:t>
      </w:r>
    </w:p>
    <w:p w14:paraId="0000001F" w14:textId="77777777" w:rsidR="00B24120" w:rsidRDefault="00000000">
      <w:pPr>
        <w:pStyle w:val="Heading2"/>
      </w:pPr>
      <w:bookmarkStart w:id="11" w:name="_7bhrba2nqj71" w:colFirst="0" w:colLast="0"/>
      <w:bookmarkEnd w:id="11"/>
      <w:r>
        <w:t>Economía Circular</w:t>
      </w:r>
    </w:p>
    <w:p w14:paraId="00000020" w14:textId="77777777" w:rsidR="00B24120" w:rsidRDefault="00000000">
      <w:pPr>
        <w:numPr>
          <w:ilvl w:val="0"/>
          <w:numId w:val="7"/>
        </w:numPr>
        <w:spacing w:after="0"/>
        <w:rPr>
          <w:color w:val="999999"/>
        </w:rPr>
      </w:pPr>
      <w:r>
        <w:rPr>
          <w:color w:val="999999"/>
        </w:rPr>
        <w:t>ODS 8: Trabajo Decente y Crecimiento Económico.</w:t>
      </w:r>
    </w:p>
    <w:p w14:paraId="00000021" w14:textId="77777777" w:rsidR="00B24120" w:rsidRDefault="00000000">
      <w:pPr>
        <w:numPr>
          <w:ilvl w:val="0"/>
          <w:numId w:val="7"/>
        </w:numPr>
        <w:spacing w:before="0"/>
        <w:rPr>
          <w:color w:val="999999"/>
        </w:rPr>
      </w:pPr>
      <w:r>
        <w:rPr>
          <w:color w:val="999999"/>
        </w:rPr>
        <w:t>ODS 9: Industria, Innovación e Infraestructura.</w:t>
      </w:r>
    </w:p>
    <w:p w14:paraId="00000022" w14:textId="77777777" w:rsidR="00B24120" w:rsidRDefault="00000000">
      <w:pPr>
        <w:rPr>
          <w:color w:val="999999"/>
        </w:rPr>
      </w:pPr>
      <w:r>
        <w:t xml:space="preserve">Promover el mapeo de recursos existentes en la zona, haciéndolos visibles y conectandolos para planificar acciones a través de los mismos. Nos referimos a conocimientos, competencias o talentos de personas residentes, a asociaciones, formas de colaboración o de organización, e incluso a relatos personales o históricos que contribuyan a la identidad y al sentido de pertenencia. Esto ayuda a tender puentes entre grupos diferentes dentro del Barrio, con las administraciones públicas y con el sector privado. Experimentar soluciones posibles para utilizar materiales locales y naturales de manera eficiente en el diseño y la construcción: tierra, yeso, cal, caña, materiales recuperados de las chatarrerías, baterías desechadas, etc. Reparación y mantenimiento para evitar la obsolescencia y generar empleos que se adapten a nuevas tecnologías. Gracias a la colaboración con universidades, </w:t>
      </w:r>
      <w:r>
        <w:lastRenderedPageBreak/>
        <w:t>aseguramos el rigor necesario en la práctica constructiva, permitiendo extrapolar los aprendizajes a la mejora de viviendas y zonas comunes.</w:t>
      </w:r>
    </w:p>
    <w:p w14:paraId="00000023" w14:textId="77777777" w:rsidR="00B24120" w:rsidRDefault="00000000">
      <w:pPr>
        <w:pStyle w:val="Heading2"/>
      </w:pPr>
      <w:bookmarkStart w:id="12" w:name="_sgqgc8ltdmee" w:colFirst="0" w:colLast="0"/>
      <w:bookmarkEnd w:id="12"/>
      <w:r>
        <w:t>Regeneración Comunitaria</w:t>
      </w:r>
    </w:p>
    <w:p w14:paraId="00000024" w14:textId="77777777" w:rsidR="00B24120" w:rsidRDefault="00000000">
      <w:pPr>
        <w:numPr>
          <w:ilvl w:val="0"/>
          <w:numId w:val="3"/>
        </w:numPr>
        <w:spacing w:after="0"/>
        <w:rPr>
          <w:color w:val="999999"/>
        </w:rPr>
      </w:pPr>
      <w:r>
        <w:rPr>
          <w:color w:val="999999"/>
        </w:rPr>
        <w:t>ODS 10: Reducción de las Desigualdades.</w:t>
      </w:r>
    </w:p>
    <w:p w14:paraId="00000025" w14:textId="77777777" w:rsidR="00B24120" w:rsidRDefault="00000000">
      <w:pPr>
        <w:numPr>
          <w:ilvl w:val="0"/>
          <w:numId w:val="3"/>
        </w:numPr>
        <w:spacing w:before="0"/>
        <w:rPr>
          <w:color w:val="999999"/>
        </w:rPr>
      </w:pPr>
      <w:r>
        <w:rPr>
          <w:color w:val="999999"/>
        </w:rPr>
        <w:t>ODS 11: Ciudades y Comunidades Sostenibles.</w:t>
      </w:r>
    </w:p>
    <w:p w14:paraId="00000026" w14:textId="77777777" w:rsidR="00B24120" w:rsidRDefault="00000000">
      <w:pPr>
        <w:rPr>
          <w:color w:val="999999"/>
        </w:rPr>
      </w:pPr>
      <w:r>
        <w:t>Promover la mejora de entornos para fortalecer la cohesión comunitaria y aumentar la autonomía de las comunidades en la gestión de recursos y defensa de sus derechos es esencial. Trabajando a nivel local, podemos abogar por los derechos humanos, particularmente en áreas críticas como la salud, vivienda y violencia de género. La cohesión entre vecinos/as puede combatir la soledad en la vejez y promover nuevas formas de ocio intergeneracional mediante la creación de espacios comunitarios. También es crucial abordar el envejecimiento de la población y mejorar la educación local para proteger a la infancia y fomentar la igualdad de oportunidades.</w:t>
      </w:r>
    </w:p>
    <w:p w14:paraId="00000027" w14:textId="77777777" w:rsidR="00B24120" w:rsidRDefault="00000000">
      <w:pPr>
        <w:pStyle w:val="Heading2"/>
      </w:pPr>
      <w:bookmarkStart w:id="13" w:name="_4c7t28e2nn32" w:colFirst="0" w:colLast="0"/>
      <w:bookmarkEnd w:id="13"/>
      <w:r>
        <w:t>Banco de Recursos Locales</w:t>
      </w:r>
    </w:p>
    <w:p w14:paraId="00000028" w14:textId="77777777" w:rsidR="00B24120" w:rsidRDefault="00000000">
      <w:pPr>
        <w:numPr>
          <w:ilvl w:val="0"/>
          <w:numId w:val="8"/>
        </w:numPr>
        <w:rPr>
          <w:color w:val="999999"/>
        </w:rPr>
      </w:pPr>
      <w:r>
        <w:rPr>
          <w:color w:val="999999"/>
        </w:rPr>
        <w:t>ODS 12: Producción y Consumo Responsables.</w:t>
      </w:r>
    </w:p>
    <w:p w14:paraId="00000029" w14:textId="77777777" w:rsidR="00B24120" w:rsidRDefault="00000000">
      <w:r>
        <w:t>La creación de un “Banco de Recursos” con implantación en los barrios vulnerados promueve un Desarrollo Comunitario Basado en Activos (ABCD): desarrollo por medio de un liderazgo ciudadano, consciente de sus propios recursos, situado en un territorio, centrado en sus relaciones y con foco en la inclusión. Combinamos el funcionamiento de un Banco de Tiempo con la dimensión física, compuesta por donación de materiales y el préstamo de herramientas. Cuando consideramos los recursos más allá del aspecto económico y de las actividades profesionales, nos damos cuenta de que la comunidad rebosa experiencias, conocimientos, historias, habilidades sociales, predisposición a la ayuda mutua, ganas de actuar e incluso tiempo para hacerlo.</w:t>
      </w:r>
    </w:p>
    <w:p w14:paraId="0000002A" w14:textId="77777777" w:rsidR="00B24120" w:rsidRDefault="00000000">
      <w:pPr>
        <w:pStyle w:val="Heading2"/>
      </w:pPr>
      <w:bookmarkStart w:id="14" w:name="_f4tcwj6qop68" w:colFirst="0" w:colLast="0"/>
      <w:bookmarkEnd w:id="14"/>
      <w:r>
        <w:t>Autogestión de los Ecosistemas</w:t>
      </w:r>
    </w:p>
    <w:p w14:paraId="0000002B" w14:textId="77777777" w:rsidR="00B24120" w:rsidRDefault="00000000">
      <w:pPr>
        <w:numPr>
          <w:ilvl w:val="0"/>
          <w:numId w:val="2"/>
        </w:numPr>
        <w:spacing w:after="0"/>
        <w:rPr>
          <w:color w:val="999999"/>
        </w:rPr>
      </w:pPr>
      <w:r>
        <w:rPr>
          <w:color w:val="999999"/>
        </w:rPr>
        <w:t>ODS 13: Acción por el Clima.</w:t>
      </w:r>
    </w:p>
    <w:p w14:paraId="0000002C" w14:textId="77777777" w:rsidR="00B24120" w:rsidRDefault="00000000">
      <w:pPr>
        <w:numPr>
          <w:ilvl w:val="0"/>
          <w:numId w:val="2"/>
        </w:numPr>
        <w:spacing w:before="0" w:after="0"/>
        <w:rPr>
          <w:color w:val="999999"/>
        </w:rPr>
      </w:pPr>
      <w:r>
        <w:rPr>
          <w:color w:val="999999"/>
        </w:rPr>
        <w:t>ODS 14: Vida Submarina.</w:t>
      </w:r>
    </w:p>
    <w:p w14:paraId="0000002D" w14:textId="77777777" w:rsidR="00B24120" w:rsidRDefault="00000000">
      <w:pPr>
        <w:numPr>
          <w:ilvl w:val="0"/>
          <w:numId w:val="2"/>
        </w:numPr>
        <w:spacing w:before="0"/>
        <w:rPr>
          <w:color w:val="999999"/>
        </w:rPr>
      </w:pPr>
      <w:r>
        <w:rPr>
          <w:color w:val="999999"/>
        </w:rPr>
        <w:t>ODS 15: Vida de Ecosistemas Terrestres.</w:t>
      </w:r>
    </w:p>
    <w:p w14:paraId="0000002E" w14:textId="77777777" w:rsidR="00B24120" w:rsidRDefault="00000000">
      <w:pPr>
        <w:rPr>
          <w:color w:val="999999"/>
        </w:rPr>
      </w:pPr>
      <w:r>
        <w:t>Las comunidades deben asumir el control de sus entornos habitados, creando espacios verdes y azules para servir como refugios climáticos durante olas de calor y fomentar la agricultura local. Promover la seguridad alimentaria a través de bancos de alimentos y puntos de venta de productos frescos ayuda a mantener una alimentación saludable y reducir el uso de plásticos. La gestión local de residuos es crucial para evitar la contaminación del suelo y el mar. La promoción de espacios de ocio y comercio, junto con el fomento del transporte peatonal, contribuye a reducir el uso del transporte privado y las emisiones de gases de efecto invernadero.</w:t>
      </w:r>
    </w:p>
    <w:p w14:paraId="0000002F" w14:textId="77777777" w:rsidR="00B24120" w:rsidRDefault="00000000">
      <w:pPr>
        <w:pStyle w:val="Heading2"/>
      </w:pPr>
      <w:bookmarkStart w:id="15" w:name="_sgleehfx5f6z" w:colFirst="0" w:colLast="0"/>
      <w:bookmarkEnd w:id="15"/>
      <w:r>
        <w:lastRenderedPageBreak/>
        <w:t>Comunidades en Red</w:t>
      </w:r>
    </w:p>
    <w:p w14:paraId="00000030" w14:textId="77777777" w:rsidR="00B24120" w:rsidRDefault="00000000">
      <w:pPr>
        <w:numPr>
          <w:ilvl w:val="0"/>
          <w:numId w:val="9"/>
        </w:numPr>
        <w:spacing w:after="0"/>
        <w:rPr>
          <w:color w:val="999999"/>
        </w:rPr>
      </w:pPr>
      <w:r>
        <w:rPr>
          <w:color w:val="999999"/>
        </w:rPr>
        <w:t>ODS 16: Paz, Justicia e Instituciones Sólidas.</w:t>
      </w:r>
    </w:p>
    <w:p w14:paraId="00000031" w14:textId="77777777" w:rsidR="00B24120" w:rsidRDefault="00000000">
      <w:pPr>
        <w:numPr>
          <w:ilvl w:val="0"/>
          <w:numId w:val="9"/>
        </w:numPr>
        <w:spacing w:before="0"/>
        <w:rPr>
          <w:color w:val="999999"/>
        </w:rPr>
      </w:pPr>
      <w:r>
        <w:rPr>
          <w:color w:val="999999"/>
        </w:rPr>
        <w:t>ODS 17: Alianzas para Lograr los Objetivos.</w:t>
      </w:r>
    </w:p>
    <w:p w14:paraId="00000032" w14:textId="77777777" w:rsidR="00B24120" w:rsidRDefault="00000000">
      <w:pPr>
        <w:rPr>
          <w:color w:val="999999"/>
        </w:rPr>
      </w:pPr>
      <w:r>
        <w:t>La construcción comunitaria debe de avanzar al mismo ritmo que la creación de vías de comunicación con otras comunidades y con las administraciones. Aspiramos a que la comunidad tenga poder para tomar las decisiones con total autonomía, y asuma su complejidad interna desde un funcionamiento democrático, al tiempo que se relaciona con su entorno a múltiples escalas. Para que las comunidades se mantengan en una adaptación constante y optimicen sus recursos internos, deben de tener facilidad para obtener recursos externos cuando sea necesario. Los derechos sociales de las personas habitantes deben defenderse desde las comunidades locales, con el apoyo de las instituciones públicas y sociales.</w:t>
      </w:r>
    </w:p>
    <w:p w14:paraId="00000033" w14:textId="77777777" w:rsidR="00B24120" w:rsidRDefault="00000000">
      <w:r>
        <w:pict w14:anchorId="1E9878A7">
          <v:rect id="_x0000_i1025" style="width:0;height:1.5pt" o:hralign="center" o:hrstd="t" o:hr="t" fillcolor="#a0a0a0" stroked="f"/>
        </w:pict>
      </w:r>
    </w:p>
    <w:p w14:paraId="00000034" w14:textId="77777777" w:rsidR="00B24120" w:rsidRDefault="00000000">
      <w:pPr>
        <w:pStyle w:val="Heading1"/>
      </w:pPr>
      <w:bookmarkStart w:id="16" w:name="_oq3g5plkajj5" w:colFirst="0" w:colLast="0"/>
      <w:bookmarkEnd w:id="16"/>
      <w:r>
        <w:t>Bibliografía</w:t>
      </w:r>
    </w:p>
    <w:p w14:paraId="00000035" w14:textId="77777777" w:rsidR="00B24120" w:rsidRDefault="00000000">
      <w:pPr>
        <w:ind w:left="720" w:hanging="720"/>
      </w:pPr>
      <w:r>
        <w:t xml:space="preserve">Alguacil Gómez, J., &amp; Camacho Gutiérrez, J. (2013). </w:t>
      </w:r>
      <w:r>
        <w:rPr>
          <w:i/>
        </w:rPr>
        <w:t>La vulnerabilidad urbana en España. Identicación y evolución de los barrios vulnerables</w:t>
      </w:r>
      <w:r>
        <w:t>. http://oa.upm.es/37430/1/INVE_MEM_2014_195457.pdf</w:t>
      </w:r>
    </w:p>
    <w:p w14:paraId="00000036" w14:textId="77777777" w:rsidR="00B24120" w:rsidRDefault="00000000">
      <w:pPr>
        <w:widowControl w:val="0"/>
        <w:pBdr>
          <w:top w:val="nil"/>
          <w:left w:val="nil"/>
          <w:bottom w:val="nil"/>
          <w:right w:val="nil"/>
          <w:between w:val="nil"/>
        </w:pBdr>
        <w:ind w:left="720" w:hanging="720"/>
        <w:jc w:val="left"/>
      </w:pPr>
      <w:r>
        <w:t xml:space="preserve">Azcárraga Monzonís, E. (s. f.). </w:t>
      </w:r>
      <w:r>
        <w:rPr>
          <w:i/>
        </w:rPr>
        <w:t>RESUMEN: Visor de Espacios Urbanos Sensibles de la Comunitat Valenciana (VEUS) 2020</w:t>
      </w:r>
      <w:r>
        <w:t>.</w:t>
      </w:r>
    </w:p>
    <w:p w14:paraId="00000037" w14:textId="77777777" w:rsidR="00B24120" w:rsidRDefault="00000000">
      <w:pPr>
        <w:widowControl w:val="0"/>
        <w:pBdr>
          <w:top w:val="nil"/>
          <w:left w:val="nil"/>
          <w:bottom w:val="nil"/>
          <w:right w:val="nil"/>
          <w:between w:val="nil"/>
        </w:pBdr>
        <w:ind w:left="720" w:hanging="720"/>
        <w:jc w:val="left"/>
      </w:pPr>
      <w:r>
        <w:t xml:space="preserve">García-Araque, J. (2022). La dificultad de localizar situaciones de desfavorecimiento social. Aproximación teórica y constatación práctica del problema en una ciudad española. </w:t>
      </w:r>
      <w:r>
        <w:rPr>
          <w:i/>
        </w:rPr>
        <w:t>Geografares</w:t>
      </w:r>
      <w:r>
        <w:t xml:space="preserve">, </w:t>
      </w:r>
      <w:r>
        <w:rPr>
          <w:i/>
        </w:rPr>
        <w:t>2</w:t>
      </w:r>
      <w:r>
        <w:t>(34), Article 34. https://doi.org/10.47456/geo.v1i34.38549</w:t>
      </w:r>
    </w:p>
    <w:p w14:paraId="00000038" w14:textId="77777777" w:rsidR="00B24120" w:rsidRDefault="00000000">
      <w:pPr>
        <w:widowControl w:val="0"/>
        <w:pBdr>
          <w:top w:val="nil"/>
          <w:left w:val="nil"/>
          <w:bottom w:val="nil"/>
          <w:right w:val="nil"/>
          <w:between w:val="nil"/>
        </w:pBdr>
        <w:ind w:left="720" w:hanging="720"/>
        <w:jc w:val="left"/>
      </w:pPr>
      <w:r>
        <w:t xml:space="preserve">Hernández Aja, A. (s. f.). </w:t>
      </w:r>
      <w:r>
        <w:rPr>
          <w:i/>
        </w:rPr>
        <w:t>Atlas de la Vulnerabilidad Urbana en España: Metodología, contenidos y créditos</w:t>
      </w:r>
      <w:r>
        <w:t>. Recuperado 18 de febrero de 2021, de http://www.fomento.gob.es/NR/rdonlyres/8E15B071-12B5-4390-A913-E7349266E9FA/111284/20120125_METODOLOGIA_ATLAS.pdf</w:t>
      </w:r>
    </w:p>
    <w:p w14:paraId="00000039" w14:textId="77777777" w:rsidR="00B24120" w:rsidRDefault="00000000">
      <w:pPr>
        <w:widowControl w:val="0"/>
        <w:pBdr>
          <w:top w:val="nil"/>
          <w:left w:val="nil"/>
          <w:bottom w:val="nil"/>
          <w:right w:val="nil"/>
          <w:between w:val="nil"/>
        </w:pBdr>
        <w:ind w:left="720" w:hanging="720"/>
        <w:jc w:val="left"/>
      </w:pPr>
      <w:r>
        <w:t xml:space="preserve">Hernández Aja, A., Rodríguez Alonso, R., Rodríguez Suárez, I., Gómez Giménez, J. M., González García, I., &amp; Córdoba Hernández, R. (2018). </w:t>
      </w:r>
      <w:r>
        <w:rPr>
          <w:i/>
        </w:rPr>
        <w:t>Barrios vulnerables de las grandes ciudades españolas. 1991/ 2001/ 2011</w:t>
      </w:r>
      <w:r>
        <w:t>. http://oa.upm.es/51015/13/Barrios%20Vulnerables%20Ciudades%20Espa%C3%B1olas_Libro%20COMPLETO.pdf</w:t>
      </w:r>
    </w:p>
    <w:p w14:paraId="0000003A" w14:textId="77777777" w:rsidR="00B24120" w:rsidRDefault="00000000">
      <w:pPr>
        <w:widowControl w:val="0"/>
        <w:pBdr>
          <w:top w:val="nil"/>
          <w:left w:val="nil"/>
          <w:bottom w:val="nil"/>
          <w:right w:val="nil"/>
          <w:between w:val="nil"/>
        </w:pBdr>
        <w:ind w:left="720" w:hanging="720"/>
        <w:jc w:val="left"/>
      </w:pPr>
      <w:r>
        <w:t xml:space="preserve">Hernández, R. C., García, I. G., &amp; Periñán, G. G. (2021). Observatorios Europeos de Vulnerabilidad y Pobreza urbana. Características y transferibilidad. </w:t>
      </w:r>
      <w:r>
        <w:rPr>
          <w:i/>
        </w:rPr>
        <w:t>Ciudades</w:t>
      </w:r>
      <w:r>
        <w:t xml:space="preserve">, </w:t>
      </w:r>
      <w:r>
        <w:rPr>
          <w:i/>
        </w:rPr>
        <w:t>24</w:t>
      </w:r>
      <w:r>
        <w:t>, Article 24. https://doi.org/10.24197/ciudades.24.2021.207-224</w:t>
      </w:r>
    </w:p>
    <w:p w14:paraId="0000003B" w14:textId="77777777" w:rsidR="00B24120" w:rsidRDefault="00000000">
      <w:pPr>
        <w:widowControl w:val="0"/>
        <w:pBdr>
          <w:top w:val="nil"/>
          <w:left w:val="nil"/>
          <w:bottom w:val="nil"/>
          <w:right w:val="nil"/>
          <w:between w:val="nil"/>
        </w:pBdr>
        <w:ind w:left="720" w:hanging="720"/>
        <w:jc w:val="left"/>
      </w:pPr>
      <w:r>
        <w:t xml:space="preserve">Rodríguez, E. D. S. (2018). Herramientas de diagnóstico para las intervenciones de regeneración urbana integrada en la ciudad consolidada: Ejemplos de España. </w:t>
      </w:r>
      <w:r>
        <w:rPr>
          <w:i/>
        </w:rPr>
        <w:t>Limaq</w:t>
      </w:r>
      <w:r>
        <w:t xml:space="preserve">, </w:t>
      </w:r>
      <w:r>
        <w:rPr>
          <w:i/>
        </w:rPr>
        <w:t>004</w:t>
      </w:r>
      <w:r>
        <w:t>, Article 004. https://doi.org/10.26439/limaq2018.n004.2658</w:t>
      </w:r>
    </w:p>
    <w:p w14:paraId="0000003C" w14:textId="77777777" w:rsidR="00B24120" w:rsidRDefault="00000000">
      <w:pPr>
        <w:widowControl w:val="0"/>
        <w:pBdr>
          <w:top w:val="nil"/>
          <w:left w:val="nil"/>
          <w:bottom w:val="nil"/>
          <w:right w:val="nil"/>
          <w:between w:val="nil"/>
        </w:pBdr>
        <w:ind w:left="720" w:hanging="720"/>
        <w:jc w:val="left"/>
        <w:rPr>
          <w:rFonts w:ascii="Lexend Light" w:eastAsia="Lexend Light" w:hAnsi="Lexend Light" w:cs="Lexend Light"/>
        </w:rPr>
      </w:pPr>
      <w:r>
        <w:t xml:space="preserve">Wilkinson, R. G., Marmot, M., Europe, W. H. O. R. O. for, Health (‎Europe)‎, W. C. for U., &amp; Society, I. C. for H. and. (1998). </w:t>
      </w:r>
      <w:r>
        <w:rPr>
          <w:i/>
        </w:rPr>
        <w:t>Social determinants of health: The solid facts</w:t>
      </w:r>
      <w:r>
        <w:t>. Copenhagen : WHO Regional Office for Europe. https://apps.who.int/iris/handle/10665/108082</w:t>
      </w:r>
    </w:p>
    <w:sectPr w:rsidR="00B24120">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61ECB" w14:textId="77777777" w:rsidR="00BB2DF6" w:rsidRDefault="00BB2DF6">
      <w:pPr>
        <w:spacing w:before="0" w:after="0" w:line="240" w:lineRule="auto"/>
      </w:pPr>
      <w:r>
        <w:separator/>
      </w:r>
    </w:p>
  </w:endnote>
  <w:endnote w:type="continuationSeparator" w:id="0">
    <w:p w14:paraId="65785E6B" w14:textId="77777777" w:rsidR="00BB2DF6" w:rsidRDefault="00BB2D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Atkinson Hyperlegible">
    <w:charset w:val="00"/>
    <w:family w:val="auto"/>
    <w:pitch w:val="default"/>
    <w:embedRegular r:id="rId1" w:fontKey="{15A6D25B-6A80-41D1-AEAB-7CFEF2019865}"/>
    <w:embedItalic r:id="rId2" w:fontKey="{BA073B67-A16C-46E6-A280-5A60A7DED529}"/>
  </w:font>
  <w:font w:name="Lexend Black">
    <w:charset w:val="00"/>
    <w:family w:val="auto"/>
    <w:pitch w:val="default"/>
    <w:embedRegular r:id="rId3" w:fontKey="{73EA0943-A51A-4F05-8ED6-BD8A7F90F715}"/>
  </w:font>
  <w:font w:name="Arial">
    <w:panose1 w:val="020B0604020202020204"/>
    <w:charset w:val="00"/>
    <w:family w:val="swiss"/>
    <w:pitch w:val="variable"/>
    <w:sig w:usb0="E0002EFF" w:usb1="C000785B" w:usb2="00000009" w:usb3="00000000" w:csb0="000001FF" w:csb1="00000000"/>
  </w:font>
  <w:font w:name="Lexend">
    <w:charset w:val="00"/>
    <w:family w:val="auto"/>
    <w:pitch w:val="default"/>
    <w:embedRegular r:id="rId4" w:fontKey="{91D970EB-6160-4A3D-B40F-04FCCE3270DC}"/>
    <w:embedBold r:id="rId5" w:fontKey="{B6633DD0-63C2-4B72-A2D4-5F05752BD722}"/>
  </w:font>
  <w:font w:name="Lexend Light">
    <w:charset w:val="00"/>
    <w:family w:val="auto"/>
    <w:pitch w:val="default"/>
    <w:embedRegular r:id="rId6" w:fontKey="{E4055153-32A6-4EE3-8323-B70C1D64FC5E}"/>
  </w:font>
  <w:font w:name="Lexend Thin">
    <w:charset w:val="00"/>
    <w:family w:val="auto"/>
    <w:pitch w:val="default"/>
    <w:embedRegular r:id="rId7" w:fontKey="{0845692D-AAE6-4E87-9D0C-B34DE7169570}"/>
  </w:font>
  <w:font w:name="Calibri">
    <w:panose1 w:val="020F0502020204030204"/>
    <w:charset w:val="00"/>
    <w:family w:val="swiss"/>
    <w:pitch w:val="variable"/>
    <w:sig w:usb0="E4002EFF" w:usb1="C000247B" w:usb2="00000009" w:usb3="00000000" w:csb0="000001FF" w:csb1="00000000"/>
    <w:embedRegular r:id="rId8" w:fontKey="{3C286295-F6E0-4AF0-80AD-4AA03695452D}"/>
  </w:font>
  <w:font w:name="Cambria">
    <w:panose1 w:val="02040503050406030204"/>
    <w:charset w:val="00"/>
    <w:family w:val="roman"/>
    <w:pitch w:val="variable"/>
    <w:sig w:usb0="E00006FF" w:usb1="420024FF" w:usb2="02000000" w:usb3="00000000" w:csb0="0000019F" w:csb1="00000000"/>
    <w:embedRegular r:id="rId9" w:fontKey="{B50A8558-4BC0-4336-9F92-D9E2E7A718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D" w14:textId="268F70FA" w:rsidR="00B24120" w:rsidRDefault="00000000">
    <w:pPr>
      <w:jc w:val="right"/>
    </w:pPr>
    <w:r>
      <w:rPr>
        <w:rFonts w:ascii="Lexend Thin" w:eastAsia="Lexend Thin" w:hAnsi="Lexend Thin" w:cs="Lexend Thin"/>
        <w:sz w:val="16"/>
        <w:szCs w:val="16"/>
      </w:rPr>
      <w:t>Relator Especial sobre el derecho a una vivienda adecuada de la ONU 2024</w:t>
    </w:r>
    <w:r>
      <w:tab/>
    </w:r>
    <w:r>
      <w:tab/>
    </w:r>
    <w:r>
      <w:tab/>
    </w:r>
    <w:r>
      <w:tab/>
    </w:r>
    <w:r>
      <w:tab/>
      <w:t xml:space="preserve">     </w:t>
    </w:r>
    <w:r>
      <w:fldChar w:fldCharType="begin"/>
    </w:r>
    <w:r>
      <w:instrText>PAGE</w:instrText>
    </w:r>
    <w:r>
      <w:fldChar w:fldCharType="separate"/>
    </w:r>
    <w:r w:rsidR="004237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488608" w14:textId="77777777" w:rsidR="00BB2DF6" w:rsidRDefault="00BB2DF6">
      <w:pPr>
        <w:spacing w:before="0" w:after="0" w:line="240" w:lineRule="auto"/>
      </w:pPr>
      <w:r>
        <w:separator/>
      </w:r>
    </w:p>
  </w:footnote>
  <w:footnote w:type="continuationSeparator" w:id="0">
    <w:p w14:paraId="4771F18C" w14:textId="77777777" w:rsidR="00BB2DF6" w:rsidRDefault="00BB2DF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03690"/>
    <w:multiLevelType w:val="multilevel"/>
    <w:tmpl w:val="C700C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B0AB6"/>
    <w:multiLevelType w:val="multilevel"/>
    <w:tmpl w:val="43CEC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9B0552"/>
    <w:multiLevelType w:val="multilevel"/>
    <w:tmpl w:val="9D6E1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B8509C"/>
    <w:multiLevelType w:val="multilevel"/>
    <w:tmpl w:val="6652C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BB3D6B"/>
    <w:multiLevelType w:val="multilevel"/>
    <w:tmpl w:val="D1FE8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4F4D56"/>
    <w:multiLevelType w:val="multilevel"/>
    <w:tmpl w:val="5E401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860306"/>
    <w:multiLevelType w:val="multilevel"/>
    <w:tmpl w:val="4572A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D97501"/>
    <w:multiLevelType w:val="multilevel"/>
    <w:tmpl w:val="EC9A5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2A155C"/>
    <w:multiLevelType w:val="multilevel"/>
    <w:tmpl w:val="2C121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B94375"/>
    <w:multiLevelType w:val="multilevel"/>
    <w:tmpl w:val="651A0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0728950">
    <w:abstractNumId w:val="0"/>
  </w:num>
  <w:num w:numId="2" w16cid:durableId="1627617658">
    <w:abstractNumId w:val="7"/>
  </w:num>
  <w:num w:numId="3" w16cid:durableId="918633021">
    <w:abstractNumId w:val="8"/>
  </w:num>
  <w:num w:numId="4" w16cid:durableId="843546089">
    <w:abstractNumId w:val="5"/>
  </w:num>
  <w:num w:numId="5" w16cid:durableId="1111978691">
    <w:abstractNumId w:val="4"/>
  </w:num>
  <w:num w:numId="6" w16cid:durableId="1162234474">
    <w:abstractNumId w:val="1"/>
  </w:num>
  <w:num w:numId="7" w16cid:durableId="2066250031">
    <w:abstractNumId w:val="9"/>
  </w:num>
  <w:num w:numId="8" w16cid:durableId="1663660094">
    <w:abstractNumId w:val="3"/>
  </w:num>
  <w:num w:numId="9" w16cid:durableId="1617325759">
    <w:abstractNumId w:val="6"/>
  </w:num>
  <w:num w:numId="10" w16cid:durableId="1956406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120"/>
    <w:rsid w:val="0042372B"/>
    <w:rsid w:val="005D3C35"/>
    <w:rsid w:val="00B24120"/>
    <w:rsid w:val="00BB2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779E51-33EA-46AC-9920-FDBA06580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tkinson Hyperlegible" w:eastAsia="Atkinson Hyperlegible" w:hAnsi="Atkinson Hyperlegible" w:cs="Atkinson Hyperlegible"/>
        <w:lang w:val="es" w:eastAsia="en-GB" w:bidi="ar-SA"/>
      </w:rPr>
    </w:rPrDefault>
    <w:pPrDefault>
      <w:pPr>
        <w:spacing w:before="200" w:after="100" w:line="33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Lexend Black" w:eastAsia="Lexend Black" w:hAnsi="Lexend Black" w:cs="Lexend Black"/>
      <w:sz w:val="28"/>
      <w:szCs w:val="28"/>
      <w:u w:val="single"/>
    </w:rPr>
  </w:style>
  <w:style w:type="paragraph" w:styleId="Heading2">
    <w:name w:val="heading 2"/>
    <w:basedOn w:val="Normal"/>
    <w:next w:val="Normal"/>
    <w:uiPriority w:val="9"/>
    <w:unhideWhenUsed/>
    <w:qFormat/>
    <w:pPr>
      <w:keepNext/>
      <w:keepLines/>
      <w:outlineLvl w:val="1"/>
    </w:pPr>
    <w:rPr>
      <w:rFonts w:ascii="Lexend Black" w:eastAsia="Lexend Black" w:hAnsi="Lexend Black" w:cs="Lexend Black"/>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1aae2dfcf38eb3d4f769327b9f8ce2e5">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83be24ca81d3dd6e9270b5b0a69b2c74"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Asertos</Contributor>
  </documentManagement>
</p:properties>
</file>

<file path=customXml/itemProps1.xml><?xml version="1.0" encoding="utf-8"?>
<ds:datastoreItem xmlns:ds="http://schemas.openxmlformats.org/officeDocument/2006/customXml" ds:itemID="{758E3E67-233D-4186-AED9-08E5D831A5C5}"/>
</file>

<file path=customXml/itemProps2.xml><?xml version="1.0" encoding="utf-8"?>
<ds:datastoreItem xmlns:ds="http://schemas.openxmlformats.org/officeDocument/2006/customXml" ds:itemID="{29287FF0-DE4C-4FC0-B47F-A4BF6C0E10C7}"/>
</file>

<file path=customXml/itemProps3.xml><?xml version="1.0" encoding="utf-8"?>
<ds:datastoreItem xmlns:ds="http://schemas.openxmlformats.org/officeDocument/2006/customXml" ds:itemID="{B2C89A69-7B8A-46B5-9329-BD16A0DFCE96}"/>
</file>

<file path=docProps/app.xml><?xml version="1.0" encoding="utf-8"?>
<Properties xmlns="http://schemas.openxmlformats.org/officeDocument/2006/extended-properties" xmlns:vt="http://schemas.openxmlformats.org/officeDocument/2006/docPropsVTypes">
  <Template>Normal.dotm</Template>
  <TotalTime>0</TotalTime>
  <Pages>6</Pages>
  <Words>2462</Words>
  <Characters>14454</Characters>
  <Application>Microsoft Office Word</Application>
  <DocSecurity>0</DocSecurity>
  <Lines>225</Lines>
  <Paragraphs>36</Paragraphs>
  <ScaleCrop>false</ScaleCrop>
  <Company/>
  <LinksUpToDate>false</LinksUpToDate>
  <CharactersWithSpaces>16880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CONSULTANT MENGHETTI Chiara</dc:creator>
  <cp:lastModifiedBy>Chiara Menghetti (OHCHR Consultant)</cp:lastModifiedBy>
  <cp:revision>2</cp:revision>
  <dcterms:created xsi:type="dcterms:W3CDTF">2024-05-20T09:09:00Z</dcterms:created>
  <dcterms:modified xsi:type="dcterms:W3CDTF">2024-05-20T09:09:00Z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