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007D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lang w:val="es-ES_tradnl"/>
        </w:rPr>
        <w:t xml:space="preserve">Informe del Relator Especial de la ONU sobre el derecho a una vivienda adecuada al </w:t>
      </w:r>
    </w:p>
    <w:p w14:paraId="0AE598D9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lang w:val="es-ES_tradnl"/>
        </w:rPr>
        <w:t>52º período de sesiones del Consejo de Derechos Humanos</w:t>
      </w:r>
    </w:p>
    <w:p w14:paraId="252583B7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sz w:val="28"/>
          <w:lang w:val="es-ES_tradnl"/>
        </w:rPr>
        <w:t>El derecho a una vivienda adecuada y el cambio climático</w:t>
      </w:r>
    </w:p>
    <w:p w14:paraId="2B3AD6E1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bCs/>
          <w:sz w:val="32"/>
          <w:lang w:val="es-ES_tradnl"/>
        </w:rPr>
        <w:t>Cuestionario</w:t>
      </w:r>
    </w:p>
    <w:p w14:paraId="63A6A30F" w14:textId="77777777" w:rsidR="0021302D" w:rsidRDefault="0021302D">
      <w:pPr>
        <w:jc w:val="both"/>
        <w:rPr>
          <w:rFonts w:ascii="Times New Roman" w:hAnsi="Times New Roman" w:cs="Times New Roman"/>
          <w:lang w:val="es-ES_tradnl"/>
        </w:rPr>
      </w:pPr>
    </w:p>
    <w:p w14:paraId="0ACA57B6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bCs/>
          <w:i/>
          <w:iCs/>
          <w:lang w:val="es-ES_tradnl"/>
        </w:rPr>
        <w:t xml:space="preserve">Impacto del cambio climático en el derecho </w:t>
      </w:r>
      <w:r>
        <w:rPr>
          <w:rFonts w:ascii="Times New Roman" w:hAnsi="Times New Roman" w:cs="Times New Roman"/>
          <w:b/>
          <w:bCs/>
          <w:i/>
          <w:iCs/>
          <w:lang w:val="es-ES_tradnl"/>
        </w:rPr>
        <w:t>a una vivienda adecuada</w:t>
      </w:r>
    </w:p>
    <w:p w14:paraId="0F938BC1" w14:textId="77777777" w:rsidR="0021302D" w:rsidRDefault="00AB47D8">
      <w:pPr>
        <w:ind w:firstLine="720"/>
        <w:jc w:val="both"/>
      </w:pPr>
      <w:r>
        <w:rPr>
          <w:rFonts w:ascii="Times New Roman" w:hAnsi="Times New Roman" w:cs="Times New Roman"/>
          <w:i/>
          <w:iCs/>
          <w:lang w:val="es-ES_tradnl"/>
        </w:rPr>
        <w:t>En la vida real</w:t>
      </w:r>
    </w:p>
    <w:p w14:paraId="2A652C27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u w:val="single"/>
          <w:lang w:val="es-ES_tradnl"/>
        </w:rPr>
        <w:t>En su país</w:t>
      </w:r>
      <w:r>
        <w:rPr>
          <w:rFonts w:ascii="Times New Roman" w:hAnsi="Times New Roman" w:cs="Times New Roman"/>
          <w:lang w:val="es-ES_tradnl"/>
        </w:rPr>
        <w:t>, ¿cuáles han sido los principales efectos de la crisis climática en el disfrute del derecho a una vivienda adecuada?  Por favor, especifique si ha habido algún impacto inducido por el clima en la seguridad</w:t>
      </w:r>
      <w:r>
        <w:rPr>
          <w:rFonts w:ascii="Times New Roman" w:hAnsi="Times New Roman" w:cs="Times New Roman"/>
          <w:lang w:val="es-ES_tradnl"/>
        </w:rPr>
        <w:t xml:space="preserve"> de la tenencia, la disponibilidad, la asequibilidad, la accesibilidad, la habitabilidad, la ubicación y la adecuación cultural de la vivienda, incluyendo los desplazamientos relacionados con la crisis climática. </w:t>
      </w:r>
      <w:r>
        <w:rPr>
          <w:rStyle w:val="Ancladenotaalpie"/>
          <w:rFonts w:ascii="Times New Roman" w:hAnsi="Times New Roman" w:cs="Times New Roman"/>
          <w:lang w:val="es-ES_tradnl"/>
        </w:rPr>
        <w:footnoteReference w:id="1"/>
      </w:r>
    </w:p>
    <w:p w14:paraId="065BA120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0440EAA5" w14:textId="77777777" w:rsidR="0021302D" w:rsidRDefault="00AB47D8">
      <w:pPr>
        <w:pStyle w:val="ListParagraph"/>
        <w:jc w:val="both"/>
        <w:rPr>
          <w:lang w:val="es-ES"/>
        </w:rPr>
      </w:pPr>
      <w:r>
        <w:rPr>
          <w:lang w:val="es-ES"/>
        </w:rPr>
        <w:t xml:space="preserve">Impactos del clima en el derecho de la </w:t>
      </w:r>
      <w:r>
        <w:rPr>
          <w:lang w:val="es-ES"/>
        </w:rPr>
        <w:t>vivienda:</w:t>
      </w:r>
    </w:p>
    <w:p w14:paraId="49768140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Viviendas perdidas por la elevación del nivel del mar (casas en primera línea de costa o en zonas inundables). 1 millón de residentes viven en zonas de </w:t>
      </w:r>
      <w:r>
        <w:rPr>
          <w:rFonts w:ascii="Times New Roman" w:hAnsi="Times New Roman" w:cs="Times New Roman"/>
          <w:b/>
          <w:bCs/>
          <w:color w:val="7295D2"/>
          <w:lang w:val="es-ES_tradnl"/>
        </w:rPr>
        <w:t xml:space="preserve">riesgo de inundación </w:t>
      </w:r>
      <w:r>
        <w:rPr>
          <w:rStyle w:val="Ancladenotaalpie"/>
          <w:rFonts w:ascii="Times New Roman" w:eastAsia="Times New Roman" w:hAnsi="Times New Roman" w:cs="Times New Roman"/>
          <w:color w:val="7295D2"/>
          <w:lang w:val="es-ES_tradnl"/>
        </w:rPr>
        <w:footnoteReference w:id="2"/>
      </w:r>
      <w:r>
        <w:rPr>
          <w:rFonts w:ascii="Times New Roman" w:eastAsia="Times New Roman" w:hAnsi="Times New Roman" w:cs="Times New Roman"/>
          <w:color w:val="7295D2"/>
          <w:lang w:val="es-ES_tradnl"/>
        </w:rPr>
        <w:t>.</w:t>
      </w:r>
    </w:p>
    <w:p w14:paraId="62494EC3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Olas de calor y de frío acompañadas de un alto número de </w:t>
      </w:r>
      <w:r>
        <w:rPr>
          <w:rFonts w:ascii="Times New Roman" w:hAnsi="Times New Roman" w:cs="Times New Roman"/>
          <w:color w:val="7295D2"/>
          <w:lang w:val="es-ES_tradnl"/>
        </w:rPr>
        <w:t>noches tropicales (esto, junto con los estragos de la pobreza energética, extendida en España, complican y vulneran el derecho a una vivienda digna, llegando a muertes por calor y muertes por frío a causa del poco aislamiento. Además, dado el poco aislamie</w:t>
      </w:r>
      <w:r>
        <w:rPr>
          <w:rFonts w:ascii="Times New Roman" w:hAnsi="Times New Roman" w:cs="Times New Roman"/>
          <w:color w:val="7295D2"/>
          <w:lang w:val="es-ES_tradnl"/>
        </w:rPr>
        <w:t>nto, hay un aumento del consumo de la electricidad y gas, con el gasto que ello comporta, que a menudo deriva en pobreza energética.</w:t>
      </w:r>
    </w:p>
    <w:p w14:paraId="315F78DD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Aumento de temporales (filtraciones en viviendas, pérdidas y destrozos por viento, lluvia y granizo)</w:t>
      </w:r>
    </w:p>
    <w:p w14:paraId="36AC90F3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Desertificación</w:t>
      </w:r>
    </w:p>
    <w:p w14:paraId="15418BE1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</w:t>
      </w:r>
      <w:r>
        <w:rPr>
          <w:rFonts w:ascii="Times New Roman" w:hAnsi="Times New Roman" w:cs="Times New Roman"/>
          <w:color w:val="7295D2"/>
          <w:lang w:val="es-ES_tradnl"/>
        </w:rPr>
        <w:t>Incendios</w:t>
      </w:r>
    </w:p>
    <w:p w14:paraId="0E9FE2CD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Efecto islas de calor (en ciudades)</w:t>
      </w:r>
    </w:p>
    <w:p w14:paraId="26CC7E75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Efectos en la salud (tanto por la radicalización de la temperatura como por plagas)</w:t>
      </w:r>
    </w:p>
    <w:p w14:paraId="0E1C19E3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Aumento de la migración y discriminación en la Estado Español a esas personas migradas vulnerables, también materia de v</w:t>
      </w:r>
      <w:r>
        <w:rPr>
          <w:rFonts w:ascii="Times New Roman" w:hAnsi="Times New Roman" w:cs="Times New Roman"/>
          <w:color w:val="7295D2"/>
          <w:lang w:val="es-ES_tradnl"/>
        </w:rPr>
        <w:t>ivienda</w:t>
      </w:r>
    </w:p>
    <w:p w14:paraId="6719C299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Asentamientos informales como las primeras “viviendas” que experimentan pérdidas y contienen las personas más vulnerables a la crisis climática</w:t>
      </w:r>
    </w:p>
    <w:p w14:paraId="624B5D11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 </w:t>
      </w:r>
    </w:p>
    <w:p w14:paraId="003E4E30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714A4853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9C57D88" w14:textId="77777777" w:rsidR="0021302D" w:rsidRDefault="00AB47D8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lang w:val="es-ES_tradnl"/>
        </w:rPr>
        <w:t xml:space="preserve">¿Existen diferencias en la forma en que la crisis climática afecta al derecho a una vivienda adecuada en las zonas urbanas y rurales? En caso afirmativo, ¿existe una interrelación entre ambos? </w:t>
      </w:r>
    </w:p>
    <w:p w14:paraId="386DA97E" w14:textId="77777777" w:rsidR="0021302D" w:rsidRDefault="0021302D">
      <w:pPr>
        <w:pStyle w:val="ListParagraph"/>
        <w:jc w:val="both"/>
      </w:pPr>
    </w:p>
    <w:p w14:paraId="620C0D81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C9211E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lastRenderedPageBreak/>
        <w:t xml:space="preserve">Zonas urbanas: sufren más de eventos como las islas de calor </w:t>
      </w:r>
      <w:r>
        <w:rPr>
          <w:rFonts w:ascii="Times New Roman" w:hAnsi="Times New Roman" w:cs="Times New Roman"/>
          <w:color w:val="7295D2"/>
          <w:lang w:val="es-ES_tradnl"/>
        </w:rPr>
        <w:t>o la afectación por otros tipos de contaminantes.</w:t>
      </w:r>
    </w:p>
    <w:p w14:paraId="036EF9B0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C9211E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Zonas rurales: se dedica menos dinero público para adaptación al cambio climático (como refugios climáticos) y se invierte menos en todo tipo de servicios. El transporte público en zonas rurales está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infraf</w:t>
      </w:r>
      <w:r>
        <w:rPr>
          <w:rFonts w:ascii="Times New Roman" w:hAnsi="Times New Roman" w:cs="Times New Roman"/>
          <w:color w:val="7295D2"/>
          <w:lang w:val="es-ES_tradnl"/>
        </w:rPr>
        <w:t>inanciado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 xml:space="preserve"> y funciona de forma deficiente. Ciudadanas que trabajan el campo y peligran sus ingresos económicos a causa de temporales que pueden destrozar su medio de sustento –cultivos, ganadería- y que por lo tanto pueden afectar al pago de una vivienda di</w:t>
      </w:r>
      <w:r>
        <w:rPr>
          <w:rFonts w:ascii="Times New Roman" w:hAnsi="Times New Roman" w:cs="Times New Roman"/>
          <w:color w:val="7295D2"/>
          <w:lang w:val="es-ES_tradnl"/>
        </w:rPr>
        <w:t>gna  y la supervivencia en sí de las viviendas El discurso de equilibrio territorial y menores desplazamientos en vehículo privado para mitigar el cambio climático se ve contrapuesto con la realidad de centralización de servicios públicos en grandes urbes,</w:t>
      </w:r>
      <w:r>
        <w:rPr>
          <w:rFonts w:ascii="Times New Roman" w:hAnsi="Times New Roman" w:cs="Times New Roman"/>
          <w:color w:val="7295D2"/>
          <w:lang w:val="es-ES_tradnl"/>
        </w:rPr>
        <w:t xml:space="preserve"> desatendiendo a pequeños pueblos y zonas rurales, que se tienen que desplazar para ir al médico o acceder a otros servicios básicos.</w:t>
      </w:r>
    </w:p>
    <w:p w14:paraId="536D9706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2E47A2F6" w14:textId="77777777" w:rsidR="0021302D" w:rsidRDefault="00AB47D8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lang w:val="es-ES_tradnl"/>
        </w:rPr>
        <w:t>¿Existen grupos claramente afectados en el disfrute de su derecho a una vivienda adecuada como resultado de la crisis cli</w:t>
      </w:r>
      <w:r>
        <w:rPr>
          <w:rFonts w:ascii="Times New Roman" w:hAnsi="Times New Roman" w:cs="Times New Roman"/>
          <w:lang w:val="es-ES_tradnl"/>
        </w:rPr>
        <w:t>mática? Por favor, describa de qué manera.</w:t>
      </w:r>
    </w:p>
    <w:p w14:paraId="0D4392C8" w14:textId="77777777" w:rsidR="0021302D" w:rsidRDefault="00AB47D8">
      <w:pPr>
        <w:pStyle w:val="ListParagraph"/>
        <w:jc w:val="both"/>
      </w:pPr>
      <w:r>
        <w:rPr>
          <w:rFonts w:ascii="Times New Roman" w:hAnsi="Times New Roman" w:cs="Times New Roman"/>
          <w:lang w:val="es-ES_tradnl"/>
        </w:rPr>
        <w:t>Grupos de afectados:</w:t>
      </w:r>
    </w:p>
    <w:p w14:paraId="7462CD35" w14:textId="77777777" w:rsidR="0021302D" w:rsidRDefault="00AB47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Personas afectadas por la pobreza energética en España</w:t>
      </w:r>
    </w:p>
    <w:p w14:paraId="0D676032" w14:textId="77777777" w:rsidR="0021302D" w:rsidRDefault="00AB47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Gente que vive en un parque de vivienda anterior al 1981 (antes del aislamiento térmico)</w:t>
      </w:r>
    </w:p>
    <w:p w14:paraId="51E20E0B" w14:textId="77777777" w:rsidR="0021302D" w:rsidRDefault="00AB47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Gente afectada por la sobreocupación de vivienda</w:t>
      </w:r>
      <w:r>
        <w:rPr>
          <w:rFonts w:ascii="Times New Roman" w:hAnsi="Times New Roman" w:cs="Times New Roman"/>
          <w:color w:val="7295D2"/>
          <w:lang w:val="es-ES_tradnl"/>
        </w:rPr>
        <w:t xml:space="preserve">s </w:t>
      </w:r>
    </w:p>
    <w:p w14:paraId="68419875" w14:textId="77777777" w:rsidR="0021302D" w:rsidRDefault="00AB47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Gente afectada por las infraviviendas y malas condiciones de habitabilidad</w:t>
      </w:r>
    </w:p>
    <w:p w14:paraId="37829FE3" w14:textId="77777777" w:rsidR="0021302D" w:rsidRDefault="00AB47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Personas que viven en asentamientos informales</w:t>
      </w:r>
    </w:p>
    <w:p w14:paraId="293CAA12" w14:textId="77777777" w:rsidR="0021302D" w:rsidRDefault="00AB47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Mujeres como grupo social afectado</w:t>
      </w:r>
    </w:p>
    <w:p w14:paraId="17554FE1" w14:textId="77777777" w:rsidR="0021302D" w:rsidRDefault="00AB47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Gente mayor sin tantos recursos como grupo vulnerable de pobreza energética</w:t>
      </w:r>
    </w:p>
    <w:p w14:paraId="3EE62E53" w14:textId="77777777" w:rsidR="0021302D" w:rsidRDefault="0021302D">
      <w:pPr>
        <w:pStyle w:val="ListParagraph"/>
        <w:ind w:left="894" w:hanging="174"/>
        <w:jc w:val="both"/>
        <w:rPr>
          <w:rFonts w:ascii="Times New Roman" w:hAnsi="Times New Roman" w:cs="Times New Roman"/>
          <w:lang w:val="es-ES_tradnl"/>
        </w:rPr>
      </w:pPr>
    </w:p>
    <w:p w14:paraId="1F8BF9D9" w14:textId="77777777" w:rsidR="0021302D" w:rsidRDefault="0021302D">
      <w:pPr>
        <w:pStyle w:val="ListParagraph"/>
        <w:ind w:left="894" w:hanging="174"/>
        <w:jc w:val="both"/>
        <w:rPr>
          <w:rFonts w:ascii="Times New Roman" w:hAnsi="Times New Roman" w:cs="Times New Roman"/>
          <w:lang w:val="es-ES_tradnl"/>
        </w:rPr>
      </w:pPr>
    </w:p>
    <w:p w14:paraId="57FCCF8D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¿Cómo se garantiza</w:t>
      </w:r>
      <w:r>
        <w:rPr>
          <w:rFonts w:ascii="Times New Roman" w:hAnsi="Times New Roman" w:cs="Times New Roman"/>
          <w:lang w:val="es-ES_tradnl"/>
        </w:rPr>
        <w:t xml:space="preserve"> el derecho a una vivienda adecuada a las personas que han sido desplazadas interna o internacionalmente por la crisis climática?  ¿Cómo y en qué condiciones se garantiza su derecho al retorno voluntario? </w:t>
      </w:r>
    </w:p>
    <w:p w14:paraId="18B32646" w14:textId="77777777" w:rsidR="0021302D" w:rsidRDefault="0021302D">
      <w:pPr>
        <w:pStyle w:val="ListParagraph"/>
        <w:jc w:val="both"/>
        <w:rPr>
          <w:lang w:val="es-ES"/>
        </w:rPr>
      </w:pPr>
    </w:p>
    <w:p w14:paraId="2BCFFAF0" w14:textId="77777777" w:rsidR="0021302D" w:rsidRDefault="00AB47D8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rFonts w:ascii="Times New Roman" w:hAnsi="Times New Roman"/>
          <w:color w:val="7295D2"/>
          <w:lang w:val="es-ES_tradnl"/>
        </w:rPr>
        <w:t>Se garantiza con un programa de acogida (SAYER) p</w:t>
      </w:r>
      <w:r>
        <w:rPr>
          <w:rFonts w:ascii="Times New Roman" w:hAnsi="Times New Roman"/>
          <w:color w:val="7295D2"/>
          <w:lang w:val="es-ES_tradnl"/>
        </w:rPr>
        <w:t>ara desplazamientos internacionales (solo atiende a exiliados políticos).</w:t>
      </w:r>
    </w:p>
    <w:p w14:paraId="64DA82CE" w14:textId="77777777" w:rsidR="0021302D" w:rsidRDefault="00AB47D8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rFonts w:ascii="Times New Roman" w:hAnsi="Times New Roman"/>
          <w:color w:val="7295D2"/>
          <w:lang w:val="es-ES_tradnl"/>
        </w:rPr>
        <w:t>No hay programas para personas nacionales desplazadas.</w:t>
      </w:r>
    </w:p>
    <w:p w14:paraId="2DD90CD4" w14:textId="77777777" w:rsidR="0021302D" w:rsidRDefault="00AB47D8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rFonts w:ascii="Times New Roman" w:hAnsi="Times New Roman"/>
          <w:color w:val="7295D2"/>
          <w:lang w:val="es-ES_tradnl"/>
        </w:rPr>
        <w:t xml:space="preserve">Retorno voluntario: no estamos a favor, </w:t>
      </w:r>
      <w:proofErr w:type="spellStart"/>
      <w:r>
        <w:rPr>
          <w:rFonts w:ascii="Times New Roman" w:hAnsi="Times New Roman"/>
          <w:color w:val="7295D2"/>
          <w:lang w:val="es-ES_tradnl"/>
        </w:rPr>
        <w:t>intimamente</w:t>
      </w:r>
      <w:proofErr w:type="spellEnd"/>
      <w:r>
        <w:rPr>
          <w:rFonts w:ascii="Times New Roman" w:hAnsi="Times New Roman"/>
          <w:color w:val="7295D2"/>
          <w:lang w:val="es-ES_tradnl"/>
        </w:rPr>
        <w:t xml:space="preserve"> relacionado en echar a personas migrantes en </w:t>
      </w:r>
      <w:proofErr w:type="spellStart"/>
      <w:r>
        <w:rPr>
          <w:rFonts w:ascii="Times New Roman" w:hAnsi="Times New Roman"/>
          <w:color w:val="7295D2"/>
          <w:lang w:val="es-ES_tradnl"/>
        </w:rPr>
        <w:t>situacion</w:t>
      </w:r>
      <w:proofErr w:type="spellEnd"/>
      <w:r>
        <w:rPr>
          <w:rFonts w:ascii="Times New Roman" w:hAnsi="Times New Roman"/>
          <w:color w:val="7295D2"/>
          <w:lang w:val="es-ES_tradnl"/>
        </w:rPr>
        <w:t xml:space="preserve"> de </w:t>
      </w:r>
      <w:r>
        <w:rPr>
          <w:rFonts w:ascii="Times New Roman" w:hAnsi="Times New Roman"/>
          <w:color w:val="7295D2"/>
          <w:lang w:val="es-ES_tradnl"/>
        </w:rPr>
        <w:t>vulnerabilidad y no dar respuesta a sus derechos en territorio nacional.</w:t>
      </w:r>
    </w:p>
    <w:p w14:paraId="7ACDDB62" w14:textId="77777777" w:rsidR="0021302D" w:rsidRDefault="0021302D">
      <w:pPr>
        <w:pStyle w:val="ListParagraph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val="es-ES_tradnl"/>
        </w:rPr>
      </w:pPr>
    </w:p>
    <w:p w14:paraId="46662B8C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Cuando las viviendas han sido dañadas o se han perdido debido a eventos inducidos por el clima, ¿cuál ha sido el impacto relacionado con la vida, la salud y los medios de subsistenci</w:t>
      </w:r>
      <w:r>
        <w:rPr>
          <w:rFonts w:ascii="Times New Roman" w:hAnsi="Times New Roman" w:cs="Times New Roman"/>
          <w:lang w:val="es-ES_tradnl"/>
        </w:rPr>
        <w:t>a de las poblaciones afectadas?</w:t>
      </w:r>
    </w:p>
    <w:p w14:paraId="58A177E5" w14:textId="77777777" w:rsidR="0021302D" w:rsidRDefault="00AB47D8">
      <w:pPr>
        <w:pStyle w:val="ListParagraph"/>
        <w:jc w:val="both"/>
        <w:rPr>
          <w:rFonts w:ascii="Times New Roman" w:hAnsi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Indemnización estatal (con dinero público) a afectadas por desastres naturales.</w:t>
      </w:r>
    </w:p>
    <w:p w14:paraId="45816475" w14:textId="77777777" w:rsidR="0021302D" w:rsidRDefault="00AB47D8">
      <w:pPr>
        <w:pStyle w:val="ListParagraph"/>
        <w:jc w:val="both"/>
        <w:rPr>
          <w:rFonts w:ascii="Times New Roman" w:hAnsi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A través de consorcios de compensación de seguros, pagados directamente a personas afectadas en zonas declaradas catastróficas y zonas </w:t>
      </w:r>
      <w:r>
        <w:rPr>
          <w:rFonts w:ascii="Times New Roman" w:hAnsi="Times New Roman" w:cs="Times New Roman"/>
          <w:color w:val="7295D2"/>
          <w:lang w:val="es-ES_tradnl"/>
        </w:rPr>
        <w:t>afectadas por emergencia de protección civil.</w:t>
      </w:r>
    </w:p>
    <w:p w14:paraId="0FF7B54C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2CF2E174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¿Cómo han podido las personas acceder a la reparación e indemnización por los daños o la pérdida de sus viviendas como consecuencia de la crisis climática y los fenómenos meteorológicos extremos? ¿Cuáles son l</w:t>
      </w:r>
      <w:r>
        <w:rPr>
          <w:rFonts w:ascii="Times New Roman" w:hAnsi="Times New Roman" w:cs="Times New Roman"/>
          <w:lang w:val="es-ES_tradnl"/>
        </w:rPr>
        <w:t>os principales obstáculos para acceder a la reparación e indemnización a tiempo, y cuáles podrían ser soluciones efectivas?</w:t>
      </w:r>
    </w:p>
    <w:p w14:paraId="7CBFE57F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De forma automática por subvenciones en zonas declaradas de riesgo/emergencia.</w:t>
      </w:r>
    </w:p>
    <w:p w14:paraId="68D4287A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Persones “sin papeles” o en situación irregular.</w:t>
      </w:r>
    </w:p>
    <w:p w14:paraId="2E21CD87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</w:p>
    <w:p w14:paraId="61D67B86" w14:textId="77777777" w:rsidR="0021302D" w:rsidRDefault="00AB47D8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lang w:val="es-ES_tradnl"/>
        </w:rPr>
        <w:t xml:space="preserve">Indique las principales sentencias de los juzgados y tribunales nacionales que protegen a los inquilinos y propietarios de viviendas del impacto de la crisis climática o el derecho a una vivienda adecuada, o que están relacionadas con los desplazamientos </w:t>
      </w:r>
      <w:r>
        <w:rPr>
          <w:rFonts w:ascii="Times New Roman" w:hAnsi="Times New Roman" w:cs="Times New Roman"/>
          <w:lang w:val="es-ES_tradnl"/>
        </w:rPr>
        <w:t>inducidos por el clima. Por favor, describa también su resultado e impacto.</w:t>
      </w:r>
    </w:p>
    <w:p w14:paraId="7C4DA874" w14:textId="77777777" w:rsidR="0021302D" w:rsidRDefault="00AB47D8">
      <w:pPr>
        <w:ind w:left="360"/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En materia de pobreza energética:</w:t>
      </w:r>
    </w:p>
    <w:p w14:paraId="4A44761B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- 24/2015, ley autonómica (en Catalunya) que protege de los cortes de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subministros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>.</w:t>
      </w:r>
    </w:p>
    <w:p w14:paraId="3F73CF56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Bono social 24/2013 del sector eléctrico, art 45 = descuento</w:t>
      </w:r>
      <w:r>
        <w:rPr>
          <w:rFonts w:ascii="Times New Roman" w:hAnsi="Times New Roman" w:cs="Times New Roman"/>
          <w:color w:val="7295D2"/>
          <w:lang w:val="es-ES_tradnl"/>
        </w:rPr>
        <w:t xml:space="preserve"> del 25% de la factura de la luz (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famílias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 xml:space="preserve"> completamente en paro, pensiones mínimas o familias numerosas). No protege del corte de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subministros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>.</w:t>
      </w:r>
    </w:p>
    <w:p w14:paraId="58E5F4CD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Real Decreto 7/2016, nuevo mecanismo de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financiacion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 xml:space="preserve"> en todas las comercializadoras +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prohibicion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 xml:space="preserve"> de corte a </w:t>
      </w:r>
      <w:r>
        <w:rPr>
          <w:rFonts w:ascii="Times New Roman" w:hAnsi="Times New Roman" w:cs="Times New Roman"/>
          <w:color w:val="7295D2"/>
          <w:lang w:val="es-ES_tradnl"/>
        </w:rPr>
        <w:t>familias con vulnerabilidad</w:t>
      </w:r>
    </w:p>
    <w:p w14:paraId="08ED3F28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09C9D7A" w14:textId="77777777" w:rsidR="0021302D" w:rsidRDefault="00AB47D8">
      <w:pPr>
        <w:jc w:val="both"/>
      </w:pPr>
      <w:r>
        <w:rPr>
          <w:rFonts w:ascii="Times New Roman" w:hAnsi="Times New Roman" w:cs="Times New Roman"/>
          <w:i/>
          <w:iCs/>
          <w:lang w:val="es-ES_tradnl"/>
        </w:rPr>
        <w:t xml:space="preserve">En las medidas </w:t>
      </w:r>
    </w:p>
    <w:p w14:paraId="635210C8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 xml:space="preserve">Explique cómo la eficiencia energética, la planificación urbana ecológica y las políticas y programas de mitigación y adaptación al clima tienen en cuenta el derecho a una vivienda adecuada. ¿Qué medidas se han </w:t>
      </w:r>
      <w:r>
        <w:rPr>
          <w:rFonts w:ascii="Times New Roman" w:hAnsi="Times New Roman" w:cs="Times New Roman"/>
          <w:lang w:val="es-ES_tradnl"/>
        </w:rPr>
        <w:t xml:space="preserve">tomado para garantizar que no tengan ningún impacto discriminatorio (involuntario) sobre determinados grupos de población? </w:t>
      </w:r>
    </w:p>
    <w:p w14:paraId="5E5AC316" w14:textId="77777777" w:rsidR="0021302D" w:rsidRDefault="0021302D">
      <w:pPr>
        <w:pStyle w:val="ListParagraph"/>
        <w:jc w:val="both"/>
        <w:rPr>
          <w:lang w:val="es-ES"/>
        </w:rPr>
      </w:pPr>
    </w:p>
    <w:p w14:paraId="5AFB1B8D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No hay medidas y algunas subvenciones de dinero público europeo se trasladan en especulaciones a través de la renovación de las m</w:t>
      </w:r>
      <w:r>
        <w:rPr>
          <w:rFonts w:ascii="Times New Roman" w:hAnsi="Times New Roman" w:cs="Times New Roman"/>
          <w:color w:val="7295D2"/>
          <w:lang w:val="es-ES_tradnl"/>
        </w:rPr>
        <w:t>edidas de la vivienda que se traslada a un aumento del precio final del alquiler.</w:t>
      </w:r>
    </w:p>
    <w:p w14:paraId="6E5CD406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7A3EE848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 xml:space="preserve">Explique cómo las estrategias y planes de preparación, respuesta y recuperación / reconstrucción ante desastres naturales garantizan la no discriminación. </w:t>
      </w:r>
    </w:p>
    <w:p w14:paraId="5A6206F8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7DB238D3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/</w:t>
      </w:r>
    </w:p>
    <w:p w14:paraId="393AE399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233A429E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¿Cuáles son l</w:t>
      </w:r>
      <w:r>
        <w:rPr>
          <w:rFonts w:ascii="Times New Roman" w:hAnsi="Times New Roman" w:cs="Times New Roman"/>
          <w:lang w:val="es-ES_tradnl"/>
        </w:rPr>
        <w:t>os principales obstáculos para abordar y mitigar los impactos adversos del cambio climático en la realización del derecho a una vivienda adecuada?</w:t>
      </w:r>
    </w:p>
    <w:p w14:paraId="0D1A7FAB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CA0758C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En el contexto de un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pais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 xml:space="preserve"> donde el contexto de la vivienda se ha promovido a través de los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titulos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 xml:space="preserve"> de </w:t>
      </w:r>
      <w:r>
        <w:rPr>
          <w:rFonts w:ascii="Times New Roman" w:hAnsi="Times New Roman" w:cs="Times New Roman"/>
          <w:color w:val="7295D2"/>
          <w:lang w:val="es-ES_tradnl"/>
        </w:rPr>
        <w:t>propiedad, encontramos grandes capas de la población con la responsabilidad de llevar a cabo obras de mejora de eficiencia energética pero que no disponen del capital para ejecutarlas y las subvenciones son pocas.</w:t>
      </w:r>
    </w:p>
    <w:p w14:paraId="42CA5F11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El parque de vivienda es de baja calidad</w:t>
      </w:r>
      <w:r>
        <w:rPr>
          <w:rFonts w:ascii="Times New Roman" w:hAnsi="Times New Roman" w:cs="Times New Roman"/>
          <w:color w:val="7295D2"/>
          <w:lang w:val="es-ES_tradnl"/>
        </w:rPr>
        <w:t xml:space="preserve">, viejo y con necesidades de obras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economicamente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 xml:space="preserve"> desgastantes.</w:t>
      </w:r>
    </w:p>
    <w:p w14:paraId="68ADD588" w14:textId="77777777" w:rsidR="0021302D" w:rsidRDefault="0021302D">
      <w:pPr>
        <w:jc w:val="both"/>
        <w:rPr>
          <w:rFonts w:ascii="Times New Roman" w:hAnsi="Times New Roman" w:cs="Times New Roman"/>
          <w:color w:val="7295D2"/>
          <w:lang w:val="es-ES_tradnl"/>
        </w:rPr>
      </w:pPr>
    </w:p>
    <w:p w14:paraId="6FE5B1BF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bCs/>
          <w:i/>
          <w:iCs/>
          <w:lang w:val="es-ES_tradnl"/>
        </w:rPr>
        <w:t>Impacto de la vivienda en el cambio climático</w:t>
      </w:r>
    </w:p>
    <w:p w14:paraId="59E0E971" w14:textId="77777777" w:rsidR="0021302D" w:rsidRDefault="00AB47D8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lang w:val="es-ES_tradnl"/>
        </w:rPr>
        <w:t>¿Cómo contribuye el sector de la vivienda en las zonas rurales y urbanas al cambio climático? Puede ser útil pensar en términos de</w:t>
      </w:r>
    </w:p>
    <w:p w14:paraId="24687409" w14:textId="77777777" w:rsidR="0021302D" w:rsidRDefault="00AB47D8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 xml:space="preserve">el consumo de energía para la calefacción, la refrigeración, la cocina y la iluminación de la vivienda – </w:t>
      </w:r>
      <w:r>
        <w:rPr>
          <w:rFonts w:ascii="Times New Roman" w:hAnsi="Times New Roman" w:cs="Times New Roman"/>
          <w:color w:val="7295D2"/>
          <w:lang w:val="es-ES_tradnl"/>
        </w:rPr>
        <w:t xml:space="preserve">el consumo final de energía en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españa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 xml:space="preserve"> proviene de combustibles fósiles en </w:t>
      </w:r>
      <w:r>
        <w:rPr>
          <w:rFonts w:ascii="Times New Roman" w:hAnsi="Times New Roman" w:cs="Times New Roman"/>
          <w:color w:val="7295D2"/>
          <w:lang w:val="es-ES_tradnl"/>
        </w:rPr>
        <w:lastRenderedPageBreak/>
        <w:t>mayoría</w:t>
      </w:r>
      <w:proofErr w:type="gramStart"/>
      <w:r>
        <w:rPr>
          <w:rFonts w:ascii="Times New Roman" w:hAnsi="Times New Roman" w:cs="Times New Roman"/>
          <w:color w:val="7295D2"/>
          <w:lang w:val="es-ES_tradnl"/>
        </w:rPr>
        <w:t>. .</w:t>
      </w:r>
      <w:proofErr w:type="gramEnd"/>
      <w:r>
        <w:rPr>
          <w:rFonts w:ascii="Times New Roman" w:hAnsi="Times New Roman" w:cs="Times New Roman"/>
          <w:color w:val="7295D2"/>
          <w:lang w:val="es-ES_tradnl"/>
        </w:rPr>
        <w:t xml:space="preserve"> En España, el sector de la edificación es </w:t>
      </w:r>
      <w:proofErr w:type="gramStart"/>
      <w:r>
        <w:rPr>
          <w:rFonts w:ascii="Times New Roman" w:hAnsi="Times New Roman" w:cs="Times New Roman"/>
          <w:color w:val="7295D2"/>
          <w:lang w:val="es-ES_tradnl"/>
        </w:rPr>
        <w:t>responsable  del</w:t>
      </w:r>
      <w:proofErr w:type="gramEnd"/>
      <w:r>
        <w:rPr>
          <w:rFonts w:ascii="Times New Roman" w:hAnsi="Times New Roman" w:cs="Times New Roman"/>
          <w:color w:val="7295D2"/>
          <w:lang w:val="es-ES_tradnl"/>
        </w:rPr>
        <w:t xml:space="preserve"> 30,1% d</w:t>
      </w:r>
      <w:r>
        <w:rPr>
          <w:rFonts w:ascii="Times New Roman" w:hAnsi="Times New Roman" w:cs="Times New Roman"/>
          <w:color w:val="7295D2"/>
          <w:lang w:val="es-ES_tradnl"/>
        </w:rPr>
        <w:t>el consumo de energía final y el 25,1% de las emisiones</w:t>
      </w:r>
      <w:r>
        <w:rPr>
          <w:rStyle w:val="Ancladenotaalpie"/>
          <w:rFonts w:ascii="Times New Roman" w:hAnsi="Times New Roman" w:cs="Times New Roman"/>
          <w:color w:val="7295D2"/>
          <w:lang w:val="es-ES_tradnl"/>
        </w:rPr>
        <w:footnoteReference w:id="3"/>
      </w:r>
    </w:p>
    <w:p w14:paraId="56384AE5" w14:textId="77777777" w:rsidR="0021302D" w:rsidRDefault="00AB47D8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 xml:space="preserve">la expansión urbana y los impactos climáticos relacionados (sellado del suelo, tráfico de cercanías, etc.) </w:t>
      </w:r>
      <w:r>
        <w:rPr>
          <w:rFonts w:ascii="Times New Roman" w:hAnsi="Times New Roman" w:cs="Times New Roman"/>
          <w:color w:val="7295D2"/>
          <w:lang w:val="es-ES_tradnl"/>
        </w:rPr>
        <w:t>Gran proceso de artificialización e impermeabilización del suelo, pérdida del suelo natural</w:t>
      </w:r>
      <w:r>
        <w:rPr>
          <w:rFonts w:ascii="Times New Roman" w:hAnsi="Times New Roman" w:cs="Times New Roman"/>
          <w:color w:val="7295D2"/>
          <w:lang w:val="es-ES_tradnl"/>
        </w:rPr>
        <w:t xml:space="preserve"> a partir de la ley del suelo de 1998 y el proceso urbanizador sobre suelo rústico de los años 2000-2008</w:t>
      </w:r>
    </w:p>
    <w:p w14:paraId="489E13EC" w14:textId="77777777" w:rsidR="0021302D" w:rsidRDefault="00AB47D8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uso del agua;</w:t>
      </w:r>
      <w:r>
        <w:rPr>
          <w:rFonts w:ascii="Times New Roman" w:hAnsi="Times New Roman" w:cs="Times New Roman"/>
          <w:color w:val="7295D2"/>
          <w:lang w:val="es-ES_tradnl"/>
        </w:rPr>
        <w:t xml:space="preserve"> - datos consumo de agua por cápita bajo</w:t>
      </w:r>
    </w:p>
    <w:p w14:paraId="736F31AD" w14:textId="77777777" w:rsidR="0021302D" w:rsidRDefault="00AB47D8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emisión de contaminantes;</w:t>
      </w:r>
      <w:r>
        <w:rPr>
          <w:rFonts w:ascii="Times New Roman" w:hAnsi="Times New Roman" w:cs="Times New Roman"/>
          <w:color w:val="7295D2"/>
          <w:lang w:val="es-ES_tradnl"/>
        </w:rPr>
        <w:t xml:space="preserve"> - Contaminantes por residuos mal tratados, monopolio de empresas de ges</w:t>
      </w:r>
      <w:r>
        <w:rPr>
          <w:rFonts w:ascii="Times New Roman" w:hAnsi="Times New Roman" w:cs="Times New Roman"/>
          <w:color w:val="7295D2"/>
          <w:lang w:val="es-ES_tradnl"/>
        </w:rPr>
        <w:t>tión de residuos privadas</w:t>
      </w:r>
    </w:p>
    <w:p w14:paraId="0BD1BE19" w14:textId="77777777" w:rsidR="0021302D" w:rsidRDefault="00AB47D8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 xml:space="preserve">impacto climático de la construcción y de los materiales de construcción </w:t>
      </w:r>
      <w:proofErr w:type="gramStart"/>
      <w:r>
        <w:rPr>
          <w:rFonts w:ascii="Times New Roman" w:hAnsi="Times New Roman" w:cs="Times New Roman"/>
          <w:lang w:val="es-ES_tradnl"/>
        </w:rPr>
        <w:t xml:space="preserve">utilizados;  </w:t>
      </w:r>
      <w:r>
        <w:rPr>
          <w:rFonts w:ascii="Times New Roman" w:hAnsi="Times New Roman" w:cs="Times New Roman"/>
          <w:color w:val="7295D2"/>
          <w:lang w:val="es-ES_tradnl"/>
        </w:rPr>
        <w:t>-</w:t>
      </w:r>
      <w:proofErr w:type="gramEnd"/>
      <w:r>
        <w:rPr>
          <w:rFonts w:ascii="Times New Roman" w:hAnsi="Times New Roman" w:cs="Times New Roman"/>
          <w:color w:val="7295D2"/>
          <w:lang w:val="es-ES_tradnl"/>
        </w:rPr>
        <w:t xml:space="preserve"> Alta profusión de hormigón armado en la construcción, emisiones de GEI </w:t>
      </w:r>
    </w:p>
    <w:p w14:paraId="08768F7D" w14:textId="77777777" w:rsidR="0021302D" w:rsidRDefault="00AB47D8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deforestación, desertificación y pérdida de biodiversidad causadas por</w:t>
      </w:r>
      <w:r>
        <w:rPr>
          <w:rFonts w:ascii="Times New Roman" w:hAnsi="Times New Roman" w:cs="Times New Roman"/>
          <w:lang w:val="es-ES_tradnl"/>
        </w:rPr>
        <w:t xml:space="preserve"> los proyectos de desarrollo de viviendas. </w:t>
      </w:r>
    </w:p>
    <w:p w14:paraId="476B700C" w14:textId="77777777" w:rsidR="0021302D" w:rsidRDefault="00AB47D8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 xml:space="preserve">Ineficiencia energética: </w:t>
      </w:r>
      <w:r>
        <w:rPr>
          <w:rFonts w:ascii="Times New Roman" w:hAnsi="Times New Roman" w:cs="Times New Roman"/>
          <w:color w:val="7295D2"/>
          <w:lang w:val="es-ES_tradnl"/>
        </w:rPr>
        <w:t>La ineficiencia energética de las viviendas es el responsable del 14% de emisiones (en España alcanza, de media, las 29.000 toneladas anuales de gases de efecto invernadero y en Europa un</w:t>
      </w:r>
      <w:r>
        <w:rPr>
          <w:rFonts w:ascii="Times New Roman" w:hAnsi="Times New Roman" w:cs="Times New Roman"/>
          <w:color w:val="7295D2"/>
          <w:lang w:val="es-ES_tradnl"/>
        </w:rPr>
        <w:t xml:space="preserve"> total de 450.000)</w:t>
      </w:r>
      <w:r>
        <w:rPr>
          <w:rStyle w:val="Ancladenotaalpie"/>
          <w:rFonts w:ascii="Times New Roman" w:hAnsi="Times New Roman" w:cs="Times New Roman"/>
          <w:color w:val="7295D2"/>
          <w:lang w:val="es-ES_tradnl"/>
        </w:rPr>
        <w:footnoteReference w:id="4"/>
      </w:r>
    </w:p>
    <w:p w14:paraId="7FB65AB1" w14:textId="77777777" w:rsidR="0021302D" w:rsidRDefault="00AB47D8">
      <w:pPr>
        <w:ind w:left="720"/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Proporcione también cualquier información estadística sobre el impacto climático del sector de la vivienda en comparación con otros sectores de su país.</w:t>
      </w:r>
    </w:p>
    <w:p w14:paraId="11C22C71" w14:textId="77777777" w:rsidR="0021302D" w:rsidRDefault="00AB47D8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lang w:val="es-ES_tradnl"/>
        </w:rPr>
        <w:t>¿Qué medidas se están aplicando en las zonas rurales y urbanas para reducir y elim</w:t>
      </w:r>
      <w:r>
        <w:rPr>
          <w:rFonts w:ascii="Times New Roman" w:hAnsi="Times New Roman" w:cs="Times New Roman"/>
          <w:lang w:val="es-ES_tradnl"/>
        </w:rPr>
        <w:t>inar los efectos adversos del sector de la vivienda en el clima? ¿Qué éxito han tenido estos programas?</w:t>
      </w:r>
    </w:p>
    <w:p w14:paraId="612FB381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7E064E80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Urbanos: refugios climáticos</w:t>
      </w:r>
    </w:p>
    <w:p w14:paraId="52FE8141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Rehabilitación de viviendas</w:t>
      </w:r>
    </w:p>
    <w:p w14:paraId="08B18517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D4B7B1B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 xml:space="preserve">¿Cuáles son los principales obstáculos para reducir y eliminar los impactos adversos del </w:t>
      </w:r>
      <w:r>
        <w:rPr>
          <w:rFonts w:ascii="Times New Roman" w:hAnsi="Times New Roman" w:cs="Times New Roman"/>
          <w:lang w:val="es-ES_tradnl"/>
        </w:rPr>
        <w:t xml:space="preserve">sector de la vivienda sobre el clima? </w:t>
      </w:r>
    </w:p>
    <w:p w14:paraId="73BE73AD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Falta de fondos para la rehabilitación de edificios</w:t>
      </w:r>
    </w:p>
    <w:p w14:paraId="6C68AEE1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Falta de innovación en la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stécnicas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 xml:space="preserve"> constructivas con madera y modelos constructivos de consumo energético “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close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to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 xml:space="preserve"> 0”, sistemas pasivos, etc.</w:t>
      </w:r>
    </w:p>
    <w:p w14:paraId="0709D179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EB5B972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bCs/>
          <w:i/>
          <w:iCs/>
          <w:lang w:val="es-ES_tradnl"/>
        </w:rPr>
        <w:t>Hacia una transi</w:t>
      </w:r>
      <w:r>
        <w:rPr>
          <w:rFonts w:ascii="Times New Roman" w:hAnsi="Times New Roman" w:cs="Times New Roman"/>
          <w:b/>
          <w:bCs/>
          <w:i/>
          <w:iCs/>
          <w:lang w:val="es-ES_tradnl"/>
        </w:rPr>
        <w:t>ción justa hacia una vivienda conforme a los derechos, resistente al clima y neutra en carbono</w:t>
      </w:r>
    </w:p>
    <w:p w14:paraId="3C97FD84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¿Qué legislación, políticas o programas específicos se han adoptado para poner en marcha y financiar una transición justa hacia una vivienda conforme a los derec</w:t>
      </w:r>
      <w:r>
        <w:rPr>
          <w:rFonts w:ascii="Times New Roman" w:hAnsi="Times New Roman" w:cs="Times New Roman"/>
          <w:lang w:val="es-ES_tradnl"/>
        </w:rPr>
        <w:t>hos, resistente al clima y neutra en carbono para todos, sin discriminación?</w:t>
      </w:r>
    </w:p>
    <w:p w14:paraId="2DE58626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958276F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Estrategia de desarrollo sostenible 2030 (ministerio de transición ecológica) Agenda 2030 y ODS</w:t>
      </w:r>
    </w:p>
    <w:p w14:paraId="25EDC00B" w14:textId="77777777" w:rsidR="0021302D" w:rsidRDefault="00AB47D8">
      <w:pPr>
        <w:pStyle w:val="ListParagraph"/>
        <w:jc w:val="both"/>
        <w:rPr>
          <w:lang w:val="es-ES"/>
        </w:rPr>
      </w:pPr>
      <w:r>
        <w:rPr>
          <w:rFonts w:ascii="Times New Roman" w:hAnsi="Times New Roman" w:cs="Times New Roman"/>
          <w:color w:val="7295D2"/>
          <w:lang w:val="es-ES_tradnl"/>
        </w:rPr>
        <w:t>- Agenda Urbana española.</w:t>
      </w:r>
    </w:p>
    <w:p w14:paraId="2CED1CFF" w14:textId="77777777" w:rsidR="0021302D" w:rsidRDefault="00AB47D8">
      <w:pPr>
        <w:pStyle w:val="ListParagraph"/>
        <w:jc w:val="both"/>
        <w:rPr>
          <w:lang w:val="es-ES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Fondos europeos (Next </w:t>
      </w:r>
      <w:proofErr w:type="spellStart"/>
      <w:r>
        <w:rPr>
          <w:rFonts w:ascii="Times New Roman" w:hAnsi="Times New Roman" w:cs="Times New Roman"/>
          <w:color w:val="7295D2"/>
          <w:lang w:val="es-ES_tradnl"/>
        </w:rPr>
        <w:t>Generation</w:t>
      </w:r>
      <w:proofErr w:type="spellEnd"/>
      <w:r>
        <w:rPr>
          <w:rFonts w:ascii="Times New Roman" w:hAnsi="Times New Roman" w:cs="Times New Roman"/>
          <w:color w:val="7295D2"/>
          <w:lang w:val="es-ES_tradnl"/>
        </w:rPr>
        <w:t>)</w:t>
      </w:r>
    </w:p>
    <w:p w14:paraId="1F7E228E" w14:textId="77777777" w:rsidR="0021302D" w:rsidRDefault="00AB47D8">
      <w:pPr>
        <w:pStyle w:val="ListParagraph"/>
        <w:jc w:val="both"/>
        <w:rPr>
          <w:lang w:val="es-ES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No se ha </w:t>
      </w:r>
      <w:r>
        <w:rPr>
          <w:rFonts w:ascii="Times New Roman" w:hAnsi="Times New Roman" w:cs="Times New Roman"/>
          <w:color w:val="7295D2"/>
          <w:lang w:val="es-ES_tradnl"/>
        </w:rPr>
        <w:t>tenido en cuenta la discriminación. Las reformas no acompañadas de una regulación de precios comportan incentivos para la especulación.</w:t>
      </w:r>
    </w:p>
    <w:p w14:paraId="450052BD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3872FC7F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lastRenderedPageBreak/>
        <w:t>¿Qué medidas se han adoptado para garantizar que los costes de la transición ecológica en el sector de la vivienda se r</w:t>
      </w:r>
      <w:r>
        <w:rPr>
          <w:rFonts w:ascii="Times New Roman" w:hAnsi="Times New Roman" w:cs="Times New Roman"/>
          <w:lang w:val="es-ES_tradnl"/>
        </w:rPr>
        <w:t xml:space="preserve">epartan de forma justa entre las </w:t>
      </w:r>
      <w:proofErr w:type="gramStart"/>
      <w:r>
        <w:rPr>
          <w:rFonts w:ascii="Times New Roman" w:hAnsi="Times New Roman" w:cs="Times New Roman"/>
          <w:lang w:val="es-ES_tradnl"/>
        </w:rPr>
        <w:t>autoridades públicas</w:t>
      </w:r>
      <w:proofErr w:type="gramEnd"/>
      <w:r>
        <w:rPr>
          <w:rFonts w:ascii="Times New Roman" w:hAnsi="Times New Roman" w:cs="Times New Roman"/>
          <w:lang w:val="es-ES_tradnl"/>
        </w:rPr>
        <w:t>, los contribuyentes, los propietarios de viviendas y los inquilinos/arrendatarios u otros grupos de interés afectados, y para garantizar la asequibilidad continua de la vivienda?</w:t>
      </w:r>
    </w:p>
    <w:p w14:paraId="2E4D53D4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</w:p>
    <w:p w14:paraId="6795AEA0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Ninguna, se dan las </w:t>
      </w:r>
      <w:r>
        <w:rPr>
          <w:rFonts w:ascii="Times New Roman" w:hAnsi="Times New Roman" w:cs="Times New Roman"/>
          <w:color w:val="7295D2"/>
          <w:lang w:val="es-ES_tradnl"/>
        </w:rPr>
        <w:t>condiciones para el aumento de la especulación y extraer de los inquilinos las plusvalías a través de las rentas del alquiler.</w:t>
      </w:r>
    </w:p>
    <w:p w14:paraId="74591C52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9A05AB8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¿Qué estrategias de adaptación son necesarias para garantizar la continuidad de la habitabilidad de las viviendas frente a la cr</w:t>
      </w:r>
      <w:r>
        <w:rPr>
          <w:rFonts w:ascii="Times New Roman" w:hAnsi="Times New Roman" w:cs="Times New Roman"/>
          <w:lang w:val="es-ES_tradnl"/>
        </w:rPr>
        <w:t>isis climática? (protección contra, por ejemplo, el calor, las inundaciones, el clima extremo, etc.)</w:t>
      </w:r>
    </w:p>
    <w:p w14:paraId="37C51218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Rehabilitación de envolventes en edificios</w:t>
      </w:r>
    </w:p>
    <w:p w14:paraId="1E5406FA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Cooperativas energéticas solares</w:t>
      </w:r>
    </w:p>
    <w:p w14:paraId="189C59A6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Mejorar los consumos eléctricos</w:t>
      </w:r>
    </w:p>
    <w:p w14:paraId="4127EAF4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Cubiertas verdes</w:t>
      </w:r>
    </w:p>
    <w:p w14:paraId="336D6E94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Sistemas pasivos de </w:t>
      </w:r>
      <w:r>
        <w:rPr>
          <w:rFonts w:ascii="Times New Roman" w:hAnsi="Times New Roman" w:cs="Times New Roman"/>
          <w:color w:val="7295D2"/>
          <w:lang w:val="es-ES_tradnl"/>
        </w:rPr>
        <w:t>refrigeración</w:t>
      </w:r>
    </w:p>
    <w:p w14:paraId="0837F8BD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Mancomunar gastos domésticos</w:t>
      </w:r>
    </w:p>
    <w:p w14:paraId="664E1D62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DCA37AE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¿Cómo se consulta a los diferentes grupos de interés, incluidas las comunidades marginadas, los propietarios de viviendas y los inquilinos, y cómo pueden participar en el diseño, la aplicación, el seguimiento y</w:t>
      </w:r>
      <w:r>
        <w:rPr>
          <w:rFonts w:ascii="Times New Roman" w:hAnsi="Times New Roman" w:cs="Times New Roman"/>
          <w:lang w:val="es-ES_tradnl"/>
        </w:rPr>
        <w:t xml:space="preserve"> la evaluación de: </w:t>
      </w:r>
    </w:p>
    <w:p w14:paraId="31C6EA73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371D0842" w14:textId="77777777" w:rsidR="0021302D" w:rsidRDefault="00AB47D8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leyes, políticas o programas adoptadas que prevean medidas específicas para garantizar la realización del derecho a una vivienda adecuada ante la crisis climática</w:t>
      </w:r>
    </w:p>
    <w:p w14:paraId="6FD29494" w14:textId="77777777" w:rsidR="0021302D" w:rsidRDefault="00AB47D8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la preparación, la respuesta y la reconstrucción en caso de catástrofe n</w:t>
      </w:r>
      <w:r>
        <w:rPr>
          <w:rFonts w:ascii="Times New Roman" w:hAnsi="Times New Roman" w:cs="Times New Roman"/>
          <w:lang w:val="es-ES_tradnl"/>
        </w:rPr>
        <w:t xml:space="preserve">atural, así como en los esfuerzos de mitigación y adaptación </w:t>
      </w:r>
    </w:p>
    <w:p w14:paraId="7C9AF257" w14:textId="77777777" w:rsidR="0021302D" w:rsidRDefault="00AB47D8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 xml:space="preserve">medidas para reducir y eliminar los impactos adversos del sector de la vivienda sobre el clima. </w:t>
      </w:r>
    </w:p>
    <w:p w14:paraId="5F4FE81E" w14:textId="77777777" w:rsidR="0021302D" w:rsidRDefault="0021302D">
      <w:pPr>
        <w:pStyle w:val="ListParagraph"/>
        <w:ind w:left="1440"/>
        <w:jc w:val="both"/>
        <w:rPr>
          <w:rFonts w:ascii="Times New Roman" w:hAnsi="Times New Roman" w:cs="Times New Roman"/>
          <w:lang w:val="es-ES_tradnl"/>
        </w:rPr>
      </w:pPr>
    </w:p>
    <w:p w14:paraId="1788B220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De forma vertical. No existen espacios de participación directa ciudadana. Los titulares y la pr</w:t>
      </w:r>
      <w:r>
        <w:rPr>
          <w:rFonts w:ascii="Times New Roman" w:hAnsi="Times New Roman" w:cs="Times New Roman"/>
          <w:color w:val="7295D2"/>
          <w:lang w:val="es-ES_tradnl"/>
        </w:rPr>
        <w:t>opiedad tienen la potestad de decisión.</w:t>
      </w:r>
    </w:p>
    <w:p w14:paraId="72262653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</w:p>
    <w:p w14:paraId="3C9940E7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¿Cuál es el papel de la cooperación internacional, la transferencia de tecnología y la ayuda al desarrollo de los Estados y los organismos multilaterales para garantizar una transición justa?</w:t>
      </w:r>
    </w:p>
    <w:p w14:paraId="5E5BB668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 xml:space="preserve">- Ayudas </w:t>
      </w:r>
      <w:r>
        <w:rPr>
          <w:rFonts w:ascii="Times New Roman" w:hAnsi="Times New Roman" w:cs="Times New Roman"/>
          <w:color w:val="7295D2"/>
          <w:lang w:val="es-ES_tradnl"/>
        </w:rPr>
        <w:t>internas de la Unión Europea.</w:t>
      </w:r>
    </w:p>
    <w:p w14:paraId="7F71A179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España no recibe dinero de cooperación internacional.</w:t>
      </w:r>
    </w:p>
    <w:p w14:paraId="454C9C2A" w14:textId="77777777" w:rsidR="0021302D" w:rsidRDefault="0021302D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270FBED1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¿Cuáles son los principales obstáculos para lograr esa transición justa?</w:t>
      </w:r>
    </w:p>
    <w:p w14:paraId="22181D50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Falta de dinero público y privado dedicado a la reconversión integral del parque de viviendas.</w:t>
      </w:r>
      <w:r>
        <w:rPr>
          <w:rFonts w:ascii="Times New Roman" w:hAnsi="Times New Roman" w:cs="Times New Roman"/>
          <w:color w:val="7295D2"/>
          <w:lang w:val="es-ES_tradnl"/>
        </w:rPr>
        <w:t xml:space="preserve"> Falta de buenas prácticas y transferencia de conocimiento y tecnología verde desde el norte de Europa.</w:t>
      </w:r>
    </w:p>
    <w:p w14:paraId="1229412F" w14:textId="77777777" w:rsidR="0021302D" w:rsidRDefault="00AB47D8">
      <w:pPr>
        <w:pStyle w:val="ListParagraph"/>
        <w:jc w:val="both"/>
        <w:rPr>
          <w:rFonts w:ascii="Times New Roman" w:hAnsi="Times New Roman" w:cs="Times New Roman"/>
          <w:color w:val="7295D2"/>
          <w:lang w:val="es-ES_tradnl"/>
        </w:rPr>
      </w:pPr>
      <w:r>
        <w:rPr>
          <w:rFonts w:ascii="Times New Roman" w:hAnsi="Times New Roman" w:cs="Times New Roman"/>
          <w:color w:val="7295D2"/>
          <w:lang w:val="es-ES_tradnl"/>
        </w:rPr>
        <w:t>- El oligopolio energético atrasa la transición energética y evita la participación pública y la democratización de la transición ecológica justa, yendo</w:t>
      </w:r>
      <w:r>
        <w:rPr>
          <w:rFonts w:ascii="Times New Roman" w:hAnsi="Times New Roman" w:cs="Times New Roman"/>
          <w:color w:val="7295D2"/>
          <w:lang w:val="es-ES_tradnl"/>
        </w:rPr>
        <w:t xml:space="preserve"> en contra del mandato internacional de la aplicación del Acuerdo de París y el Pacto verde de Glasgow a la luz de la equidad. </w:t>
      </w:r>
    </w:p>
    <w:p w14:paraId="53B6679D" w14:textId="77777777" w:rsidR="0021302D" w:rsidRDefault="0021302D">
      <w:pPr>
        <w:jc w:val="both"/>
        <w:rPr>
          <w:rFonts w:ascii="Times New Roman" w:hAnsi="Times New Roman" w:cs="Times New Roman"/>
          <w:lang w:val="es-ES_tradnl"/>
        </w:rPr>
      </w:pPr>
    </w:p>
    <w:p w14:paraId="17B1CD13" w14:textId="77777777" w:rsidR="0021302D" w:rsidRDefault="00AB47D8">
      <w:pPr>
        <w:jc w:val="both"/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Otras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cuestiones</w:t>
      </w:r>
      <w:proofErr w:type="spellEnd"/>
    </w:p>
    <w:p w14:paraId="1B151FFB" w14:textId="77777777" w:rsidR="0021302D" w:rsidRDefault="00AB47D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Por favor, utilice este espacio para indicar cualquier tema que deba ser considerado para este informe.</w:t>
      </w:r>
    </w:p>
    <w:p w14:paraId="14789E01" w14:textId="77777777" w:rsidR="0021302D" w:rsidRDefault="00AB47D8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>/</w:t>
      </w:r>
    </w:p>
    <w:p w14:paraId="72523A37" w14:textId="77777777" w:rsidR="0021302D" w:rsidRDefault="0021302D">
      <w:pPr>
        <w:jc w:val="both"/>
        <w:rPr>
          <w:rFonts w:ascii="Times New Roman" w:hAnsi="Times New Roman" w:cs="Times New Roman"/>
          <w:lang w:val="es-ES_tradnl"/>
        </w:rPr>
      </w:pPr>
    </w:p>
    <w:p w14:paraId="5790567A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sz w:val="28"/>
          <w:lang w:val="es-ES_tradnl"/>
        </w:rPr>
        <w:t>Ins</w:t>
      </w:r>
      <w:r>
        <w:rPr>
          <w:rFonts w:ascii="Times New Roman" w:hAnsi="Times New Roman" w:cs="Times New Roman"/>
          <w:b/>
          <w:sz w:val="28"/>
          <w:lang w:val="es-ES_tradnl"/>
        </w:rPr>
        <w:t>trucciones para las aportaciones</w:t>
      </w:r>
    </w:p>
    <w:p w14:paraId="575261F5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lang w:val="es-ES_tradnl"/>
        </w:rPr>
        <w:t>Fecha límite: 8 de julio de 2022</w:t>
      </w:r>
    </w:p>
    <w:p w14:paraId="0E84D377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bCs/>
          <w:lang w:val="es-ES_tradnl"/>
        </w:rPr>
        <w:t>Correo electrónico:</w:t>
      </w:r>
      <w:r>
        <w:rPr>
          <w:rFonts w:ascii="Times New Roman" w:hAnsi="Times New Roman" w:cs="Times New Roman"/>
          <w:lang w:val="es-ES_tradnl"/>
        </w:rPr>
        <w:t xml:space="preserve"> Envíe este cuestionario a: </w:t>
      </w:r>
      <w:hyperlink r:id="rId8">
        <w:r>
          <w:rPr>
            <w:rStyle w:val="EnlacedeInternet"/>
            <w:rFonts w:ascii="Times New Roman" w:hAnsi="Times New Roman" w:cs="Times New Roman"/>
            <w:lang w:val="es-ES_tradnl"/>
          </w:rPr>
          <w:t>ohchr-srhousing@un.org</w:t>
        </w:r>
      </w:hyperlink>
      <w:r>
        <w:rPr>
          <w:rFonts w:ascii="Times New Roman" w:hAnsi="Times New Roman" w:cs="Times New Roman"/>
          <w:lang w:val="es-ES_tradnl"/>
        </w:rPr>
        <w:t xml:space="preserve">; </w:t>
      </w:r>
      <w:hyperlink r:id="rId9">
        <w:r>
          <w:rPr>
            <w:rStyle w:val="EnlacedeInternet"/>
            <w:rFonts w:ascii="Times New Roman" w:hAnsi="Times New Roman" w:cs="Times New Roman"/>
            <w:lang w:val="es-ES_tradnl"/>
          </w:rPr>
          <w:t>ohchr-registry@un.org</w:t>
        </w:r>
      </w:hyperlink>
      <w:r>
        <w:rPr>
          <w:rFonts w:ascii="Times New Roman" w:hAnsi="Times New Roman" w:cs="Times New Roman"/>
          <w:lang w:val="es-ES_tradnl"/>
        </w:rPr>
        <w:t xml:space="preserve">  </w:t>
      </w:r>
    </w:p>
    <w:p w14:paraId="18B13F72" w14:textId="77777777" w:rsidR="0021302D" w:rsidRDefault="00AB47D8">
      <w:pPr>
        <w:jc w:val="both"/>
      </w:pPr>
      <w:proofErr w:type="spellStart"/>
      <w:r>
        <w:rPr>
          <w:rFonts w:ascii="Times New Roman" w:hAnsi="Times New Roman" w:cs="Times New Roman"/>
          <w:b/>
          <w:bCs/>
        </w:rPr>
        <w:t>Asunto</w:t>
      </w:r>
      <w:proofErr w:type="spellEnd"/>
      <w:r>
        <w:rPr>
          <w:rFonts w:ascii="Times New Roman" w:hAnsi="Times New Roman" w:cs="Times New Roman"/>
          <w:b/>
          <w:bCs/>
        </w:rPr>
        <w:t xml:space="preserve"> del </w:t>
      </w:r>
      <w:proofErr w:type="spellStart"/>
      <w:r>
        <w:rPr>
          <w:rFonts w:ascii="Times New Roman" w:hAnsi="Times New Roman" w:cs="Times New Roman"/>
          <w:b/>
          <w:bCs/>
        </w:rPr>
        <w:t>correo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electrónico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Input for SR housing - report on climate change </w:t>
      </w:r>
    </w:p>
    <w:p w14:paraId="62DBA944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bCs/>
          <w:lang w:val="es-ES_tradnl"/>
        </w:rPr>
        <w:t>Formatos de archivo aceptados:</w:t>
      </w:r>
      <w:r>
        <w:rPr>
          <w:rFonts w:ascii="Times New Roman" w:hAnsi="Times New Roman" w:cs="Times New Roman"/>
          <w:lang w:val="es-ES_tradnl"/>
        </w:rPr>
        <w:t xml:space="preserve"> Sólo Word (los documentos de apoyo también pueden enviarse en PDF)</w:t>
      </w:r>
    </w:p>
    <w:p w14:paraId="1FF98007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bCs/>
          <w:lang w:val="es-ES_tradnl"/>
        </w:rPr>
        <w:t xml:space="preserve">Idiomas </w:t>
      </w:r>
      <w:r>
        <w:rPr>
          <w:rFonts w:ascii="Times New Roman" w:hAnsi="Times New Roman" w:cs="Times New Roman"/>
          <w:b/>
          <w:bCs/>
          <w:lang w:val="es-ES_tradnl"/>
        </w:rPr>
        <w:t>aceptados:</w:t>
      </w:r>
      <w:r>
        <w:rPr>
          <w:rFonts w:ascii="Times New Roman" w:hAnsi="Times New Roman" w:cs="Times New Roman"/>
          <w:lang w:val="es-ES_tradnl"/>
        </w:rPr>
        <w:t xml:space="preserve"> </w:t>
      </w:r>
      <w:proofErr w:type="gramStart"/>
      <w:r>
        <w:rPr>
          <w:rFonts w:ascii="Times New Roman" w:hAnsi="Times New Roman" w:cs="Times New Roman"/>
          <w:lang w:val="es-ES_tradnl"/>
        </w:rPr>
        <w:t>Inglés</w:t>
      </w:r>
      <w:proofErr w:type="gramEnd"/>
      <w:r>
        <w:rPr>
          <w:rFonts w:ascii="Times New Roman" w:hAnsi="Times New Roman" w:cs="Times New Roman"/>
          <w:lang w:val="es-ES_tradnl"/>
        </w:rPr>
        <w:t>, francés y español</w:t>
      </w:r>
    </w:p>
    <w:p w14:paraId="41B15CB7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lang w:val="es-ES_tradnl"/>
        </w:rPr>
        <w:t>Por favor, incluya referencias a informes, artículos académicos, documentos políticos, texto de legislación y sentencias, e información estadística con hipervínculos a su texto completo o fuente o adjúntelos a su aporte</w:t>
      </w:r>
      <w:r>
        <w:rPr>
          <w:rFonts w:ascii="Times New Roman" w:hAnsi="Times New Roman" w:cs="Times New Roman"/>
          <w:lang w:val="es-ES_tradnl"/>
        </w:rPr>
        <w:t xml:space="preserve"> (por favor, respete el límite de tamaño total del archivo de 20 MB para garantizar que pueda ser recibido)</w:t>
      </w:r>
    </w:p>
    <w:p w14:paraId="4C3EBFF5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bCs/>
          <w:lang w:val="es-ES_tradnl"/>
        </w:rPr>
        <w:t>Posible confidencialidad:</w:t>
      </w:r>
      <w:r>
        <w:rPr>
          <w:rFonts w:ascii="Times New Roman" w:hAnsi="Times New Roman" w:cs="Times New Roman"/>
          <w:lang w:val="es-ES_tradnl"/>
        </w:rPr>
        <w:t xml:space="preserve"> Por favor, indique en la parte superior de este cuestionario y en su correo electrónico si desea que esta presentación o a</w:t>
      </w:r>
      <w:r>
        <w:rPr>
          <w:rFonts w:ascii="Times New Roman" w:hAnsi="Times New Roman" w:cs="Times New Roman"/>
          <w:lang w:val="es-ES_tradnl"/>
        </w:rPr>
        <w:t>lgún anexo en particular no se publique en el sitio web del Relator Especial y se trate como confidencial.</w:t>
      </w:r>
    </w:p>
    <w:p w14:paraId="1E56EDED" w14:textId="77777777" w:rsidR="0021302D" w:rsidRDefault="00AB47D8">
      <w:pPr>
        <w:jc w:val="both"/>
        <w:rPr>
          <w:lang w:val="es-ES"/>
        </w:rPr>
      </w:pPr>
      <w:r>
        <w:rPr>
          <w:rFonts w:ascii="Times New Roman" w:hAnsi="Times New Roman" w:cs="Times New Roman"/>
          <w:b/>
          <w:bCs/>
          <w:lang w:val="es-ES_tradnl"/>
        </w:rPr>
        <w:t>Presentación prevista</w:t>
      </w:r>
      <w:r>
        <w:rPr>
          <w:rFonts w:ascii="Times New Roman" w:hAnsi="Times New Roman" w:cs="Times New Roman"/>
          <w:lang w:val="es-ES_tradnl"/>
        </w:rPr>
        <w:t xml:space="preserve"> del informe del Relator Especial: Febrero/marzo de 2023</w:t>
      </w:r>
    </w:p>
    <w:sectPr w:rsidR="0021302D">
      <w:pgSz w:w="11906" w:h="16838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8E50" w14:textId="77777777" w:rsidR="00000000" w:rsidRDefault="00AB47D8">
      <w:pPr>
        <w:spacing w:after="0" w:line="240" w:lineRule="auto"/>
      </w:pPr>
      <w:r>
        <w:separator/>
      </w:r>
    </w:p>
  </w:endnote>
  <w:endnote w:type="continuationSeparator" w:id="0">
    <w:p w14:paraId="78111329" w14:textId="77777777" w:rsidR="00000000" w:rsidRDefault="00AB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615C" w14:textId="77777777" w:rsidR="0021302D" w:rsidRDefault="00AB47D8">
      <w:pPr>
        <w:rPr>
          <w:sz w:val="12"/>
        </w:rPr>
      </w:pPr>
      <w:r>
        <w:separator/>
      </w:r>
    </w:p>
  </w:footnote>
  <w:footnote w:type="continuationSeparator" w:id="0">
    <w:p w14:paraId="72DBFECC" w14:textId="77777777" w:rsidR="0021302D" w:rsidRDefault="00AB47D8">
      <w:pPr>
        <w:rPr>
          <w:sz w:val="12"/>
        </w:rPr>
      </w:pPr>
      <w:r>
        <w:continuationSeparator/>
      </w:r>
    </w:p>
  </w:footnote>
  <w:footnote w:id="1">
    <w:p w14:paraId="3949993F" w14:textId="77777777" w:rsidR="0021302D" w:rsidRDefault="00AB47D8">
      <w:pPr>
        <w:pStyle w:val="FootnoteText1"/>
        <w:jc w:val="both"/>
        <w:rPr>
          <w:sz w:val="12"/>
          <w:szCs w:val="12"/>
          <w:lang w:val="es-ES"/>
        </w:rPr>
      </w:pPr>
      <w:r>
        <w:rPr>
          <w:rStyle w:val="Caracteresdenotaalpie"/>
        </w:rPr>
        <w:footnoteRef/>
      </w:r>
      <w:r>
        <w:rPr>
          <w:sz w:val="12"/>
          <w:szCs w:val="12"/>
          <w:lang w:val="es-ES"/>
        </w:rPr>
        <w:t xml:space="preserve"> </w:t>
      </w:r>
      <w:r>
        <w:rPr>
          <w:rFonts w:ascii="Times New Roman" w:hAnsi="Times New Roman" w:cs="Times New Roman"/>
          <w:sz w:val="12"/>
          <w:szCs w:val="12"/>
          <w:lang w:val="es-ES"/>
        </w:rPr>
        <w:t xml:space="preserve">Según el derecho internacional, el derecho a </w:t>
      </w:r>
      <w:r>
        <w:rPr>
          <w:rFonts w:ascii="Times New Roman" w:hAnsi="Times New Roman" w:cs="Times New Roman"/>
          <w:sz w:val="12"/>
          <w:szCs w:val="12"/>
          <w:lang w:val="es-ES"/>
        </w:rPr>
        <w:t>una vivienda adecuada es más que tener cuatro paredes y un techo. Es esencialmente el derecho a vivir en un lugar en paz, seguridad y dignidad. La adecuación de la vivienda abarca los siguientes siete elementos esenciales: seguridad jurídica de la tenencia</w:t>
      </w:r>
      <w:r>
        <w:rPr>
          <w:rFonts w:ascii="Times New Roman" w:hAnsi="Times New Roman" w:cs="Times New Roman"/>
          <w:sz w:val="12"/>
          <w:szCs w:val="12"/>
          <w:lang w:val="es-ES"/>
        </w:rPr>
        <w:t>; disponibilidad de servicios, materiales, instalaciones e infraestructuras; asequibilidad; habitabilidad; accesibilidad; ubicación; y adecuación cultural. Para las organizaciones y partes interesadas que no estén tan familiarizadas con el derecho a la viv</w:t>
      </w:r>
      <w:r>
        <w:rPr>
          <w:rFonts w:ascii="Times New Roman" w:hAnsi="Times New Roman" w:cs="Times New Roman"/>
          <w:sz w:val="12"/>
          <w:szCs w:val="12"/>
          <w:lang w:val="es-ES"/>
        </w:rPr>
        <w:t xml:space="preserve">ienda adecuada en la legislación internacional de derechos humanos, consulte la Observación General </w:t>
      </w:r>
      <w:proofErr w:type="spellStart"/>
      <w:r>
        <w:rPr>
          <w:rFonts w:ascii="Times New Roman" w:hAnsi="Times New Roman" w:cs="Times New Roman"/>
          <w:sz w:val="12"/>
          <w:szCs w:val="12"/>
          <w:lang w:val="es-ES"/>
        </w:rPr>
        <w:t>nº</w:t>
      </w:r>
      <w:proofErr w:type="spellEnd"/>
      <w:r>
        <w:rPr>
          <w:rFonts w:ascii="Times New Roman" w:hAnsi="Times New Roman" w:cs="Times New Roman"/>
          <w:sz w:val="12"/>
          <w:szCs w:val="12"/>
          <w:lang w:val="es-ES"/>
        </w:rPr>
        <w:t xml:space="preserve"> 4 del Comité de Derechos Económicos, Sociales y Culturales de la ONU, disponible aquí.</w:t>
      </w:r>
    </w:p>
  </w:footnote>
  <w:footnote w:id="2">
    <w:p w14:paraId="5788DB61" w14:textId="77777777" w:rsidR="0021302D" w:rsidRDefault="00AB47D8">
      <w:pPr>
        <w:pStyle w:val="FootnoteText1"/>
        <w:rPr>
          <w:lang w:val="es-ES"/>
        </w:rPr>
      </w:pPr>
      <w:r>
        <w:rPr>
          <w:rStyle w:val="Caracteresdenotaalpie"/>
        </w:rPr>
        <w:footnoteRef/>
      </w:r>
      <w:r>
        <w:rPr>
          <w:sz w:val="12"/>
          <w:szCs w:val="12"/>
          <w:lang w:val="es-ES_tradnl"/>
        </w:rPr>
        <w:t xml:space="preserve"> https://www.newtral.es/reto-adaptacion-climatica-espana/20211120</w:t>
      </w:r>
      <w:r>
        <w:rPr>
          <w:sz w:val="12"/>
          <w:szCs w:val="12"/>
          <w:lang w:val="es-ES_tradnl"/>
        </w:rPr>
        <w:t>/</w:t>
      </w:r>
    </w:p>
  </w:footnote>
  <w:footnote w:id="3">
    <w:p w14:paraId="3854FBBE" w14:textId="77777777" w:rsidR="0021302D" w:rsidRDefault="00AB47D8">
      <w:pPr>
        <w:pStyle w:val="FootnoteText1"/>
        <w:rPr>
          <w:lang w:val="es-ES"/>
        </w:rPr>
      </w:pPr>
      <w:r>
        <w:rPr>
          <w:rStyle w:val="Caracteresdenotaalpie"/>
        </w:rPr>
        <w:footnoteRef/>
      </w:r>
      <w:r>
        <w:rPr>
          <w:lang w:val="es-ES"/>
        </w:rPr>
        <w:t xml:space="preserve"> http://www.fundacionconama.org/descarbonizacion-construccion/</w:t>
      </w:r>
    </w:p>
  </w:footnote>
  <w:footnote w:id="4">
    <w:p w14:paraId="2F4A8A41" w14:textId="77777777" w:rsidR="0021302D" w:rsidRDefault="00AB47D8">
      <w:pPr>
        <w:pStyle w:val="FootnoteText1"/>
        <w:rPr>
          <w:lang w:val="es-ES"/>
        </w:rPr>
      </w:pPr>
      <w:r>
        <w:rPr>
          <w:rStyle w:val="Caracteresdenotaalpie"/>
        </w:rPr>
        <w:footnoteRef/>
      </w:r>
      <w:r>
        <w:rPr>
          <w:lang w:val="es-ES"/>
        </w:rPr>
        <w:t>https://www.lavanguardia.com/vida/20210803/7637524/ineficiencia-energetica-viviendas-responsable-14-emisiones.html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2F5"/>
    <w:multiLevelType w:val="multilevel"/>
    <w:tmpl w:val="E7FA26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61080B"/>
    <w:multiLevelType w:val="multilevel"/>
    <w:tmpl w:val="8D5A6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D77747"/>
    <w:multiLevelType w:val="multilevel"/>
    <w:tmpl w:val="48A2C83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939B2"/>
    <w:multiLevelType w:val="multilevel"/>
    <w:tmpl w:val="3CB433CA"/>
    <w:lvl w:ilvl="0">
      <w:start w:val="1"/>
      <w:numFmt w:val="bullet"/>
      <w:lvlText w:val="-"/>
      <w:lvlJc w:val="left"/>
      <w:rPr>
        <w:rFonts w:ascii="OpenSymbol" w:hAnsi="OpenSymbol" w:cs="Open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-"/>
      <w:lvlJc w:val="left"/>
      <w:rPr>
        <w:rFonts w:ascii="OpenSymbol" w:hAnsi="OpenSymbol" w:cs="Open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-"/>
      <w:lvlJc w:val="left"/>
      <w:rPr>
        <w:rFonts w:ascii="OpenSymbol" w:hAnsi="OpenSymbol" w:cs="Open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-"/>
      <w:lvlJc w:val="left"/>
      <w:rPr>
        <w:rFonts w:ascii="OpenSymbol" w:hAnsi="OpenSymbol" w:cs="Open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-"/>
      <w:lvlJc w:val="left"/>
      <w:rPr>
        <w:rFonts w:ascii="OpenSymbol" w:hAnsi="OpenSymbol" w:cs="Open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-"/>
      <w:lvlJc w:val="left"/>
      <w:rPr>
        <w:rFonts w:ascii="OpenSymbol" w:hAnsi="OpenSymbol" w:cs="Open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-"/>
      <w:lvlJc w:val="left"/>
      <w:rPr>
        <w:rFonts w:ascii="OpenSymbol" w:hAnsi="OpenSymbol" w:cs="Open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-"/>
      <w:lvlJc w:val="left"/>
      <w:rPr>
        <w:rFonts w:ascii="OpenSymbol" w:hAnsi="OpenSymbol" w:cs="Open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-"/>
      <w:lvlJc w:val="left"/>
      <w:rPr>
        <w:rFonts w:ascii="OpenSymbol" w:hAnsi="OpenSymbol" w:cs="Open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A9610A2"/>
    <w:multiLevelType w:val="multilevel"/>
    <w:tmpl w:val="B462B7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2D"/>
    <w:rsid w:val="0021302D"/>
    <w:rsid w:val="00A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83A0"/>
  <w15:docId w15:val="{E11EC75D-002D-47A8-AA9B-0E54F2FC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48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Title"/>
    <w:next w:val="BodyText"/>
    <w:qFormat/>
    <w:rsid w:val="008C348D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qFormat/>
    <w:rsid w:val="00F46EE9"/>
    <w:rPr>
      <w:sz w:val="20"/>
      <w:szCs w:val="20"/>
    </w:rPr>
  </w:style>
  <w:style w:type="character" w:customStyle="1" w:styleId="Ancladenotaalpie">
    <w:name w:val="Ancla de nota al pie"/>
    <w:rsid w:val="008C348D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46EE9"/>
    <w:rPr>
      <w:vertAlign w:val="superscript"/>
    </w:rPr>
  </w:style>
  <w:style w:type="character" w:customStyle="1" w:styleId="EnlacedeInternet">
    <w:name w:val="Enlace de Internet"/>
    <w:basedOn w:val="DefaultParagraphFont"/>
    <w:uiPriority w:val="99"/>
    <w:unhideWhenUsed/>
    <w:rsid w:val="004E3E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E3EBF"/>
    <w:rPr>
      <w:color w:val="605E5C"/>
      <w:shd w:val="clear" w:color="auto" w:fill="E1DFDD"/>
    </w:rPr>
  </w:style>
  <w:style w:type="character" w:customStyle="1" w:styleId="Caracteresdenotaalpie">
    <w:name w:val="Caracteres de nota al pie"/>
    <w:qFormat/>
    <w:rsid w:val="008C348D"/>
  </w:style>
  <w:style w:type="character" w:customStyle="1" w:styleId="Ancladenotafinal">
    <w:name w:val="Ancla de nota final"/>
    <w:rsid w:val="008C348D"/>
    <w:rPr>
      <w:vertAlign w:val="superscript"/>
    </w:rPr>
  </w:style>
  <w:style w:type="character" w:customStyle="1" w:styleId="Caracteresdenotafinal">
    <w:name w:val="Caracteres de nota final"/>
    <w:qFormat/>
    <w:rsid w:val="008C348D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C34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C348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C723E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C723E"/>
    <w:rPr>
      <w:b/>
      <w:bCs/>
      <w:sz w:val="20"/>
      <w:szCs w:val="20"/>
    </w:rPr>
  </w:style>
  <w:style w:type="character" w:customStyle="1" w:styleId="Numeracinderenglones">
    <w:name w:val="Numeración de renglones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C348D"/>
    <w:pPr>
      <w:spacing w:after="140" w:line="276" w:lineRule="auto"/>
    </w:pPr>
  </w:style>
  <w:style w:type="paragraph" w:styleId="List">
    <w:name w:val="List"/>
    <w:basedOn w:val="BodyText"/>
    <w:rsid w:val="008C348D"/>
    <w:rPr>
      <w:rFonts w:cs="Arial"/>
    </w:rPr>
  </w:style>
  <w:style w:type="paragraph" w:customStyle="1" w:styleId="Caption1">
    <w:name w:val="Caption1"/>
    <w:basedOn w:val="Normal"/>
    <w:qFormat/>
    <w:rsid w:val="008C34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C348D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8C34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F46EE9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E6571"/>
    <w:pPr>
      <w:ind w:left="720"/>
      <w:contextualSpacing/>
    </w:pPr>
  </w:style>
  <w:style w:type="paragraph" w:customStyle="1" w:styleId="Peromissi">
    <w:name w:val="Per omissió"/>
    <w:qFormat/>
    <w:rsid w:val="008C348D"/>
    <w:pPr>
      <w:suppressAutoHyphens w:val="0"/>
    </w:pPr>
    <w:rPr>
      <w:rFonts w:ascii="Helvetica Neue" w:eastAsia="Helvetica Neue" w:hAnsi="Helvetica Neue" w:cs="Helvetica Neue"/>
      <w:color w:val="000000"/>
      <w:u w:color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C348D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72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C7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chr-srhousing@u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hchr-registry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F1A7-56E4-4DEF-A841-D6FD752F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2093</Words>
  <Characters>11931</Characters>
  <Application>Microsoft Office Word</Application>
  <DocSecurity>4</DocSecurity>
  <Lines>99</Lines>
  <Paragraphs>27</Paragraphs>
  <ScaleCrop>false</ScaleCrop>
  <Company>OHCHR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dc:description/>
  <cp:lastModifiedBy>Sofia</cp:lastModifiedBy>
  <cp:revision>2</cp:revision>
  <dcterms:created xsi:type="dcterms:W3CDTF">2022-09-22T16:41:00Z</dcterms:created>
  <dcterms:modified xsi:type="dcterms:W3CDTF">2022-09-22T16:41:00Z</dcterms:modified>
  <dc:language>ca-ES</dc:language>
</cp:coreProperties>
</file>