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2B99" w:rsidRDefault="006B3BE2">
      <w:pPr>
        <w:jc w:val="center"/>
        <w:rPr>
          <w:rFonts w:ascii="Times New Roman" w:eastAsia="Times New Roman" w:hAnsi="Times New Roman" w:cs="Times New Roman"/>
          <w:b/>
        </w:rPr>
      </w:pPr>
      <w:r>
        <w:rPr>
          <w:rFonts w:ascii="Times New Roman" w:eastAsia="Times New Roman" w:hAnsi="Times New Roman" w:cs="Times New Roman"/>
          <w:b/>
        </w:rPr>
        <w:t xml:space="preserve">Report of the UN Special Rapporteur on the right to adequate housing to the </w:t>
      </w:r>
      <w:r>
        <w:rPr>
          <w:rFonts w:ascii="Times New Roman" w:eastAsia="Times New Roman" w:hAnsi="Times New Roman" w:cs="Times New Roman"/>
          <w:b/>
        </w:rPr>
        <w:br/>
        <w:t>52</w:t>
      </w:r>
      <w:r>
        <w:rPr>
          <w:rFonts w:ascii="Times New Roman" w:eastAsia="Times New Roman" w:hAnsi="Times New Roman" w:cs="Times New Roman"/>
          <w:b/>
          <w:vertAlign w:val="superscript"/>
        </w:rPr>
        <w:t>nd</w:t>
      </w:r>
      <w:r>
        <w:rPr>
          <w:rFonts w:ascii="Times New Roman" w:eastAsia="Times New Roman" w:hAnsi="Times New Roman" w:cs="Times New Roman"/>
          <w:b/>
        </w:rPr>
        <w:t xml:space="preserve"> session of the Human Rights Council</w:t>
      </w:r>
    </w:p>
    <w:p w14:paraId="00000002" w14:textId="77777777" w:rsidR="00522B99" w:rsidRDefault="006B3BE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right to adequate housing and climate change</w:t>
      </w:r>
    </w:p>
    <w:p w14:paraId="00000003" w14:textId="77777777" w:rsidR="00522B99" w:rsidRDefault="006B3BE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Questionnaire</w:t>
      </w:r>
    </w:p>
    <w:p w14:paraId="00000004" w14:textId="77777777" w:rsidR="00522B99" w:rsidRDefault="00522B99">
      <w:pPr>
        <w:jc w:val="both"/>
        <w:rPr>
          <w:rFonts w:ascii="Times New Roman" w:eastAsia="Times New Roman" w:hAnsi="Times New Roman" w:cs="Times New Roman"/>
        </w:rPr>
      </w:pPr>
    </w:p>
    <w:p w14:paraId="00000005" w14:textId="77777777" w:rsidR="00522B99" w:rsidRDefault="006B3BE2">
      <w:pPr>
        <w:jc w:val="both"/>
        <w:rPr>
          <w:rFonts w:ascii="Times New Roman" w:eastAsia="Times New Roman" w:hAnsi="Times New Roman" w:cs="Times New Roman"/>
          <w:b/>
        </w:rPr>
      </w:pPr>
      <w:r>
        <w:rPr>
          <w:rFonts w:ascii="Times New Roman" w:eastAsia="Times New Roman" w:hAnsi="Times New Roman" w:cs="Times New Roman"/>
        </w:rPr>
        <w:t xml:space="preserve">Name of submitting entity, organization or individual: </w:t>
      </w:r>
      <w:r>
        <w:rPr>
          <w:rFonts w:ascii="Times New Roman" w:eastAsia="Times New Roman" w:hAnsi="Times New Roman" w:cs="Times New Roman"/>
          <w:b/>
        </w:rPr>
        <w:t>Habitat International Coalition, with direct inputs from the Housing and Land Rights Network Violation Database and inputs from HIC members in Spain (</w:t>
      </w:r>
      <w:proofErr w:type="spellStart"/>
      <w:r>
        <w:rPr>
          <w:rFonts w:ascii="Times New Roman" w:eastAsia="Times New Roman" w:hAnsi="Times New Roman" w:cs="Times New Roman"/>
          <w:b/>
        </w:rPr>
        <w:t>Observatori</w:t>
      </w:r>
      <w:proofErr w:type="spellEnd"/>
      <w:r>
        <w:rPr>
          <w:rFonts w:ascii="Times New Roman" w:eastAsia="Times New Roman" w:hAnsi="Times New Roman" w:cs="Times New Roman"/>
          <w:b/>
        </w:rPr>
        <w:t xml:space="preserve"> DESC) and India (</w:t>
      </w:r>
      <w:proofErr w:type="spellStart"/>
      <w:r>
        <w:rPr>
          <w:rFonts w:ascii="Times New Roman" w:eastAsia="Times New Roman" w:hAnsi="Times New Roman" w:cs="Times New Roman"/>
          <w:b/>
        </w:rPr>
        <w:t>Sathi</w:t>
      </w:r>
      <w:proofErr w:type="spellEnd"/>
      <w:r>
        <w:rPr>
          <w:rFonts w:ascii="Times New Roman" w:eastAsia="Times New Roman" w:hAnsi="Times New Roman" w:cs="Times New Roman"/>
          <w:b/>
        </w:rPr>
        <w:t xml:space="preserve"> All </w:t>
      </w:r>
      <w:proofErr w:type="gramStart"/>
      <w:r>
        <w:rPr>
          <w:rFonts w:ascii="Times New Roman" w:eastAsia="Times New Roman" w:hAnsi="Times New Roman" w:cs="Times New Roman"/>
          <w:b/>
        </w:rPr>
        <w:t>For</w:t>
      </w:r>
      <w:proofErr w:type="gramEnd"/>
      <w:r>
        <w:rPr>
          <w:rFonts w:ascii="Times New Roman" w:eastAsia="Times New Roman" w:hAnsi="Times New Roman" w:cs="Times New Roman"/>
          <w:b/>
        </w:rPr>
        <w:t xml:space="preserve"> Partners</w:t>
      </w:r>
      <w:r>
        <w:rPr>
          <w:rFonts w:ascii="Times New Roman" w:eastAsia="Times New Roman" w:hAnsi="Times New Roman" w:cs="Times New Roman"/>
          <w:b/>
        </w:rPr>
        <w:t>hips India).</w:t>
      </w:r>
    </w:p>
    <w:p w14:paraId="00000006" w14:textId="55CA46AA" w:rsidR="00522B99" w:rsidRDefault="006B3BE2">
      <w:pPr>
        <w:jc w:val="both"/>
        <w:rPr>
          <w:rFonts w:ascii="Times New Roman" w:eastAsia="Times New Roman" w:hAnsi="Times New Roman" w:cs="Times New Roman"/>
        </w:rPr>
      </w:pPr>
      <w:r>
        <w:rPr>
          <w:rFonts w:ascii="Times New Roman" w:eastAsia="Times New Roman" w:hAnsi="Times New Roman" w:cs="Times New Roman"/>
        </w:rPr>
        <w:t xml:space="preserve">Contact e-mail: </w:t>
      </w:r>
    </w:p>
    <w:p w14:paraId="00000007" w14:textId="77777777" w:rsidR="00522B99" w:rsidRDefault="00522B99">
      <w:pPr>
        <w:jc w:val="both"/>
        <w:rPr>
          <w:rFonts w:ascii="Times New Roman" w:eastAsia="Times New Roman" w:hAnsi="Times New Roman" w:cs="Times New Roman"/>
        </w:rPr>
      </w:pPr>
    </w:p>
    <w:p w14:paraId="00000008" w14:textId="77777777" w:rsidR="00522B99" w:rsidRDefault="006B3BE2">
      <w:pPr>
        <w:rPr>
          <w:rFonts w:ascii="Times New Roman" w:eastAsia="Times New Roman" w:hAnsi="Times New Roman" w:cs="Times New Roman"/>
          <w:b/>
          <w:i/>
        </w:rPr>
      </w:pPr>
      <w:r>
        <w:rPr>
          <w:rFonts w:ascii="Times New Roman" w:eastAsia="Times New Roman" w:hAnsi="Times New Roman" w:cs="Times New Roman"/>
          <w:b/>
          <w:i/>
        </w:rPr>
        <w:t>Impact of climate change on the right to adequate housing</w:t>
      </w:r>
    </w:p>
    <w:p w14:paraId="00000009" w14:textId="77777777" w:rsidR="00522B99" w:rsidRDefault="006B3BE2">
      <w:pPr>
        <w:ind w:firstLine="720"/>
        <w:rPr>
          <w:rFonts w:ascii="Times New Roman" w:eastAsia="Times New Roman" w:hAnsi="Times New Roman" w:cs="Times New Roman"/>
        </w:rPr>
      </w:pPr>
      <w:r>
        <w:rPr>
          <w:rFonts w:ascii="Times New Roman" w:eastAsia="Times New Roman" w:hAnsi="Times New Roman" w:cs="Times New Roman"/>
          <w:i/>
        </w:rPr>
        <w:t>In real life</w:t>
      </w:r>
    </w:p>
    <w:p w14:paraId="0000000A"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u w:val="single"/>
        </w:rPr>
        <w:t>In your country</w:t>
      </w:r>
      <w:r>
        <w:rPr>
          <w:rFonts w:ascii="Times New Roman" w:eastAsia="Times New Roman" w:hAnsi="Times New Roman" w:cs="Times New Roman"/>
        </w:rPr>
        <w:t>, what have been the main effects of the climate crisis, on the enjoyment of the right to adequate housing?  Please specify whether there have been any climate-induced impacts on the security of tenure, availability, affordability, accessibility, habitabil</w:t>
      </w:r>
      <w:r>
        <w:rPr>
          <w:rFonts w:ascii="Times New Roman" w:eastAsia="Times New Roman" w:hAnsi="Times New Roman" w:cs="Times New Roman"/>
        </w:rPr>
        <w:t>ity, location and cultural adequacy of housing, including climate crisis related displacement.</w:t>
      </w:r>
      <w:r>
        <w:rPr>
          <w:rFonts w:ascii="Times New Roman" w:eastAsia="Times New Roman" w:hAnsi="Times New Roman" w:cs="Times New Roman"/>
          <w:vertAlign w:val="superscript"/>
        </w:rPr>
        <w:footnoteReference w:id="1"/>
      </w:r>
    </w:p>
    <w:p w14:paraId="0000000B"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rPr>
      </w:pPr>
    </w:p>
    <w:p w14:paraId="0000000C"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xml:space="preserve">Habitat International Coalition and its Housing and Land Rights Network maintain a global scope of operation. The erratic weather accompanying climate change </w:t>
      </w:r>
      <w:r>
        <w:rPr>
          <w:rFonts w:ascii="Times New Roman" w:eastAsia="Times New Roman" w:hAnsi="Times New Roman" w:cs="Times New Roman"/>
          <w:b/>
        </w:rPr>
        <w:t>in all regions has led to droughts, reduced crop yields, increased and unseasonal temperatures and rainfalls. HIC-HLRN monitoring focuses on the cases that constitute violations of human rights to habitat such as loss or damage to housing, land and related</w:t>
      </w:r>
      <w:r>
        <w:rPr>
          <w:rFonts w:ascii="Times New Roman" w:eastAsia="Times New Roman" w:hAnsi="Times New Roman" w:cs="Times New Roman"/>
          <w:b/>
        </w:rPr>
        <w:t xml:space="preserve"> environmental good and services (water and sanitation, biodiversity and ecosystem); that is, where these are foreseeable and involve duty bearers’ commission and/or omission.</w:t>
      </w:r>
      <w:r>
        <w:rPr>
          <w:rFonts w:ascii="Times New Roman" w:eastAsia="Times New Roman" w:hAnsi="Times New Roman" w:cs="Times New Roman"/>
          <w:b/>
          <w:vertAlign w:val="superscript"/>
        </w:rPr>
        <w:footnoteReference w:id="2"/>
      </w:r>
      <w:r>
        <w:rPr>
          <w:rFonts w:ascii="Times New Roman" w:eastAsia="Times New Roman" w:hAnsi="Times New Roman" w:cs="Times New Roman"/>
          <w:b/>
        </w:rPr>
        <w:t xml:space="preserve"> The consequences </w:t>
      </w:r>
      <w:r>
        <w:rPr>
          <w:rFonts w:ascii="Times New Roman" w:eastAsia="Times New Roman" w:hAnsi="Times New Roman" w:cs="Times New Roman"/>
          <w:b/>
        </w:rPr>
        <w:lastRenderedPageBreak/>
        <w:t>include loss of shelter, property, livelihood, displacement a</w:t>
      </w:r>
      <w:r>
        <w:rPr>
          <w:rFonts w:ascii="Times New Roman" w:eastAsia="Times New Roman" w:hAnsi="Times New Roman" w:cs="Times New Roman"/>
          <w:b/>
        </w:rPr>
        <w:t>nd/or homelessness. In some cases, these include physical injury and loss of life.</w:t>
      </w:r>
    </w:p>
    <w:p w14:paraId="0000000D"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0E"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In these cases, it is crucial to determine the cause-and-effect relationship between the climate crisis and human factors involving state responsibility,</w:t>
      </w:r>
      <w:r>
        <w:rPr>
          <w:rFonts w:ascii="Times New Roman" w:eastAsia="Times New Roman" w:hAnsi="Times New Roman" w:cs="Times New Roman"/>
          <w:b/>
          <w:vertAlign w:val="superscript"/>
        </w:rPr>
        <w:footnoteReference w:id="3"/>
      </w:r>
      <w:r>
        <w:rPr>
          <w:rFonts w:ascii="Times New Roman" w:eastAsia="Times New Roman" w:hAnsi="Times New Roman" w:cs="Times New Roman"/>
          <w:b/>
        </w:rPr>
        <w:t xml:space="preserve"> on the one hand, and the consequences to the enjoyment of adequate housing, on the other. Some cases</w:t>
      </w:r>
      <w:r>
        <w:rPr>
          <w:rFonts w:ascii="Times New Roman" w:eastAsia="Times New Roman" w:hAnsi="Times New Roman" w:cs="Times New Roman"/>
          <w:b/>
        </w:rPr>
        <w:t xml:space="preserve"> involve environmental degradation due to human activity as direct causes; however, the state also remains the principal duty bearer under the obligation to protect. </w:t>
      </w:r>
    </w:p>
    <w:p w14:paraId="0000000F"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10" w14:textId="77777777" w:rsidR="00522B99" w:rsidRDefault="006B3BE2">
      <w:pPr>
        <w:pBdr>
          <w:top w:val="nil"/>
          <w:left w:val="nil"/>
          <w:bottom w:val="nil"/>
          <w:right w:val="nil"/>
          <w:between w:val="nil"/>
        </w:pBdr>
        <w:spacing w:after="120"/>
        <w:ind w:left="720"/>
        <w:jc w:val="both"/>
        <w:rPr>
          <w:rFonts w:ascii="Times New Roman" w:eastAsia="Times New Roman" w:hAnsi="Times New Roman" w:cs="Times New Roman"/>
          <w:b/>
        </w:rPr>
      </w:pPr>
      <w:r>
        <w:rPr>
          <w:rFonts w:ascii="Times New Roman" w:eastAsia="Times New Roman" w:hAnsi="Times New Roman" w:cs="Times New Roman"/>
          <w:b/>
        </w:rPr>
        <w:t xml:space="preserve">For illustrative cases of human-caused environmental destruction that contribute to the </w:t>
      </w:r>
      <w:r>
        <w:rPr>
          <w:rFonts w:ascii="Times New Roman" w:eastAsia="Times New Roman" w:hAnsi="Times New Roman" w:cs="Times New Roman"/>
          <w:b/>
        </w:rPr>
        <w:t>climate crisis, as well as caused violations of the human right to adequate housing, see:</w:t>
      </w:r>
    </w:p>
    <w:p w14:paraId="00000011"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hyperlink r:id="rId8" w:anchor=".YpEcjahBy70">
        <w:r>
          <w:rPr>
            <w:rFonts w:ascii="Times New Roman" w:eastAsia="Times New Roman" w:hAnsi="Times New Roman" w:cs="Times New Roman"/>
            <w:b/>
          </w:rPr>
          <w:t>Kurdistan Border Forests Denuded</w:t>
        </w:r>
      </w:hyperlink>
      <w:r>
        <w:rPr>
          <w:rFonts w:ascii="Times New Roman" w:eastAsia="Times New Roman" w:hAnsi="Times New Roman" w:cs="Times New Roman"/>
          <w:b/>
        </w:rPr>
        <w:t>, Iraq</w:t>
      </w:r>
      <w:r>
        <w:rPr>
          <w:rFonts w:ascii="Times New Roman" w:eastAsia="Times New Roman" w:hAnsi="Times New Roman" w:cs="Times New Roman"/>
          <w:b/>
        </w:rPr>
        <w:t xml:space="preserve"> (2021)</w:t>
      </w:r>
    </w:p>
    <w:p w14:paraId="00000012"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hyperlink r:id="rId9">
        <w:proofErr w:type="spellStart"/>
        <w:r>
          <w:rPr>
            <w:rFonts w:ascii="Times New Roman" w:eastAsia="Times New Roman" w:hAnsi="Times New Roman" w:cs="Times New Roman"/>
            <w:b/>
          </w:rPr>
          <w:t>Cyclop</w:t>
        </w:r>
        <w:proofErr w:type="spellEnd"/>
        <w:r>
          <w:rPr>
            <w:rFonts w:ascii="Times New Roman" w:eastAsia="Times New Roman" w:hAnsi="Times New Roman" w:cs="Times New Roman"/>
            <w:b/>
          </w:rPr>
          <w:t xml:space="preserve"> Mountain landslide, Indonesia</w:t>
        </w:r>
      </w:hyperlink>
      <w:r>
        <w:rPr>
          <w:rFonts w:ascii="Times New Roman" w:eastAsia="Times New Roman" w:hAnsi="Times New Roman" w:cs="Times New Roman"/>
          <w:b/>
        </w:rPr>
        <w:t xml:space="preserve"> (2019)</w:t>
      </w:r>
    </w:p>
    <w:p w14:paraId="00000013"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hyperlink r:id="rId10">
        <w:r>
          <w:rPr>
            <w:rFonts w:ascii="Times New Roman" w:eastAsia="Times New Roman" w:hAnsi="Times New Roman" w:cs="Times New Roman"/>
            <w:b/>
          </w:rPr>
          <w:t>Eagle Creek Blaze</w:t>
        </w:r>
      </w:hyperlink>
      <w:r>
        <w:rPr>
          <w:rFonts w:ascii="Times New Roman" w:eastAsia="Times New Roman" w:hAnsi="Times New Roman" w:cs="Times New Roman"/>
          <w:b/>
        </w:rPr>
        <w:t>, Oregon, USA (2018)</w:t>
      </w:r>
    </w:p>
    <w:p w14:paraId="00000014"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hyperlink r:id="rId11">
        <w:r>
          <w:rPr>
            <w:rFonts w:ascii="Times New Roman" w:eastAsia="Times New Roman" w:hAnsi="Times New Roman" w:cs="Times New Roman"/>
            <w:b/>
          </w:rPr>
          <w:t>Keystone Leak</w:t>
        </w:r>
      </w:hyperlink>
      <w:r>
        <w:rPr>
          <w:rFonts w:ascii="Times New Roman" w:eastAsia="Times New Roman" w:hAnsi="Times New Roman" w:cs="Times New Roman"/>
          <w:b/>
        </w:rPr>
        <w:t>, USA (2019)</w:t>
      </w:r>
    </w:p>
    <w:p w14:paraId="00000015"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hyperlink r:id="rId12">
        <w:proofErr w:type="spellStart"/>
        <w:r>
          <w:rPr>
            <w:rFonts w:ascii="Times New Roman" w:eastAsia="Times New Roman" w:hAnsi="Times New Roman" w:cs="Times New Roman"/>
            <w:b/>
          </w:rPr>
          <w:t>Frackers</w:t>
        </w:r>
        <w:proofErr w:type="spellEnd"/>
        <w:r>
          <w:rPr>
            <w:rFonts w:ascii="Times New Roman" w:eastAsia="Times New Roman" w:hAnsi="Times New Roman" w:cs="Times New Roman"/>
            <w:b/>
          </w:rPr>
          <w:t xml:space="preserve"> Grab Forest</w:t>
        </w:r>
      </w:hyperlink>
      <w:r>
        <w:rPr>
          <w:rFonts w:ascii="Times New Roman" w:eastAsia="Times New Roman" w:hAnsi="Times New Roman" w:cs="Times New Roman"/>
          <w:b/>
        </w:rPr>
        <w:t>, USA (2012)</w:t>
      </w:r>
    </w:p>
    <w:p w14:paraId="00000016" w14:textId="77777777" w:rsidR="00522B99" w:rsidRPr="006B3BE2" w:rsidRDefault="006B3BE2">
      <w:pPr>
        <w:pBdr>
          <w:top w:val="nil"/>
          <w:left w:val="nil"/>
          <w:bottom w:val="nil"/>
          <w:right w:val="nil"/>
          <w:between w:val="nil"/>
        </w:pBdr>
        <w:spacing w:after="0"/>
        <w:ind w:left="720"/>
        <w:jc w:val="both"/>
        <w:rPr>
          <w:rFonts w:ascii="Times New Roman" w:eastAsia="Times New Roman" w:hAnsi="Times New Roman" w:cs="Times New Roman"/>
          <w:b/>
          <w:lang w:val="es-ES"/>
        </w:rPr>
      </w:pPr>
      <w:hyperlink r:id="rId13">
        <w:r w:rsidRPr="006B3BE2">
          <w:rPr>
            <w:rFonts w:ascii="Times New Roman" w:eastAsia="Times New Roman" w:hAnsi="Times New Roman" w:cs="Times New Roman"/>
            <w:b/>
            <w:lang w:val="es-ES"/>
          </w:rPr>
          <w:t>Fueg</w:t>
        </w:r>
        <w:r w:rsidRPr="006B3BE2">
          <w:rPr>
            <w:rFonts w:ascii="Times New Roman" w:eastAsia="Times New Roman" w:hAnsi="Times New Roman" w:cs="Times New Roman"/>
            <w:b/>
            <w:lang w:val="es-ES"/>
          </w:rPr>
          <w:t>o de Lago Grey</w:t>
        </w:r>
      </w:hyperlink>
      <w:r w:rsidRPr="006B3BE2">
        <w:rPr>
          <w:rFonts w:ascii="Times New Roman" w:eastAsia="Times New Roman" w:hAnsi="Times New Roman" w:cs="Times New Roman"/>
          <w:b/>
          <w:lang w:val="es-ES"/>
        </w:rPr>
        <w:t>, Chile (2011)</w:t>
      </w:r>
    </w:p>
    <w:p w14:paraId="00000017"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hyperlink r:id="rId14">
        <w:r>
          <w:rPr>
            <w:rFonts w:ascii="Times New Roman" w:eastAsia="Times New Roman" w:hAnsi="Times New Roman" w:cs="Times New Roman"/>
            <w:b/>
          </w:rPr>
          <w:t xml:space="preserve">West Papua Deforestation, Indonesian-occupied </w:t>
        </w:r>
        <w:proofErr w:type="spellStart"/>
        <w:r>
          <w:rPr>
            <w:rFonts w:ascii="Times New Roman" w:eastAsia="Times New Roman" w:hAnsi="Times New Roman" w:cs="Times New Roman"/>
            <w:b/>
          </w:rPr>
          <w:t>Iryan</w:t>
        </w:r>
        <w:proofErr w:type="spellEnd"/>
        <w:r>
          <w:rPr>
            <w:rFonts w:ascii="Times New Roman" w:eastAsia="Times New Roman" w:hAnsi="Times New Roman" w:cs="Times New Roman"/>
            <w:b/>
          </w:rPr>
          <w:t xml:space="preserve"> Jaya</w:t>
        </w:r>
      </w:hyperlink>
      <w:r>
        <w:rPr>
          <w:rFonts w:ascii="Times New Roman" w:eastAsia="Times New Roman" w:hAnsi="Times New Roman" w:cs="Times New Roman"/>
          <w:b/>
        </w:rPr>
        <w:t xml:space="preserve"> (2010)</w:t>
      </w:r>
    </w:p>
    <w:p w14:paraId="00000018"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hyperlink r:id="rId15">
        <w:proofErr w:type="spellStart"/>
        <w:r>
          <w:rPr>
            <w:rFonts w:ascii="Times New Roman" w:eastAsia="Times New Roman" w:hAnsi="Times New Roman" w:cs="Times New Roman"/>
            <w:b/>
          </w:rPr>
          <w:t>EcoCamp</w:t>
        </w:r>
        <w:proofErr w:type="spellEnd"/>
        <w:r>
          <w:rPr>
            <w:rFonts w:ascii="Times New Roman" w:eastAsia="Times New Roman" w:hAnsi="Times New Roman" w:cs="Times New Roman"/>
            <w:b/>
          </w:rPr>
          <w:t xml:space="preserve"> Patagonia</w:t>
        </w:r>
      </w:hyperlink>
      <w:r>
        <w:rPr>
          <w:rFonts w:ascii="Times New Roman" w:eastAsia="Times New Roman" w:hAnsi="Times New Roman" w:cs="Times New Roman"/>
          <w:b/>
        </w:rPr>
        <w:t>, Chile (2005)</w:t>
      </w:r>
    </w:p>
    <w:p w14:paraId="00000019"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1A"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Some</w:t>
      </w:r>
      <w:r>
        <w:rPr>
          <w:rFonts w:ascii="Times New Roman" w:eastAsia="Times New Roman" w:hAnsi="Times New Roman" w:cs="Times New Roman"/>
          <w:b/>
        </w:rPr>
        <w:t xml:space="preserve"> concrete cases gathered with our membership include:</w:t>
      </w:r>
    </w:p>
    <w:p w14:paraId="0000001B"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lastRenderedPageBreak/>
        <w:t>1) India: Migration and population shrinking due to droughts and increasing temperatures (which directly affect crops) in communities in Jharkhand</w:t>
      </w:r>
    </w:p>
    <w:p w14:paraId="0000001C"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highlight w:val="yellow"/>
          <w:u w:val="single"/>
        </w:rPr>
      </w:pPr>
      <w:r>
        <w:rPr>
          <w:rFonts w:ascii="Times New Roman" w:eastAsia="Times New Roman" w:hAnsi="Times New Roman" w:cs="Times New Roman"/>
          <w:b/>
        </w:rPr>
        <w:t>2) Spain: homes lost due to sea level rise (homes on th</w:t>
      </w:r>
      <w:r>
        <w:rPr>
          <w:rFonts w:ascii="Times New Roman" w:eastAsia="Times New Roman" w:hAnsi="Times New Roman" w:cs="Times New Roman"/>
          <w:b/>
        </w:rPr>
        <w:t>e waterfront or in flood zones). 1 million residents living in areas at risk of flooding</w:t>
      </w:r>
      <w:r>
        <w:rPr>
          <w:rFonts w:ascii="Times New Roman" w:eastAsia="Times New Roman" w:hAnsi="Times New Roman" w:cs="Times New Roman"/>
          <w:b/>
          <w:vertAlign w:val="superscript"/>
        </w:rPr>
        <w:footnoteReference w:id="4"/>
      </w:r>
      <w:r>
        <w:rPr>
          <w:rFonts w:ascii="Times New Roman" w:eastAsia="Times New Roman" w:hAnsi="Times New Roman" w:cs="Times New Roman"/>
          <w:b/>
        </w:rPr>
        <w:t xml:space="preserve"> / Heat and cold waves accompanied by a high number of tropical nights (this, together with the ravages of energy poverty, widespread in Spain, complicate and violate</w:t>
      </w:r>
      <w:r>
        <w:rPr>
          <w:rFonts w:ascii="Times New Roman" w:eastAsia="Times New Roman" w:hAnsi="Times New Roman" w:cs="Times New Roman"/>
          <w:b/>
        </w:rPr>
        <w:t xml:space="preserve"> the right to adequate housing, leading to deaths from heat and deaths from cold due to poor insulation. In addition, given the poor insulation, there is an increase in the consumption of electricity and gas, with the expense that this entails, which often</w:t>
      </w:r>
      <w:r>
        <w:rPr>
          <w:rFonts w:ascii="Times New Roman" w:eastAsia="Times New Roman" w:hAnsi="Times New Roman" w:cs="Times New Roman"/>
          <w:b/>
        </w:rPr>
        <w:t xml:space="preserve"> leads to energy poverty / Increase in storms (leaks in homes, losses and damage due to wind, rain and hail) / </w:t>
      </w:r>
      <w:proofErr w:type="gramStart"/>
      <w:r>
        <w:rPr>
          <w:rFonts w:ascii="Times New Roman" w:eastAsia="Times New Roman" w:hAnsi="Times New Roman" w:cs="Times New Roman"/>
          <w:b/>
        </w:rPr>
        <w:t>Heat island</w:t>
      </w:r>
      <w:proofErr w:type="gramEnd"/>
      <w:r>
        <w:rPr>
          <w:rFonts w:ascii="Times New Roman" w:eastAsia="Times New Roman" w:hAnsi="Times New Roman" w:cs="Times New Roman"/>
          <w:b/>
        </w:rPr>
        <w:t xml:space="preserve"> effect (in cities).</w:t>
      </w:r>
    </w:p>
    <w:p w14:paraId="0000001D"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1E"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Does the climate crisis affect the right to adequate housing differently in urban and rural areas and how? If yes, is there an interrelationship between the two? </w:t>
      </w:r>
    </w:p>
    <w:p w14:paraId="0000001F"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20"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Effects differ mostly in the degree to which urban settings involve (1) greater density of c</w:t>
      </w:r>
      <w:r>
        <w:rPr>
          <w:rFonts w:ascii="Times New Roman" w:eastAsia="Times New Roman" w:hAnsi="Times New Roman" w:cs="Times New Roman"/>
          <w:b/>
        </w:rPr>
        <w:t xml:space="preserve">onsequences (numbers and values at stake) and (2) victims/affected people generally having more resettlement and livelihood options in urban areas. Also, relief agencies and civil </w:t>
      </w:r>
      <w:proofErr w:type="spellStart"/>
      <w:r>
        <w:rPr>
          <w:rFonts w:ascii="Times New Roman" w:eastAsia="Times New Roman" w:hAnsi="Times New Roman" w:cs="Times New Roman"/>
          <w:b/>
        </w:rPr>
        <w:t>defence</w:t>
      </w:r>
      <w:proofErr w:type="spellEnd"/>
      <w:r>
        <w:rPr>
          <w:rFonts w:ascii="Times New Roman" w:eastAsia="Times New Roman" w:hAnsi="Times New Roman" w:cs="Times New Roman"/>
          <w:b/>
        </w:rPr>
        <w:t xml:space="preserve"> services operate either less or with less rapidity in rural and remo</w:t>
      </w:r>
      <w:r>
        <w:rPr>
          <w:rFonts w:ascii="Times New Roman" w:eastAsia="Times New Roman" w:hAnsi="Times New Roman" w:cs="Times New Roman"/>
          <w:b/>
        </w:rPr>
        <w:t>te areas. This remains a factor in the availability of both remedies for those affected and information (numbers and other details) about the victims/affected persons and the consequences they endure, including the whereabouts and conditions (e.g., adequac</w:t>
      </w:r>
      <w:r>
        <w:rPr>
          <w:rFonts w:ascii="Times New Roman" w:eastAsia="Times New Roman" w:hAnsi="Times New Roman" w:cs="Times New Roman"/>
          <w:b/>
        </w:rPr>
        <w:t>y of housing and costs incurred) in their eventual displacement.</w:t>
      </w:r>
    </w:p>
    <w:p w14:paraId="00000021"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22" w14:textId="77777777" w:rsidR="00522B99" w:rsidRDefault="006B3BE2">
      <w:pPr>
        <w:spacing w:after="0"/>
        <w:ind w:left="720"/>
        <w:jc w:val="both"/>
        <w:rPr>
          <w:rFonts w:ascii="Times New Roman" w:eastAsia="Times New Roman" w:hAnsi="Times New Roman" w:cs="Times New Roman"/>
          <w:b/>
        </w:rPr>
      </w:pPr>
      <w:r>
        <w:rPr>
          <w:rFonts w:ascii="Times New Roman" w:eastAsia="Times New Roman" w:hAnsi="Times New Roman" w:cs="Times New Roman"/>
          <w:b/>
        </w:rPr>
        <w:t>Moreover, rural areas tend to have less public money dedicated to climate change adaptation (such as climate shelters) and less is invested in all types of services. Public transportation in</w:t>
      </w:r>
      <w:r>
        <w:rPr>
          <w:rFonts w:ascii="Times New Roman" w:eastAsia="Times New Roman" w:hAnsi="Times New Roman" w:cs="Times New Roman"/>
          <w:b/>
        </w:rPr>
        <w:t xml:space="preserve"> rural areas is underfunded and functions poorly. The discourse of territorial balance and less travel in private vehicles to mitigate climate change is contrasted with the reality of centralization of public services in large cities, neglecting small town</w:t>
      </w:r>
      <w:r>
        <w:rPr>
          <w:rFonts w:ascii="Times New Roman" w:eastAsia="Times New Roman" w:hAnsi="Times New Roman" w:cs="Times New Roman"/>
          <w:b/>
        </w:rPr>
        <w:t>s and rural areas, which have their population needing to travel to go to the doctor or access other basic services.</w:t>
      </w:r>
    </w:p>
    <w:p w14:paraId="00000023"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b/>
        </w:rPr>
      </w:pPr>
    </w:p>
    <w:p w14:paraId="00000024"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Are certain groups distinctly affected in the enjoyment of their right to adequate housing as a result of the climate crisis? Please descr</w:t>
      </w:r>
      <w:r>
        <w:rPr>
          <w:rFonts w:ascii="Times New Roman" w:eastAsia="Times New Roman" w:hAnsi="Times New Roman" w:cs="Times New Roman"/>
        </w:rPr>
        <w:t>ibe in what way.</w:t>
      </w:r>
    </w:p>
    <w:p w14:paraId="00000025"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26" w14:textId="77777777" w:rsidR="00522B99" w:rsidRDefault="006B3BE2">
      <w:pPr>
        <w:pBdr>
          <w:top w:val="nil"/>
          <w:left w:val="nil"/>
          <w:bottom w:val="nil"/>
          <w:right w:val="nil"/>
          <w:between w:val="nil"/>
        </w:pBdr>
        <w:spacing w:after="120"/>
        <w:ind w:left="720"/>
        <w:jc w:val="both"/>
        <w:rPr>
          <w:rFonts w:ascii="Times New Roman" w:eastAsia="Times New Roman" w:hAnsi="Times New Roman" w:cs="Times New Roman"/>
          <w:b/>
        </w:rPr>
      </w:pPr>
      <w:r>
        <w:rPr>
          <w:rFonts w:ascii="Times New Roman" w:eastAsia="Times New Roman" w:hAnsi="Times New Roman" w:cs="Times New Roman"/>
          <w:b/>
        </w:rPr>
        <w:t>Yes, the rural and urban poor are the most affected, including those already living with discrimination, inadequate housing and insecure land tenure among them. These groups include also those with traditional or so-called “informal” tenure. Moreover, spec</w:t>
      </w:r>
      <w:r>
        <w:rPr>
          <w:rFonts w:ascii="Times New Roman" w:eastAsia="Times New Roman" w:hAnsi="Times New Roman" w:cs="Times New Roman"/>
          <w:b/>
        </w:rPr>
        <w:t>ific groups such as women and elderly are particularly affected, as well as the urban po</w:t>
      </w:r>
      <w:r>
        <w:rPr>
          <w:rFonts w:ascii="Times New Roman" w:eastAsia="Times New Roman" w:hAnsi="Times New Roman" w:cs="Times New Roman"/>
          <w:b/>
        </w:rPr>
        <w:t xml:space="preserve">or, </w:t>
      </w:r>
      <w:proofErr w:type="gramStart"/>
      <w:r>
        <w:rPr>
          <w:rFonts w:ascii="Times New Roman" w:eastAsia="Times New Roman" w:hAnsi="Times New Roman" w:cs="Times New Roman"/>
          <w:b/>
        </w:rPr>
        <w:t>in particular those</w:t>
      </w:r>
      <w:proofErr w:type="gramEnd"/>
      <w:r>
        <w:rPr>
          <w:rFonts w:ascii="Times New Roman" w:eastAsia="Times New Roman" w:hAnsi="Times New Roman" w:cs="Times New Roman"/>
          <w:b/>
        </w:rPr>
        <w:t xml:space="preserve"> affected by energy poverty. </w:t>
      </w:r>
      <w:r>
        <w:rPr>
          <w:rFonts w:ascii="Times New Roman" w:eastAsia="Times New Roman" w:hAnsi="Times New Roman" w:cs="Times New Roman"/>
          <w:b/>
        </w:rPr>
        <w:t>Specific cases linked to the HLRN Violation Database illustrate such categories:</w:t>
      </w:r>
    </w:p>
    <w:p w14:paraId="00000027" w14:textId="77777777" w:rsidR="00522B99" w:rsidRDefault="006B3BE2">
      <w:pPr>
        <w:pBdr>
          <w:top w:val="nil"/>
          <w:left w:val="nil"/>
          <w:bottom w:val="nil"/>
          <w:right w:val="nil"/>
          <w:between w:val="nil"/>
        </w:pBdr>
        <w:spacing w:after="0"/>
        <w:ind w:left="720"/>
        <w:rPr>
          <w:rFonts w:ascii="Times New Roman" w:eastAsia="Times New Roman" w:hAnsi="Times New Roman" w:cs="Times New Roman"/>
          <w:b/>
        </w:rPr>
      </w:pPr>
      <w:hyperlink r:id="rId16">
        <w:r>
          <w:rPr>
            <w:rFonts w:ascii="Times New Roman" w:eastAsia="Times New Roman" w:hAnsi="Times New Roman" w:cs="Times New Roman"/>
            <w:b/>
          </w:rPr>
          <w:t>Durban flood</w:t>
        </w:r>
      </w:hyperlink>
      <w:r>
        <w:rPr>
          <w:rFonts w:ascii="Times New Roman" w:eastAsia="Times New Roman" w:hAnsi="Times New Roman" w:cs="Times New Roman"/>
          <w:b/>
        </w:rPr>
        <w:t>, South Africa (2022)</w:t>
      </w:r>
    </w:p>
    <w:p w14:paraId="00000028" w14:textId="77777777" w:rsidR="00522B99" w:rsidRDefault="006B3BE2">
      <w:pPr>
        <w:pBdr>
          <w:top w:val="nil"/>
          <w:left w:val="nil"/>
          <w:bottom w:val="nil"/>
          <w:right w:val="nil"/>
          <w:between w:val="nil"/>
        </w:pBdr>
        <w:spacing w:after="0"/>
        <w:ind w:left="680"/>
        <w:rPr>
          <w:rFonts w:ascii="Times New Roman" w:eastAsia="Times New Roman" w:hAnsi="Times New Roman" w:cs="Times New Roman"/>
          <w:b/>
        </w:rPr>
      </w:pPr>
      <w:r>
        <w:rPr>
          <w:rFonts w:ascii="Times New Roman" w:eastAsia="Times New Roman" w:hAnsi="Times New Roman" w:cs="Times New Roman"/>
          <w:b/>
        </w:rPr>
        <w:t xml:space="preserve"> </w:t>
      </w:r>
      <w:hyperlink r:id="rId17" w:anchor="l">
        <w:proofErr w:type="spellStart"/>
        <w:r>
          <w:rPr>
            <w:rFonts w:ascii="Times New Roman" w:eastAsia="Times New Roman" w:hAnsi="Times New Roman" w:cs="Times New Roman"/>
            <w:b/>
          </w:rPr>
          <w:t>Petrópolis</w:t>
        </w:r>
        <w:proofErr w:type="spellEnd"/>
        <w:r>
          <w:rPr>
            <w:rFonts w:ascii="Times New Roman" w:eastAsia="Times New Roman" w:hAnsi="Times New Roman" w:cs="Times New Roman"/>
            <w:b/>
          </w:rPr>
          <w:t xml:space="preserve"> landslide</w:t>
        </w:r>
      </w:hyperlink>
      <w:hyperlink r:id="rId18" w:anchor="l">
        <w:r>
          <w:rPr>
            <w:rFonts w:ascii="Times New Roman" w:eastAsia="Times New Roman" w:hAnsi="Times New Roman" w:cs="Times New Roman"/>
            <w:b/>
          </w:rPr>
          <w:t>, RJ, Brazil</w:t>
        </w:r>
      </w:hyperlink>
      <w:r>
        <w:rPr>
          <w:rFonts w:ascii="Times New Roman" w:eastAsia="Times New Roman" w:hAnsi="Times New Roman" w:cs="Times New Roman"/>
          <w:b/>
        </w:rPr>
        <w:t xml:space="preserve"> (2022)</w:t>
      </w:r>
    </w:p>
    <w:p w14:paraId="00000029" w14:textId="77777777" w:rsidR="00522B99" w:rsidRDefault="006B3BE2">
      <w:pPr>
        <w:pBdr>
          <w:top w:val="nil"/>
          <w:left w:val="nil"/>
          <w:bottom w:val="nil"/>
          <w:right w:val="nil"/>
          <w:between w:val="nil"/>
        </w:pBdr>
        <w:spacing w:after="0"/>
        <w:ind w:left="720"/>
        <w:rPr>
          <w:rFonts w:ascii="Times New Roman" w:eastAsia="Times New Roman" w:hAnsi="Times New Roman" w:cs="Times New Roman"/>
          <w:b/>
        </w:rPr>
      </w:pPr>
      <w:hyperlink r:id="rId19">
        <w:proofErr w:type="spellStart"/>
        <w:r>
          <w:rPr>
            <w:rFonts w:ascii="Times New Roman" w:eastAsia="Times New Roman" w:hAnsi="Times New Roman" w:cs="Times New Roman"/>
            <w:b/>
          </w:rPr>
          <w:t>Cyclop</w:t>
        </w:r>
        <w:proofErr w:type="spellEnd"/>
        <w:r>
          <w:rPr>
            <w:rFonts w:ascii="Times New Roman" w:eastAsia="Times New Roman" w:hAnsi="Times New Roman" w:cs="Times New Roman"/>
            <w:b/>
          </w:rPr>
          <w:t xml:space="preserve"> Mountain landslide</w:t>
        </w:r>
      </w:hyperlink>
      <w:hyperlink r:id="rId20">
        <w:r>
          <w:rPr>
            <w:rFonts w:ascii="Times New Roman" w:eastAsia="Times New Roman" w:hAnsi="Times New Roman" w:cs="Times New Roman"/>
            <w:b/>
          </w:rPr>
          <w:t>, Indonesi</w:t>
        </w:r>
        <w:r>
          <w:rPr>
            <w:rFonts w:ascii="Times New Roman" w:eastAsia="Times New Roman" w:hAnsi="Times New Roman" w:cs="Times New Roman"/>
            <w:b/>
          </w:rPr>
          <w:t>a</w:t>
        </w:r>
      </w:hyperlink>
      <w:r>
        <w:rPr>
          <w:rFonts w:ascii="Times New Roman" w:eastAsia="Times New Roman" w:hAnsi="Times New Roman" w:cs="Times New Roman"/>
          <w:b/>
        </w:rPr>
        <w:t xml:space="preserve"> (2019)</w:t>
      </w:r>
    </w:p>
    <w:bookmarkStart w:id="0" w:name="_heading=h.gjdgxs" w:colFirst="0" w:colLast="0"/>
    <w:bookmarkEnd w:id="0"/>
    <w:p w14:paraId="0000002A" w14:textId="77777777" w:rsidR="00522B99" w:rsidRDefault="006B3BE2">
      <w:pPr>
        <w:pBdr>
          <w:top w:val="nil"/>
          <w:left w:val="nil"/>
          <w:bottom w:val="nil"/>
          <w:right w:val="nil"/>
          <w:between w:val="nil"/>
        </w:pBdr>
        <w:spacing w:after="0"/>
        <w:ind w:left="720"/>
        <w:rPr>
          <w:rFonts w:ascii="Times New Roman" w:eastAsia="Times New Roman" w:hAnsi="Times New Roman" w:cs="Times New Roman"/>
          <w:b/>
        </w:rPr>
      </w:pPr>
      <w:r>
        <w:fldChar w:fldCharType="begin"/>
      </w:r>
      <w:r>
        <w:instrText xml:space="preserve"> HYPERLINK "http://hlrn.org/violation.php?id=p21sbKk=" \h </w:instrText>
      </w:r>
      <w:r>
        <w:fldChar w:fldCharType="separate"/>
      </w:r>
      <w:r>
        <w:rPr>
          <w:rFonts w:ascii="Times New Roman" w:eastAsia="Times New Roman" w:hAnsi="Times New Roman" w:cs="Times New Roman"/>
          <w:b/>
        </w:rPr>
        <w:t>Post-Maria aid denied</w:t>
      </w:r>
      <w:r>
        <w:rPr>
          <w:rFonts w:ascii="Times New Roman" w:eastAsia="Times New Roman" w:hAnsi="Times New Roman" w:cs="Times New Roman"/>
          <w:b/>
        </w:rPr>
        <w:fldChar w:fldCharType="end"/>
      </w:r>
      <w:r>
        <w:rPr>
          <w:rFonts w:ascii="Times New Roman" w:eastAsia="Times New Roman" w:hAnsi="Times New Roman" w:cs="Times New Roman"/>
          <w:b/>
        </w:rPr>
        <w:t xml:space="preserve">, Puerto Rico (2017) </w:t>
      </w:r>
    </w:p>
    <w:p w14:paraId="0000002B" w14:textId="77777777" w:rsidR="00522B99" w:rsidRDefault="006B3BE2">
      <w:pPr>
        <w:pBdr>
          <w:top w:val="nil"/>
          <w:left w:val="nil"/>
          <w:bottom w:val="nil"/>
          <w:right w:val="nil"/>
          <w:between w:val="nil"/>
        </w:pBdr>
        <w:spacing w:after="0"/>
        <w:ind w:left="720"/>
        <w:rPr>
          <w:rFonts w:ascii="Times New Roman" w:eastAsia="Times New Roman" w:hAnsi="Times New Roman" w:cs="Times New Roman"/>
          <w:b/>
        </w:rPr>
      </w:pPr>
      <w:hyperlink r:id="rId21">
        <w:proofErr w:type="spellStart"/>
        <w:r>
          <w:rPr>
            <w:rFonts w:ascii="Times New Roman" w:eastAsia="Times New Roman" w:hAnsi="Times New Roman" w:cs="Times New Roman"/>
            <w:b/>
          </w:rPr>
          <w:t>Bainsiria</w:t>
        </w:r>
        <w:proofErr w:type="spellEnd"/>
        <w:r>
          <w:rPr>
            <w:rFonts w:ascii="Times New Roman" w:eastAsia="Times New Roman" w:hAnsi="Times New Roman" w:cs="Times New Roman"/>
            <w:b/>
          </w:rPr>
          <w:t xml:space="preserve"> Village</w:t>
        </w:r>
      </w:hyperlink>
      <w:hyperlink r:id="rId22">
        <w:r>
          <w:rPr>
            <w:rFonts w:ascii="Times New Roman" w:eastAsia="Times New Roman" w:hAnsi="Times New Roman" w:cs="Times New Roman"/>
            <w:b/>
          </w:rPr>
          <w:t>, Odisha, India</w:t>
        </w:r>
      </w:hyperlink>
      <w:r>
        <w:rPr>
          <w:rFonts w:ascii="Times New Roman" w:eastAsia="Times New Roman" w:hAnsi="Times New Roman" w:cs="Times New Roman"/>
          <w:b/>
        </w:rPr>
        <w:t xml:space="preserve"> (2011)</w:t>
      </w:r>
    </w:p>
    <w:p w14:paraId="0000002C" w14:textId="77777777" w:rsidR="00522B99" w:rsidRDefault="006B3BE2">
      <w:pPr>
        <w:pBdr>
          <w:top w:val="nil"/>
          <w:left w:val="nil"/>
          <w:bottom w:val="nil"/>
          <w:right w:val="nil"/>
          <w:between w:val="nil"/>
        </w:pBdr>
        <w:spacing w:after="0"/>
        <w:ind w:left="720"/>
        <w:rPr>
          <w:rFonts w:ascii="Times New Roman" w:eastAsia="Times New Roman" w:hAnsi="Times New Roman" w:cs="Times New Roman"/>
          <w:b/>
        </w:rPr>
      </w:pPr>
      <w:hyperlink r:id="rId23">
        <w:r>
          <w:rPr>
            <w:rFonts w:ascii="Times New Roman" w:eastAsia="Times New Roman" w:hAnsi="Times New Roman" w:cs="Times New Roman"/>
            <w:b/>
          </w:rPr>
          <w:t>West Papua Deforestation</w:t>
        </w:r>
      </w:hyperlink>
      <w:hyperlink r:id="rId24">
        <w:r>
          <w:rPr>
            <w:rFonts w:ascii="Times New Roman" w:eastAsia="Times New Roman" w:hAnsi="Times New Roman" w:cs="Times New Roman"/>
            <w:b/>
          </w:rPr>
          <w:t xml:space="preserve">, Indonesian-occupied </w:t>
        </w:r>
        <w:proofErr w:type="spellStart"/>
        <w:r>
          <w:rPr>
            <w:rFonts w:ascii="Times New Roman" w:eastAsia="Times New Roman" w:hAnsi="Times New Roman" w:cs="Times New Roman"/>
            <w:b/>
          </w:rPr>
          <w:t>Iryan</w:t>
        </w:r>
        <w:proofErr w:type="spellEnd"/>
        <w:r>
          <w:rPr>
            <w:rFonts w:ascii="Times New Roman" w:eastAsia="Times New Roman" w:hAnsi="Times New Roman" w:cs="Times New Roman"/>
            <w:b/>
          </w:rPr>
          <w:t xml:space="preserve"> Jaya</w:t>
        </w:r>
      </w:hyperlink>
      <w:r>
        <w:rPr>
          <w:rFonts w:ascii="Times New Roman" w:eastAsia="Times New Roman" w:hAnsi="Times New Roman" w:cs="Times New Roman"/>
          <w:b/>
        </w:rPr>
        <w:t xml:space="preserve"> (2010)</w:t>
      </w:r>
    </w:p>
    <w:p w14:paraId="0000002D" w14:textId="77777777" w:rsidR="00522B99" w:rsidRDefault="00522B99">
      <w:pPr>
        <w:spacing w:after="0"/>
        <w:jc w:val="both"/>
        <w:rPr>
          <w:rFonts w:ascii="Times New Roman" w:eastAsia="Times New Roman" w:hAnsi="Times New Roman" w:cs="Times New Roman"/>
          <w:b/>
        </w:rPr>
      </w:pPr>
    </w:p>
    <w:p w14:paraId="0000002E"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b/>
        </w:rPr>
      </w:pPr>
    </w:p>
    <w:p w14:paraId="0000002F"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lastRenderedPageBreak/>
        <w:t xml:space="preserve">How is the right to adequate housing ensured for persons who have been internally or internationally displaced by the climate crisis?  How and under what conditions is their right to voluntarily return ensured? </w:t>
      </w:r>
    </w:p>
    <w:p w14:paraId="00000030"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31"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Among other factors such as the availabilit</w:t>
      </w:r>
      <w:r>
        <w:rPr>
          <w:rFonts w:ascii="Times New Roman" w:eastAsia="Times New Roman" w:hAnsi="Times New Roman" w:cs="Times New Roman"/>
          <w:b/>
        </w:rPr>
        <w:t>y of resources and capacities of domestic or international public agencies and nongovernmental service providers, governance and political will are key, including nondiscrimination in that context. The human needs and, hence, (accessory) human rights to pu</w:t>
      </w:r>
      <w:r>
        <w:rPr>
          <w:rFonts w:ascii="Times New Roman" w:eastAsia="Times New Roman" w:hAnsi="Times New Roman" w:cs="Times New Roman"/>
          <w:b/>
        </w:rPr>
        <w:t xml:space="preserve">blic participation, information and administrative justice, etc. come into high relief in cases of their denial. </w:t>
      </w:r>
    </w:p>
    <w:p w14:paraId="00000032"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33"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Illustrative is the case of the drought-induced depopulation of 161 mostly Kurdish villages in northern Syria in 2009–10. In response, the Mi</w:t>
      </w:r>
      <w:r>
        <w:rPr>
          <w:rFonts w:ascii="Times New Roman" w:eastAsia="Times New Roman" w:hAnsi="Times New Roman" w:cs="Times New Roman"/>
          <w:b/>
        </w:rPr>
        <w:t>nistry of Housing promptly issued as decree prohibiting freehold or leasehold tenure of housing to anyone migrating from his/her habitual residence. This act was a thinly veiled form of discrimination, denying the human right to adequate housing to minorit</w:t>
      </w:r>
      <w:r>
        <w:rPr>
          <w:rFonts w:ascii="Times New Roman" w:eastAsia="Times New Roman" w:hAnsi="Times New Roman" w:cs="Times New Roman"/>
          <w:b/>
        </w:rPr>
        <w:t xml:space="preserve">y citizens. (See </w:t>
      </w:r>
      <w:hyperlink r:id="rId25">
        <w:r>
          <w:rPr>
            <w:rFonts w:ascii="Times New Roman" w:eastAsia="Times New Roman" w:hAnsi="Times New Roman" w:cs="Times New Roman"/>
            <w:b/>
          </w:rPr>
          <w:t>Systematic Housing and Land Rights Violations against Syrian Kurds</w:t>
        </w:r>
      </w:hyperlink>
      <w:r>
        <w:rPr>
          <w:rFonts w:ascii="Times New Roman" w:eastAsia="Times New Roman" w:hAnsi="Times New Roman" w:cs="Times New Roman"/>
          <w:b/>
        </w:rPr>
        <w:t xml:space="preserve"> [2011].)</w:t>
      </w:r>
    </w:p>
    <w:p w14:paraId="00000034"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35"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xml:space="preserve">In Spain, for example, the reception program (SAYER) for international displaced persons is limited </w:t>
      </w:r>
      <w:proofErr w:type="gramStart"/>
      <w:r>
        <w:rPr>
          <w:rFonts w:ascii="Times New Roman" w:eastAsia="Times New Roman" w:hAnsi="Times New Roman" w:cs="Times New Roman"/>
          <w:b/>
        </w:rPr>
        <w:t>to  political</w:t>
      </w:r>
      <w:proofErr w:type="gramEnd"/>
      <w:r>
        <w:rPr>
          <w:rFonts w:ascii="Times New Roman" w:eastAsia="Times New Roman" w:hAnsi="Times New Roman" w:cs="Times New Roman"/>
          <w:b/>
        </w:rPr>
        <w:t xml:space="preserve"> exiles, with no programs for national displaced persons. The concept of voluntary return is seen with apprehension, since it is intimately rel</w:t>
      </w:r>
      <w:r>
        <w:rPr>
          <w:rFonts w:ascii="Times New Roman" w:eastAsia="Times New Roman" w:hAnsi="Times New Roman" w:cs="Times New Roman"/>
          <w:b/>
        </w:rPr>
        <w:t>ated to the expulsion of migrants in vulnerable situations and not responding to their rights in national territory.</w:t>
      </w:r>
    </w:p>
    <w:p w14:paraId="00000036"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b/>
        </w:rPr>
      </w:pPr>
    </w:p>
    <w:p w14:paraId="00000037"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When housing has been damaged or lost due to climate-induced events, what has been the related impact on the lives, health and livelihoods</w:t>
      </w:r>
      <w:r>
        <w:rPr>
          <w:rFonts w:ascii="Times New Roman" w:eastAsia="Times New Roman" w:hAnsi="Times New Roman" w:cs="Times New Roman"/>
        </w:rPr>
        <w:t xml:space="preserve"> of the affected populations?</w:t>
      </w:r>
    </w:p>
    <w:p w14:paraId="00000038"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rPr>
      </w:pPr>
    </w:p>
    <w:p w14:paraId="00000039"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In the global practice of reporting on such cases, the weakest data are those describing or quantifying</w:t>
      </w:r>
      <w:r>
        <w:t xml:space="preserve"> the </w:t>
      </w:r>
      <w:r>
        <w:rPr>
          <w:rFonts w:ascii="Times New Roman" w:eastAsia="Times New Roman" w:hAnsi="Times New Roman" w:cs="Times New Roman"/>
          <w:b/>
        </w:rPr>
        <w:t>related impacts on the lives, health and livelihoods of the affected populations. This type of inquiry is not often f</w:t>
      </w:r>
      <w:r>
        <w:rPr>
          <w:rFonts w:ascii="Times New Roman" w:eastAsia="Times New Roman" w:hAnsi="Times New Roman" w:cs="Times New Roman"/>
          <w:b/>
        </w:rPr>
        <w:t xml:space="preserve">ound in press or civil society reports, but more likely among relief agencies. The pursuit of answers to these questions are precisely why the </w:t>
      </w:r>
      <w:hyperlink r:id="rId26" w:anchor=".YpEhFKhBy71">
        <w:r>
          <w:rPr>
            <w:rFonts w:ascii="Times New Roman" w:eastAsia="Times New Roman" w:hAnsi="Times New Roman" w:cs="Times New Roman"/>
            <w:b/>
          </w:rPr>
          <w:t>HLRN Violations Database</w:t>
        </w:r>
      </w:hyperlink>
      <w:r>
        <w:rPr>
          <w:rFonts w:ascii="Times New Roman" w:eastAsia="Times New Roman" w:hAnsi="Times New Roman" w:cs="Times New Roman"/>
          <w:b/>
        </w:rPr>
        <w:t xml:space="preserve"> and assoc</w:t>
      </w:r>
      <w:r>
        <w:rPr>
          <w:rFonts w:ascii="Times New Roman" w:eastAsia="Times New Roman" w:hAnsi="Times New Roman" w:cs="Times New Roman"/>
          <w:b/>
        </w:rPr>
        <w:t xml:space="preserve">iated thematic </w:t>
      </w:r>
      <w:hyperlink r:id="rId27">
        <w:r>
          <w:rPr>
            <w:rFonts w:ascii="Times New Roman" w:eastAsia="Times New Roman" w:hAnsi="Times New Roman" w:cs="Times New Roman"/>
            <w:b/>
          </w:rPr>
          <w:t>World Habitat Day reports</w:t>
        </w:r>
      </w:hyperlink>
      <w:r>
        <w:rPr>
          <w:rFonts w:ascii="Times New Roman" w:eastAsia="Times New Roman" w:hAnsi="Times New Roman" w:cs="Times New Roman"/>
          <w:b/>
        </w:rPr>
        <w:t xml:space="preserve"> have promoted further development of this type of inquiry, particularly among civil society. The objective of this exercise would be to ai</w:t>
      </w:r>
      <w:r>
        <w:rPr>
          <w:rFonts w:ascii="Times New Roman" w:eastAsia="Times New Roman" w:hAnsi="Times New Roman" w:cs="Times New Roman"/>
          <w:b/>
        </w:rPr>
        <w:t>d the processes of remedy and reparation, as appropriate, by applying the UN reparation framework (</w:t>
      </w:r>
      <w:hyperlink r:id="rId28">
        <w:r>
          <w:rPr>
            <w:rFonts w:ascii="Times New Roman" w:eastAsia="Times New Roman" w:hAnsi="Times New Roman" w:cs="Times New Roman"/>
            <w:b/>
          </w:rPr>
          <w:t>A/RES/60/147</w:t>
        </w:r>
      </w:hyperlink>
      <w:r>
        <w:rPr>
          <w:rFonts w:ascii="Times New Roman" w:eastAsia="Times New Roman" w:hAnsi="Times New Roman" w:cs="Times New Roman"/>
          <w:b/>
        </w:rPr>
        <w:t xml:space="preserve">). </w:t>
      </w:r>
    </w:p>
    <w:p w14:paraId="0000003A"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3B"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xml:space="preserve">To that end also, HIC-HLRN has developed and applied its </w:t>
      </w:r>
      <w:hyperlink r:id="rId29" w:anchor=".YpEgnKhBy70">
        <w:r>
          <w:rPr>
            <w:rFonts w:ascii="Times New Roman" w:eastAsia="Times New Roman" w:hAnsi="Times New Roman" w:cs="Times New Roman"/>
            <w:b/>
          </w:rPr>
          <w:t>Violation Impact-assessment Tool</w:t>
        </w:r>
      </w:hyperlink>
      <w:r>
        <w:rPr>
          <w:rFonts w:ascii="Times New Roman" w:eastAsia="Times New Roman" w:hAnsi="Times New Roman" w:cs="Times New Roman"/>
          <w:b/>
        </w:rPr>
        <w:t xml:space="preserve"> to cases of gross violation of the human right to adequate housing, including in inciden</w:t>
      </w:r>
      <w:r>
        <w:rPr>
          <w:rFonts w:ascii="Times New Roman" w:eastAsia="Times New Roman" w:hAnsi="Times New Roman" w:cs="Times New Roman"/>
          <w:b/>
        </w:rPr>
        <w:t>ces related to the climate crisis.</w:t>
      </w:r>
    </w:p>
    <w:p w14:paraId="0000003C"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3D" w14:textId="77777777" w:rsidR="00522B99" w:rsidRDefault="006B3BE2">
      <w:pPr>
        <w:numPr>
          <w:ilvl w:val="0"/>
          <w:numId w:val="6"/>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How have people been able to access redress and compensation for damages to or loss of their housing as a result of the climate crisis and extreme weather events? What are the main obstacles to accessing timely redress a</w:t>
      </w:r>
      <w:r>
        <w:rPr>
          <w:rFonts w:ascii="Times New Roman" w:eastAsia="Times New Roman" w:hAnsi="Times New Roman" w:cs="Times New Roman"/>
        </w:rPr>
        <w:t>nd compensation, and what could be effective solutions?</w:t>
      </w:r>
    </w:p>
    <w:p w14:paraId="0000003E" w14:textId="77777777" w:rsidR="00522B99" w:rsidRDefault="006B3BE2">
      <w:pPr>
        <w:ind w:left="720"/>
        <w:jc w:val="both"/>
        <w:rPr>
          <w:rFonts w:ascii="Times New Roman" w:eastAsia="Times New Roman" w:hAnsi="Times New Roman" w:cs="Times New Roman"/>
          <w:b/>
        </w:rPr>
      </w:pPr>
      <w:r>
        <w:rPr>
          <w:rFonts w:ascii="Times New Roman" w:eastAsia="Times New Roman" w:hAnsi="Times New Roman" w:cs="Times New Roman"/>
          <w:b/>
        </w:rPr>
        <w:t xml:space="preserve">Each case differs from the other, depending on the type of governance, possible forms of discrimination, tenure status and type, access to information, etc. Where a gross violation of the human right </w:t>
      </w:r>
      <w:r>
        <w:rPr>
          <w:rFonts w:ascii="Times New Roman" w:eastAsia="Times New Roman" w:hAnsi="Times New Roman" w:cs="Times New Roman"/>
          <w:b/>
        </w:rPr>
        <w:t>to adequate housing (e.g., forced eviction) results from the incident, then the entitlements are classified as “reparation,” which is composed of:</w:t>
      </w:r>
    </w:p>
    <w:p w14:paraId="0000003F" w14:textId="77777777" w:rsidR="00522B99" w:rsidRDefault="006B3BE2">
      <w:pPr>
        <w:numPr>
          <w:ilvl w:val="0"/>
          <w:numId w:val="1"/>
        </w:numPr>
        <w:pBdr>
          <w:top w:val="nil"/>
          <w:left w:val="nil"/>
          <w:bottom w:val="nil"/>
          <w:right w:val="nil"/>
          <w:between w:val="nil"/>
        </w:pBdr>
        <w:spacing w:after="0"/>
        <w:ind w:left="1077" w:hanging="357"/>
        <w:jc w:val="both"/>
        <w:rPr>
          <w:rFonts w:ascii="Times New Roman" w:eastAsia="Times New Roman" w:hAnsi="Times New Roman" w:cs="Times New Roman"/>
          <w:b/>
        </w:rPr>
      </w:pPr>
      <w:r>
        <w:rPr>
          <w:rFonts w:ascii="Times New Roman" w:eastAsia="Times New Roman" w:hAnsi="Times New Roman" w:cs="Times New Roman"/>
          <w:b/>
        </w:rPr>
        <w:t>Restitution:</w:t>
      </w:r>
    </w:p>
    <w:p w14:paraId="00000040" w14:textId="77777777" w:rsidR="00522B99" w:rsidRDefault="006B3BE2">
      <w:pPr>
        <w:numPr>
          <w:ilvl w:val="0"/>
          <w:numId w:val="2"/>
        </w:numPr>
        <w:pBdr>
          <w:top w:val="nil"/>
          <w:left w:val="nil"/>
          <w:bottom w:val="nil"/>
          <w:right w:val="nil"/>
          <w:between w:val="nil"/>
        </w:pBdr>
        <w:spacing w:after="0"/>
        <w:jc w:val="both"/>
        <w:rPr>
          <w:rFonts w:ascii="Times New Roman" w:eastAsia="Times New Roman" w:hAnsi="Times New Roman" w:cs="Times New Roman"/>
          <w:b/>
        </w:rPr>
      </w:pPr>
      <w:r>
        <w:rPr>
          <w:rFonts w:ascii="Times New Roman" w:eastAsia="Times New Roman" w:hAnsi="Times New Roman" w:cs="Times New Roman"/>
          <w:b/>
        </w:rPr>
        <w:t>Return,</w:t>
      </w:r>
    </w:p>
    <w:p w14:paraId="00000041" w14:textId="77777777" w:rsidR="00522B99" w:rsidRDefault="006B3BE2">
      <w:pPr>
        <w:numPr>
          <w:ilvl w:val="0"/>
          <w:numId w:val="2"/>
        </w:numPr>
        <w:pBdr>
          <w:top w:val="nil"/>
          <w:left w:val="nil"/>
          <w:bottom w:val="nil"/>
          <w:right w:val="nil"/>
          <w:between w:val="nil"/>
        </w:pBdr>
        <w:spacing w:after="0"/>
        <w:jc w:val="both"/>
        <w:rPr>
          <w:rFonts w:ascii="Times New Roman" w:eastAsia="Times New Roman" w:hAnsi="Times New Roman" w:cs="Times New Roman"/>
          <w:b/>
        </w:rPr>
      </w:pPr>
      <w:r>
        <w:rPr>
          <w:rFonts w:ascii="Times New Roman" w:eastAsia="Times New Roman" w:hAnsi="Times New Roman" w:cs="Times New Roman"/>
          <w:b/>
        </w:rPr>
        <w:t>Resettlement,</w:t>
      </w:r>
    </w:p>
    <w:p w14:paraId="00000042" w14:textId="77777777" w:rsidR="00522B99" w:rsidRDefault="006B3BE2">
      <w:pPr>
        <w:numPr>
          <w:ilvl w:val="0"/>
          <w:numId w:val="2"/>
        </w:numPr>
        <w:pBdr>
          <w:top w:val="nil"/>
          <w:left w:val="nil"/>
          <w:bottom w:val="nil"/>
          <w:right w:val="nil"/>
          <w:between w:val="nil"/>
        </w:pBdr>
        <w:spacing w:after="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Rehabilitation of all </w:t>
      </w:r>
      <w:proofErr w:type="gramStart"/>
      <w:r>
        <w:rPr>
          <w:rFonts w:ascii="Times New Roman" w:eastAsia="Times New Roman" w:hAnsi="Times New Roman" w:cs="Times New Roman"/>
          <w:b/>
        </w:rPr>
        <w:t>kinds;</w:t>
      </w:r>
      <w:proofErr w:type="gramEnd"/>
    </w:p>
    <w:p w14:paraId="00000043" w14:textId="77777777" w:rsidR="00522B99" w:rsidRDefault="006B3BE2">
      <w:pPr>
        <w:numPr>
          <w:ilvl w:val="0"/>
          <w:numId w:val="1"/>
        </w:numPr>
        <w:pBdr>
          <w:top w:val="nil"/>
          <w:left w:val="nil"/>
          <w:bottom w:val="nil"/>
          <w:right w:val="nil"/>
          <w:between w:val="nil"/>
        </w:pBdr>
        <w:spacing w:after="0"/>
        <w:ind w:left="1077" w:hanging="357"/>
        <w:jc w:val="both"/>
        <w:rPr>
          <w:rFonts w:ascii="Times New Roman" w:eastAsia="Times New Roman" w:hAnsi="Times New Roman" w:cs="Times New Roman"/>
          <w:b/>
        </w:rPr>
      </w:pPr>
      <w:r>
        <w:rPr>
          <w:rFonts w:ascii="Times New Roman" w:eastAsia="Times New Roman" w:hAnsi="Times New Roman" w:cs="Times New Roman"/>
          <w:b/>
        </w:rPr>
        <w:t xml:space="preserve">Compensation for those values that cannot be materially </w:t>
      </w:r>
      <w:proofErr w:type="gramStart"/>
      <w:r>
        <w:rPr>
          <w:rFonts w:ascii="Times New Roman" w:eastAsia="Times New Roman" w:hAnsi="Times New Roman" w:cs="Times New Roman"/>
          <w:b/>
        </w:rPr>
        <w:t>restored;</w:t>
      </w:r>
      <w:proofErr w:type="gramEnd"/>
    </w:p>
    <w:p w14:paraId="00000044" w14:textId="77777777" w:rsidR="00522B99" w:rsidRDefault="006B3BE2">
      <w:pPr>
        <w:numPr>
          <w:ilvl w:val="0"/>
          <w:numId w:val="1"/>
        </w:numPr>
        <w:pBdr>
          <w:top w:val="nil"/>
          <w:left w:val="nil"/>
          <w:bottom w:val="nil"/>
          <w:right w:val="nil"/>
          <w:between w:val="nil"/>
        </w:pBdr>
        <w:spacing w:after="0"/>
        <w:ind w:left="1077" w:hanging="357"/>
        <w:jc w:val="both"/>
        <w:rPr>
          <w:rFonts w:ascii="Times New Roman" w:eastAsia="Times New Roman" w:hAnsi="Times New Roman" w:cs="Times New Roman"/>
          <w:b/>
        </w:rPr>
      </w:pPr>
      <w:r>
        <w:rPr>
          <w:rFonts w:ascii="Times New Roman" w:eastAsia="Times New Roman" w:hAnsi="Times New Roman" w:cs="Times New Roman"/>
          <w:b/>
        </w:rPr>
        <w:t xml:space="preserve">Guarantees of </w:t>
      </w:r>
      <w:proofErr w:type="spellStart"/>
      <w:r>
        <w:rPr>
          <w:rFonts w:ascii="Times New Roman" w:eastAsia="Times New Roman" w:hAnsi="Times New Roman" w:cs="Times New Roman"/>
          <w:b/>
        </w:rPr>
        <w:t>nonrepetition</w:t>
      </w:r>
      <w:proofErr w:type="spellEnd"/>
      <w:r>
        <w:rPr>
          <w:rFonts w:ascii="Times New Roman" w:eastAsia="Times New Roman" w:hAnsi="Times New Roman" w:cs="Times New Roman"/>
          <w:b/>
        </w:rPr>
        <w:t>; and</w:t>
      </w:r>
    </w:p>
    <w:p w14:paraId="00000045" w14:textId="77777777" w:rsidR="00522B99" w:rsidRDefault="006B3BE2">
      <w:pPr>
        <w:numPr>
          <w:ilvl w:val="0"/>
          <w:numId w:val="1"/>
        </w:numPr>
        <w:pBdr>
          <w:top w:val="nil"/>
          <w:left w:val="nil"/>
          <w:bottom w:val="nil"/>
          <w:right w:val="nil"/>
          <w:between w:val="nil"/>
        </w:pBdr>
        <w:spacing w:after="0"/>
        <w:ind w:left="1077" w:hanging="357"/>
        <w:jc w:val="both"/>
        <w:rPr>
          <w:rFonts w:ascii="Times New Roman" w:eastAsia="Times New Roman" w:hAnsi="Times New Roman" w:cs="Times New Roman"/>
          <w:b/>
        </w:rPr>
      </w:pPr>
      <w:r>
        <w:rPr>
          <w:rFonts w:ascii="Times New Roman" w:eastAsia="Times New Roman" w:hAnsi="Times New Roman" w:cs="Times New Roman"/>
          <w:b/>
        </w:rPr>
        <w:t>Satisfaction.</w:t>
      </w:r>
    </w:p>
    <w:p w14:paraId="00000046"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47" w14:textId="77777777" w:rsidR="00522B99" w:rsidRDefault="006B3BE2">
      <w:pPr>
        <w:pBdr>
          <w:top w:val="nil"/>
          <w:left w:val="nil"/>
          <w:bottom w:val="nil"/>
          <w:right w:val="nil"/>
          <w:between w:val="nil"/>
        </w:pBdr>
        <w:spacing w:after="120"/>
        <w:ind w:left="720"/>
        <w:rPr>
          <w:rFonts w:ascii="Times New Roman" w:eastAsia="Times New Roman" w:hAnsi="Times New Roman" w:cs="Times New Roman"/>
          <w:b/>
        </w:rPr>
      </w:pPr>
      <w:r>
        <w:rPr>
          <w:rFonts w:ascii="Times New Roman" w:eastAsia="Times New Roman" w:hAnsi="Times New Roman" w:cs="Times New Roman"/>
          <w:b/>
        </w:rPr>
        <w:t>However, these rights and entitlements of effected persons rarely are realized in their entirety, including in cases of gross violations of the human right to adequate housing. From the illustrative cases above, we note that in:</w:t>
      </w:r>
    </w:p>
    <w:p w14:paraId="00000048" w14:textId="77777777" w:rsidR="00522B99" w:rsidRDefault="006B3BE2">
      <w:pPr>
        <w:pBdr>
          <w:top w:val="nil"/>
          <w:left w:val="nil"/>
          <w:bottom w:val="nil"/>
          <w:right w:val="nil"/>
          <w:between w:val="nil"/>
        </w:pBdr>
        <w:spacing w:after="0"/>
        <w:ind w:left="720"/>
        <w:rPr>
          <w:rFonts w:ascii="Times New Roman" w:eastAsia="Times New Roman" w:hAnsi="Times New Roman" w:cs="Times New Roman"/>
          <w:b/>
        </w:rPr>
      </w:pPr>
      <w:hyperlink r:id="rId30">
        <w:proofErr w:type="spellStart"/>
        <w:r>
          <w:rPr>
            <w:rFonts w:ascii="Times New Roman" w:eastAsia="Times New Roman" w:hAnsi="Times New Roman" w:cs="Times New Roman"/>
            <w:b/>
          </w:rPr>
          <w:t>Bainsiria</w:t>
        </w:r>
        <w:proofErr w:type="spellEnd"/>
        <w:r>
          <w:rPr>
            <w:rFonts w:ascii="Times New Roman" w:eastAsia="Times New Roman" w:hAnsi="Times New Roman" w:cs="Times New Roman"/>
            <w:b/>
          </w:rPr>
          <w:t xml:space="preserve"> Village</w:t>
        </w:r>
      </w:hyperlink>
      <w:hyperlink r:id="rId31">
        <w:r>
          <w:rPr>
            <w:rFonts w:ascii="Times New Roman" w:eastAsia="Times New Roman" w:hAnsi="Times New Roman" w:cs="Times New Roman"/>
            <w:b/>
          </w:rPr>
          <w:t>, Odisha, India</w:t>
        </w:r>
      </w:hyperlink>
      <w:r>
        <w:rPr>
          <w:rFonts w:ascii="Times New Roman" w:eastAsia="Times New Roman" w:hAnsi="Times New Roman" w:cs="Times New Roman"/>
          <w:b/>
        </w:rPr>
        <w:t xml:space="preserve"> (2011), flooding survivors forced to live in a vulnerable area due to their lower-caste status, received compensation at</w:t>
      </w:r>
      <w:r>
        <w:rPr>
          <w:rFonts w:ascii="Times New Roman" w:eastAsia="Times New Roman" w:hAnsi="Times New Roman" w:cs="Times New Roman"/>
          <w:b/>
        </w:rPr>
        <w:t xml:space="preserve"> only a small portion of their actual </w:t>
      </w:r>
      <w:proofErr w:type="gramStart"/>
      <w:r>
        <w:rPr>
          <w:rFonts w:ascii="Times New Roman" w:eastAsia="Times New Roman" w:hAnsi="Times New Roman" w:cs="Times New Roman"/>
          <w:b/>
        </w:rPr>
        <w:t>losses;</w:t>
      </w:r>
      <w:proofErr w:type="gramEnd"/>
    </w:p>
    <w:p w14:paraId="00000049" w14:textId="77777777" w:rsidR="00522B99" w:rsidRDefault="006B3BE2">
      <w:pPr>
        <w:pBdr>
          <w:top w:val="nil"/>
          <w:left w:val="nil"/>
          <w:bottom w:val="nil"/>
          <w:right w:val="nil"/>
          <w:between w:val="nil"/>
        </w:pBdr>
        <w:spacing w:after="0"/>
        <w:ind w:left="720"/>
        <w:rPr>
          <w:rFonts w:ascii="Times New Roman" w:eastAsia="Times New Roman" w:hAnsi="Times New Roman" w:cs="Times New Roman"/>
          <w:b/>
        </w:rPr>
      </w:pPr>
      <w:hyperlink r:id="rId32">
        <w:r>
          <w:rPr>
            <w:rFonts w:ascii="Times New Roman" w:eastAsia="Times New Roman" w:hAnsi="Times New Roman" w:cs="Times New Roman"/>
            <w:b/>
          </w:rPr>
          <w:t>Post-Maria aid denied</w:t>
        </w:r>
      </w:hyperlink>
      <w:r>
        <w:rPr>
          <w:rFonts w:ascii="Times New Roman" w:eastAsia="Times New Roman" w:hAnsi="Times New Roman" w:cs="Times New Roman"/>
          <w:b/>
        </w:rPr>
        <w:t xml:space="preserve">, Puerto Rico (2017), US Federal Emergency Management Agency (FEMA) actively denied aid to </w:t>
      </w:r>
      <w:hyperlink r:id="rId33">
        <w:r>
          <w:rPr>
            <w:rFonts w:ascii="Times New Roman" w:eastAsia="Times New Roman" w:hAnsi="Times New Roman" w:cs="Times New Roman"/>
            <w:b/>
          </w:rPr>
          <w:t>335,748 Hurricane Maria-effected households</w:t>
        </w:r>
      </w:hyperlink>
      <w:r>
        <w:rPr>
          <w:rFonts w:ascii="Times New Roman" w:eastAsia="Times New Roman" w:hAnsi="Times New Roman" w:cs="Times New Roman"/>
          <w:b/>
        </w:rPr>
        <w:t xml:space="preserve"> on the basis of their tenure status, no matter how legitimate the tenure was, because their holdings were no officially r</w:t>
      </w:r>
      <w:r>
        <w:rPr>
          <w:rFonts w:ascii="Times New Roman" w:eastAsia="Times New Roman" w:hAnsi="Times New Roman" w:cs="Times New Roman"/>
          <w:b/>
        </w:rPr>
        <w:t>egistered;</w:t>
      </w:r>
    </w:p>
    <w:p w14:paraId="0000004A" w14:textId="77777777" w:rsidR="00522B99" w:rsidRDefault="006B3BE2">
      <w:pPr>
        <w:pBdr>
          <w:top w:val="nil"/>
          <w:left w:val="nil"/>
          <w:bottom w:val="nil"/>
          <w:right w:val="nil"/>
          <w:between w:val="nil"/>
        </w:pBdr>
        <w:spacing w:after="0"/>
        <w:ind w:left="720"/>
        <w:rPr>
          <w:rFonts w:ascii="Times New Roman" w:eastAsia="Times New Roman" w:hAnsi="Times New Roman" w:cs="Times New Roman"/>
          <w:b/>
        </w:rPr>
      </w:pPr>
      <w:hyperlink r:id="rId34" w:anchor="l">
        <w:proofErr w:type="spellStart"/>
        <w:r>
          <w:rPr>
            <w:rFonts w:ascii="Times New Roman" w:eastAsia="Times New Roman" w:hAnsi="Times New Roman" w:cs="Times New Roman"/>
            <w:b/>
          </w:rPr>
          <w:t>Petrópolis</w:t>
        </w:r>
        <w:proofErr w:type="spellEnd"/>
        <w:r>
          <w:rPr>
            <w:rFonts w:ascii="Times New Roman" w:eastAsia="Times New Roman" w:hAnsi="Times New Roman" w:cs="Times New Roman"/>
            <w:b/>
          </w:rPr>
          <w:t xml:space="preserve"> landslide</w:t>
        </w:r>
      </w:hyperlink>
      <w:hyperlink r:id="rId35" w:anchor="l">
        <w:r>
          <w:rPr>
            <w:rFonts w:ascii="Times New Roman" w:eastAsia="Times New Roman" w:hAnsi="Times New Roman" w:cs="Times New Roman"/>
            <w:b/>
          </w:rPr>
          <w:t>, RJ, Brazil</w:t>
        </w:r>
      </w:hyperlink>
      <w:r>
        <w:rPr>
          <w:rFonts w:ascii="Times New Roman" w:eastAsia="Times New Roman" w:hAnsi="Times New Roman" w:cs="Times New Roman"/>
          <w:b/>
        </w:rPr>
        <w:t xml:space="preserve"> (2022), the Bolsonaro Administration discontinued preventive measures and Civil </w:t>
      </w:r>
      <w:proofErr w:type="spellStart"/>
      <w:r>
        <w:rPr>
          <w:rFonts w:ascii="Times New Roman" w:eastAsia="Times New Roman" w:hAnsi="Times New Roman" w:cs="Times New Roman"/>
          <w:b/>
        </w:rPr>
        <w:t>Defence</w:t>
      </w:r>
      <w:proofErr w:type="spellEnd"/>
      <w:r>
        <w:rPr>
          <w:rFonts w:ascii="Times New Roman" w:eastAsia="Times New Roman" w:hAnsi="Times New Roman" w:cs="Times New Roman"/>
          <w:b/>
        </w:rPr>
        <w:t xml:space="preserve"> Services since 2019, exacerbating the losses from the recent deluge that destroyed some 300 homes and households.</w:t>
      </w:r>
    </w:p>
    <w:p w14:paraId="0000004B"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4C"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Please indicate any</w:t>
      </w:r>
      <w:r>
        <w:rPr>
          <w:rFonts w:ascii="Times New Roman" w:eastAsia="Times New Roman" w:hAnsi="Times New Roman" w:cs="Times New Roman"/>
        </w:rPr>
        <w:t xml:space="preserve"> key rulings of national courts and tribunals protecting tenants and </w:t>
      </w:r>
      <w:proofErr w:type="gramStart"/>
      <w:r>
        <w:rPr>
          <w:rFonts w:ascii="Times New Roman" w:eastAsia="Times New Roman" w:hAnsi="Times New Roman" w:cs="Times New Roman"/>
        </w:rPr>
        <w:t>home owners</w:t>
      </w:r>
      <w:proofErr w:type="gramEnd"/>
      <w:r>
        <w:rPr>
          <w:rFonts w:ascii="Times New Roman" w:eastAsia="Times New Roman" w:hAnsi="Times New Roman" w:cs="Times New Roman"/>
        </w:rPr>
        <w:t xml:space="preserve"> from the impact of the climate crisis or on their right to adequate housing or related to climate induced displacement? Please also describe their outcome and </w:t>
      </w:r>
      <w:proofErr w:type="gramStart"/>
      <w:r>
        <w:rPr>
          <w:rFonts w:ascii="Times New Roman" w:eastAsia="Times New Roman" w:hAnsi="Times New Roman" w:cs="Times New Roman"/>
        </w:rPr>
        <w:t>impact?</w:t>
      </w:r>
      <w:proofErr w:type="gramEnd"/>
    </w:p>
    <w:p w14:paraId="0000004D" w14:textId="77777777" w:rsidR="00522B99" w:rsidRDefault="006B3BE2">
      <w:pPr>
        <w:pBdr>
          <w:top w:val="nil"/>
          <w:left w:val="nil"/>
          <w:bottom w:val="nil"/>
          <w:right w:val="nil"/>
          <w:between w:val="nil"/>
        </w:pBdr>
        <w:ind w:left="720"/>
        <w:rPr>
          <w:rFonts w:ascii="Times New Roman" w:eastAsia="Times New Roman" w:hAnsi="Times New Roman" w:cs="Times New Roman"/>
          <w:b/>
        </w:rPr>
      </w:pPr>
      <w:r>
        <w:rPr>
          <w:rFonts w:ascii="Times New Roman" w:eastAsia="Times New Roman" w:hAnsi="Times New Roman" w:cs="Times New Roman"/>
          <w:b/>
        </w:rPr>
        <w:t>In Spain, some cases can be cited in terms of energy poverty:</w:t>
      </w:r>
    </w:p>
    <w:p w14:paraId="0000004E" w14:textId="77777777" w:rsidR="00522B99" w:rsidRDefault="006B3BE2">
      <w:pPr>
        <w:spacing w:after="0"/>
        <w:ind w:left="720"/>
        <w:jc w:val="both"/>
        <w:rPr>
          <w:rFonts w:ascii="Times New Roman" w:eastAsia="Times New Roman" w:hAnsi="Times New Roman" w:cs="Times New Roman"/>
          <w:b/>
        </w:rPr>
      </w:pPr>
      <w:r>
        <w:rPr>
          <w:rFonts w:ascii="Times New Roman" w:eastAsia="Times New Roman" w:hAnsi="Times New Roman" w:cs="Times New Roman"/>
          <w:b/>
        </w:rPr>
        <w:t>- 24/2015, autonomous law (in Catalonia) that protects from water, power and gas cuts.</w:t>
      </w:r>
    </w:p>
    <w:p w14:paraId="0000004F" w14:textId="77777777" w:rsidR="00522B99" w:rsidRDefault="006B3BE2">
      <w:pPr>
        <w:spacing w:after="0"/>
        <w:ind w:left="720"/>
        <w:jc w:val="both"/>
        <w:rPr>
          <w:rFonts w:ascii="Times New Roman" w:eastAsia="Times New Roman" w:hAnsi="Times New Roman" w:cs="Times New Roman"/>
          <w:b/>
        </w:rPr>
      </w:pPr>
      <w:r>
        <w:rPr>
          <w:rFonts w:ascii="Times New Roman" w:eastAsia="Times New Roman" w:hAnsi="Times New Roman" w:cs="Times New Roman"/>
          <w:b/>
        </w:rPr>
        <w:t xml:space="preserve">- Bono social 24/2013 of the electricity sector, art 45 = 25% discount of the electricity bill </w:t>
      </w:r>
      <w:proofErr w:type="gramStart"/>
      <w:r>
        <w:rPr>
          <w:rFonts w:ascii="Times New Roman" w:eastAsia="Times New Roman" w:hAnsi="Times New Roman" w:cs="Times New Roman"/>
          <w:b/>
        </w:rPr>
        <w:t>( fully</w:t>
      </w:r>
      <w:proofErr w:type="gramEnd"/>
      <w:r>
        <w:rPr>
          <w:rFonts w:ascii="Times New Roman" w:eastAsia="Times New Roman" w:hAnsi="Times New Roman" w:cs="Times New Roman"/>
          <w:b/>
        </w:rPr>
        <w:t xml:space="preserve"> unem</w:t>
      </w:r>
      <w:r>
        <w:rPr>
          <w:rFonts w:ascii="Times New Roman" w:eastAsia="Times New Roman" w:hAnsi="Times New Roman" w:cs="Times New Roman"/>
          <w:b/>
        </w:rPr>
        <w:t>ployed families, minimum pensions or large families). It does not protect from cuts.</w:t>
      </w:r>
    </w:p>
    <w:p w14:paraId="00000050" w14:textId="77777777" w:rsidR="00522B99" w:rsidRDefault="006B3BE2">
      <w:pPr>
        <w:spacing w:after="0"/>
        <w:ind w:left="720"/>
        <w:jc w:val="both"/>
        <w:rPr>
          <w:rFonts w:ascii="Times New Roman" w:eastAsia="Times New Roman" w:hAnsi="Times New Roman" w:cs="Times New Roman"/>
        </w:rPr>
      </w:pPr>
      <w:r>
        <w:rPr>
          <w:rFonts w:ascii="Times New Roman" w:eastAsia="Times New Roman" w:hAnsi="Times New Roman" w:cs="Times New Roman"/>
          <w:b/>
        </w:rPr>
        <w:t>- Royal Decree 7/2016, new financing mechanism for all suppliers + prohibition of disconnection for vulnerable families.</w:t>
      </w:r>
    </w:p>
    <w:p w14:paraId="00000051" w14:textId="77777777" w:rsidR="00522B99" w:rsidRDefault="006B3BE2">
      <w:pPr>
        <w:rPr>
          <w:rFonts w:ascii="Times New Roman" w:eastAsia="Times New Roman" w:hAnsi="Times New Roman" w:cs="Times New Roman"/>
          <w:i/>
        </w:rPr>
      </w:pPr>
      <w:r>
        <w:br w:type="page"/>
      </w:r>
    </w:p>
    <w:p w14:paraId="00000052" w14:textId="77777777" w:rsidR="00522B99" w:rsidRDefault="006B3BE2">
      <w:pPr>
        <w:ind w:left="720"/>
        <w:jc w:val="both"/>
        <w:rPr>
          <w:rFonts w:ascii="Times New Roman" w:eastAsia="Times New Roman" w:hAnsi="Times New Roman" w:cs="Times New Roman"/>
          <w:i/>
        </w:rPr>
      </w:pPr>
      <w:r>
        <w:rPr>
          <w:rFonts w:ascii="Times New Roman" w:eastAsia="Times New Roman" w:hAnsi="Times New Roman" w:cs="Times New Roman"/>
          <w:i/>
        </w:rPr>
        <w:lastRenderedPageBreak/>
        <w:t xml:space="preserve">In measures </w:t>
      </w:r>
    </w:p>
    <w:p w14:paraId="00000053"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rPr>
      </w:pPr>
    </w:p>
    <w:p w14:paraId="00000054"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Please explain how energy efficien</w:t>
      </w:r>
      <w:r>
        <w:rPr>
          <w:rFonts w:ascii="Times New Roman" w:eastAsia="Times New Roman" w:hAnsi="Times New Roman" w:cs="Times New Roman"/>
        </w:rPr>
        <w:t xml:space="preserve">cy, green urban planning, climate mitigation and adaptation policies and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take into account</w:t>
      </w:r>
      <w:proofErr w:type="gramEnd"/>
      <w:r>
        <w:rPr>
          <w:rFonts w:ascii="Times New Roman" w:eastAsia="Times New Roman" w:hAnsi="Times New Roman" w:cs="Times New Roman"/>
        </w:rPr>
        <w:t xml:space="preserve"> the right to adequate housing. What measures have been taken to ensure that they do not have any (unintended) discriminatory impact on </w:t>
      </w:r>
      <w:proofErr w:type="gramStart"/>
      <w:r>
        <w:rPr>
          <w:rFonts w:ascii="Times New Roman" w:eastAsia="Times New Roman" w:hAnsi="Times New Roman" w:cs="Times New Roman"/>
        </w:rPr>
        <w:t>particular populati</w:t>
      </w:r>
      <w:r>
        <w:rPr>
          <w:rFonts w:ascii="Times New Roman" w:eastAsia="Times New Roman" w:hAnsi="Times New Roman" w:cs="Times New Roman"/>
        </w:rPr>
        <w:t>on</w:t>
      </w:r>
      <w:proofErr w:type="gramEnd"/>
      <w:r>
        <w:rPr>
          <w:rFonts w:ascii="Times New Roman" w:eastAsia="Times New Roman" w:hAnsi="Times New Roman" w:cs="Times New Roman"/>
        </w:rPr>
        <w:t xml:space="preserve"> groups? </w:t>
      </w:r>
    </w:p>
    <w:p w14:paraId="00000055"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56"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xml:space="preserve">In HLRN’s </w:t>
      </w:r>
      <w:hyperlink r:id="rId36">
        <w:r>
          <w:rPr>
            <w:rFonts w:ascii="Times New Roman" w:eastAsia="Times New Roman" w:hAnsi="Times New Roman" w:cs="Times New Roman"/>
            <w:b/>
          </w:rPr>
          <w:t>recent study of green transition in the MENA region</w:t>
        </w:r>
      </w:hyperlink>
      <w:r>
        <w:rPr>
          <w:rFonts w:ascii="Times New Roman" w:eastAsia="Times New Roman" w:hAnsi="Times New Roman" w:cs="Times New Roman"/>
          <w:b/>
        </w:rPr>
        <w:t>, we came up against the same question. In that review, neither the official p</w:t>
      </w:r>
      <w:r>
        <w:rPr>
          <w:rFonts w:ascii="Times New Roman" w:eastAsia="Times New Roman" w:hAnsi="Times New Roman" w:cs="Times New Roman"/>
          <w:b/>
        </w:rPr>
        <w:t>olicy documents and reports of states on SDG and NUA implementation, nor the technical advice and promotional materials on “green building,” for example, mention the human right to adequate housing or any normative guidance on the subject. The same is true</w:t>
      </w:r>
      <w:r>
        <w:rPr>
          <w:rFonts w:ascii="Times New Roman" w:eastAsia="Times New Roman" w:hAnsi="Times New Roman" w:cs="Times New Roman"/>
          <w:b/>
        </w:rPr>
        <w:t xml:space="preserve"> of related products of UN agencies. </w:t>
      </w:r>
    </w:p>
    <w:p w14:paraId="00000057"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58"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UN Habitat’s flagship Global Urban Monitoring Framework (GUMF) cites the legal definition of adequate housing (CESCR, GC No. 4), but does not mention the prohibition against forced evictions and the criteria for a law</w:t>
      </w:r>
      <w:r>
        <w:rPr>
          <w:rFonts w:ascii="Times New Roman" w:eastAsia="Times New Roman" w:hAnsi="Times New Roman" w:cs="Times New Roman"/>
          <w:b/>
        </w:rPr>
        <w:t>ful eviction (or evacuation, as the case may be). In fact, in a recent online stakeholder consultation, the principal author of the GUMF vociferously rejected the inclusion of such criteria. The inclusion of human rights criteria in green-transition policy</w:t>
      </w:r>
      <w:r>
        <w:rPr>
          <w:rFonts w:ascii="Times New Roman" w:eastAsia="Times New Roman" w:hAnsi="Times New Roman" w:cs="Times New Roman"/>
          <w:b/>
        </w:rPr>
        <w:t>, financing and project implementation is a core recommendation of the above-mentioned study.</w:t>
      </w:r>
    </w:p>
    <w:p w14:paraId="00000059"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5A" w14:textId="77777777" w:rsidR="00522B99" w:rsidRDefault="006B3BE2">
      <w:pPr>
        <w:spacing w:after="0"/>
        <w:ind w:left="720"/>
        <w:jc w:val="both"/>
        <w:rPr>
          <w:rFonts w:ascii="Times New Roman" w:eastAsia="Times New Roman" w:hAnsi="Times New Roman" w:cs="Times New Roman"/>
          <w:b/>
        </w:rPr>
      </w:pPr>
      <w:r>
        <w:rPr>
          <w:rFonts w:ascii="Times New Roman" w:eastAsia="Times New Roman" w:hAnsi="Times New Roman" w:cs="Times New Roman"/>
          <w:b/>
        </w:rPr>
        <w:t xml:space="preserve">In Spain, there are no </w:t>
      </w:r>
      <w:proofErr w:type="gramStart"/>
      <w:r>
        <w:rPr>
          <w:rFonts w:ascii="Times New Roman" w:eastAsia="Times New Roman" w:hAnsi="Times New Roman" w:cs="Times New Roman"/>
          <w:b/>
        </w:rPr>
        <w:t>particular measures</w:t>
      </w:r>
      <w:proofErr w:type="gramEnd"/>
      <w:r>
        <w:rPr>
          <w:rFonts w:ascii="Times New Roman" w:eastAsia="Times New Roman" w:hAnsi="Times New Roman" w:cs="Times New Roman"/>
          <w:b/>
        </w:rPr>
        <w:t xml:space="preserve"> in place and some subsidies of European public money are transferred in speculation through the renewal of housing mea</w:t>
      </w:r>
      <w:r>
        <w:rPr>
          <w:rFonts w:ascii="Times New Roman" w:eastAsia="Times New Roman" w:hAnsi="Times New Roman" w:cs="Times New Roman"/>
          <w:b/>
        </w:rPr>
        <w:t>sures which is transferred to an increase in the final price of rent.</w:t>
      </w:r>
    </w:p>
    <w:p w14:paraId="0000005B" w14:textId="77777777" w:rsidR="00522B99" w:rsidRDefault="00522B99">
      <w:pPr>
        <w:spacing w:after="0"/>
        <w:ind w:left="720"/>
        <w:jc w:val="both"/>
        <w:rPr>
          <w:rFonts w:ascii="Times New Roman" w:eastAsia="Times New Roman" w:hAnsi="Times New Roman" w:cs="Times New Roman"/>
          <w:b/>
        </w:rPr>
      </w:pPr>
    </w:p>
    <w:p w14:paraId="0000005C" w14:textId="77777777" w:rsidR="00522B99" w:rsidRDefault="006B3BE2">
      <w:pPr>
        <w:spacing w:after="0"/>
        <w:ind w:left="720"/>
        <w:jc w:val="both"/>
        <w:rPr>
          <w:rFonts w:ascii="Times New Roman" w:eastAsia="Times New Roman" w:hAnsi="Times New Roman" w:cs="Times New Roman"/>
          <w:b/>
        </w:rPr>
      </w:pPr>
      <w:r>
        <w:rPr>
          <w:rFonts w:ascii="Times New Roman" w:eastAsia="Times New Roman" w:hAnsi="Times New Roman" w:cs="Times New Roman"/>
          <w:b/>
        </w:rPr>
        <w:t>In India, projects on green urban planning demonstrate islands of excellence on paper. In practice when a single woman wants to shift from Delhi due to rise in temperature, she faces th</w:t>
      </w:r>
      <w:r>
        <w:rPr>
          <w:rFonts w:ascii="Times New Roman" w:eastAsia="Times New Roman" w:hAnsi="Times New Roman" w:cs="Times New Roman"/>
          <w:b/>
        </w:rPr>
        <w:t xml:space="preserve">e barriers. The NGO </w:t>
      </w:r>
      <w:proofErr w:type="spellStart"/>
      <w:r>
        <w:rPr>
          <w:rFonts w:ascii="Times New Roman" w:eastAsia="Times New Roman" w:hAnsi="Times New Roman" w:cs="Times New Roman"/>
          <w:b/>
        </w:rPr>
        <w:t>Sathi</w:t>
      </w:r>
      <w:proofErr w:type="spellEnd"/>
      <w:r>
        <w:rPr>
          <w:rFonts w:ascii="Times New Roman" w:eastAsia="Times New Roman" w:hAnsi="Times New Roman" w:cs="Times New Roman"/>
          <w:b/>
        </w:rPr>
        <w:t xml:space="preserve"> All </w:t>
      </w:r>
      <w:proofErr w:type="gramStart"/>
      <w:r>
        <w:rPr>
          <w:rFonts w:ascii="Times New Roman" w:eastAsia="Times New Roman" w:hAnsi="Times New Roman" w:cs="Times New Roman"/>
          <w:b/>
        </w:rPr>
        <w:t>For</w:t>
      </w:r>
      <w:proofErr w:type="gramEnd"/>
      <w:r>
        <w:rPr>
          <w:rFonts w:ascii="Times New Roman" w:eastAsia="Times New Roman" w:hAnsi="Times New Roman" w:cs="Times New Roman"/>
          <w:b/>
        </w:rPr>
        <w:t xml:space="preserve"> Partnerships has supported single women to buy land and build their housing through linkage services. In their experience it has been very difficult to find the right site as incessant rains have led to landslides in the m</w:t>
      </w:r>
      <w:r>
        <w:rPr>
          <w:rFonts w:ascii="Times New Roman" w:eastAsia="Times New Roman" w:hAnsi="Times New Roman" w:cs="Times New Roman"/>
          <w:b/>
        </w:rPr>
        <w:t>ountainous areas where we are situated. The flash flood in the area have increased and it has led to falling of retaining walls that hold housing plots.</w:t>
      </w:r>
    </w:p>
    <w:p w14:paraId="0000005D"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b/>
        </w:rPr>
      </w:pPr>
    </w:p>
    <w:p w14:paraId="0000005E"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 xml:space="preserve">Please explain how natural disaster preparedness, response and recovery/reconstruction strategies and </w:t>
      </w:r>
      <w:r>
        <w:rPr>
          <w:rFonts w:ascii="Times New Roman" w:eastAsia="Times New Roman" w:hAnsi="Times New Roman" w:cs="Times New Roman"/>
        </w:rPr>
        <w:t xml:space="preserve">plans ensure non-discrimination? </w:t>
      </w:r>
    </w:p>
    <w:p w14:paraId="0000005F"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rPr>
      </w:pPr>
    </w:p>
    <w:p w14:paraId="00000060"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Again, hypothetically, these efforts would best ensure nondiscrimination by explicitly requiring that priority be given to those groups subject to historic discrimination, including those living in areas subject to various kinds of spatial injustice (low-l</w:t>
      </w:r>
      <w:r>
        <w:rPr>
          <w:rFonts w:ascii="Times New Roman" w:eastAsia="Times New Roman" w:hAnsi="Times New Roman" w:cs="Times New Roman"/>
          <w:b/>
        </w:rPr>
        <w:t xml:space="preserve">ying areas, food deserts, rural and remote populations, women-headed households, indigenous peoples, people under occupation and alien domination, informal settlements, etc.) </w:t>
      </w:r>
    </w:p>
    <w:p w14:paraId="00000061"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62"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The UN Agenda 2030 alludes to social justice in SDG 10: “Reduce inequality with</w:t>
      </w:r>
      <w:r>
        <w:rPr>
          <w:rFonts w:ascii="Times New Roman" w:eastAsia="Times New Roman" w:hAnsi="Times New Roman" w:cs="Times New Roman"/>
          <w:b/>
        </w:rPr>
        <w:t>in and among countries.”</w:t>
      </w:r>
      <w:r>
        <w:rPr>
          <w:rFonts w:ascii="Times New Roman" w:eastAsia="Times New Roman" w:hAnsi="Times New Roman" w:cs="Times New Roman"/>
          <w:b/>
          <w:vertAlign w:val="superscript"/>
        </w:rPr>
        <w:footnoteReference w:id="5"/>
      </w:r>
      <w:r>
        <w:rPr>
          <w:rFonts w:ascii="Times New Roman" w:eastAsia="Times New Roman" w:hAnsi="Times New Roman" w:cs="Times New Roman"/>
          <w:b/>
        </w:rPr>
        <w:t xml:space="preserve"> Moreover, reducing inequalities and ensuring no one is left behind are integral to the achieving the Sustainable Development Goals.</w:t>
      </w:r>
      <w:r>
        <w:rPr>
          <w:rFonts w:ascii="Times New Roman" w:eastAsia="Times New Roman" w:hAnsi="Times New Roman" w:cs="Times New Roman"/>
          <w:b/>
          <w:vertAlign w:val="superscript"/>
        </w:rPr>
        <w:footnoteReference w:id="6"/>
      </w:r>
      <w:r>
        <w:rPr>
          <w:rFonts w:ascii="Times New Roman" w:eastAsia="Times New Roman" w:hAnsi="Times New Roman" w:cs="Times New Roman"/>
          <w:b/>
        </w:rPr>
        <w:t xml:space="preserve"> The SDGs also </w:t>
      </w:r>
      <w:proofErr w:type="spellStart"/>
      <w:r>
        <w:rPr>
          <w:rFonts w:ascii="Times New Roman" w:eastAsia="Times New Roman" w:hAnsi="Times New Roman" w:cs="Times New Roman"/>
          <w:b/>
        </w:rPr>
        <w:t>prioritise</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lastRenderedPageBreak/>
        <w:t>efforts to reach the furthest behind first.</w:t>
      </w:r>
      <w:r>
        <w:rPr>
          <w:rFonts w:ascii="Times New Roman" w:eastAsia="Times New Roman" w:hAnsi="Times New Roman" w:cs="Times New Roman"/>
          <w:b/>
          <w:vertAlign w:val="superscript"/>
        </w:rPr>
        <w:footnoteReference w:id="7"/>
      </w:r>
      <w:r>
        <w:rPr>
          <w:rFonts w:ascii="Times New Roman" w:eastAsia="Times New Roman" w:hAnsi="Times New Roman" w:cs="Times New Roman"/>
          <w:b/>
        </w:rPr>
        <w:t xml:space="preserve"> While these are merely t</w:t>
      </w:r>
      <w:r>
        <w:rPr>
          <w:rFonts w:ascii="Times New Roman" w:eastAsia="Times New Roman" w:hAnsi="Times New Roman" w:cs="Times New Roman"/>
          <w:b/>
        </w:rPr>
        <w:t>emporary, voluntary policy commitments, states and their organs, including cities and local governments and authorities, are likewise duty bound under ICESCR and ICERD uphold the human right to adequate housing. This implied the reduction of inequalities a</w:t>
      </w:r>
      <w:r>
        <w:rPr>
          <w:rFonts w:ascii="Times New Roman" w:eastAsia="Times New Roman" w:hAnsi="Times New Roman" w:cs="Times New Roman"/>
          <w:b/>
        </w:rPr>
        <w:t>nd inequities, and to ensure the worse off become better off first.</w:t>
      </w:r>
    </w:p>
    <w:p w14:paraId="00000063"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64"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These human rights criteria and the normative framework of sustainable development (with its economic, social and environmental pillars, buttressed by human rights) cause us to critically</w:t>
      </w:r>
      <w:r>
        <w:rPr>
          <w:rFonts w:ascii="Times New Roman" w:eastAsia="Times New Roman" w:hAnsi="Times New Roman" w:cs="Times New Roman"/>
          <w:b/>
        </w:rPr>
        <w:t xml:space="preserve"> interrogate the fashionable concept of “resilience” as applied to people (as distinct from buildings and infrastructure). Lacking any commensurate normative content, as often expressed, “resilience” the objectivizes a return to the </w:t>
      </w:r>
      <w:r>
        <w:rPr>
          <w:rFonts w:ascii="Times New Roman" w:eastAsia="Times New Roman" w:hAnsi="Times New Roman" w:cs="Times New Roman"/>
          <w:b/>
          <w:i/>
        </w:rPr>
        <w:t>status quo ante</w:t>
      </w:r>
      <w:r>
        <w:rPr>
          <w:rFonts w:ascii="Times New Roman" w:eastAsia="Times New Roman" w:hAnsi="Times New Roman" w:cs="Times New Roman"/>
          <w:b/>
        </w:rPr>
        <w:t>, no mat</w:t>
      </w:r>
      <w:r>
        <w:rPr>
          <w:rFonts w:ascii="Times New Roman" w:eastAsia="Times New Roman" w:hAnsi="Times New Roman" w:cs="Times New Roman"/>
          <w:b/>
        </w:rPr>
        <w:t>ter how inadequate that may be. It does not rise to the level of the human rights obligations of “achieving progressively the full realization of the rights recognized in”</w:t>
      </w:r>
      <w:r>
        <w:rPr>
          <w:rFonts w:ascii="Times New Roman" w:eastAsia="Times New Roman" w:hAnsi="Times New Roman" w:cs="Times New Roman"/>
          <w:b/>
          <w:vertAlign w:val="superscript"/>
        </w:rPr>
        <w:footnoteReference w:id="8"/>
      </w:r>
      <w:r>
        <w:rPr>
          <w:rFonts w:ascii="Times New Roman" w:eastAsia="Times New Roman" w:hAnsi="Times New Roman" w:cs="Times New Roman"/>
          <w:b/>
        </w:rPr>
        <w:t xml:space="preserve"> ICESCR, or “the continuous improvement of living conditions.”</w:t>
      </w:r>
      <w:r>
        <w:rPr>
          <w:rFonts w:ascii="Times New Roman" w:eastAsia="Times New Roman" w:hAnsi="Times New Roman" w:cs="Times New Roman"/>
          <w:b/>
          <w:vertAlign w:val="superscript"/>
        </w:rPr>
        <w:footnoteReference w:id="9"/>
      </w:r>
      <w:r>
        <w:rPr>
          <w:rFonts w:ascii="Times New Roman" w:eastAsia="Times New Roman" w:hAnsi="Times New Roman" w:cs="Times New Roman"/>
          <w:b/>
        </w:rPr>
        <w:t xml:space="preserve"> Moreover, the habi</w:t>
      </w:r>
      <w:r>
        <w:rPr>
          <w:rFonts w:ascii="Times New Roman" w:eastAsia="Times New Roman" w:hAnsi="Times New Roman" w:cs="Times New Roman"/>
          <w:b/>
        </w:rPr>
        <w:t>tual usage of “resilience” puts the onus on the victims/affected persons to achieve recovery, without respect to rights of reparation rights, accountability for the shocks that necessitate resilience, nor to resistance against the violations that may accom</w:t>
      </w:r>
      <w:r>
        <w:rPr>
          <w:rFonts w:ascii="Times New Roman" w:eastAsia="Times New Roman" w:hAnsi="Times New Roman" w:cs="Times New Roman"/>
          <w:b/>
        </w:rPr>
        <w:t>pany them.</w:t>
      </w:r>
    </w:p>
    <w:p w14:paraId="00000065"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66"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Under the Paris Agreement on climate change and the Conference of Parties (CoP) processes, new remedial methods such as the Warsaw Mechanism and green-transition project financing make it possible to achieve recovery/reconstruction for affected communities</w:t>
      </w:r>
      <w:r>
        <w:rPr>
          <w:rFonts w:ascii="Times New Roman" w:eastAsia="Times New Roman" w:hAnsi="Times New Roman" w:cs="Times New Roman"/>
          <w:b/>
        </w:rPr>
        <w:t xml:space="preserve">. </w:t>
      </w:r>
    </w:p>
    <w:p w14:paraId="00000067"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68"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These need to be developed further within human rights and nondiscrimination frameworks. Since CoP25, much thinking has been invested in the theory and practice of recovery and restitution of losses and damage due to climate change.</w:t>
      </w:r>
      <w:r>
        <w:rPr>
          <w:rFonts w:ascii="Times New Roman" w:eastAsia="Times New Roman" w:hAnsi="Times New Roman" w:cs="Times New Roman"/>
          <w:b/>
          <w:vertAlign w:val="superscript"/>
        </w:rPr>
        <w:footnoteReference w:id="10"/>
      </w:r>
    </w:p>
    <w:p w14:paraId="00000069"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6A"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What are the main barriers to addressing and mitigating the adverse impacts of climate change on the realization of the right to adequate housing?</w:t>
      </w:r>
    </w:p>
    <w:p w14:paraId="0000006B"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rPr>
      </w:pPr>
      <w:r>
        <w:rPr>
          <w:rFonts w:ascii="Times New Roman" w:eastAsia="Times New Roman" w:hAnsi="Times New Roman" w:cs="Times New Roman"/>
          <w:b/>
        </w:rPr>
        <w:t>In Spain:</w:t>
      </w:r>
    </w:p>
    <w:p w14:paraId="0000006C" w14:textId="77777777" w:rsidR="00522B99" w:rsidRDefault="006B3BE2">
      <w:pPr>
        <w:ind w:left="720"/>
        <w:jc w:val="both"/>
        <w:rPr>
          <w:rFonts w:ascii="Times New Roman" w:eastAsia="Times New Roman" w:hAnsi="Times New Roman" w:cs="Times New Roman"/>
          <w:b/>
        </w:rPr>
      </w:pPr>
      <w:r>
        <w:rPr>
          <w:rFonts w:ascii="Times New Roman" w:eastAsia="Times New Roman" w:hAnsi="Times New Roman" w:cs="Times New Roman"/>
          <w:b/>
        </w:rPr>
        <w:t>- In the context of a country where the context of housing has been promoted through property title</w:t>
      </w:r>
      <w:r>
        <w:rPr>
          <w:rFonts w:ascii="Times New Roman" w:eastAsia="Times New Roman" w:hAnsi="Times New Roman" w:cs="Times New Roman"/>
          <w:b/>
        </w:rPr>
        <w:t xml:space="preserve">s, we find large layers of the population with the responsibility to carry out energy efficiency improvement works but they do not have the capital to execute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 xml:space="preserve"> and subsidies are few.</w:t>
      </w:r>
    </w:p>
    <w:p w14:paraId="0000006D" w14:textId="77777777" w:rsidR="00522B99" w:rsidRDefault="006B3BE2">
      <w:pPr>
        <w:ind w:left="720"/>
        <w:jc w:val="both"/>
        <w:rPr>
          <w:rFonts w:ascii="Times New Roman" w:eastAsia="Times New Roman" w:hAnsi="Times New Roman" w:cs="Times New Roman"/>
          <w:b/>
        </w:rPr>
      </w:pPr>
      <w:r>
        <w:rPr>
          <w:rFonts w:ascii="Times New Roman" w:eastAsia="Times New Roman" w:hAnsi="Times New Roman" w:cs="Times New Roman"/>
          <w:b/>
        </w:rPr>
        <w:t>- The housing stock is of low quality, old, and in need of economical</w:t>
      </w:r>
      <w:r>
        <w:rPr>
          <w:rFonts w:ascii="Times New Roman" w:eastAsia="Times New Roman" w:hAnsi="Times New Roman" w:cs="Times New Roman"/>
          <w:b/>
        </w:rPr>
        <w:t>ly costly works.</w:t>
      </w:r>
    </w:p>
    <w:p w14:paraId="0000006E" w14:textId="77777777" w:rsidR="00522B99" w:rsidRDefault="006B3BE2">
      <w:pPr>
        <w:ind w:left="720"/>
        <w:jc w:val="both"/>
        <w:rPr>
          <w:rFonts w:ascii="Times New Roman" w:eastAsia="Times New Roman" w:hAnsi="Times New Roman" w:cs="Times New Roman"/>
          <w:b/>
        </w:rPr>
      </w:pPr>
      <w:r>
        <w:rPr>
          <w:rFonts w:ascii="Times New Roman" w:eastAsia="Times New Roman" w:hAnsi="Times New Roman" w:cs="Times New Roman"/>
          <w:b/>
        </w:rPr>
        <w:t>In India:</w:t>
      </w:r>
    </w:p>
    <w:p w14:paraId="0000006F" w14:textId="77777777" w:rsidR="00522B99" w:rsidRDefault="006B3BE2">
      <w:pPr>
        <w:numPr>
          <w:ilvl w:val="0"/>
          <w:numId w:val="4"/>
        </w:numPr>
        <w:spacing w:after="0" w:line="240" w:lineRule="auto"/>
        <w:ind w:left="900" w:hanging="180"/>
        <w:jc w:val="both"/>
        <w:rPr>
          <w:rFonts w:ascii="Times New Roman" w:eastAsia="Times New Roman" w:hAnsi="Times New Roman" w:cs="Times New Roman"/>
          <w:b/>
        </w:rPr>
      </w:pPr>
      <w:r>
        <w:rPr>
          <w:rFonts w:ascii="Times New Roman" w:eastAsia="Times New Roman" w:hAnsi="Times New Roman" w:cs="Times New Roman"/>
          <w:b/>
        </w:rPr>
        <w:t>Government apathy</w:t>
      </w:r>
    </w:p>
    <w:p w14:paraId="00000070" w14:textId="77777777" w:rsidR="00522B99" w:rsidRDefault="006B3BE2">
      <w:pPr>
        <w:numPr>
          <w:ilvl w:val="0"/>
          <w:numId w:val="4"/>
        </w:numPr>
        <w:spacing w:after="0" w:line="240" w:lineRule="auto"/>
        <w:ind w:left="900" w:hanging="180"/>
        <w:jc w:val="both"/>
        <w:rPr>
          <w:rFonts w:ascii="Times New Roman" w:eastAsia="Times New Roman" w:hAnsi="Times New Roman" w:cs="Times New Roman"/>
          <w:b/>
        </w:rPr>
      </w:pPr>
      <w:r>
        <w:rPr>
          <w:rFonts w:ascii="Times New Roman" w:eastAsia="Times New Roman" w:hAnsi="Times New Roman" w:cs="Times New Roman"/>
          <w:b/>
        </w:rPr>
        <w:t xml:space="preserve">Ignorance due to lack of awareness </w:t>
      </w:r>
    </w:p>
    <w:p w14:paraId="00000071" w14:textId="77777777" w:rsidR="00522B99" w:rsidRDefault="00522B99">
      <w:pPr>
        <w:pBdr>
          <w:top w:val="nil"/>
          <w:left w:val="nil"/>
          <w:bottom w:val="nil"/>
          <w:right w:val="nil"/>
          <w:between w:val="nil"/>
        </w:pBdr>
        <w:rPr>
          <w:rFonts w:ascii="Times New Roman" w:eastAsia="Times New Roman" w:hAnsi="Times New Roman" w:cs="Times New Roman"/>
        </w:rPr>
      </w:pPr>
    </w:p>
    <w:p w14:paraId="00000072" w14:textId="77777777" w:rsidR="00522B99" w:rsidRDefault="006B3BE2">
      <w:pPr>
        <w:rPr>
          <w:rFonts w:ascii="Times New Roman" w:eastAsia="Times New Roman" w:hAnsi="Times New Roman" w:cs="Times New Roman"/>
          <w:i/>
        </w:rPr>
      </w:pPr>
      <w:r>
        <w:rPr>
          <w:rFonts w:ascii="Times New Roman" w:eastAsia="Times New Roman" w:hAnsi="Times New Roman" w:cs="Times New Roman"/>
          <w:b/>
          <w:i/>
        </w:rPr>
        <w:t>Impact of housing on climate change</w:t>
      </w:r>
    </w:p>
    <w:p w14:paraId="00000073"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74" w14:textId="77777777" w:rsidR="00522B99" w:rsidRDefault="006B3BE2">
      <w:pPr>
        <w:numPr>
          <w:ilvl w:val="0"/>
          <w:numId w:val="6"/>
        </w:numPr>
        <w:pBdr>
          <w:top w:val="nil"/>
          <w:left w:val="nil"/>
          <w:bottom w:val="nil"/>
          <w:right w:val="nil"/>
          <w:between w:val="nil"/>
        </w:pBdr>
        <w:spacing w:after="120"/>
        <w:ind w:left="714" w:hanging="357"/>
        <w:jc w:val="both"/>
        <w:rPr>
          <w:rFonts w:ascii="Times New Roman" w:eastAsia="Times New Roman" w:hAnsi="Times New Roman" w:cs="Times New Roman"/>
        </w:rPr>
      </w:pPr>
      <w:r>
        <w:rPr>
          <w:rFonts w:ascii="Times New Roman" w:eastAsia="Times New Roman" w:hAnsi="Times New Roman" w:cs="Times New Roman"/>
        </w:rPr>
        <w:t>How does the housing sector in rural and urban areas contribute to climate change? It may be helpful to think of:</w:t>
      </w:r>
    </w:p>
    <w:p w14:paraId="00000075" w14:textId="77777777" w:rsidR="00522B99" w:rsidRDefault="006B3BE2">
      <w:pPr>
        <w:numPr>
          <w:ilvl w:val="0"/>
          <w:numId w:val="7"/>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energy consumption for heating, cooling, cooking, lighting of </w:t>
      </w:r>
      <w:proofErr w:type="gramStart"/>
      <w:r>
        <w:rPr>
          <w:rFonts w:ascii="Times New Roman" w:eastAsia="Times New Roman" w:hAnsi="Times New Roman" w:cs="Times New Roman"/>
        </w:rPr>
        <w:t>housing;</w:t>
      </w:r>
      <w:proofErr w:type="gramEnd"/>
      <w:r>
        <w:rPr>
          <w:rFonts w:ascii="Times New Roman" w:eastAsia="Times New Roman" w:hAnsi="Times New Roman" w:cs="Times New Roman"/>
        </w:rPr>
        <w:t xml:space="preserve"> </w:t>
      </w:r>
    </w:p>
    <w:p w14:paraId="00000076" w14:textId="77777777" w:rsidR="00522B99" w:rsidRDefault="006B3BE2">
      <w:pPr>
        <w:numPr>
          <w:ilvl w:val="0"/>
          <w:numId w:val="7"/>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urban sprawl and related climate impacts (soil sealing, commuter traff</w:t>
      </w:r>
      <w:r>
        <w:rPr>
          <w:rFonts w:ascii="Times New Roman" w:eastAsia="Times New Roman" w:hAnsi="Times New Roman" w:cs="Times New Roman"/>
        </w:rPr>
        <w:t>ic etc.</w:t>
      </w:r>
      <w:proofErr w:type="gramStart"/>
      <w:r>
        <w:rPr>
          <w:rFonts w:ascii="Times New Roman" w:eastAsia="Times New Roman" w:hAnsi="Times New Roman" w:cs="Times New Roman"/>
        </w:rPr>
        <w:t>);</w:t>
      </w:r>
      <w:proofErr w:type="gramEnd"/>
    </w:p>
    <w:p w14:paraId="00000077" w14:textId="77777777" w:rsidR="00522B99" w:rsidRDefault="006B3BE2">
      <w:pPr>
        <w:numPr>
          <w:ilvl w:val="0"/>
          <w:numId w:val="7"/>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increase of average per capita living </w:t>
      </w:r>
      <w:proofErr w:type="gramStart"/>
      <w:r>
        <w:rPr>
          <w:rFonts w:ascii="Times New Roman" w:eastAsia="Times New Roman" w:hAnsi="Times New Roman" w:cs="Times New Roman"/>
        </w:rPr>
        <w:t>space;</w:t>
      </w:r>
      <w:proofErr w:type="gramEnd"/>
    </w:p>
    <w:p w14:paraId="00000078" w14:textId="77777777" w:rsidR="00522B99" w:rsidRDefault="006B3BE2">
      <w:pPr>
        <w:numPr>
          <w:ilvl w:val="0"/>
          <w:numId w:val="7"/>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water </w:t>
      </w:r>
      <w:proofErr w:type="gramStart"/>
      <w:r>
        <w:rPr>
          <w:rFonts w:ascii="Times New Roman" w:eastAsia="Times New Roman" w:hAnsi="Times New Roman" w:cs="Times New Roman"/>
        </w:rPr>
        <w:t>use;</w:t>
      </w:r>
      <w:proofErr w:type="gramEnd"/>
      <w:r>
        <w:rPr>
          <w:rFonts w:ascii="Times New Roman" w:eastAsia="Times New Roman" w:hAnsi="Times New Roman" w:cs="Times New Roman"/>
        </w:rPr>
        <w:t xml:space="preserve"> </w:t>
      </w:r>
    </w:p>
    <w:p w14:paraId="00000079" w14:textId="77777777" w:rsidR="00522B99" w:rsidRDefault="006B3BE2">
      <w:pPr>
        <w:numPr>
          <w:ilvl w:val="0"/>
          <w:numId w:val="7"/>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emission of </w:t>
      </w:r>
      <w:proofErr w:type="gramStart"/>
      <w:r>
        <w:rPr>
          <w:rFonts w:ascii="Times New Roman" w:eastAsia="Times New Roman" w:hAnsi="Times New Roman" w:cs="Times New Roman"/>
        </w:rPr>
        <w:t>pollutants;</w:t>
      </w:r>
      <w:proofErr w:type="gramEnd"/>
      <w:r>
        <w:rPr>
          <w:rFonts w:ascii="Times New Roman" w:eastAsia="Times New Roman" w:hAnsi="Times New Roman" w:cs="Times New Roman"/>
        </w:rPr>
        <w:t xml:space="preserve"> </w:t>
      </w:r>
    </w:p>
    <w:p w14:paraId="0000007A" w14:textId="77777777" w:rsidR="00522B99" w:rsidRDefault="006B3BE2">
      <w:pPr>
        <w:numPr>
          <w:ilvl w:val="0"/>
          <w:numId w:val="7"/>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climate impact of construction and used construction </w:t>
      </w:r>
      <w:proofErr w:type="gramStart"/>
      <w:r>
        <w:rPr>
          <w:rFonts w:ascii="Times New Roman" w:eastAsia="Times New Roman" w:hAnsi="Times New Roman" w:cs="Times New Roman"/>
        </w:rPr>
        <w:t>materials;</w:t>
      </w:r>
      <w:proofErr w:type="gramEnd"/>
      <w:r>
        <w:rPr>
          <w:rFonts w:ascii="Times New Roman" w:eastAsia="Times New Roman" w:hAnsi="Times New Roman" w:cs="Times New Roman"/>
        </w:rPr>
        <w:t xml:space="preserve"> </w:t>
      </w:r>
    </w:p>
    <w:p w14:paraId="0000007B" w14:textId="77777777" w:rsidR="00522B99" w:rsidRDefault="006B3BE2">
      <w:pPr>
        <w:numPr>
          <w:ilvl w:val="0"/>
          <w:numId w:val="7"/>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deforestation, desertification and loss of biodiversity caused by housing development projects. </w:t>
      </w:r>
    </w:p>
    <w:p w14:paraId="0000007C"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rPr>
      </w:pPr>
    </w:p>
    <w:p w14:paraId="0000007D"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rPr>
      </w:pPr>
      <w:r>
        <w:rPr>
          <w:rFonts w:ascii="Times New Roman" w:eastAsia="Times New Roman" w:hAnsi="Times New Roman" w:cs="Times New Roman"/>
        </w:rPr>
        <w:t xml:space="preserve">Please provide </w:t>
      </w:r>
      <w:proofErr w:type="gramStart"/>
      <w:r>
        <w:rPr>
          <w:rFonts w:ascii="Times New Roman" w:eastAsia="Times New Roman" w:hAnsi="Times New Roman" w:cs="Times New Roman"/>
        </w:rPr>
        <w:t>as well any statistical information</w:t>
      </w:r>
      <w:proofErr w:type="gramEnd"/>
      <w:r>
        <w:rPr>
          <w:rFonts w:ascii="Times New Roman" w:eastAsia="Times New Roman" w:hAnsi="Times New Roman" w:cs="Times New Roman"/>
        </w:rPr>
        <w:t xml:space="preserve"> on the climate impact of the housing sector compared to other sectors in your country.</w:t>
      </w:r>
    </w:p>
    <w:p w14:paraId="0000007E"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rPr>
      </w:pPr>
    </w:p>
    <w:p w14:paraId="0000007F"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Urbanization is a major cause of climate change. Causality test results indicate that urbanization has a causal effec</w:t>
      </w:r>
      <w:r>
        <w:rPr>
          <w:rFonts w:ascii="Times New Roman" w:eastAsia="Times New Roman" w:hAnsi="Times New Roman" w:cs="Times New Roman"/>
          <w:b/>
        </w:rPr>
        <w:t xml:space="preserve">t on the greenhouse gas emissions and temperature change in the long run. In contrast, a unidirectional causality is also found between urbanization </w:t>
      </w:r>
      <w:r>
        <w:rPr>
          <w:rFonts w:ascii="Times New Roman" w:eastAsia="Times New Roman" w:hAnsi="Times New Roman" w:cs="Times New Roman"/>
          <w:b/>
        </w:rPr>
        <w:lastRenderedPageBreak/>
        <w:t>and carbon-dioxide emission in the short run. Cities use a large proportion of the world's energy supply an</w:t>
      </w:r>
      <w:r>
        <w:rPr>
          <w:rFonts w:ascii="Times New Roman" w:eastAsia="Times New Roman" w:hAnsi="Times New Roman" w:cs="Times New Roman"/>
          <w:b/>
        </w:rPr>
        <w:t>d are responsible for around 70 per cent of global energy-related greenhouse gas emissions, which trap heat and result in the warming of Earth.</w:t>
      </w:r>
      <w:r>
        <w:rPr>
          <w:rFonts w:ascii="Times New Roman" w:eastAsia="Times New Roman" w:hAnsi="Times New Roman" w:cs="Times New Roman"/>
          <w:b/>
          <w:vertAlign w:val="superscript"/>
        </w:rPr>
        <w:footnoteReference w:id="11"/>
      </w:r>
      <w:r>
        <w:rPr>
          <w:rFonts w:ascii="Times New Roman" w:eastAsia="Times New Roman" w:hAnsi="Times New Roman" w:cs="Times New Roman"/>
          <w:b/>
        </w:rPr>
        <w:t xml:space="preserve"> </w:t>
      </w:r>
    </w:p>
    <w:p w14:paraId="00000080" w14:textId="77777777" w:rsidR="00522B99" w:rsidRDefault="006B3BE2">
      <w:pPr>
        <w:pBdr>
          <w:top w:val="nil"/>
          <w:left w:val="nil"/>
          <w:bottom w:val="nil"/>
          <w:right w:val="nil"/>
          <w:between w:val="nil"/>
        </w:pBdr>
        <w:spacing w:after="0"/>
        <w:jc w:val="both"/>
        <w:rPr>
          <w:rFonts w:ascii="Times New Roman" w:eastAsia="Times New Roman" w:hAnsi="Times New Roman" w:cs="Times New Roman"/>
          <w:b/>
        </w:rPr>
      </w:pPr>
      <w:r>
        <w:rPr>
          <w:rFonts w:ascii="Times New Roman" w:eastAsia="Times New Roman" w:hAnsi="Times New Roman" w:cs="Times New Roman"/>
          <w:b/>
        </w:rPr>
        <w:t>Some statistics from Spain:</w:t>
      </w:r>
    </w:p>
    <w:p w14:paraId="00000081" w14:textId="77777777" w:rsidR="00522B99" w:rsidRDefault="006B3BE2">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energy consumption for heating, cooling, cooking and lighting in the home - final</w:t>
      </w:r>
      <w:r>
        <w:rPr>
          <w:rFonts w:ascii="Times New Roman" w:eastAsia="Times New Roman" w:hAnsi="Times New Roman" w:cs="Times New Roman"/>
        </w:rPr>
        <w:t xml:space="preserve"> energy consumption in Spain comes mostly from fossil fuels. In Spain, the building sector is responsible for 30.1% of final energy consumption and 25.1% of emissions</w:t>
      </w:r>
      <w:r>
        <w:rPr>
          <w:rFonts w:ascii="Times New Roman" w:eastAsia="Times New Roman" w:hAnsi="Times New Roman" w:cs="Times New Roman"/>
          <w:vertAlign w:val="superscript"/>
        </w:rPr>
        <w:footnoteReference w:id="12"/>
      </w:r>
    </w:p>
    <w:p w14:paraId="00000082" w14:textId="77777777" w:rsidR="00522B99" w:rsidRDefault="006B3BE2">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Urban sprawl and related climate impacts (soil sealing, commuter traffic, etc.) Great p</w:t>
      </w:r>
      <w:r>
        <w:rPr>
          <w:rFonts w:ascii="Times New Roman" w:eastAsia="Times New Roman" w:hAnsi="Times New Roman" w:cs="Times New Roman"/>
        </w:rPr>
        <w:t>rocess of artificialization and waterproofing of the soil, loss of natural soil since the 1998 land law and the urbanization process on rural land in the years 2000-2008</w:t>
      </w:r>
    </w:p>
    <w:p w14:paraId="00000083" w14:textId="77777777" w:rsidR="00522B99" w:rsidRDefault="006B3BE2">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water use; - low per capita water consumption data; - low pollutant emissions</w:t>
      </w:r>
    </w:p>
    <w:p w14:paraId="00000084" w14:textId="77777777" w:rsidR="00522B99" w:rsidRDefault="006B3BE2">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pollutan</w:t>
      </w:r>
      <w:r>
        <w:rPr>
          <w:rFonts w:ascii="Times New Roman" w:eastAsia="Times New Roman" w:hAnsi="Times New Roman" w:cs="Times New Roman"/>
        </w:rPr>
        <w:t>t emissions; - pollutants from poorly treated waste, monopoly of private waste management companies</w:t>
      </w:r>
    </w:p>
    <w:p w14:paraId="00000085" w14:textId="77777777" w:rsidR="00522B99" w:rsidRDefault="006B3BE2">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 xml:space="preserve">climate impact of construction and construction materials used; - high profusion of reinforced concrete in construction, GHG emissions </w:t>
      </w:r>
    </w:p>
    <w:p w14:paraId="00000086" w14:textId="77777777" w:rsidR="00522B99" w:rsidRDefault="006B3BE2">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deforestation, deser</w:t>
      </w:r>
      <w:r>
        <w:rPr>
          <w:rFonts w:ascii="Times New Roman" w:eastAsia="Times New Roman" w:hAnsi="Times New Roman" w:cs="Times New Roman"/>
        </w:rPr>
        <w:t xml:space="preserve">tification and biodiversity loss caused by housing development projects. </w:t>
      </w:r>
    </w:p>
    <w:p w14:paraId="00000087" w14:textId="77777777" w:rsidR="00522B99" w:rsidRDefault="006B3BE2">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Energy inefficiency: The energy inefficiency of housing is responsible for 14% of emissions (in Spain it reaches, on average, 29,000 tons of GHG per year and in Europe a total of 450</w:t>
      </w:r>
      <w:r>
        <w:rPr>
          <w:rFonts w:ascii="Times New Roman" w:eastAsia="Times New Roman" w:hAnsi="Times New Roman" w:cs="Times New Roman"/>
        </w:rPr>
        <w:t>,000 tons)</w:t>
      </w:r>
      <w:r>
        <w:rPr>
          <w:rFonts w:ascii="Times New Roman" w:eastAsia="Times New Roman" w:hAnsi="Times New Roman" w:cs="Times New Roman"/>
          <w:vertAlign w:val="superscript"/>
        </w:rPr>
        <w:footnoteReference w:id="13"/>
      </w:r>
    </w:p>
    <w:p w14:paraId="00000088" w14:textId="77777777" w:rsidR="00522B99" w:rsidRDefault="006B3BE2">
      <w:pPr>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 xml:space="preserve">What measures are being implemented in rural and urban areas to reduce and eliminate the adverse impacts of the housing sector on the climate? How successful have been these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w:t>
      </w:r>
    </w:p>
    <w:p w14:paraId="00000089" w14:textId="77777777" w:rsidR="00522B99" w:rsidRDefault="00522B99">
      <w:pPr>
        <w:pBdr>
          <w:top w:val="nil"/>
          <w:left w:val="nil"/>
          <w:bottom w:val="nil"/>
          <w:right w:val="nil"/>
          <w:between w:val="nil"/>
        </w:pBdr>
        <w:spacing w:after="0"/>
        <w:jc w:val="both"/>
        <w:rPr>
          <w:rFonts w:ascii="Times New Roman" w:eastAsia="Times New Roman" w:hAnsi="Times New Roman" w:cs="Times New Roman"/>
          <w:b/>
        </w:rPr>
      </w:pPr>
    </w:p>
    <w:p w14:paraId="0000008A"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What measures are being implemented in rural and urban areas to reduce and eliminate the adverse impacts of the housing sector on the climate? How successful have been these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w:t>
      </w:r>
    </w:p>
    <w:p w14:paraId="0000008B"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rPr>
      </w:pPr>
    </w:p>
    <w:p w14:paraId="0000008C" w14:textId="77777777" w:rsidR="00522B99" w:rsidRDefault="006B3BE2">
      <w:pPr>
        <w:pBdr>
          <w:top w:val="nil"/>
          <w:left w:val="nil"/>
          <w:bottom w:val="nil"/>
          <w:right w:val="nil"/>
          <w:between w:val="nil"/>
        </w:pBdr>
        <w:spacing w:after="120"/>
        <w:ind w:left="720"/>
        <w:rPr>
          <w:rFonts w:ascii="Times New Roman" w:eastAsia="Times New Roman" w:hAnsi="Times New Roman" w:cs="Times New Roman"/>
          <w:b/>
        </w:rPr>
      </w:pPr>
      <w:r>
        <w:rPr>
          <w:rFonts w:ascii="Times New Roman" w:eastAsia="Times New Roman" w:hAnsi="Times New Roman" w:cs="Times New Roman"/>
          <w:b/>
        </w:rPr>
        <w:t>With specific reference to ‘green building,’ a ‘green’ building is on</w:t>
      </w:r>
      <w:r>
        <w:rPr>
          <w:rFonts w:ascii="Times New Roman" w:eastAsia="Times New Roman" w:hAnsi="Times New Roman" w:cs="Times New Roman"/>
          <w:b/>
        </w:rPr>
        <w:t xml:space="preserve">e that, in its design, construction and/or operation, reduces or eliminates negative environmental impacts, and can create positive impacts on climate and natural environment. Green buildings are intended to preserve precious natural resources and improve </w:t>
      </w:r>
      <w:r>
        <w:rPr>
          <w:rFonts w:ascii="Times New Roman" w:eastAsia="Times New Roman" w:hAnsi="Times New Roman" w:cs="Times New Roman"/>
          <w:b/>
        </w:rPr>
        <w:t>our quality of life through:</w:t>
      </w:r>
    </w:p>
    <w:p w14:paraId="0000008D" w14:textId="77777777" w:rsidR="00522B99" w:rsidRDefault="006B3BE2">
      <w:pPr>
        <w:numPr>
          <w:ilvl w:val="0"/>
          <w:numId w:val="3"/>
        </w:numPr>
        <w:pBdr>
          <w:top w:val="nil"/>
          <w:left w:val="nil"/>
          <w:bottom w:val="nil"/>
          <w:right w:val="nil"/>
          <w:between w:val="nil"/>
        </w:pBdr>
        <w:spacing w:after="0"/>
        <w:ind w:left="1077" w:hanging="357"/>
        <w:rPr>
          <w:rFonts w:ascii="Times New Roman" w:eastAsia="Times New Roman" w:hAnsi="Times New Roman" w:cs="Times New Roman"/>
          <w:b/>
        </w:rPr>
      </w:pPr>
      <w:r>
        <w:rPr>
          <w:rFonts w:ascii="Times New Roman" w:eastAsia="Times New Roman" w:hAnsi="Times New Roman" w:cs="Times New Roman"/>
          <w:b/>
        </w:rPr>
        <w:t xml:space="preserve">Efficient use of energy, water and other </w:t>
      </w:r>
      <w:proofErr w:type="gramStart"/>
      <w:r>
        <w:rPr>
          <w:rFonts w:ascii="Times New Roman" w:eastAsia="Times New Roman" w:hAnsi="Times New Roman" w:cs="Times New Roman"/>
          <w:b/>
        </w:rPr>
        <w:t>resources;</w:t>
      </w:r>
      <w:proofErr w:type="gramEnd"/>
    </w:p>
    <w:p w14:paraId="0000008E" w14:textId="77777777" w:rsidR="00522B99" w:rsidRDefault="006B3BE2">
      <w:pPr>
        <w:numPr>
          <w:ilvl w:val="0"/>
          <w:numId w:val="3"/>
        </w:numPr>
        <w:pBdr>
          <w:top w:val="nil"/>
          <w:left w:val="nil"/>
          <w:bottom w:val="nil"/>
          <w:right w:val="nil"/>
          <w:between w:val="nil"/>
        </w:pBdr>
        <w:spacing w:after="0"/>
        <w:ind w:left="1077" w:hanging="357"/>
        <w:rPr>
          <w:rFonts w:ascii="Times New Roman" w:eastAsia="Times New Roman" w:hAnsi="Times New Roman" w:cs="Times New Roman"/>
          <w:b/>
        </w:rPr>
      </w:pPr>
      <w:r>
        <w:rPr>
          <w:rFonts w:ascii="Times New Roman" w:eastAsia="Times New Roman" w:hAnsi="Times New Roman" w:cs="Times New Roman"/>
          <w:b/>
        </w:rPr>
        <w:t xml:space="preserve">Use of renewable energy, such as solar </w:t>
      </w:r>
      <w:proofErr w:type="gramStart"/>
      <w:r>
        <w:rPr>
          <w:rFonts w:ascii="Times New Roman" w:eastAsia="Times New Roman" w:hAnsi="Times New Roman" w:cs="Times New Roman"/>
          <w:b/>
        </w:rPr>
        <w:t>energy;</w:t>
      </w:r>
      <w:proofErr w:type="gramEnd"/>
    </w:p>
    <w:p w14:paraId="0000008F" w14:textId="77777777" w:rsidR="00522B99" w:rsidRDefault="006B3BE2">
      <w:pPr>
        <w:numPr>
          <w:ilvl w:val="0"/>
          <w:numId w:val="3"/>
        </w:numPr>
        <w:pBdr>
          <w:top w:val="nil"/>
          <w:left w:val="nil"/>
          <w:bottom w:val="nil"/>
          <w:right w:val="nil"/>
          <w:between w:val="nil"/>
        </w:pBdr>
        <w:spacing w:after="0"/>
        <w:ind w:left="1077" w:hanging="357"/>
        <w:rPr>
          <w:rFonts w:ascii="Times New Roman" w:eastAsia="Times New Roman" w:hAnsi="Times New Roman" w:cs="Times New Roman"/>
          <w:b/>
        </w:rPr>
      </w:pPr>
      <w:r>
        <w:rPr>
          <w:rFonts w:ascii="Times New Roman" w:eastAsia="Times New Roman" w:hAnsi="Times New Roman" w:cs="Times New Roman"/>
          <w:b/>
        </w:rPr>
        <w:lastRenderedPageBreak/>
        <w:t xml:space="preserve">Pollution and waste reduction measures, and the enabling of re-use and </w:t>
      </w:r>
      <w:proofErr w:type="gramStart"/>
      <w:r>
        <w:rPr>
          <w:rFonts w:ascii="Times New Roman" w:eastAsia="Times New Roman" w:hAnsi="Times New Roman" w:cs="Times New Roman"/>
          <w:b/>
        </w:rPr>
        <w:t>recycling;</w:t>
      </w:r>
      <w:proofErr w:type="gramEnd"/>
    </w:p>
    <w:p w14:paraId="00000090" w14:textId="77777777" w:rsidR="00522B99" w:rsidRDefault="006B3BE2">
      <w:pPr>
        <w:numPr>
          <w:ilvl w:val="0"/>
          <w:numId w:val="3"/>
        </w:numPr>
        <w:pBdr>
          <w:top w:val="nil"/>
          <w:left w:val="nil"/>
          <w:bottom w:val="nil"/>
          <w:right w:val="nil"/>
          <w:between w:val="nil"/>
        </w:pBdr>
        <w:spacing w:after="0"/>
        <w:ind w:left="1077" w:hanging="357"/>
        <w:rPr>
          <w:rFonts w:ascii="Times New Roman" w:eastAsia="Times New Roman" w:hAnsi="Times New Roman" w:cs="Times New Roman"/>
          <w:b/>
        </w:rPr>
      </w:pPr>
      <w:r>
        <w:rPr>
          <w:rFonts w:ascii="Times New Roman" w:eastAsia="Times New Roman" w:hAnsi="Times New Roman" w:cs="Times New Roman"/>
          <w:b/>
        </w:rPr>
        <w:t xml:space="preserve">Good indoor environmental air </w:t>
      </w:r>
      <w:proofErr w:type="gramStart"/>
      <w:r>
        <w:rPr>
          <w:rFonts w:ascii="Times New Roman" w:eastAsia="Times New Roman" w:hAnsi="Times New Roman" w:cs="Times New Roman"/>
          <w:b/>
        </w:rPr>
        <w:t>quality;</w:t>
      </w:r>
      <w:proofErr w:type="gramEnd"/>
    </w:p>
    <w:p w14:paraId="00000091" w14:textId="77777777" w:rsidR="00522B99" w:rsidRDefault="006B3BE2">
      <w:pPr>
        <w:numPr>
          <w:ilvl w:val="0"/>
          <w:numId w:val="3"/>
        </w:numPr>
        <w:pBdr>
          <w:top w:val="nil"/>
          <w:left w:val="nil"/>
          <w:bottom w:val="nil"/>
          <w:right w:val="nil"/>
          <w:between w:val="nil"/>
        </w:pBdr>
        <w:spacing w:after="0"/>
        <w:ind w:left="1077" w:hanging="357"/>
        <w:rPr>
          <w:rFonts w:ascii="Times New Roman" w:eastAsia="Times New Roman" w:hAnsi="Times New Roman" w:cs="Times New Roman"/>
          <w:b/>
        </w:rPr>
      </w:pPr>
      <w:r>
        <w:rPr>
          <w:rFonts w:ascii="Times New Roman" w:eastAsia="Times New Roman" w:hAnsi="Times New Roman" w:cs="Times New Roman"/>
          <w:b/>
        </w:rPr>
        <w:t xml:space="preserve">Use of materials that are non-toxic, ethical and </w:t>
      </w:r>
      <w:proofErr w:type="gramStart"/>
      <w:r>
        <w:rPr>
          <w:rFonts w:ascii="Times New Roman" w:eastAsia="Times New Roman" w:hAnsi="Times New Roman" w:cs="Times New Roman"/>
          <w:b/>
        </w:rPr>
        <w:t>sustainable;</w:t>
      </w:r>
      <w:proofErr w:type="gramEnd"/>
    </w:p>
    <w:p w14:paraId="00000092" w14:textId="77777777" w:rsidR="00522B99" w:rsidRDefault="006B3BE2">
      <w:pPr>
        <w:numPr>
          <w:ilvl w:val="0"/>
          <w:numId w:val="3"/>
        </w:numPr>
        <w:pBdr>
          <w:top w:val="nil"/>
          <w:left w:val="nil"/>
          <w:bottom w:val="nil"/>
          <w:right w:val="nil"/>
          <w:between w:val="nil"/>
        </w:pBdr>
        <w:spacing w:after="0"/>
        <w:ind w:left="1077" w:hanging="357"/>
        <w:rPr>
          <w:rFonts w:ascii="Times New Roman" w:eastAsia="Times New Roman" w:hAnsi="Times New Roman" w:cs="Times New Roman"/>
          <w:b/>
        </w:rPr>
      </w:pPr>
      <w:r>
        <w:rPr>
          <w:rFonts w:ascii="Times New Roman" w:eastAsia="Times New Roman" w:hAnsi="Times New Roman" w:cs="Times New Roman"/>
          <w:b/>
        </w:rPr>
        <w:t xml:space="preserve">Consideration of the environment in design, construction and </w:t>
      </w:r>
      <w:proofErr w:type="gramStart"/>
      <w:r>
        <w:rPr>
          <w:rFonts w:ascii="Times New Roman" w:eastAsia="Times New Roman" w:hAnsi="Times New Roman" w:cs="Times New Roman"/>
          <w:b/>
        </w:rPr>
        <w:t>operation;</w:t>
      </w:r>
      <w:proofErr w:type="gramEnd"/>
    </w:p>
    <w:p w14:paraId="00000093" w14:textId="77777777" w:rsidR="00522B99" w:rsidRDefault="006B3BE2">
      <w:pPr>
        <w:numPr>
          <w:ilvl w:val="0"/>
          <w:numId w:val="3"/>
        </w:numPr>
        <w:pBdr>
          <w:top w:val="nil"/>
          <w:left w:val="nil"/>
          <w:bottom w:val="nil"/>
          <w:right w:val="nil"/>
          <w:between w:val="nil"/>
        </w:pBdr>
        <w:spacing w:after="0"/>
        <w:ind w:left="1077" w:hanging="357"/>
        <w:rPr>
          <w:rFonts w:ascii="Times New Roman" w:eastAsia="Times New Roman" w:hAnsi="Times New Roman" w:cs="Times New Roman"/>
          <w:b/>
        </w:rPr>
      </w:pPr>
      <w:r>
        <w:rPr>
          <w:rFonts w:ascii="Times New Roman" w:eastAsia="Times New Roman" w:hAnsi="Times New Roman" w:cs="Times New Roman"/>
          <w:b/>
        </w:rPr>
        <w:t xml:space="preserve">Consideration of the quality of life of occupants in design, construction and </w:t>
      </w:r>
      <w:proofErr w:type="gramStart"/>
      <w:r>
        <w:rPr>
          <w:rFonts w:ascii="Times New Roman" w:eastAsia="Times New Roman" w:hAnsi="Times New Roman" w:cs="Times New Roman"/>
          <w:b/>
        </w:rPr>
        <w:t>operation;</w:t>
      </w:r>
      <w:proofErr w:type="gramEnd"/>
    </w:p>
    <w:p w14:paraId="00000094" w14:textId="77777777" w:rsidR="00522B99" w:rsidRDefault="006B3BE2">
      <w:pPr>
        <w:numPr>
          <w:ilvl w:val="0"/>
          <w:numId w:val="3"/>
        </w:numPr>
        <w:pBdr>
          <w:top w:val="nil"/>
          <w:left w:val="nil"/>
          <w:bottom w:val="nil"/>
          <w:right w:val="nil"/>
          <w:between w:val="nil"/>
        </w:pBdr>
        <w:spacing w:after="0"/>
        <w:ind w:left="1077" w:hanging="357"/>
        <w:rPr>
          <w:rFonts w:ascii="Times New Roman" w:eastAsia="Times New Roman" w:hAnsi="Times New Roman" w:cs="Times New Roman"/>
          <w:b/>
        </w:rPr>
      </w:pPr>
      <w:r>
        <w:rPr>
          <w:rFonts w:ascii="Times New Roman" w:eastAsia="Times New Roman" w:hAnsi="Times New Roman" w:cs="Times New Roman"/>
          <w:b/>
        </w:rPr>
        <w:t>A design that enables adaptation to a changing environment.</w:t>
      </w:r>
    </w:p>
    <w:p w14:paraId="00000095"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b/>
        </w:rPr>
      </w:pPr>
    </w:p>
    <w:p w14:paraId="00000096"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bookmarkStart w:id="4" w:name="_heading=h.1fob9te" w:colFirst="0" w:colLast="0"/>
      <w:bookmarkEnd w:id="4"/>
      <w:r>
        <w:rPr>
          <w:rFonts w:ascii="Times New Roman" w:eastAsia="Times New Roman" w:hAnsi="Times New Roman" w:cs="Times New Roman"/>
          <w:b/>
        </w:rPr>
        <w:t xml:space="preserve">Some Arab states have reported on </w:t>
      </w:r>
      <w:r>
        <w:rPr>
          <w:rFonts w:ascii="Times New Roman" w:eastAsia="Times New Roman" w:hAnsi="Times New Roman" w:cs="Times New Roman"/>
          <w:b/>
        </w:rPr>
        <w:t>as an adaptation and mitigation measure, notably Saudi Arabia. This innovation at a local scale remains part of a largely private-sector-driven global movement, with some academic participation. The World Green Building Council, headquartered in Toronto an</w:t>
      </w:r>
      <w:r>
        <w:rPr>
          <w:rFonts w:ascii="Times New Roman" w:eastAsia="Times New Roman" w:hAnsi="Times New Roman" w:cs="Times New Roman"/>
          <w:b/>
        </w:rPr>
        <w:t xml:space="preserve">d London, has developed the methodology for certifying projects as achieving Leadership in Energy and Environmental Design (LEED). Three Arab states have established Green Building Councils (Egypt, Jordan and UAE), with emerging or prospective Councils in </w:t>
      </w:r>
      <w:r>
        <w:rPr>
          <w:rFonts w:ascii="Times New Roman" w:eastAsia="Times New Roman" w:hAnsi="Times New Roman" w:cs="Times New Roman"/>
          <w:b/>
        </w:rPr>
        <w:t>five others (Bahrain, Kuwait, Palestine and Qatar). They list a total of 1,192 certified green building projects across the region, mostly in UAE.</w:t>
      </w:r>
      <w:r>
        <w:rPr>
          <w:rFonts w:ascii="Times New Roman" w:eastAsia="Times New Roman" w:hAnsi="Times New Roman" w:cs="Times New Roman"/>
          <w:b/>
          <w:vertAlign w:val="superscript"/>
        </w:rPr>
        <w:footnoteReference w:id="14"/>
      </w:r>
    </w:p>
    <w:p w14:paraId="00000097"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98"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Green buildings are environmentally friendly buildings whose design, implementation and operation apply the best engineering solutions, materials and modern technologies to reduce energy consumption and natural resources, and work to protect the external e</w:t>
      </w:r>
      <w:r>
        <w:rPr>
          <w:rFonts w:ascii="Times New Roman" w:eastAsia="Times New Roman" w:hAnsi="Times New Roman" w:cs="Times New Roman"/>
          <w:b/>
        </w:rPr>
        <w:t>nvironment from pollution. It also works to ensure a healthy, pure and safe internal environment through the application of an integrated system of Procedures and solutions that would reduce energy consumption, reduce emissions polluting the environment, a</w:t>
      </w:r>
      <w:r>
        <w:rPr>
          <w:rFonts w:ascii="Times New Roman" w:eastAsia="Times New Roman" w:hAnsi="Times New Roman" w:cs="Times New Roman"/>
          <w:b/>
        </w:rPr>
        <w:t>nd choose environmentally friendly building materials, while relying on renewable local natural resources without harming the environment to improve the quality of the building’s internal environment and increase its life span to raise productivity and sup</w:t>
      </w:r>
      <w:r>
        <w:rPr>
          <w:rFonts w:ascii="Times New Roman" w:eastAsia="Times New Roman" w:hAnsi="Times New Roman" w:cs="Times New Roman"/>
          <w:b/>
        </w:rPr>
        <w:t>port the national economy.</w:t>
      </w:r>
      <w:r>
        <w:rPr>
          <w:rFonts w:ascii="Times New Roman" w:eastAsia="Times New Roman" w:hAnsi="Times New Roman" w:cs="Times New Roman"/>
          <w:b/>
          <w:vertAlign w:val="superscript"/>
        </w:rPr>
        <w:footnoteReference w:id="15"/>
      </w:r>
      <w:r>
        <w:rPr>
          <w:rFonts w:ascii="Times New Roman" w:eastAsia="Times New Roman" w:hAnsi="Times New Roman" w:cs="Times New Roman"/>
          <w:b/>
        </w:rPr>
        <w:t xml:space="preserve"> </w:t>
      </w:r>
    </w:p>
    <w:p w14:paraId="00000099"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9A" w14:textId="77777777" w:rsidR="00522B99" w:rsidRDefault="006B3BE2">
      <w:pPr>
        <w:numPr>
          <w:ilvl w:val="0"/>
          <w:numId w:val="6"/>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What are the main barriers to reducing and eliminating the adverse impacts of the housing sector on the climate? </w:t>
      </w:r>
    </w:p>
    <w:p w14:paraId="0000009B" w14:textId="77777777" w:rsidR="00522B99" w:rsidRDefault="006B3BE2">
      <w:pPr>
        <w:pBdr>
          <w:top w:val="nil"/>
          <w:left w:val="nil"/>
          <w:bottom w:val="nil"/>
          <w:right w:val="nil"/>
          <w:between w:val="nil"/>
        </w:pBdr>
        <w:ind w:left="720"/>
        <w:jc w:val="both"/>
        <w:rPr>
          <w:rFonts w:ascii="Times New Roman" w:eastAsia="Times New Roman" w:hAnsi="Times New Roman" w:cs="Times New Roman"/>
          <w:b/>
        </w:rPr>
      </w:pPr>
      <w:r>
        <w:rPr>
          <w:rFonts w:ascii="Times New Roman" w:eastAsia="Times New Roman" w:hAnsi="Times New Roman" w:cs="Times New Roman"/>
          <w:b/>
        </w:rPr>
        <w:t>In Spain some barriers highlighted are:</w:t>
      </w:r>
    </w:p>
    <w:p w14:paraId="0000009C" w14:textId="77777777" w:rsidR="00522B99" w:rsidRDefault="006B3BE2">
      <w:pPr>
        <w:spacing w:after="0"/>
        <w:ind w:left="720"/>
        <w:jc w:val="both"/>
        <w:rPr>
          <w:rFonts w:ascii="Times New Roman" w:eastAsia="Times New Roman" w:hAnsi="Times New Roman" w:cs="Times New Roman"/>
          <w:b/>
        </w:rPr>
      </w:pPr>
      <w:r>
        <w:rPr>
          <w:rFonts w:ascii="Times New Roman" w:eastAsia="Times New Roman" w:hAnsi="Times New Roman" w:cs="Times New Roman"/>
          <w:b/>
        </w:rPr>
        <w:t>- Lack of funds for building rehabilitation</w:t>
      </w:r>
    </w:p>
    <w:p w14:paraId="0000009D" w14:textId="77777777" w:rsidR="00522B99" w:rsidRDefault="006B3BE2">
      <w:pPr>
        <w:spacing w:after="0"/>
        <w:ind w:left="720"/>
        <w:jc w:val="both"/>
        <w:rPr>
          <w:rFonts w:ascii="Times New Roman" w:eastAsia="Times New Roman" w:hAnsi="Times New Roman" w:cs="Times New Roman"/>
        </w:rPr>
      </w:pPr>
      <w:r>
        <w:rPr>
          <w:rFonts w:ascii="Times New Roman" w:eastAsia="Times New Roman" w:hAnsi="Times New Roman" w:cs="Times New Roman"/>
          <w:b/>
        </w:rPr>
        <w:t>- Lack of innovation in woo</w:t>
      </w:r>
      <w:r>
        <w:rPr>
          <w:rFonts w:ascii="Times New Roman" w:eastAsia="Times New Roman" w:hAnsi="Times New Roman" w:cs="Times New Roman"/>
          <w:b/>
        </w:rPr>
        <w:t>d construction techniques and "close to 0" energy consumption construction models, passive systems, etc.</w:t>
      </w:r>
    </w:p>
    <w:p w14:paraId="0000009E" w14:textId="77777777" w:rsidR="00522B99" w:rsidRDefault="00522B99">
      <w:pPr>
        <w:rPr>
          <w:rFonts w:ascii="Times New Roman" w:eastAsia="Times New Roman" w:hAnsi="Times New Roman" w:cs="Times New Roman"/>
          <w:b/>
        </w:rPr>
      </w:pPr>
    </w:p>
    <w:p w14:paraId="0000009F" w14:textId="77777777" w:rsidR="00522B99" w:rsidRDefault="006B3BE2">
      <w:pPr>
        <w:rPr>
          <w:rFonts w:ascii="Times New Roman" w:eastAsia="Times New Roman" w:hAnsi="Times New Roman" w:cs="Times New Roman"/>
          <w:b/>
          <w:i/>
        </w:rPr>
      </w:pPr>
      <w:bookmarkStart w:id="5" w:name="_heading=h.3znysh7" w:colFirst="0" w:colLast="0"/>
      <w:bookmarkEnd w:id="5"/>
      <w:r>
        <w:rPr>
          <w:rFonts w:ascii="Times New Roman" w:eastAsia="Times New Roman" w:hAnsi="Times New Roman" w:cs="Times New Roman"/>
          <w:b/>
          <w:i/>
        </w:rPr>
        <w:t>Towards a just transition to a rights-compliant, climate-resilient and carbon-neutral housing</w:t>
      </w:r>
    </w:p>
    <w:p w14:paraId="000000A0" w14:textId="77777777" w:rsidR="00522B99" w:rsidRDefault="006B3BE2">
      <w:pPr>
        <w:numPr>
          <w:ilvl w:val="0"/>
          <w:numId w:val="6"/>
        </w:numPr>
        <w:pBdr>
          <w:top w:val="nil"/>
          <w:left w:val="nil"/>
          <w:bottom w:val="nil"/>
          <w:right w:val="nil"/>
          <w:between w:val="nil"/>
        </w:pBdr>
        <w:spacing w:after="0"/>
        <w:ind w:left="714" w:hanging="357"/>
        <w:jc w:val="both"/>
        <w:rPr>
          <w:rFonts w:ascii="Times New Roman" w:eastAsia="Times New Roman" w:hAnsi="Times New Roman" w:cs="Times New Roman"/>
        </w:rPr>
      </w:pPr>
      <w:r>
        <w:rPr>
          <w:rFonts w:ascii="Times New Roman" w:eastAsia="Times New Roman" w:hAnsi="Times New Roman" w:cs="Times New Roman"/>
        </w:rPr>
        <w:t xml:space="preserve">What specific legislation, policies, or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have been adopted to put in place and finance a just transition to a rights-compliant, climate-resilient and ca</w:t>
      </w:r>
      <w:r>
        <w:rPr>
          <w:rFonts w:ascii="Times New Roman" w:eastAsia="Times New Roman" w:hAnsi="Times New Roman" w:cs="Times New Roman"/>
        </w:rPr>
        <w:t>rbon-neutral housing for all, without discrimination?</w:t>
      </w:r>
      <w:r>
        <w:rPr>
          <w:rFonts w:ascii="Times New Roman" w:eastAsia="Times New Roman" w:hAnsi="Times New Roman" w:cs="Times New Roman"/>
        </w:rPr>
        <w:tab/>
        <w:t xml:space="preserve"> </w:t>
      </w:r>
      <w:r>
        <w:rPr>
          <w:rFonts w:ascii="Times New Roman" w:eastAsia="Times New Roman" w:hAnsi="Times New Roman" w:cs="Times New Roman"/>
        </w:rPr>
        <w:br/>
      </w:r>
    </w:p>
    <w:p w14:paraId="000000A1" w14:textId="77777777" w:rsidR="00522B99" w:rsidRDefault="006B3BE2">
      <w:pPr>
        <w:spacing w:after="0"/>
        <w:ind w:left="723"/>
        <w:jc w:val="both"/>
        <w:rPr>
          <w:rFonts w:ascii="Times New Roman" w:eastAsia="Times New Roman" w:hAnsi="Times New Roman" w:cs="Times New Roman"/>
          <w:b/>
        </w:rPr>
      </w:pPr>
      <w:r>
        <w:rPr>
          <w:rFonts w:ascii="Times New Roman" w:eastAsia="Times New Roman" w:hAnsi="Times New Roman" w:cs="Times New Roman"/>
          <w:b/>
        </w:rPr>
        <w:t>Egypt has cited efforts to improve energy efficiency and reducing emissions from lead foundries,</w:t>
      </w:r>
      <w:r>
        <w:rPr>
          <w:vertAlign w:val="superscript"/>
        </w:rPr>
        <w:footnoteReference w:id="16"/>
      </w:r>
      <w:r>
        <w:rPr>
          <w:rFonts w:ascii="Times New Roman" w:eastAsia="Times New Roman" w:hAnsi="Times New Roman" w:cs="Times New Roman"/>
          <w:b/>
        </w:rPr>
        <w:t xml:space="preserve"> recycling straw from the rice harvest,</w:t>
      </w:r>
      <w:r>
        <w:rPr>
          <w:vertAlign w:val="superscript"/>
        </w:rPr>
        <w:footnoteReference w:id="17"/>
      </w:r>
      <w:r>
        <w:rPr>
          <w:rFonts w:ascii="Times New Roman" w:eastAsia="Times New Roman" w:hAnsi="Times New Roman" w:cs="Times New Roman"/>
          <w:b/>
        </w:rPr>
        <w:t xml:space="preserve"> reducing effects of, and relocating </w:t>
      </w:r>
      <w:r>
        <w:rPr>
          <w:rFonts w:ascii="Times New Roman" w:eastAsia="Times New Roman" w:hAnsi="Times New Roman" w:cs="Times New Roman"/>
          <w:b/>
        </w:rPr>
        <w:lastRenderedPageBreak/>
        <w:t>popular settlements away from polluting industries. Its VNRs omit mention of green building where it would appear appropriate to mention. For evidence of green building efforts, the Green Building Council reports 22 cer</w:t>
      </w:r>
      <w:r>
        <w:rPr>
          <w:rFonts w:ascii="Times New Roman" w:eastAsia="Times New Roman" w:hAnsi="Times New Roman" w:cs="Times New Roman"/>
          <w:b/>
        </w:rPr>
        <w:t>tified green buildings constructed in Egypt since 2012.</w:t>
      </w:r>
      <w:r>
        <w:rPr>
          <w:vertAlign w:val="superscript"/>
        </w:rPr>
        <w:footnoteReference w:id="18"/>
      </w:r>
    </w:p>
    <w:p w14:paraId="000000A2" w14:textId="77777777" w:rsidR="00522B99" w:rsidRDefault="00522B99">
      <w:pPr>
        <w:spacing w:after="0"/>
        <w:ind w:left="723"/>
        <w:jc w:val="both"/>
        <w:rPr>
          <w:rFonts w:ascii="Times New Roman" w:eastAsia="Times New Roman" w:hAnsi="Times New Roman" w:cs="Times New Roman"/>
          <w:b/>
        </w:rPr>
      </w:pPr>
    </w:p>
    <w:p w14:paraId="000000A3" w14:textId="77777777" w:rsidR="00522B99" w:rsidRDefault="006B3BE2">
      <w:pPr>
        <w:spacing w:after="0"/>
        <w:ind w:left="723"/>
        <w:jc w:val="both"/>
        <w:rPr>
          <w:rFonts w:ascii="Times New Roman" w:eastAsia="Times New Roman" w:hAnsi="Times New Roman" w:cs="Times New Roman"/>
          <w:b/>
        </w:rPr>
      </w:pPr>
      <w:r>
        <w:rPr>
          <w:rFonts w:ascii="Times New Roman" w:eastAsia="Times New Roman" w:hAnsi="Times New Roman" w:cs="Times New Roman"/>
          <w:b/>
        </w:rPr>
        <w:t>Jordan’s Intended Nationally Determined Contribution (INDC) under the Paris Agreement commits to “requiring the implementation of green building codes</w:t>
      </w:r>
      <w:r>
        <w:rPr>
          <w:rFonts w:ascii="Times New Roman" w:eastAsia="Times New Roman" w:hAnsi="Times New Roman" w:cs="Times New Roman"/>
          <w:b/>
          <w:i/>
        </w:rPr>
        <w:t xml:space="preserve"> </w:t>
      </w:r>
      <w:r>
        <w:rPr>
          <w:rFonts w:ascii="Times New Roman" w:eastAsia="Times New Roman" w:hAnsi="Times New Roman" w:cs="Times New Roman"/>
          <w:b/>
        </w:rPr>
        <w:t>by setting clear standards for construction, m</w:t>
      </w:r>
      <w:r>
        <w:rPr>
          <w:rFonts w:ascii="Times New Roman" w:eastAsia="Times New Roman" w:hAnsi="Times New Roman" w:cs="Times New Roman"/>
          <w:b/>
        </w:rPr>
        <w:t>aterials and land based on best practices; and requiring all new buildings in the public sector to comply with [LEED].</w:t>
      </w:r>
      <w:r>
        <w:rPr>
          <w:vertAlign w:val="superscript"/>
        </w:rPr>
        <w:footnoteReference w:id="19"/>
      </w:r>
      <w:r>
        <w:rPr>
          <w:rFonts w:ascii="Times New Roman" w:eastAsia="Times New Roman" w:hAnsi="Times New Roman" w:cs="Times New Roman"/>
          <w:b/>
        </w:rPr>
        <w:t xml:space="preserve"> Jordan Renewable Energy &amp; Energy Efficiency Fund (JREEEF) finances projects that reduce electrical energy consumption in the domestic s</w:t>
      </w:r>
      <w:r>
        <w:rPr>
          <w:rFonts w:ascii="Times New Roman" w:eastAsia="Times New Roman" w:hAnsi="Times New Roman" w:cs="Times New Roman"/>
          <w:b/>
        </w:rPr>
        <w:t xml:space="preserve">ector by providing energy efficiency solutions, distributing and installing energy-saving lighting units windows, and applying methods and solutions for home insulation, and also by providing renewable energy solutions using solar heaters and photovoltaic </w:t>
      </w:r>
      <w:r>
        <w:rPr>
          <w:rFonts w:ascii="Times New Roman" w:eastAsia="Times New Roman" w:hAnsi="Times New Roman" w:cs="Times New Roman"/>
          <w:b/>
        </w:rPr>
        <w:t>cells.</w:t>
      </w:r>
      <w:r>
        <w:rPr>
          <w:vertAlign w:val="superscript"/>
        </w:rPr>
        <w:footnoteReference w:id="20"/>
      </w:r>
      <w:r>
        <w:rPr>
          <w:rFonts w:ascii="Times New Roman" w:eastAsia="Times New Roman" w:hAnsi="Times New Roman" w:cs="Times New Roman"/>
          <w:b/>
        </w:rPr>
        <w:t xml:space="preserve">  According to the Green Building Council, Jordan has produced 10 certified ‘green building’ projects to date.</w:t>
      </w:r>
      <w:r>
        <w:rPr>
          <w:vertAlign w:val="superscript"/>
        </w:rPr>
        <w:footnoteReference w:id="21"/>
      </w:r>
    </w:p>
    <w:p w14:paraId="000000A4" w14:textId="77777777" w:rsidR="00522B99" w:rsidRDefault="00522B99">
      <w:pPr>
        <w:spacing w:after="0"/>
        <w:ind w:left="723"/>
        <w:jc w:val="both"/>
        <w:rPr>
          <w:rFonts w:ascii="Times New Roman" w:eastAsia="Times New Roman" w:hAnsi="Times New Roman" w:cs="Times New Roman"/>
          <w:b/>
        </w:rPr>
      </w:pPr>
    </w:p>
    <w:p w14:paraId="000000A5" w14:textId="77777777" w:rsidR="00522B99" w:rsidRDefault="006B3BE2">
      <w:pPr>
        <w:spacing w:after="0"/>
        <w:ind w:left="723"/>
        <w:jc w:val="both"/>
        <w:rPr>
          <w:rFonts w:ascii="Times New Roman" w:eastAsia="Times New Roman" w:hAnsi="Times New Roman" w:cs="Times New Roman"/>
          <w:b/>
        </w:rPr>
      </w:pPr>
      <w:bookmarkStart w:id="10" w:name="_heading=h.2et92p0" w:colFirst="0" w:colLast="0"/>
      <w:bookmarkEnd w:id="10"/>
      <w:r>
        <w:rPr>
          <w:rFonts w:ascii="Times New Roman" w:eastAsia="Times New Roman" w:hAnsi="Times New Roman" w:cs="Times New Roman"/>
          <w:b/>
        </w:rPr>
        <w:t>In Lebanon, the National Energy Efficiency and Renewable Energy Action (NEEREA) is a national platform launched on 25 November 2010. I</w:t>
      </w:r>
      <w:r>
        <w:rPr>
          <w:rFonts w:ascii="Times New Roman" w:eastAsia="Times New Roman" w:hAnsi="Times New Roman" w:cs="Times New Roman"/>
          <w:b/>
        </w:rPr>
        <w:t xml:space="preserve">t is based on the Circular 236 of the Central Bank of Lebanon, which, in collaboration with the EU, lists the terms and conditions to obtain subsidized green loans. In 2013, as per Circulars 313, 318, and 346, Banque du </w:t>
      </w:r>
      <w:proofErr w:type="spellStart"/>
      <w:r>
        <w:rPr>
          <w:rFonts w:ascii="Times New Roman" w:eastAsia="Times New Roman" w:hAnsi="Times New Roman" w:cs="Times New Roman"/>
          <w:b/>
        </w:rPr>
        <w:t>Liban</w:t>
      </w:r>
      <w:proofErr w:type="spellEnd"/>
      <w:r>
        <w:rPr>
          <w:rFonts w:ascii="Times New Roman" w:eastAsia="Times New Roman" w:hAnsi="Times New Roman" w:cs="Times New Roman"/>
          <w:b/>
        </w:rPr>
        <w:t xml:space="preserve"> introduced new incentives to f</w:t>
      </w:r>
      <w:r>
        <w:rPr>
          <w:rFonts w:ascii="Times New Roman" w:eastAsia="Times New Roman" w:hAnsi="Times New Roman" w:cs="Times New Roman"/>
          <w:b/>
        </w:rPr>
        <w:t>ocus on energy efficiency, renewable energy and certified green buildings. By the end 2017, the NEEREA financing mechanism had approved more than 780 projects with a total value of more than US$ 464 million.</w:t>
      </w:r>
    </w:p>
    <w:p w14:paraId="000000A6" w14:textId="77777777" w:rsidR="00522B99" w:rsidRDefault="00522B99">
      <w:pPr>
        <w:spacing w:after="0"/>
        <w:ind w:left="723"/>
        <w:jc w:val="both"/>
        <w:rPr>
          <w:rFonts w:ascii="Times New Roman" w:eastAsia="Times New Roman" w:hAnsi="Times New Roman" w:cs="Times New Roman"/>
          <w:b/>
        </w:rPr>
      </w:pPr>
    </w:p>
    <w:p w14:paraId="000000A7" w14:textId="77777777" w:rsidR="00522B99" w:rsidRDefault="006B3BE2">
      <w:pPr>
        <w:spacing w:after="0"/>
        <w:ind w:left="723"/>
        <w:jc w:val="both"/>
        <w:rPr>
          <w:rFonts w:ascii="Times New Roman" w:eastAsia="Times New Roman" w:hAnsi="Times New Roman" w:cs="Times New Roman"/>
          <w:b/>
        </w:rPr>
      </w:pPr>
      <w:r>
        <w:rPr>
          <w:rFonts w:ascii="Times New Roman" w:eastAsia="Times New Roman" w:hAnsi="Times New Roman" w:cs="Times New Roman"/>
          <w:b/>
        </w:rPr>
        <w:t>The Kingdom of Saudi Arabia expresses an intere</w:t>
      </w:r>
      <w:r>
        <w:rPr>
          <w:rFonts w:ascii="Times New Roman" w:eastAsia="Times New Roman" w:hAnsi="Times New Roman" w:cs="Times New Roman"/>
          <w:b/>
        </w:rPr>
        <w:t>st in improving public–private partnerships with an aim to ensure integration toward a sustainable environment and a green economy.</w:t>
      </w:r>
      <w:r>
        <w:rPr>
          <w:vertAlign w:val="superscript"/>
        </w:rPr>
        <w:footnoteReference w:id="22"/>
      </w:r>
      <w:r>
        <w:rPr>
          <w:rFonts w:ascii="Times New Roman" w:eastAsia="Times New Roman" w:hAnsi="Times New Roman" w:cs="Times New Roman"/>
          <w:b/>
        </w:rPr>
        <w:t xml:space="preserve"> Its 2019 VNR claims that the kingdom actively promotes green building, but does not provide specifics.</w:t>
      </w:r>
      <w:r>
        <w:rPr>
          <w:vertAlign w:val="superscript"/>
        </w:rPr>
        <w:footnoteReference w:id="23"/>
      </w:r>
      <w:r>
        <w:rPr>
          <w:rFonts w:ascii="Times New Roman" w:eastAsia="Times New Roman" w:hAnsi="Times New Roman" w:cs="Times New Roman"/>
          <w:b/>
        </w:rPr>
        <w:t xml:space="preserve"> However, it has b</w:t>
      </w:r>
      <w:r>
        <w:rPr>
          <w:rFonts w:ascii="Times New Roman" w:eastAsia="Times New Roman" w:hAnsi="Times New Roman" w:cs="Times New Roman"/>
          <w:b/>
        </w:rPr>
        <w:t>een reported independently in 2020 that Saudi Arabia had developed its own green-building rating and certification system,</w:t>
      </w:r>
      <w:r>
        <w:rPr>
          <w:vertAlign w:val="superscript"/>
        </w:rPr>
        <w:footnoteReference w:id="24"/>
      </w:r>
      <w:r>
        <w:rPr>
          <w:rFonts w:ascii="Times New Roman" w:eastAsia="Times New Roman" w:hAnsi="Times New Roman" w:cs="Times New Roman"/>
          <w:b/>
        </w:rPr>
        <w:t xml:space="preserve"> and currently has certified 964 LEED projects, including 872 homes.</w:t>
      </w:r>
      <w:r>
        <w:rPr>
          <w:vertAlign w:val="superscript"/>
        </w:rPr>
        <w:footnoteReference w:id="25"/>
      </w:r>
    </w:p>
    <w:p w14:paraId="000000A8" w14:textId="77777777" w:rsidR="00522B99" w:rsidRDefault="00522B99">
      <w:pPr>
        <w:spacing w:after="0"/>
        <w:ind w:left="723"/>
        <w:jc w:val="both"/>
        <w:rPr>
          <w:rFonts w:ascii="Times New Roman" w:eastAsia="Times New Roman" w:hAnsi="Times New Roman" w:cs="Times New Roman"/>
          <w:b/>
        </w:rPr>
      </w:pPr>
    </w:p>
    <w:p w14:paraId="000000A9" w14:textId="77777777" w:rsidR="00522B99" w:rsidRDefault="006B3BE2">
      <w:pPr>
        <w:spacing w:after="0"/>
        <w:ind w:left="723"/>
        <w:jc w:val="both"/>
        <w:rPr>
          <w:rFonts w:ascii="Times New Roman" w:eastAsia="Times New Roman" w:hAnsi="Times New Roman" w:cs="Times New Roman"/>
          <w:b/>
        </w:rPr>
      </w:pPr>
      <w:r>
        <w:rPr>
          <w:rFonts w:ascii="Times New Roman" w:eastAsia="Times New Roman" w:hAnsi="Times New Roman" w:cs="Times New Roman"/>
          <w:b/>
        </w:rPr>
        <w:t xml:space="preserve">The emirate of Abu Dhabi introduced </w:t>
      </w:r>
      <w:proofErr w:type="spellStart"/>
      <w:r>
        <w:rPr>
          <w:rFonts w:ascii="Times New Roman" w:eastAsia="Times New Roman" w:hAnsi="Times New Roman" w:cs="Times New Roman"/>
          <w:b/>
        </w:rPr>
        <w:t>Estidama</w:t>
      </w:r>
      <w:proofErr w:type="spellEnd"/>
      <w:r>
        <w:rPr>
          <w:rFonts w:ascii="Times New Roman" w:eastAsia="Times New Roman" w:hAnsi="Times New Roman" w:cs="Times New Roman"/>
          <w:b/>
        </w:rPr>
        <w:t xml:space="preserve">, a sustainable </w:t>
      </w:r>
      <w:r>
        <w:rPr>
          <w:rFonts w:ascii="Times New Roman" w:eastAsia="Times New Roman" w:hAnsi="Times New Roman" w:cs="Times New Roman"/>
          <w:b/>
        </w:rPr>
        <w:t>building framework in 2010, including the Pearl Rating System for the design, construction and operation of buildings, dwellings and communities. All new buildings are required to obtain at least a one-pearl rating out of five, whereas all government build</w:t>
      </w:r>
      <w:r>
        <w:rPr>
          <w:rFonts w:ascii="Times New Roman" w:eastAsia="Times New Roman" w:hAnsi="Times New Roman" w:cs="Times New Roman"/>
          <w:b/>
        </w:rPr>
        <w:t xml:space="preserve">ings and dwellings must obtain </w:t>
      </w:r>
      <w:r>
        <w:rPr>
          <w:rFonts w:ascii="Times New Roman" w:eastAsia="Times New Roman" w:hAnsi="Times New Roman" w:cs="Times New Roman"/>
          <w:b/>
        </w:rPr>
        <w:lastRenderedPageBreak/>
        <w:t>a minimum of a two-pearl rating. Dubai also introduced al-</w:t>
      </w:r>
      <w:proofErr w:type="spellStart"/>
      <w:r>
        <w:rPr>
          <w:rFonts w:ascii="Times New Roman" w:eastAsia="Times New Roman" w:hAnsi="Times New Roman" w:cs="Times New Roman"/>
          <w:b/>
        </w:rPr>
        <w:t>Sa’fat</w:t>
      </w:r>
      <w:proofErr w:type="spellEnd"/>
      <w:r>
        <w:rPr>
          <w:rFonts w:ascii="Times New Roman" w:eastAsia="Times New Roman" w:hAnsi="Times New Roman" w:cs="Times New Roman"/>
          <w:b/>
        </w:rPr>
        <w:t xml:space="preserve"> green building evaluation system in 2016, while targeting the retrofitting of 30,000 old buildings. A plan to transform all government schools to conform to gre</w:t>
      </w:r>
      <w:r>
        <w:rPr>
          <w:rFonts w:ascii="Times New Roman" w:eastAsia="Times New Roman" w:hAnsi="Times New Roman" w:cs="Times New Roman"/>
          <w:b/>
        </w:rPr>
        <w:t>en building specifications is in the works.</w:t>
      </w:r>
      <w:r>
        <w:rPr>
          <w:vertAlign w:val="superscript"/>
        </w:rPr>
        <w:footnoteReference w:id="26"/>
      </w:r>
    </w:p>
    <w:p w14:paraId="000000AA" w14:textId="77777777" w:rsidR="00522B99" w:rsidRDefault="00522B99">
      <w:pPr>
        <w:spacing w:after="0"/>
        <w:ind w:left="723"/>
        <w:jc w:val="both"/>
        <w:rPr>
          <w:rFonts w:ascii="Times New Roman" w:eastAsia="Times New Roman" w:hAnsi="Times New Roman" w:cs="Times New Roman"/>
          <w:b/>
        </w:rPr>
      </w:pPr>
    </w:p>
    <w:p w14:paraId="000000AB" w14:textId="77777777" w:rsidR="00522B99" w:rsidRDefault="006B3BE2">
      <w:pPr>
        <w:spacing w:after="0"/>
        <w:ind w:left="723"/>
        <w:jc w:val="both"/>
        <w:rPr>
          <w:rFonts w:ascii="Times New Roman" w:eastAsia="Times New Roman" w:hAnsi="Times New Roman" w:cs="Times New Roman"/>
          <w:b/>
        </w:rPr>
      </w:pPr>
      <w:r>
        <w:rPr>
          <w:rFonts w:ascii="Times New Roman" w:eastAsia="Times New Roman" w:hAnsi="Times New Roman" w:cs="Times New Roman"/>
          <w:b/>
        </w:rPr>
        <w:t>The UAE’s 2018 VNR claims that the Emirate is among the top ten countries outside the United States with the most LEED-certified buildings.</w:t>
      </w:r>
      <w:r>
        <w:rPr>
          <w:vertAlign w:val="superscript"/>
        </w:rPr>
        <w:footnoteReference w:id="27"/>
      </w:r>
      <w:r>
        <w:rPr>
          <w:rFonts w:ascii="Times New Roman" w:eastAsia="Times New Roman" w:hAnsi="Times New Roman" w:cs="Times New Roman"/>
          <w:b/>
        </w:rPr>
        <w:t xml:space="preserve">  The Green Building Council substantiates that claim, citing UAE as having 1,160 LEED-certified ‘green buildings’ </w:t>
      </w:r>
      <w:r>
        <w:rPr>
          <w:rFonts w:ascii="Times New Roman" w:eastAsia="Times New Roman" w:hAnsi="Times New Roman" w:cs="Times New Roman"/>
          <w:b/>
        </w:rPr>
        <w:t>to date.</w:t>
      </w:r>
      <w:r>
        <w:rPr>
          <w:vertAlign w:val="superscript"/>
        </w:rPr>
        <w:footnoteReference w:id="28"/>
      </w:r>
    </w:p>
    <w:p w14:paraId="000000AC"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rPr>
      </w:pPr>
    </w:p>
    <w:p w14:paraId="000000AD"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xml:space="preserve">In Spain some specific legislation and </w:t>
      </w:r>
      <w:proofErr w:type="spellStart"/>
      <w:r>
        <w:rPr>
          <w:rFonts w:ascii="Times New Roman" w:eastAsia="Times New Roman" w:hAnsi="Times New Roman" w:cs="Times New Roman"/>
          <w:b/>
        </w:rPr>
        <w:t>programmes</w:t>
      </w:r>
      <w:proofErr w:type="spellEnd"/>
      <w:r>
        <w:rPr>
          <w:rFonts w:ascii="Times New Roman" w:eastAsia="Times New Roman" w:hAnsi="Times New Roman" w:cs="Times New Roman"/>
          <w:b/>
        </w:rPr>
        <w:t xml:space="preserve"> include:</w:t>
      </w:r>
    </w:p>
    <w:p w14:paraId="000000AE"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Sustainable Development Strategy 2030 (Ministry of Ecological Transition) Agenda 2030 and SDGs.</w:t>
      </w:r>
    </w:p>
    <w:p w14:paraId="000000AF" w14:textId="77777777" w:rsidR="00522B99" w:rsidRDefault="006B3BE2">
      <w:pPr>
        <w:spacing w:after="0"/>
        <w:ind w:left="720"/>
        <w:jc w:val="both"/>
        <w:rPr>
          <w:rFonts w:ascii="Times New Roman" w:eastAsia="Times New Roman" w:hAnsi="Times New Roman" w:cs="Times New Roman"/>
          <w:b/>
        </w:rPr>
      </w:pPr>
      <w:r>
        <w:rPr>
          <w:rFonts w:ascii="Times New Roman" w:eastAsia="Times New Roman" w:hAnsi="Times New Roman" w:cs="Times New Roman"/>
          <w:b/>
        </w:rPr>
        <w:t>- Spanish Urban Agenda.</w:t>
      </w:r>
    </w:p>
    <w:p w14:paraId="000000B0" w14:textId="77777777" w:rsidR="00522B99" w:rsidRDefault="006B3BE2">
      <w:pPr>
        <w:spacing w:after="0"/>
        <w:ind w:left="720"/>
        <w:jc w:val="both"/>
        <w:rPr>
          <w:rFonts w:ascii="Times New Roman" w:eastAsia="Times New Roman" w:hAnsi="Times New Roman" w:cs="Times New Roman"/>
          <w:b/>
        </w:rPr>
      </w:pPr>
      <w:r>
        <w:rPr>
          <w:rFonts w:ascii="Times New Roman" w:eastAsia="Times New Roman" w:hAnsi="Times New Roman" w:cs="Times New Roman"/>
          <w:b/>
        </w:rPr>
        <w:t>- European funds (Next Generation)</w:t>
      </w:r>
    </w:p>
    <w:p w14:paraId="000000B1" w14:textId="77777777" w:rsidR="00522B99" w:rsidRDefault="006B3BE2">
      <w:pPr>
        <w:spacing w:after="0"/>
        <w:ind w:left="720"/>
        <w:jc w:val="both"/>
        <w:rPr>
          <w:rFonts w:ascii="Times New Roman" w:eastAsia="Times New Roman" w:hAnsi="Times New Roman" w:cs="Times New Roman"/>
        </w:rPr>
      </w:pPr>
      <w:r>
        <w:rPr>
          <w:rFonts w:ascii="Times New Roman" w:eastAsia="Times New Roman" w:hAnsi="Times New Roman" w:cs="Times New Roman"/>
          <w:b/>
        </w:rPr>
        <w:t>- Discrimination has not bee</w:t>
      </w:r>
      <w:r>
        <w:rPr>
          <w:rFonts w:ascii="Times New Roman" w:eastAsia="Times New Roman" w:hAnsi="Times New Roman" w:cs="Times New Roman"/>
          <w:b/>
        </w:rPr>
        <w:t xml:space="preserve">n </w:t>
      </w:r>
      <w:proofErr w:type="gramStart"/>
      <w:r>
        <w:rPr>
          <w:rFonts w:ascii="Times New Roman" w:eastAsia="Times New Roman" w:hAnsi="Times New Roman" w:cs="Times New Roman"/>
          <w:b/>
        </w:rPr>
        <w:t>taken into account</w:t>
      </w:r>
      <w:proofErr w:type="gramEnd"/>
      <w:r>
        <w:rPr>
          <w:rFonts w:ascii="Times New Roman" w:eastAsia="Times New Roman" w:hAnsi="Times New Roman" w:cs="Times New Roman"/>
          <w:b/>
        </w:rPr>
        <w:t xml:space="preserve">. Reforms not accompanied by price regulation </w:t>
      </w:r>
      <w:proofErr w:type="gramStart"/>
      <w:r>
        <w:rPr>
          <w:rFonts w:ascii="Times New Roman" w:eastAsia="Times New Roman" w:hAnsi="Times New Roman" w:cs="Times New Roman"/>
          <w:b/>
        </w:rPr>
        <w:t>lead</w:t>
      </w:r>
      <w:proofErr w:type="gramEnd"/>
      <w:r>
        <w:rPr>
          <w:rFonts w:ascii="Times New Roman" w:eastAsia="Times New Roman" w:hAnsi="Times New Roman" w:cs="Times New Roman"/>
          <w:b/>
        </w:rPr>
        <w:t xml:space="preserve"> to incentives for speculation.</w:t>
      </w:r>
    </w:p>
    <w:p w14:paraId="000000B2"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rPr>
      </w:pPr>
    </w:p>
    <w:p w14:paraId="000000B3"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What measures have been taken to ensure that the costs of green transition in the housing sector are fairly shared between public authorities, taxpayers,</w:t>
      </w:r>
      <w:r>
        <w:rPr>
          <w:rFonts w:ascii="Times New Roman" w:eastAsia="Times New Roman" w:hAnsi="Times New Roman" w:cs="Times New Roman"/>
        </w:rPr>
        <w:t xml:space="preserve"> homeowners, and tenants/renters or other affected interest groups, and to ensure the continued affordability of housing?</w:t>
      </w:r>
    </w:p>
    <w:p w14:paraId="000000B4"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B5" w14:textId="77777777" w:rsidR="00522B99" w:rsidRDefault="006B3BE2">
      <w:pPr>
        <w:numPr>
          <w:ilvl w:val="0"/>
          <w:numId w:val="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What adaptation strategies are needed to ensure the continued habitability of housing in the face of the climate crisis? (</w:t>
      </w:r>
      <w:proofErr w:type="gramStart"/>
      <w:r>
        <w:rPr>
          <w:rFonts w:ascii="Times New Roman" w:eastAsia="Times New Roman" w:hAnsi="Times New Roman" w:cs="Times New Roman"/>
        </w:rPr>
        <w:t>protection</w:t>
      </w:r>
      <w:proofErr w:type="gramEnd"/>
      <w:r>
        <w:rPr>
          <w:rFonts w:ascii="Times New Roman" w:eastAsia="Times New Roman" w:hAnsi="Times New Roman" w:cs="Times New Roman"/>
        </w:rPr>
        <w:t xml:space="preserve"> from e.g. heat, flooding, extreme weather, etc.)</w:t>
      </w:r>
    </w:p>
    <w:p w14:paraId="000000B6"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In Spain some strategies include:</w:t>
      </w:r>
    </w:p>
    <w:p w14:paraId="000000B7"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Building envelope refurbishment</w:t>
      </w:r>
    </w:p>
    <w:p w14:paraId="000000B8"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Sola</w:t>
      </w:r>
      <w:r>
        <w:rPr>
          <w:rFonts w:ascii="Times New Roman" w:eastAsia="Times New Roman" w:hAnsi="Times New Roman" w:cs="Times New Roman"/>
          <w:b/>
        </w:rPr>
        <w:t>r energy cooperatives</w:t>
      </w:r>
    </w:p>
    <w:p w14:paraId="000000B9"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Improving electricity consumption</w:t>
      </w:r>
    </w:p>
    <w:p w14:paraId="000000BA"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Green roofs</w:t>
      </w:r>
    </w:p>
    <w:p w14:paraId="000000BB"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Passive cooling systems</w:t>
      </w:r>
    </w:p>
    <w:p w14:paraId="000000BC"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 Pooling household costs</w:t>
      </w:r>
    </w:p>
    <w:p w14:paraId="000000BD" w14:textId="77777777" w:rsidR="00522B99" w:rsidRDefault="00522B99">
      <w:pPr>
        <w:pBdr>
          <w:top w:val="nil"/>
          <w:left w:val="nil"/>
          <w:bottom w:val="nil"/>
          <w:right w:val="nil"/>
          <w:between w:val="nil"/>
        </w:pBdr>
        <w:spacing w:after="0"/>
        <w:ind w:left="720"/>
        <w:jc w:val="both"/>
        <w:rPr>
          <w:rFonts w:ascii="Times New Roman" w:eastAsia="Times New Roman" w:hAnsi="Times New Roman" w:cs="Times New Roman"/>
          <w:b/>
        </w:rPr>
      </w:pPr>
    </w:p>
    <w:p w14:paraId="000000BE" w14:textId="77777777" w:rsidR="00522B99" w:rsidRDefault="006B3BE2">
      <w:pPr>
        <w:pBdr>
          <w:top w:val="nil"/>
          <w:left w:val="nil"/>
          <w:bottom w:val="nil"/>
          <w:right w:val="nil"/>
          <w:between w:val="nil"/>
        </w:pBdr>
        <w:spacing w:after="0"/>
        <w:ind w:left="720"/>
        <w:jc w:val="both"/>
        <w:rPr>
          <w:rFonts w:ascii="Times New Roman" w:eastAsia="Times New Roman" w:hAnsi="Times New Roman" w:cs="Times New Roman"/>
          <w:b/>
        </w:rPr>
      </w:pPr>
      <w:r>
        <w:rPr>
          <w:rFonts w:ascii="Times New Roman" w:eastAsia="Times New Roman" w:hAnsi="Times New Roman" w:cs="Times New Roman"/>
          <w:b/>
        </w:rPr>
        <w:t>In India:</w:t>
      </w:r>
    </w:p>
    <w:p w14:paraId="000000BF" w14:textId="77777777" w:rsidR="00522B99" w:rsidRDefault="006B3BE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 xml:space="preserve">Training women in groups to access land and built infrastructure to work on propagating the </w:t>
      </w:r>
      <w:proofErr w:type="gramStart"/>
      <w:r>
        <w:rPr>
          <w:rFonts w:ascii="Times New Roman" w:eastAsia="Times New Roman" w:hAnsi="Times New Roman" w:cs="Times New Roman"/>
          <w:b/>
        </w:rPr>
        <w:t>following :</w:t>
      </w:r>
      <w:proofErr w:type="gramEnd"/>
      <w:r>
        <w:rPr>
          <w:rFonts w:ascii="Times New Roman" w:eastAsia="Times New Roman" w:hAnsi="Times New Roman" w:cs="Times New Roman"/>
          <w:b/>
        </w:rPr>
        <w:t xml:space="preserve"> </w:t>
      </w:r>
    </w:p>
    <w:p w14:paraId="000000C0" w14:textId="77777777" w:rsidR="00522B99" w:rsidRDefault="006B3BE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 xml:space="preserve"> </w:t>
      </w:r>
    </w:p>
    <w:p w14:paraId="000000C1" w14:textId="77777777" w:rsidR="00522B99" w:rsidRDefault="006B3BE2">
      <w:pPr>
        <w:numPr>
          <w:ilvl w:val="0"/>
          <w:numId w:val="8"/>
        </w:numPr>
        <w:spacing w:after="0" w:line="240" w:lineRule="auto"/>
        <w:ind w:left="1350"/>
        <w:rPr>
          <w:rFonts w:ascii="Times New Roman" w:eastAsia="Times New Roman" w:hAnsi="Times New Roman" w:cs="Times New Roman"/>
        </w:rPr>
      </w:pPr>
      <w:r>
        <w:rPr>
          <w:rFonts w:ascii="Times New Roman" w:eastAsia="Times New Roman" w:hAnsi="Times New Roman" w:cs="Times New Roman"/>
          <w:b/>
        </w:rPr>
        <w:t xml:space="preserve">Mud housing and building housing that has designs to let in air and light to reduce energy load </w:t>
      </w:r>
    </w:p>
    <w:p w14:paraId="000000C2" w14:textId="77777777" w:rsidR="00522B99" w:rsidRDefault="006B3BE2">
      <w:pPr>
        <w:numPr>
          <w:ilvl w:val="0"/>
          <w:numId w:val="8"/>
        </w:numPr>
        <w:spacing w:after="0" w:line="240" w:lineRule="auto"/>
        <w:ind w:left="1350"/>
        <w:rPr>
          <w:rFonts w:ascii="Times New Roman" w:eastAsia="Times New Roman" w:hAnsi="Times New Roman" w:cs="Times New Roman"/>
        </w:rPr>
      </w:pPr>
      <w:r>
        <w:rPr>
          <w:rFonts w:ascii="Times New Roman" w:eastAsia="Times New Roman" w:hAnsi="Times New Roman" w:cs="Times New Roman"/>
          <w:b/>
        </w:rPr>
        <w:t>Increasing forestation and green cover</w:t>
      </w:r>
    </w:p>
    <w:p w14:paraId="000000C3" w14:textId="77777777" w:rsidR="00522B99" w:rsidRDefault="006B3BE2">
      <w:pPr>
        <w:numPr>
          <w:ilvl w:val="0"/>
          <w:numId w:val="8"/>
        </w:numPr>
        <w:spacing w:after="0" w:line="240" w:lineRule="auto"/>
        <w:ind w:left="1350"/>
        <w:rPr>
          <w:rFonts w:ascii="Times New Roman" w:eastAsia="Times New Roman" w:hAnsi="Times New Roman" w:cs="Times New Roman"/>
        </w:rPr>
      </w:pPr>
      <w:r>
        <w:rPr>
          <w:rFonts w:ascii="Times New Roman" w:eastAsia="Times New Roman" w:hAnsi="Times New Roman" w:cs="Times New Roman"/>
          <w:b/>
        </w:rPr>
        <w:t>Increase maki</w:t>
      </w:r>
      <w:r>
        <w:rPr>
          <w:rFonts w:ascii="Times New Roman" w:eastAsia="Times New Roman" w:hAnsi="Times New Roman" w:cs="Times New Roman"/>
          <w:b/>
        </w:rPr>
        <w:t xml:space="preserve">ng water bodies and preserving them </w:t>
      </w:r>
    </w:p>
    <w:p w14:paraId="000000C4" w14:textId="77777777" w:rsidR="00522B99" w:rsidRDefault="006B3BE2">
      <w:pPr>
        <w:numPr>
          <w:ilvl w:val="0"/>
          <w:numId w:val="8"/>
        </w:numPr>
        <w:spacing w:after="0" w:line="240" w:lineRule="auto"/>
        <w:ind w:left="1350"/>
        <w:rPr>
          <w:rFonts w:ascii="Times New Roman" w:eastAsia="Times New Roman" w:hAnsi="Times New Roman" w:cs="Times New Roman"/>
        </w:rPr>
      </w:pPr>
      <w:r>
        <w:rPr>
          <w:rFonts w:ascii="Times New Roman" w:eastAsia="Times New Roman" w:hAnsi="Times New Roman" w:cs="Times New Roman"/>
          <w:b/>
        </w:rPr>
        <w:t xml:space="preserve">Increase </w:t>
      </w:r>
      <w:proofErr w:type="gramStart"/>
      <w:r>
        <w:rPr>
          <w:rFonts w:ascii="Times New Roman" w:eastAsia="Times New Roman" w:hAnsi="Times New Roman" w:cs="Times New Roman"/>
          <w:b/>
        </w:rPr>
        <w:t>wild life</w:t>
      </w:r>
      <w:proofErr w:type="gramEnd"/>
      <w:r>
        <w:rPr>
          <w:rFonts w:ascii="Times New Roman" w:eastAsia="Times New Roman" w:hAnsi="Times New Roman" w:cs="Times New Roman"/>
          <w:b/>
        </w:rPr>
        <w:t xml:space="preserve"> and protecting them better from human conflict</w:t>
      </w:r>
    </w:p>
    <w:p w14:paraId="000000C5"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C6" w14:textId="77777777" w:rsidR="00522B99" w:rsidRDefault="006B3BE2">
      <w:pPr>
        <w:numPr>
          <w:ilvl w:val="0"/>
          <w:numId w:val="6"/>
        </w:numPr>
        <w:pBdr>
          <w:top w:val="nil"/>
          <w:left w:val="nil"/>
          <w:bottom w:val="nil"/>
          <w:right w:val="nil"/>
          <w:between w:val="nil"/>
        </w:pBdr>
        <w:spacing w:after="120"/>
        <w:ind w:left="714" w:hanging="357"/>
        <w:jc w:val="both"/>
        <w:rPr>
          <w:rFonts w:ascii="Times New Roman" w:eastAsia="Times New Roman" w:hAnsi="Times New Roman" w:cs="Times New Roman"/>
        </w:rPr>
      </w:pPr>
      <w:r>
        <w:rPr>
          <w:rFonts w:ascii="Times New Roman" w:eastAsia="Times New Roman" w:hAnsi="Times New Roman" w:cs="Times New Roman"/>
        </w:rPr>
        <w:t>How are different interest groups, including marginalized communities, homeowners and tenants, being consulted, and able to participate in the design, i</w:t>
      </w:r>
      <w:r>
        <w:rPr>
          <w:rFonts w:ascii="Times New Roman" w:eastAsia="Times New Roman" w:hAnsi="Times New Roman" w:cs="Times New Roman"/>
        </w:rPr>
        <w:t xml:space="preserve">mplementation, monitoring and evaluation of: </w:t>
      </w:r>
    </w:p>
    <w:p w14:paraId="000000C7" w14:textId="77777777" w:rsidR="00522B99" w:rsidRDefault="006B3BE2">
      <w:pPr>
        <w:numPr>
          <w:ilvl w:val="0"/>
          <w:numId w:val="9"/>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lastRenderedPageBreak/>
        <w:t xml:space="preserve">legislation, policies, or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been adopted that provide for specific measures to ensure the realization of the right to adequate housing in the face of the climate </w:t>
      </w:r>
      <w:proofErr w:type="gramStart"/>
      <w:r>
        <w:rPr>
          <w:rFonts w:ascii="Times New Roman" w:eastAsia="Times New Roman" w:hAnsi="Times New Roman" w:cs="Times New Roman"/>
        </w:rPr>
        <w:t>crisis;</w:t>
      </w:r>
      <w:proofErr w:type="gramEnd"/>
      <w:r>
        <w:rPr>
          <w:rFonts w:ascii="Times New Roman" w:eastAsia="Times New Roman" w:hAnsi="Times New Roman" w:cs="Times New Roman"/>
        </w:rPr>
        <w:t xml:space="preserve">  </w:t>
      </w:r>
    </w:p>
    <w:p w14:paraId="000000C8" w14:textId="77777777" w:rsidR="00522B99" w:rsidRDefault="006B3BE2">
      <w:pPr>
        <w:numPr>
          <w:ilvl w:val="0"/>
          <w:numId w:val="9"/>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natural disaster preparedness, response and reconstruction, as well as in m</w:t>
      </w:r>
      <w:r>
        <w:rPr>
          <w:rFonts w:ascii="Times New Roman" w:eastAsia="Times New Roman" w:hAnsi="Times New Roman" w:cs="Times New Roman"/>
        </w:rPr>
        <w:t xml:space="preserve">itigation and adaptation </w:t>
      </w:r>
      <w:proofErr w:type="gramStart"/>
      <w:r>
        <w:rPr>
          <w:rFonts w:ascii="Times New Roman" w:eastAsia="Times New Roman" w:hAnsi="Times New Roman" w:cs="Times New Roman"/>
        </w:rPr>
        <w:t>efforts;</w:t>
      </w:r>
      <w:proofErr w:type="gramEnd"/>
      <w:r>
        <w:rPr>
          <w:rFonts w:ascii="Times New Roman" w:eastAsia="Times New Roman" w:hAnsi="Times New Roman" w:cs="Times New Roman"/>
        </w:rPr>
        <w:t xml:space="preserve"> </w:t>
      </w:r>
    </w:p>
    <w:p w14:paraId="000000C9" w14:textId="77777777" w:rsidR="00522B99" w:rsidRDefault="006B3BE2">
      <w:pPr>
        <w:numPr>
          <w:ilvl w:val="0"/>
          <w:numId w:val="9"/>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measures to reduce and eliminate the adverse impacts of the housing sector on climate. </w:t>
      </w:r>
    </w:p>
    <w:p w14:paraId="000000CA" w14:textId="77777777" w:rsidR="00522B99" w:rsidRDefault="00522B99">
      <w:pPr>
        <w:pBdr>
          <w:top w:val="nil"/>
          <w:left w:val="nil"/>
          <w:bottom w:val="nil"/>
          <w:right w:val="nil"/>
          <w:between w:val="nil"/>
        </w:pBdr>
        <w:spacing w:after="0"/>
        <w:jc w:val="both"/>
        <w:rPr>
          <w:rFonts w:ascii="Times New Roman" w:eastAsia="Times New Roman" w:hAnsi="Times New Roman" w:cs="Times New Roman"/>
        </w:rPr>
      </w:pPr>
    </w:p>
    <w:p w14:paraId="000000CB" w14:textId="77777777" w:rsidR="00522B99" w:rsidRDefault="006B3BE2">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b/>
        </w:rPr>
        <w:t>In Spain the system is vertical. There are no spaces for direct citizen participation. The owners and the property have the power of</w:t>
      </w:r>
      <w:r>
        <w:rPr>
          <w:rFonts w:ascii="Times New Roman" w:eastAsia="Times New Roman" w:hAnsi="Times New Roman" w:cs="Times New Roman"/>
          <w:b/>
        </w:rPr>
        <w:t xml:space="preserve"> decision.</w:t>
      </w:r>
    </w:p>
    <w:p w14:paraId="000000CC" w14:textId="77777777" w:rsidR="00522B99" w:rsidRDefault="00522B99">
      <w:pPr>
        <w:pBdr>
          <w:top w:val="nil"/>
          <w:left w:val="nil"/>
          <w:bottom w:val="nil"/>
          <w:right w:val="nil"/>
          <w:between w:val="nil"/>
        </w:pBdr>
        <w:spacing w:after="0"/>
        <w:ind w:left="720"/>
        <w:rPr>
          <w:rFonts w:ascii="Times New Roman" w:eastAsia="Times New Roman" w:hAnsi="Times New Roman" w:cs="Times New Roman"/>
        </w:rPr>
      </w:pPr>
    </w:p>
    <w:p w14:paraId="000000CD" w14:textId="77777777" w:rsidR="00522B99" w:rsidRDefault="006B3BE2">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What is the role of international cooperation, technology transfer and development assistance of States and multilateral agencies to ensure a just transition?</w:t>
      </w:r>
    </w:p>
    <w:p w14:paraId="000000CE" w14:textId="77777777" w:rsidR="00522B99" w:rsidRDefault="006B3BE2">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b/>
        </w:rPr>
        <w:t>In Spain, the support is reduced to internal aid from the European Union.</w:t>
      </w:r>
    </w:p>
    <w:p w14:paraId="000000CF" w14:textId="77777777" w:rsidR="00522B99" w:rsidRDefault="00522B99">
      <w:pPr>
        <w:spacing w:after="0"/>
        <w:jc w:val="both"/>
        <w:rPr>
          <w:rFonts w:ascii="Times New Roman" w:eastAsia="Times New Roman" w:hAnsi="Times New Roman" w:cs="Times New Roman"/>
        </w:rPr>
      </w:pPr>
    </w:p>
    <w:p w14:paraId="000000D0" w14:textId="77777777" w:rsidR="00522B99" w:rsidRDefault="00522B99">
      <w:pPr>
        <w:pBdr>
          <w:top w:val="nil"/>
          <w:left w:val="nil"/>
          <w:bottom w:val="nil"/>
          <w:right w:val="nil"/>
          <w:between w:val="nil"/>
        </w:pBdr>
        <w:spacing w:after="0"/>
        <w:jc w:val="both"/>
        <w:rPr>
          <w:rFonts w:ascii="Times New Roman" w:eastAsia="Times New Roman" w:hAnsi="Times New Roman" w:cs="Times New Roman"/>
        </w:rPr>
      </w:pPr>
    </w:p>
    <w:p w14:paraId="000000D1" w14:textId="77777777" w:rsidR="00522B99" w:rsidRDefault="006B3BE2">
      <w:pPr>
        <w:numPr>
          <w:ilvl w:val="0"/>
          <w:numId w:val="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What are the main bar</w:t>
      </w:r>
      <w:r>
        <w:rPr>
          <w:rFonts w:ascii="Times New Roman" w:eastAsia="Times New Roman" w:hAnsi="Times New Roman" w:cs="Times New Roman"/>
        </w:rPr>
        <w:t>riers to achieving such a just transition?</w:t>
      </w:r>
    </w:p>
    <w:p w14:paraId="000000D2" w14:textId="77777777" w:rsidR="00522B99" w:rsidRDefault="006B3BE2">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Some barriers identified in Spain:</w:t>
      </w:r>
    </w:p>
    <w:p w14:paraId="000000D3" w14:textId="77777777" w:rsidR="00522B99" w:rsidRDefault="006B3BE2">
      <w:pPr>
        <w:ind w:left="720"/>
        <w:jc w:val="both"/>
        <w:rPr>
          <w:rFonts w:ascii="Times New Roman" w:eastAsia="Times New Roman" w:hAnsi="Times New Roman" w:cs="Times New Roman"/>
          <w:b/>
        </w:rPr>
      </w:pPr>
      <w:r>
        <w:rPr>
          <w:rFonts w:ascii="Times New Roman" w:eastAsia="Times New Roman" w:hAnsi="Times New Roman" w:cs="Times New Roman"/>
          <w:b/>
        </w:rPr>
        <w:t>- Lack of public and private money dedicated to the integral reconversion of the housing stock. Lack of good practices and transfer of knowledge and green technology from Northern Europe.</w:t>
      </w:r>
    </w:p>
    <w:p w14:paraId="000000D4" w14:textId="77777777" w:rsidR="00522B99" w:rsidRDefault="006B3BE2">
      <w:pPr>
        <w:ind w:left="720"/>
        <w:jc w:val="both"/>
        <w:rPr>
          <w:rFonts w:ascii="Times New Roman" w:eastAsia="Times New Roman" w:hAnsi="Times New Roman" w:cs="Times New Roman"/>
        </w:rPr>
      </w:pPr>
      <w:r>
        <w:rPr>
          <w:rFonts w:ascii="Times New Roman" w:eastAsia="Times New Roman" w:hAnsi="Times New Roman" w:cs="Times New Roman"/>
          <w:b/>
        </w:rPr>
        <w:t>- The energy oligopoly delays the energy transition and prevents pub</w:t>
      </w:r>
      <w:r>
        <w:rPr>
          <w:rFonts w:ascii="Times New Roman" w:eastAsia="Times New Roman" w:hAnsi="Times New Roman" w:cs="Times New Roman"/>
          <w:b/>
        </w:rPr>
        <w:t xml:space="preserve">lic participation and democratization of the just ecological transition, going against the international mandate of the implementation of the Paris Agreement and the Glasgow Green Pact in the light of equity. </w:t>
      </w:r>
    </w:p>
    <w:p w14:paraId="000000D5" w14:textId="77777777" w:rsidR="00522B99" w:rsidRDefault="006B3BE2">
      <w:pPr>
        <w:jc w:val="both"/>
        <w:rPr>
          <w:rFonts w:ascii="Times New Roman" w:eastAsia="Times New Roman" w:hAnsi="Times New Roman" w:cs="Times New Roman"/>
          <w:b/>
          <w:i/>
        </w:rPr>
      </w:pPr>
      <w:r>
        <w:rPr>
          <w:rFonts w:ascii="Times New Roman" w:eastAsia="Times New Roman" w:hAnsi="Times New Roman" w:cs="Times New Roman"/>
          <w:b/>
          <w:i/>
        </w:rPr>
        <w:t>Other issues</w:t>
      </w:r>
    </w:p>
    <w:p w14:paraId="000000D6" w14:textId="77777777" w:rsidR="00522B99" w:rsidRDefault="006B3BE2">
      <w:pPr>
        <w:numPr>
          <w:ilvl w:val="0"/>
          <w:numId w:val="6"/>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Please use this space to indicate</w:t>
      </w:r>
      <w:r>
        <w:rPr>
          <w:rFonts w:ascii="Times New Roman" w:eastAsia="Times New Roman" w:hAnsi="Times New Roman" w:cs="Times New Roman"/>
        </w:rPr>
        <w:t xml:space="preserve"> any issue that should be considered for this report.</w:t>
      </w:r>
    </w:p>
    <w:p w14:paraId="000000D7" w14:textId="77777777" w:rsidR="00522B99" w:rsidRDefault="00522B99">
      <w:pPr>
        <w:jc w:val="both"/>
        <w:rPr>
          <w:rFonts w:ascii="Times New Roman" w:eastAsia="Times New Roman" w:hAnsi="Times New Roman" w:cs="Times New Roman"/>
        </w:rPr>
      </w:pPr>
    </w:p>
    <w:p w14:paraId="000000D8" w14:textId="77777777" w:rsidR="00522B99" w:rsidRDefault="00522B99">
      <w:pPr>
        <w:jc w:val="both"/>
        <w:rPr>
          <w:rFonts w:ascii="Times New Roman" w:eastAsia="Times New Roman" w:hAnsi="Times New Roman" w:cs="Times New Roman"/>
        </w:rPr>
      </w:pPr>
    </w:p>
    <w:p w14:paraId="000000D9" w14:textId="77777777" w:rsidR="00522B99" w:rsidRDefault="006B3BE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Submission instructions</w:t>
      </w:r>
    </w:p>
    <w:p w14:paraId="142B98E5" w14:textId="77777777" w:rsidR="006B3BE2" w:rsidRDefault="006B3BE2">
      <w:pPr>
        <w:spacing w:line="240" w:lineRule="auto"/>
        <w:rPr>
          <w:rFonts w:ascii="Times New Roman" w:eastAsia="Times New Roman" w:hAnsi="Times New Roman" w:cs="Times New Roman"/>
          <w:b/>
        </w:rPr>
      </w:pPr>
    </w:p>
    <w:p w14:paraId="000000DC" w14:textId="4C05C38B" w:rsidR="00522B99" w:rsidRDefault="006B3BE2">
      <w:pPr>
        <w:spacing w:line="240" w:lineRule="auto"/>
        <w:rPr>
          <w:rFonts w:ascii="Times New Roman" w:eastAsia="Times New Roman" w:hAnsi="Times New Roman" w:cs="Times New Roman"/>
        </w:rPr>
      </w:pPr>
      <w:r>
        <w:rPr>
          <w:rFonts w:ascii="Times New Roman" w:eastAsia="Times New Roman" w:hAnsi="Times New Roman" w:cs="Times New Roman"/>
          <w:b/>
        </w:rPr>
        <w:t>Email subject line:</w:t>
      </w:r>
      <w:r>
        <w:rPr>
          <w:rFonts w:ascii="Times New Roman" w:eastAsia="Times New Roman" w:hAnsi="Times New Roman" w:cs="Times New Roman"/>
        </w:rPr>
        <w:t xml:space="preserve"> Input for SR housing - report on climate change </w:t>
      </w:r>
    </w:p>
    <w:p w14:paraId="000000DD" w14:textId="77777777" w:rsidR="00522B99" w:rsidRDefault="006B3BE2">
      <w:pPr>
        <w:spacing w:line="240" w:lineRule="auto"/>
        <w:rPr>
          <w:rFonts w:ascii="Times New Roman" w:eastAsia="Times New Roman" w:hAnsi="Times New Roman" w:cs="Times New Roman"/>
        </w:rPr>
      </w:pPr>
      <w:r>
        <w:rPr>
          <w:rFonts w:ascii="Times New Roman" w:eastAsia="Times New Roman" w:hAnsi="Times New Roman" w:cs="Times New Roman"/>
          <w:b/>
        </w:rPr>
        <w:t>Accepted File formats:</w:t>
      </w:r>
      <w:r>
        <w:rPr>
          <w:rFonts w:ascii="Times New Roman" w:eastAsia="Times New Roman" w:hAnsi="Times New Roman" w:cs="Times New Roman"/>
        </w:rPr>
        <w:t xml:space="preserve"> Word only (supporting documents may as well be submitted in PDF)</w:t>
      </w:r>
    </w:p>
    <w:p w14:paraId="000000DE" w14:textId="77777777" w:rsidR="00522B99" w:rsidRDefault="006B3BE2">
      <w:pPr>
        <w:jc w:val="both"/>
        <w:rPr>
          <w:rFonts w:ascii="Times New Roman" w:eastAsia="Times New Roman" w:hAnsi="Times New Roman" w:cs="Times New Roman"/>
        </w:rPr>
      </w:pPr>
      <w:r>
        <w:rPr>
          <w:rFonts w:ascii="Times New Roman" w:eastAsia="Times New Roman" w:hAnsi="Times New Roman" w:cs="Times New Roman"/>
          <w:b/>
        </w:rPr>
        <w:t xml:space="preserve">Accepted languages: </w:t>
      </w:r>
      <w:r>
        <w:rPr>
          <w:rFonts w:ascii="Times New Roman" w:eastAsia="Times New Roman" w:hAnsi="Times New Roman" w:cs="Times New Roman"/>
        </w:rPr>
        <w:t>English, F</w:t>
      </w:r>
      <w:r>
        <w:rPr>
          <w:rFonts w:ascii="Times New Roman" w:eastAsia="Times New Roman" w:hAnsi="Times New Roman" w:cs="Times New Roman"/>
        </w:rPr>
        <w:t>rench and Spanish</w:t>
      </w:r>
    </w:p>
    <w:p w14:paraId="000000DF" w14:textId="77777777" w:rsidR="00522B99" w:rsidRDefault="006B3BE2">
      <w:pPr>
        <w:jc w:val="both"/>
        <w:rPr>
          <w:rFonts w:ascii="Times New Roman" w:eastAsia="Times New Roman" w:hAnsi="Times New Roman" w:cs="Times New Roman"/>
        </w:rPr>
      </w:pPr>
      <w:r>
        <w:rPr>
          <w:rFonts w:ascii="Times New Roman" w:eastAsia="Times New Roman" w:hAnsi="Times New Roman" w:cs="Times New Roman"/>
        </w:rPr>
        <w:t xml:space="preserve">Please include references to reports, academic articles, policy documents, text of legislation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judgements, statistical information with hyperlinks to their full text or source or attach them to your submission (please respect total f</w:t>
      </w:r>
      <w:r>
        <w:rPr>
          <w:rFonts w:ascii="Times New Roman" w:eastAsia="Times New Roman" w:hAnsi="Times New Roman" w:cs="Times New Roman"/>
        </w:rPr>
        <w:t>ile size limit of 20 MB to ensure that it can be received)</w:t>
      </w:r>
    </w:p>
    <w:p w14:paraId="000000E0" w14:textId="77777777" w:rsidR="00522B99" w:rsidRDefault="006B3BE2">
      <w:pPr>
        <w:jc w:val="both"/>
        <w:rPr>
          <w:rFonts w:ascii="Times New Roman" w:eastAsia="Times New Roman" w:hAnsi="Times New Roman" w:cs="Times New Roman"/>
        </w:rPr>
      </w:pPr>
      <w:r>
        <w:rPr>
          <w:rFonts w:ascii="Times New Roman" w:eastAsia="Times New Roman" w:hAnsi="Times New Roman" w:cs="Times New Roman"/>
          <w:b/>
        </w:rPr>
        <w:t xml:space="preserve">Potential confidentiality: </w:t>
      </w:r>
      <w:r>
        <w:rPr>
          <w:rFonts w:ascii="Times New Roman" w:eastAsia="Times New Roman" w:hAnsi="Times New Roman" w:cs="Times New Roman"/>
        </w:rPr>
        <w:t xml:space="preserve">Please indicate on top of this questionnaire and in your e-mail if you want to have this submission or any </w:t>
      </w:r>
      <w:proofErr w:type="gramStart"/>
      <w:r>
        <w:rPr>
          <w:rFonts w:ascii="Times New Roman" w:eastAsia="Times New Roman" w:hAnsi="Times New Roman" w:cs="Times New Roman"/>
        </w:rPr>
        <w:t>particular attachment</w:t>
      </w:r>
      <w:proofErr w:type="gramEnd"/>
      <w:r>
        <w:rPr>
          <w:rFonts w:ascii="Times New Roman" w:eastAsia="Times New Roman" w:hAnsi="Times New Roman" w:cs="Times New Roman"/>
        </w:rPr>
        <w:t xml:space="preserve"> not to be published on the website of the</w:t>
      </w:r>
      <w:r>
        <w:rPr>
          <w:rFonts w:ascii="Times New Roman" w:eastAsia="Times New Roman" w:hAnsi="Times New Roman" w:cs="Times New Roman"/>
        </w:rPr>
        <w:t xml:space="preserve"> Special Rapporteur and treated as confidential.</w:t>
      </w:r>
    </w:p>
    <w:p w14:paraId="000000E1" w14:textId="67954428" w:rsidR="00522B99" w:rsidRDefault="00522B99">
      <w:pPr>
        <w:jc w:val="both"/>
        <w:rPr>
          <w:rFonts w:ascii="Times New Roman" w:eastAsia="Times New Roman" w:hAnsi="Times New Roman" w:cs="Times New Roman"/>
        </w:rPr>
      </w:pPr>
    </w:p>
    <w:sectPr w:rsidR="00522B99">
      <w:footerReference w:type="default" r:id="rId3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F982" w14:textId="77777777" w:rsidR="00000000" w:rsidRDefault="006B3BE2">
      <w:pPr>
        <w:spacing w:after="0" w:line="240" w:lineRule="auto"/>
      </w:pPr>
      <w:r>
        <w:separator/>
      </w:r>
    </w:p>
  </w:endnote>
  <w:endnote w:type="continuationSeparator" w:id="0">
    <w:p w14:paraId="7686F20F" w14:textId="77777777" w:rsidR="00000000" w:rsidRDefault="006B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2" w14:textId="19CEB382" w:rsidR="00522B99" w:rsidRDefault="006B3BE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03" w14:textId="77777777" w:rsidR="00522B99" w:rsidRDefault="00522B9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55E4" w14:textId="77777777" w:rsidR="00000000" w:rsidRDefault="006B3BE2">
      <w:pPr>
        <w:spacing w:after="0" w:line="240" w:lineRule="auto"/>
      </w:pPr>
      <w:r>
        <w:separator/>
      </w:r>
    </w:p>
  </w:footnote>
  <w:footnote w:type="continuationSeparator" w:id="0">
    <w:p w14:paraId="5F839594" w14:textId="77777777" w:rsidR="00000000" w:rsidRDefault="006B3BE2">
      <w:pPr>
        <w:spacing w:after="0" w:line="240" w:lineRule="auto"/>
      </w:pPr>
      <w:r>
        <w:continuationSeparator/>
      </w:r>
    </w:p>
  </w:footnote>
  <w:footnote w:id="1">
    <w:p w14:paraId="000000E2" w14:textId="77777777" w:rsidR="00522B99" w:rsidRDefault="006B3BE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Under international law, the right to adequate housing is more than having four walls and a roof. It is essentially the right to live in a place in peace, security and dignity. Housing adequacy covers the following seven essential elements: legal security </w:t>
      </w:r>
      <w:r>
        <w:rPr>
          <w:rFonts w:ascii="Times New Roman" w:eastAsia="Times New Roman" w:hAnsi="Times New Roman" w:cs="Times New Roman"/>
          <w:color w:val="000000"/>
          <w:sz w:val="20"/>
          <w:szCs w:val="20"/>
        </w:rPr>
        <w:t>of tenure; availability of services, materials, facilities and infrastructure; affordability; habitability; accessibility; location; and cultural adequacy. For organizations and stakeholders that may not be as familiar with the right to adequate housing in</w:t>
      </w:r>
      <w:r>
        <w:rPr>
          <w:rFonts w:ascii="Times New Roman" w:eastAsia="Times New Roman" w:hAnsi="Times New Roman" w:cs="Times New Roman"/>
          <w:color w:val="000000"/>
          <w:sz w:val="20"/>
          <w:szCs w:val="20"/>
        </w:rPr>
        <w:t xml:space="preserve"> international human rights law, please consult General Comment No. 4 of the UN Committee on Economic, Social and Cultural Rights, available </w:t>
      </w:r>
      <w:hyperlink r:id="rId1">
        <w:r>
          <w:rPr>
            <w:rFonts w:ascii="Times New Roman" w:eastAsia="Times New Roman" w:hAnsi="Times New Roman" w:cs="Times New Roman"/>
            <w:color w:val="0563C1"/>
            <w:sz w:val="20"/>
            <w:szCs w:val="20"/>
            <w:u w:val="single"/>
          </w:rPr>
          <w:t>here</w:t>
        </w:r>
      </w:hyperlink>
      <w:r>
        <w:rPr>
          <w:rFonts w:ascii="Times New Roman" w:eastAsia="Times New Roman" w:hAnsi="Times New Roman" w:cs="Times New Roman"/>
          <w:color w:val="000000"/>
          <w:sz w:val="20"/>
          <w:szCs w:val="20"/>
        </w:rPr>
        <w:t>.</w:t>
      </w:r>
    </w:p>
  </w:footnote>
  <w:footnote w:id="2">
    <w:p w14:paraId="000000E3" w14:textId="77777777" w:rsidR="00522B99" w:rsidRDefault="006B3BE2">
      <w:pPr>
        <w:pBdr>
          <w:top w:val="nil"/>
          <w:left w:val="nil"/>
          <w:bottom w:val="nil"/>
          <w:right w:val="nil"/>
          <w:between w:val="nil"/>
        </w:pBdr>
        <w:spacing w:after="12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t>Applying human rights methodology, to determine who is a “victim” (affected person). two elements are necessary: (1) at least one of her/his codified and identifiable human rights must be breached, including through abuse of po</w:t>
      </w:r>
      <w:r>
        <w:rPr>
          <w:color w:val="000000"/>
          <w:sz w:val="18"/>
          <w:szCs w:val="18"/>
        </w:rPr>
        <w:t xml:space="preserve">wer (UN General Assembly, Declaration of Basic Principles of Justice for Victims of Crime and Abuse of Power, A/RES/40/34, 29 November 1985, </w:t>
      </w:r>
      <w:hyperlink r:id="rId2">
        <w:r>
          <w:rPr>
            <w:color w:val="0563C1"/>
            <w:sz w:val="18"/>
            <w:szCs w:val="18"/>
            <w:u w:val="single"/>
          </w:rPr>
          <w:t>https</w:t>
        </w:r>
        <w:r>
          <w:rPr>
            <w:color w:val="0563C1"/>
            <w:sz w:val="18"/>
            <w:szCs w:val="18"/>
            <w:u w:val="single"/>
          </w:rPr>
          <w:t>://documents-dds-ny.un.org/doc/RESOLUTION/GEN/NR0/477/41/IMG/NR047741.pdf?OpenElement</w:t>
        </w:r>
      </w:hyperlink>
      <w:r>
        <w:rPr>
          <w:color w:val="000000"/>
          <w:sz w:val="18"/>
          <w:szCs w:val="18"/>
        </w:rPr>
        <w:t>) and (2) the act or event must have a causative relationship to a duty bearer. In the case of a gross violation of human rights or international humanitarian law, the vic</w:t>
      </w:r>
      <w:r>
        <w:rPr>
          <w:color w:val="000000"/>
          <w:sz w:val="18"/>
          <w:szCs w:val="18"/>
        </w:rPr>
        <w:t xml:space="preserve">tim is entitled to reparations (UN General Assembly, Declaration of Basic Principles of Justice for Victims of Crime and Abuse of Power, A/RES/40/34, 29 November 1985, </w:t>
      </w:r>
      <w:hyperlink r:id="rId3">
        <w:r>
          <w:rPr>
            <w:color w:val="0563C1"/>
            <w:sz w:val="18"/>
            <w:szCs w:val="18"/>
            <w:u w:val="single"/>
          </w:rPr>
          <w:t>https://documents-dds-ny.un.org/doc/RESOLUTION/GEN/NR0/477/41/IMG/NR047741.pdf?OpenElement</w:t>
        </w:r>
      </w:hyperlink>
      <w:r>
        <w:rPr>
          <w:color w:val="000000"/>
          <w:sz w:val="18"/>
          <w:szCs w:val="18"/>
        </w:rPr>
        <w:t>), regardless of whether or not the duty bearer(s)/responsible party(</w:t>
      </w:r>
      <w:proofErr w:type="spellStart"/>
      <w:r>
        <w:rPr>
          <w:color w:val="000000"/>
          <w:sz w:val="18"/>
          <w:szCs w:val="18"/>
        </w:rPr>
        <w:t>ies</w:t>
      </w:r>
      <w:proofErr w:type="spellEnd"/>
      <w:r>
        <w:rPr>
          <w:color w:val="000000"/>
          <w:sz w:val="18"/>
          <w:szCs w:val="18"/>
        </w:rPr>
        <w:t>) are identified, pursued, apprehended, prosecuted or convicted. The hum</w:t>
      </w:r>
      <w:r>
        <w:rPr>
          <w:color w:val="000000"/>
          <w:sz w:val="18"/>
          <w:szCs w:val="18"/>
        </w:rPr>
        <w:t xml:space="preserve">an rights approach in such situations prioritizes the recognition of, and remedy for victims, especially if restorative justice is sought (as distinct from retributive justice. (See “Justice (theories of),” The </w:t>
      </w:r>
      <w:proofErr w:type="spellStart"/>
      <w:r>
        <w:rPr>
          <w:color w:val="000000"/>
          <w:sz w:val="18"/>
          <w:szCs w:val="18"/>
        </w:rPr>
        <w:t>HICtionary</w:t>
      </w:r>
      <w:proofErr w:type="spellEnd"/>
      <w:r>
        <w:rPr>
          <w:color w:val="000000"/>
          <w:sz w:val="18"/>
          <w:szCs w:val="18"/>
        </w:rPr>
        <w:t>: Key Habitat Terms (Cairo: HIC-HJL</w:t>
      </w:r>
      <w:r>
        <w:rPr>
          <w:color w:val="000000"/>
          <w:sz w:val="18"/>
          <w:szCs w:val="18"/>
        </w:rPr>
        <w:t xml:space="preserve">RN, 2022), p. 49, </w:t>
      </w:r>
      <w:hyperlink r:id="rId4">
        <w:r>
          <w:rPr>
            <w:color w:val="0563C1"/>
            <w:sz w:val="18"/>
            <w:szCs w:val="18"/>
            <w:u w:val="single"/>
          </w:rPr>
          <w:t>http://www.hlrn.org/img/documents/HICtionary.pdf</w:t>
        </w:r>
      </w:hyperlink>
      <w:r>
        <w:rPr>
          <w:color w:val="000000"/>
          <w:sz w:val="18"/>
          <w:szCs w:val="18"/>
        </w:rPr>
        <w:t>.)</w:t>
      </w:r>
    </w:p>
    <w:p w14:paraId="000000E4"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color w:val="000000"/>
          <w:sz w:val="18"/>
          <w:szCs w:val="18"/>
        </w:rPr>
        <w:tab/>
      </w:r>
      <w:r>
        <w:rPr>
          <w:color w:val="000000"/>
          <w:sz w:val="18"/>
          <w:szCs w:val="18"/>
        </w:rPr>
        <w:t>Human-caused environmental degradation may already be considered a violation (of the human right to a safe, clean, healthy and sustainable environment, as the UN Human Rights Council recognized in October 2021. (Human Rights Council, The human right to a c</w:t>
      </w:r>
      <w:r>
        <w:rPr>
          <w:color w:val="000000"/>
          <w:sz w:val="18"/>
          <w:szCs w:val="18"/>
        </w:rPr>
        <w:t xml:space="preserve">lean, healthy and sustainable environment, A/HRC/RES/48/13, 18 October 2021, </w:t>
      </w:r>
      <w:hyperlink r:id="rId5">
        <w:r>
          <w:rPr>
            <w:color w:val="0563C1"/>
            <w:sz w:val="18"/>
            <w:szCs w:val="18"/>
            <w:u w:val="single"/>
          </w:rPr>
          <w:t>https://documents-dds-ny.un.org/doc/UNDOC/GEN/G21/289/50/PDF/G2128950.pdf?</w:t>
        </w:r>
        <w:r>
          <w:rPr>
            <w:color w:val="0563C1"/>
            <w:sz w:val="18"/>
            <w:szCs w:val="18"/>
            <w:u w:val="single"/>
          </w:rPr>
          <w:t>OpenElement</w:t>
        </w:r>
      </w:hyperlink>
      <w:r>
        <w:rPr>
          <w:color w:val="000000"/>
          <w:sz w:val="18"/>
          <w:szCs w:val="18"/>
        </w:rPr>
        <w:t xml:space="preserve">.) </w:t>
      </w:r>
      <w:proofErr w:type="spellStart"/>
      <w:r>
        <w:rPr>
          <w:color w:val="000000"/>
          <w:sz w:val="18"/>
          <w:szCs w:val="18"/>
        </w:rPr>
        <w:t>owever</w:t>
      </w:r>
      <w:proofErr w:type="spellEnd"/>
      <w:r>
        <w:rPr>
          <w:color w:val="000000"/>
          <w:sz w:val="18"/>
          <w:szCs w:val="18"/>
        </w:rPr>
        <w:t>, no corresponding state obligations have yet been codified.</w:t>
      </w:r>
    </w:p>
  </w:footnote>
  <w:footnote w:id="3">
    <w:p w14:paraId="000000E5" w14:textId="77777777" w:rsidR="00522B99" w:rsidRDefault="006B3BE2">
      <w:pPr>
        <w:pBdr>
          <w:top w:val="nil"/>
          <w:left w:val="nil"/>
          <w:bottom w:val="nil"/>
          <w:right w:val="nil"/>
          <w:between w:val="nil"/>
        </w:pBdr>
        <w:spacing w:after="12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t>The International Law Commission (ILC) has addressed the concept of foreseeability in the general subject of state responsibility: “To have been ‘unforeseen,’ the event mus</w:t>
      </w:r>
      <w:r>
        <w:rPr>
          <w:color w:val="000000"/>
          <w:sz w:val="18"/>
          <w:szCs w:val="18"/>
        </w:rPr>
        <w:t xml:space="preserve">t have been neither foreseen, nor of an easily foreseeable kind.” (ILC, , Report of the Fifty-Third Session, Responsibility of States for Internationally Wrongful Acts, 53rd session, A/56/10 (2001), Article 23, comment 2, </w:t>
      </w:r>
      <w:hyperlink r:id="rId6">
        <w:r>
          <w:rPr>
            <w:color w:val="0563C1"/>
            <w:sz w:val="18"/>
            <w:szCs w:val="18"/>
            <w:u w:val="single"/>
          </w:rPr>
          <w:t>https://documents-dds-ny.un.org/doc/UNDOC/GEN/N01/557/81/IMG/N0155781.pdf?OpenElement</w:t>
        </w:r>
      </w:hyperlink>
      <w:r>
        <w:rPr>
          <w:color w:val="000000"/>
          <w:sz w:val="18"/>
          <w:szCs w:val="18"/>
        </w:rPr>
        <w:t>.) The ILC’s commentary, thus, points to two dimensions of foreseeability; that is (1) whether the r</w:t>
      </w:r>
      <w:r>
        <w:rPr>
          <w:color w:val="000000"/>
          <w:sz w:val="18"/>
          <w:szCs w:val="18"/>
        </w:rPr>
        <w:t xml:space="preserve">esult was </w:t>
      </w:r>
      <w:proofErr w:type="gramStart"/>
      <w:r>
        <w:rPr>
          <w:color w:val="000000"/>
          <w:sz w:val="18"/>
          <w:szCs w:val="18"/>
        </w:rPr>
        <w:t>actually foreseen</w:t>
      </w:r>
      <w:proofErr w:type="gramEnd"/>
      <w:r>
        <w:rPr>
          <w:color w:val="000000"/>
          <w:sz w:val="18"/>
          <w:szCs w:val="18"/>
        </w:rPr>
        <w:t xml:space="preserve"> and (2) whether the result should have been foreseen. The second strand of foreseeability involves a normative dimension, as it requires assessing whether, at the time of conduct, state parties took steps to obtain the scientifi</w:t>
      </w:r>
      <w:r>
        <w:rPr>
          <w:color w:val="000000"/>
          <w:sz w:val="18"/>
          <w:szCs w:val="18"/>
        </w:rPr>
        <w:t>c and other knowledge necessary to undertake a determination of risk. This normative dimension underscores the importance of foreseeability as a limiting element of the fault-based standard in contrast with a strict-liability standard.</w:t>
      </w:r>
    </w:p>
    <w:p w14:paraId="000000E6" w14:textId="77777777" w:rsidR="00522B99" w:rsidRDefault="006B3BE2">
      <w:pPr>
        <w:pBdr>
          <w:top w:val="nil"/>
          <w:left w:val="nil"/>
          <w:bottom w:val="nil"/>
          <w:right w:val="nil"/>
          <w:between w:val="nil"/>
        </w:pBdr>
        <w:spacing w:after="120" w:line="240" w:lineRule="auto"/>
        <w:ind w:left="170" w:hanging="170"/>
        <w:jc w:val="both"/>
        <w:rPr>
          <w:color w:val="000000"/>
          <w:sz w:val="18"/>
          <w:szCs w:val="18"/>
          <w:vertAlign w:val="superscript"/>
        </w:rPr>
      </w:pPr>
      <w:r>
        <w:rPr>
          <w:color w:val="000000"/>
          <w:sz w:val="18"/>
          <w:szCs w:val="18"/>
        </w:rPr>
        <w:tab/>
        <w:t>The ILC has also ad</w:t>
      </w:r>
      <w:r>
        <w:rPr>
          <w:color w:val="000000"/>
          <w:sz w:val="18"/>
          <w:szCs w:val="18"/>
        </w:rPr>
        <w:t>dressed the issues of foreseeability and causality in the context of environmental cross-border harm. (See International Law Commission (ILC), Draft Principles on the Allocation of Loss in the Case of Transboundary Harm Arising out of Hazardous Activities,</w:t>
      </w:r>
      <w:r>
        <w:rPr>
          <w:color w:val="000000"/>
          <w:sz w:val="18"/>
          <w:szCs w:val="18"/>
        </w:rPr>
        <w:t xml:space="preserve"> Report of the International Law Commission, 58th Session, para. 44–46, Principle 4, Commentary, para. 16, A/61/10 (2006), </w:t>
      </w:r>
      <w:hyperlink r:id="rId7">
        <w:r>
          <w:rPr>
            <w:color w:val="0563C1"/>
            <w:sz w:val="18"/>
            <w:szCs w:val="18"/>
            <w:u w:val="single"/>
          </w:rPr>
          <w:t>https://documents-dds-ny.un.</w:t>
        </w:r>
        <w:r>
          <w:rPr>
            <w:color w:val="0563C1"/>
            <w:sz w:val="18"/>
            <w:szCs w:val="18"/>
            <w:u w:val="single"/>
          </w:rPr>
          <w:t>org/doc/UNDOC/GEN/G06/636/20/PDF/G0663620.pdf?OpenElement</w:t>
        </w:r>
      </w:hyperlink>
      <w:r>
        <w:rPr>
          <w:color w:val="000000"/>
          <w:sz w:val="18"/>
          <w:szCs w:val="18"/>
        </w:rPr>
        <w:t>. It reads: “The principle of causation is linked to questions of foreseeability and proximity or direct loss. Courts in different jurisdictions have applied the principles and notions of proximate c</w:t>
      </w:r>
      <w:r>
        <w:rPr>
          <w:color w:val="000000"/>
          <w:sz w:val="18"/>
          <w:szCs w:val="18"/>
        </w:rPr>
        <w:t>ause, adequate causation, foreseeability and remoteness of the damage. This is a highly discretionary and unpredictable branch of law. Different jurisdictions have applied these concepts with different results. It may be mentioned that the test of proximit</w:t>
      </w:r>
      <w:r>
        <w:rPr>
          <w:color w:val="000000"/>
          <w:sz w:val="18"/>
          <w:szCs w:val="18"/>
        </w:rPr>
        <w:t xml:space="preserve">y seems to have been gradually eased in modern tort law. Developments have moved from strict </w:t>
      </w:r>
      <w:proofErr w:type="spellStart"/>
      <w:r>
        <w:rPr>
          <w:i/>
          <w:color w:val="000000"/>
          <w:sz w:val="18"/>
          <w:szCs w:val="18"/>
        </w:rPr>
        <w:t>condicio</w:t>
      </w:r>
      <w:proofErr w:type="spellEnd"/>
      <w:r>
        <w:rPr>
          <w:i/>
          <w:color w:val="000000"/>
          <w:sz w:val="18"/>
          <w:szCs w:val="18"/>
        </w:rPr>
        <w:t xml:space="preserve"> sine qua non</w:t>
      </w:r>
      <w:r>
        <w:rPr>
          <w:color w:val="000000"/>
          <w:sz w:val="18"/>
          <w:szCs w:val="18"/>
        </w:rPr>
        <w:t xml:space="preserve"> theory over the foreseeability (‘adequacy’) test to a less-stringent causation test, requiring only the “reasonable imputation” of damage.”)</w:t>
      </w:r>
      <w:r>
        <w:rPr>
          <w:color w:val="000000"/>
          <w:sz w:val="18"/>
          <w:szCs w:val="18"/>
          <w:vertAlign w:val="superscript"/>
        </w:rPr>
        <w:t xml:space="preserve"> </w:t>
      </w:r>
    </w:p>
    <w:p w14:paraId="000000E7" w14:textId="77777777" w:rsidR="00522B99" w:rsidRDefault="006B3BE2">
      <w:pPr>
        <w:pBdr>
          <w:top w:val="nil"/>
          <w:left w:val="nil"/>
          <w:bottom w:val="nil"/>
          <w:right w:val="nil"/>
          <w:between w:val="nil"/>
        </w:pBdr>
        <w:spacing w:after="0" w:line="240" w:lineRule="auto"/>
        <w:ind w:left="170" w:hanging="170"/>
        <w:jc w:val="both"/>
        <w:rPr>
          <w:color w:val="000000"/>
          <w:sz w:val="20"/>
          <w:szCs w:val="20"/>
        </w:rPr>
      </w:pPr>
      <w:r>
        <w:rPr>
          <w:color w:val="000000"/>
          <w:sz w:val="18"/>
          <w:szCs w:val="18"/>
        </w:rPr>
        <w:tab/>
        <w:t>For example, the ILC comments: “the extent to which civil liability makes the polluter pay for environmental damage depends on a variety of factors. If liability is based on negligence, not only does this have to be proved, but harm [that] is neither rea</w:t>
      </w:r>
      <w:r>
        <w:rPr>
          <w:color w:val="000000"/>
          <w:sz w:val="18"/>
          <w:szCs w:val="18"/>
        </w:rPr>
        <w:t>sonably foreseeable nor reasonably avoidable will not be compensated, and the victim or the taxpayer, not the polluter, will bear the loss. Strict liability is a better approximation of the ‘polluter-pays’ principle, but not if limited in amount, as in int</w:t>
      </w:r>
      <w:r>
        <w:rPr>
          <w:color w:val="000000"/>
          <w:sz w:val="18"/>
          <w:szCs w:val="18"/>
        </w:rPr>
        <w:t xml:space="preserve">ernationally agreed schemes involving oil tankers or nuclear installations. Moreover, a narrow definition of damage may exclude environmental losses [that] cannot be easily quantified in monetary terms, such as wildlife, or which affect the quality of the </w:t>
      </w:r>
      <w:r>
        <w:rPr>
          <w:color w:val="000000"/>
          <w:sz w:val="18"/>
          <w:szCs w:val="18"/>
        </w:rPr>
        <w:t>environment without causing actual physical damage.”</w:t>
      </w:r>
      <w:r>
        <w:rPr>
          <w:color w:val="000000"/>
          <w:sz w:val="18"/>
          <w:szCs w:val="18"/>
          <w:vertAlign w:val="superscript"/>
        </w:rPr>
        <w:t xml:space="preserve"> </w:t>
      </w:r>
      <w:r>
        <w:rPr>
          <w:color w:val="000000"/>
          <w:sz w:val="18"/>
          <w:szCs w:val="18"/>
        </w:rPr>
        <w:t>(</w:t>
      </w:r>
      <w:r>
        <w:rPr>
          <w:i/>
          <w:color w:val="000000"/>
          <w:sz w:val="18"/>
          <w:szCs w:val="18"/>
        </w:rPr>
        <w:t>Ibid.,</w:t>
      </w:r>
      <w:r>
        <w:rPr>
          <w:color w:val="000000"/>
          <w:sz w:val="18"/>
          <w:szCs w:val="18"/>
        </w:rPr>
        <w:t xml:space="preserve"> para. 14. See also Patricia </w:t>
      </w:r>
      <w:proofErr w:type="spellStart"/>
      <w:r>
        <w:rPr>
          <w:color w:val="000000"/>
          <w:sz w:val="18"/>
          <w:szCs w:val="18"/>
        </w:rPr>
        <w:t>Birnie</w:t>
      </w:r>
      <w:proofErr w:type="spellEnd"/>
      <w:r>
        <w:rPr>
          <w:color w:val="000000"/>
          <w:sz w:val="18"/>
          <w:szCs w:val="18"/>
        </w:rPr>
        <w:t xml:space="preserve"> and Alan Boyle, International Law and the Environment (Oxford: Oxford University Press, 2nd edition 2002), pp. 93–94.)</w:t>
      </w:r>
    </w:p>
  </w:footnote>
  <w:footnote w:id="4">
    <w:p w14:paraId="000000FF" w14:textId="77777777" w:rsidR="00522B99" w:rsidRDefault="006B3BE2">
      <w:pPr>
        <w:spacing w:after="0" w:line="240" w:lineRule="auto"/>
        <w:rPr>
          <w:sz w:val="20"/>
          <w:szCs w:val="20"/>
        </w:rPr>
      </w:pPr>
      <w:r>
        <w:rPr>
          <w:rStyle w:val="FootnoteReference"/>
        </w:rPr>
        <w:footnoteRef/>
      </w:r>
      <w:r>
        <w:rPr>
          <w:sz w:val="12"/>
          <w:szCs w:val="12"/>
        </w:rPr>
        <w:t xml:space="preserve"> https://www.newtral.es/reto-adaptacion-climatica-espana/20211120/</w:t>
      </w:r>
    </w:p>
  </w:footnote>
  <w:footnote w:id="5">
    <w:p w14:paraId="000000E8"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t>UN General Assembly, Transforming our world: the 2030 Agenda for Sustainable Development (2030 Age</w:t>
      </w:r>
      <w:r>
        <w:rPr>
          <w:color w:val="000000"/>
          <w:sz w:val="18"/>
          <w:szCs w:val="18"/>
        </w:rPr>
        <w:t xml:space="preserve">nda), A/RES/70/1, p. 21, </w:t>
      </w:r>
      <w:hyperlink r:id="rId8">
        <w:r>
          <w:rPr>
            <w:color w:val="0563C1"/>
            <w:sz w:val="18"/>
            <w:szCs w:val="18"/>
            <w:u w:val="single"/>
          </w:rPr>
          <w:t>https://documents-dds-ny.un.org/doc/UNDOC/GEN/N15/291/89/PDF/N1529189.pdf?OpenElement</w:t>
        </w:r>
      </w:hyperlink>
      <w:r>
        <w:rPr>
          <w:color w:val="000000"/>
          <w:sz w:val="18"/>
          <w:szCs w:val="18"/>
        </w:rPr>
        <w:t>.</w:t>
      </w:r>
      <w:r>
        <w:rPr>
          <w:color w:val="000000"/>
          <w:sz w:val="18"/>
          <w:szCs w:val="18"/>
          <w:vertAlign w:val="subscript"/>
        </w:rPr>
        <w:t xml:space="preserve">  </w:t>
      </w:r>
    </w:p>
  </w:footnote>
  <w:footnote w:id="6">
    <w:p w14:paraId="000000E9" w14:textId="77777777" w:rsidR="00522B99" w:rsidRPr="006B3BE2" w:rsidRDefault="006B3BE2">
      <w:pPr>
        <w:pBdr>
          <w:top w:val="nil"/>
          <w:left w:val="nil"/>
          <w:bottom w:val="nil"/>
          <w:right w:val="nil"/>
          <w:between w:val="nil"/>
        </w:pBdr>
        <w:spacing w:after="0" w:line="240" w:lineRule="auto"/>
        <w:ind w:left="170" w:hanging="170"/>
        <w:jc w:val="both"/>
        <w:rPr>
          <w:color w:val="000000"/>
          <w:sz w:val="18"/>
          <w:szCs w:val="18"/>
          <w:lang w:val="es-ES"/>
        </w:rPr>
      </w:pPr>
      <w:r>
        <w:rPr>
          <w:rStyle w:val="FootnoteReference"/>
        </w:rPr>
        <w:footnoteRef/>
      </w:r>
      <w:r w:rsidRPr="006B3BE2">
        <w:rPr>
          <w:color w:val="000000"/>
          <w:sz w:val="18"/>
          <w:szCs w:val="18"/>
          <w:lang w:val="es-ES"/>
        </w:rPr>
        <w:t xml:space="preserve"> </w:t>
      </w:r>
      <w:r w:rsidRPr="006B3BE2">
        <w:rPr>
          <w:color w:val="000000"/>
          <w:sz w:val="18"/>
          <w:szCs w:val="18"/>
          <w:lang w:val="es-ES"/>
        </w:rPr>
        <w:tab/>
      </w:r>
      <w:r w:rsidRPr="006B3BE2">
        <w:rPr>
          <w:i/>
          <w:color w:val="000000"/>
          <w:sz w:val="18"/>
          <w:szCs w:val="18"/>
          <w:lang w:val="es-ES"/>
        </w:rPr>
        <w:t>Ibid.</w:t>
      </w:r>
      <w:r w:rsidRPr="006B3BE2">
        <w:rPr>
          <w:color w:val="000000"/>
          <w:sz w:val="18"/>
          <w:szCs w:val="18"/>
          <w:lang w:val="es-ES"/>
        </w:rPr>
        <w:t>, Preamble, paras. 4, 26, 48,</w:t>
      </w:r>
      <w:r w:rsidRPr="006B3BE2">
        <w:rPr>
          <w:color w:val="000000"/>
          <w:sz w:val="18"/>
          <w:szCs w:val="18"/>
          <w:lang w:val="es-ES"/>
        </w:rPr>
        <w:t xml:space="preserve"> 72, 74(e).</w:t>
      </w:r>
    </w:p>
  </w:footnote>
  <w:footnote w:id="7">
    <w:p w14:paraId="000000EA"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sidRPr="006B3BE2">
        <w:rPr>
          <w:color w:val="000000"/>
          <w:sz w:val="18"/>
          <w:szCs w:val="18"/>
          <w:lang w:val="es-ES"/>
        </w:rPr>
        <w:t xml:space="preserve"> </w:t>
      </w:r>
      <w:r w:rsidRPr="006B3BE2">
        <w:rPr>
          <w:color w:val="000000"/>
          <w:sz w:val="18"/>
          <w:szCs w:val="18"/>
          <w:lang w:val="es-ES"/>
        </w:rPr>
        <w:tab/>
      </w:r>
      <w:r w:rsidRPr="006B3BE2">
        <w:rPr>
          <w:i/>
          <w:color w:val="000000"/>
          <w:sz w:val="18"/>
          <w:szCs w:val="18"/>
          <w:lang w:val="es-ES"/>
        </w:rPr>
        <w:t xml:space="preserve">Ibid, </w:t>
      </w:r>
      <w:r w:rsidRPr="006B3BE2">
        <w:rPr>
          <w:color w:val="000000"/>
          <w:sz w:val="18"/>
          <w:szCs w:val="18"/>
          <w:lang w:val="es-ES"/>
        </w:rPr>
        <w:t xml:space="preserve">para. </w:t>
      </w:r>
      <w:r>
        <w:rPr>
          <w:color w:val="000000"/>
          <w:sz w:val="18"/>
          <w:szCs w:val="18"/>
        </w:rPr>
        <w:t>4.</w:t>
      </w:r>
    </w:p>
  </w:footnote>
  <w:footnote w:id="8">
    <w:p w14:paraId="000000EB"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International Covenant on Economic, Social and Cultural Rights (ICESCR), 16 December 1966, article 2.1, </w:t>
      </w:r>
      <w:hyperlink r:id="rId9">
        <w:r>
          <w:rPr>
            <w:color w:val="0563C1"/>
            <w:sz w:val="18"/>
            <w:szCs w:val="18"/>
            <w:u w:val="single"/>
          </w:rPr>
          <w:t>https://www.ohchr.org/en/instruments-mechanisms/instruments/international-covenant-economic-social-and-cultural-rights</w:t>
        </w:r>
      </w:hyperlink>
      <w:r>
        <w:rPr>
          <w:color w:val="000000"/>
          <w:sz w:val="18"/>
          <w:szCs w:val="18"/>
        </w:rPr>
        <w:t xml:space="preserve">. </w:t>
      </w:r>
    </w:p>
  </w:footnote>
  <w:footnote w:id="9">
    <w:p w14:paraId="000000EC" w14:textId="77777777" w:rsidR="00522B99" w:rsidRDefault="006B3BE2">
      <w:pPr>
        <w:pBdr>
          <w:top w:val="nil"/>
          <w:left w:val="nil"/>
          <w:bottom w:val="nil"/>
          <w:right w:val="nil"/>
          <w:between w:val="nil"/>
        </w:pBdr>
        <w:spacing w:after="0" w:line="240" w:lineRule="auto"/>
        <w:ind w:left="170" w:hanging="170"/>
        <w:jc w:val="both"/>
        <w:rPr>
          <w:color w:val="000000"/>
          <w:sz w:val="20"/>
          <w:szCs w:val="20"/>
        </w:rPr>
      </w:pPr>
      <w:r>
        <w:rPr>
          <w:rStyle w:val="FootnoteReference"/>
        </w:rPr>
        <w:footnoteRef/>
      </w:r>
      <w:r>
        <w:rPr>
          <w:color w:val="000000"/>
          <w:sz w:val="18"/>
          <w:szCs w:val="18"/>
        </w:rPr>
        <w:t xml:space="preserve"> </w:t>
      </w:r>
      <w:r>
        <w:rPr>
          <w:color w:val="000000"/>
          <w:sz w:val="18"/>
          <w:szCs w:val="18"/>
        </w:rPr>
        <w:tab/>
      </w:r>
      <w:r>
        <w:rPr>
          <w:i/>
          <w:color w:val="000000"/>
          <w:sz w:val="18"/>
          <w:szCs w:val="18"/>
        </w:rPr>
        <w:t>Ibid.</w:t>
      </w:r>
      <w:r>
        <w:rPr>
          <w:color w:val="000000"/>
          <w:sz w:val="18"/>
          <w:szCs w:val="18"/>
        </w:rPr>
        <w:t>, article 11.1</w:t>
      </w:r>
      <w:r>
        <w:rPr>
          <w:color w:val="000000"/>
          <w:sz w:val="20"/>
          <w:szCs w:val="20"/>
        </w:rPr>
        <w:t xml:space="preserve"> </w:t>
      </w:r>
    </w:p>
    <w:bookmarkStart w:id="2" w:name="_heading=h.tyjcwt" w:colFirst="0" w:colLast="0"/>
    <w:bookmarkEnd w:id="2"/>
  </w:footnote>
  <w:footnote w:id="10">
    <w:p w14:paraId="000000ED"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bookmarkStart w:id="3" w:name="_heading=h.tyjcwt" w:colFirst="0" w:colLast="0"/>
      <w:bookmarkEnd w:id="3"/>
      <w:r>
        <w:rPr>
          <w:rStyle w:val="FootnoteReference"/>
        </w:rPr>
        <w:footnoteRef/>
      </w:r>
      <w:r>
        <w:rPr>
          <w:color w:val="000000"/>
          <w:sz w:val="18"/>
          <w:szCs w:val="18"/>
        </w:rPr>
        <w:t xml:space="preserve"> </w:t>
      </w:r>
      <w:r>
        <w:rPr>
          <w:color w:val="000000"/>
          <w:sz w:val="18"/>
          <w:szCs w:val="18"/>
        </w:rPr>
        <w:tab/>
        <w:t xml:space="preserve">Action Aid, “Loss and damage from climate change: the cost for poor people in developing countries,” Discussion Paper, 2010, </w:t>
      </w:r>
      <w:hyperlink r:id="rId10">
        <w:r>
          <w:rPr>
            <w:color w:val="0563C1"/>
            <w:sz w:val="18"/>
            <w:szCs w:val="18"/>
            <w:u w:val="single"/>
          </w:rPr>
          <w:t>https://actionaid.org/sites/default/files/loss_and_damage_-_discussion_paper_by_actionaid-_nov_2010.pdf</w:t>
        </w:r>
      </w:hyperlink>
      <w:r>
        <w:rPr>
          <w:color w:val="000000"/>
          <w:sz w:val="18"/>
          <w:szCs w:val="18"/>
        </w:rPr>
        <w:t xml:space="preserve">; UN Environment </w:t>
      </w:r>
      <w:proofErr w:type="spellStart"/>
      <w:r>
        <w:rPr>
          <w:color w:val="000000"/>
          <w:sz w:val="18"/>
          <w:szCs w:val="18"/>
        </w:rPr>
        <w:t>Programme</w:t>
      </w:r>
      <w:proofErr w:type="spellEnd"/>
      <w:r>
        <w:rPr>
          <w:color w:val="000000"/>
          <w:sz w:val="18"/>
          <w:szCs w:val="18"/>
        </w:rPr>
        <w:t xml:space="preserve"> (UNEP), in cooperation with Columbia Law School, Sabin Center for Climate Change Law, </w:t>
      </w:r>
      <w:r>
        <w:rPr>
          <w:i/>
          <w:color w:val="000000"/>
          <w:sz w:val="18"/>
          <w:szCs w:val="18"/>
        </w:rPr>
        <w:t>Climate Change and H</w:t>
      </w:r>
      <w:r>
        <w:rPr>
          <w:i/>
          <w:color w:val="000000"/>
          <w:sz w:val="18"/>
          <w:szCs w:val="18"/>
        </w:rPr>
        <w:t>uman Rights</w:t>
      </w:r>
      <w:r>
        <w:rPr>
          <w:color w:val="000000"/>
          <w:sz w:val="18"/>
          <w:szCs w:val="18"/>
        </w:rPr>
        <w:t xml:space="preserve"> (Nairobi: UNEP, 2015), </w:t>
      </w:r>
      <w:hyperlink r:id="rId11">
        <w:r>
          <w:rPr>
            <w:color w:val="0563C1"/>
            <w:sz w:val="18"/>
            <w:szCs w:val="18"/>
            <w:u w:val="single"/>
          </w:rPr>
          <w:t>https://wedocs.unep.org/handle/20.500.11822/9934</w:t>
        </w:r>
      </w:hyperlink>
      <w:r>
        <w:rPr>
          <w:color w:val="000000"/>
          <w:sz w:val="18"/>
          <w:szCs w:val="18"/>
        </w:rPr>
        <w:t>; Office of the UN High Commissioner for Human Rights, “Understanding Human Rights and Climate Change,” S</w:t>
      </w:r>
      <w:r>
        <w:rPr>
          <w:color w:val="000000"/>
          <w:sz w:val="18"/>
          <w:szCs w:val="18"/>
        </w:rPr>
        <w:t>ubmission of the Office of the High Commissioner for Human Rights to the 21</w:t>
      </w:r>
      <w:r>
        <w:rPr>
          <w:color w:val="000000"/>
          <w:sz w:val="18"/>
          <w:szCs w:val="18"/>
          <w:vertAlign w:val="superscript"/>
        </w:rPr>
        <w:t>st</w:t>
      </w:r>
      <w:r>
        <w:rPr>
          <w:color w:val="000000"/>
          <w:sz w:val="18"/>
          <w:szCs w:val="18"/>
        </w:rPr>
        <w:t xml:space="preserve"> Conference of the Parties to the United Nations Framework Convention on Climate Change, 2015, </w:t>
      </w:r>
      <w:hyperlink r:id="rId12">
        <w:r>
          <w:rPr>
            <w:color w:val="0563C1"/>
            <w:sz w:val="18"/>
            <w:szCs w:val="18"/>
            <w:u w:val="single"/>
          </w:rPr>
          <w:t>https://www.ohchr.org/sites/default/files/Documents/Issues/ClimateChange/COP21.pdf</w:t>
        </w:r>
      </w:hyperlink>
      <w:r>
        <w:rPr>
          <w:color w:val="000000"/>
          <w:sz w:val="18"/>
          <w:szCs w:val="18"/>
        </w:rPr>
        <w:t xml:space="preserve">; Adelle Thomas, Bill Hare, Olivia </w:t>
      </w:r>
      <w:proofErr w:type="spellStart"/>
      <w:r>
        <w:rPr>
          <w:color w:val="000000"/>
          <w:sz w:val="18"/>
          <w:szCs w:val="18"/>
        </w:rPr>
        <w:t>Serdeczny</w:t>
      </w:r>
      <w:proofErr w:type="spellEnd"/>
      <w:r>
        <w:rPr>
          <w:color w:val="000000"/>
          <w:sz w:val="18"/>
          <w:szCs w:val="18"/>
        </w:rPr>
        <w:t xml:space="preserve">, Luis </w:t>
      </w:r>
      <w:proofErr w:type="spellStart"/>
      <w:r>
        <w:rPr>
          <w:color w:val="000000"/>
          <w:sz w:val="18"/>
          <w:szCs w:val="18"/>
        </w:rPr>
        <w:t>Zamarioli</w:t>
      </w:r>
      <w:proofErr w:type="spellEnd"/>
      <w:r>
        <w:rPr>
          <w:color w:val="000000"/>
          <w:sz w:val="18"/>
          <w:szCs w:val="18"/>
        </w:rPr>
        <w:t>, Fahad Saeed,</w:t>
      </w:r>
      <w:r>
        <w:rPr>
          <w:color w:val="000000"/>
          <w:sz w:val="18"/>
          <w:szCs w:val="18"/>
        </w:rPr>
        <w:t xml:space="preserve"> Mouhamed Ly and Carl-Friedrich </w:t>
      </w:r>
      <w:proofErr w:type="spellStart"/>
      <w:r>
        <w:rPr>
          <w:color w:val="000000"/>
          <w:sz w:val="18"/>
          <w:szCs w:val="18"/>
        </w:rPr>
        <w:t>Schleussner</w:t>
      </w:r>
      <w:proofErr w:type="spellEnd"/>
      <w:r>
        <w:rPr>
          <w:color w:val="000000"/>
          <w:sz w:val="18"/>
          <w:szCs w:val="18"/>
        </w:rPr>
        <w:t xml:space="preserve">, “A year of climate extremes: a case for Loss &amp; Damage at COP23”, </w:t>
      </w:r>
      <w:r>
        <w:rPr>
          <w:i/>
          <w:color w:val="000000"/>
          <w:sz w:val="18"/>
          <w:szCs w:val="18"/>
        </w:rPr>
        <w:t xml:space="preserve">Climate Analytics </w:t>
      </w:r>
      <w:r>
        <w:rPr>
          <w:color w:val="000000"/>
          <w:sz w:val="18"/>
          <w:szCs w:val="18"/>
        </w:rPr>
        <w:t xml:space="preserve">(1 November 2017), </w:t>
      </w:r>
      <w:hyperlink r:id="rId13">
        <w:r>
          <w:rPr>
            <w:color w:val="0563C1"/>
            <w:sz w:val="18"/>
            <w:szCs w:val="18"/>
            <w:u w:val="single"/>
          </w:rPr>
          <w:t>https://climateanalytics.org/blog/2017/a-year-of-climate-extremes-a-case-for-loss-damage-at-cop23/</w:t>
        </w:r>
      </w:hyperlink>
      <w:r>
        <w:rPr>
          <w:color w:val="000000"/>
          <w:sz w:val="18"/>
          <w:szCs w:val="18"/>
        </w:rPr>
        <w:t xml:space="preserve">; Amanda Colombo, Frances Fuller and Laetitia De </w:t>
      </w:r>
      <w:proofErr w:type="spellStart"/>
      <w:r>
        <w:rPr>
          <w:color w:val="000000"/>
          <w:sz w:val="18"/>
          <w:szCs w:val="18"/>
        </w:rPr>
        <w:t>Marez</w:t>
      </w:r>
      <w:proofErr w:type="spellEnd"/>
      <w:r>
        <w:rPr>
          <w:color w:val="000000"/>
          <w:sz w:val="18"/>
          <w:szCs w:val="18"/>
        </w:rPr>
        <w:t xml:space="preserve">, “Climate change loss &amp; damage – an urgent, cross-cutting issue,” </w:t>
      </w:r>
      <w:r>
        <w:rPr>
          <w:i/>
          <w:color w:val="000000"/>
          <w:sz w:val="18"/>
          <w:szCs w:val="18"/>
        </w:rPr>
        <w:t xml:space="preserve">Climate Analytics </w:t>
      </w:r>
      <w:r>
        <w:rPr>
          <w:color w:val="000000"/>
          <w:sz w:val="18"/>
          <w:szCs w:val="18"/>
        </w:rPr>
        <w:t>(18 July 2</w:t>
      </w:r>
      <w:r>
        <w:rPr>
          <w:color w:val="000000"/>
          <w:sz w:val="18"/>
          <w:szCs w:val="18"/>
        </w:rPr>
        <w:t xml:space="preserve">018), </w:t>
      </w:r>
      <w:hyperlink r:id="rId14">
        <w:r>
          <w:rPr>
            <w:color w:val="0563C1"/>
            <w:sz w:val="18"/>
            <w:szCs w:val="18"/>
            <w:u w:val="single"/>
          </w:rPr>
          <w:t>https://climateanalytics.org/blog/2018/climate-change-loss-damage-an-urgent-cross-cutting-issue/</w:t>
        </w:r>
      </w:hyperlink>
      <w:r>
        <w:rPr>
          <w:color w:val="000000"/>
          <w:sz w:val="18"/>
          <w:szCs w:val="18"/>
        </w:rPr>
        <w:t xml:space="preserve">; La </w:t>
      </w:r>
      <w:proofErr w:type="spellStart"/>
      <w:r>
        <w:rPr>
          <w:color w:val="000000"/>
          <w:sz w:val="18"/>
          <w:szCs w:val="18"/>
        </w:rPr>
        <w:t>Ruta</w:t>
      </w:r>
      <w:proofErr w:type="spellEnd"/>
      <w:r>
        <w:rPr>
          <w:color w:val="000000"/>
          <w:sz w:val="18"/>
          <w:szCs w:val="18"/>
        </w:rPr>
        <w:t xml:space="preserve"> </w:t>
      </w:r>
      <w:proofErr w:type="spellStart"/>
      <w:r>
        <w:rPr>
          <w:color w:val="000000"/>
          <w:sz w:val="18"/>
          <w:szCs w:val="18"/>
        </w:rPr>
        <w:t>Clima</w:t>
      </w:r>
      <w:proofErr w:type="spellEnd"/>
      <w:r>
        <w:rPr>
          <w:color w:val="000000"/>
          <w:sz w:val="18"/>
          <w:szCs w:val="18"/>
        </w:rPr>
        <w:t>, “TALANOA input on Los</w:t>
      </w:r>
      <w:r>
        <w:rPr>
          <w:color w:val="000000"/>
          <w:sz w:val="18"/>
          <w:szCs w:val="18"/>
        </w:rPr>
        <w:t xml:space="preserve">s and Damage and Human Rights,” Non-Party stakeholders’ input for the </w:t>
      </w:r>
      <w:proofErr w:type="spellStart"/>
      <w:r>
        <w:rPr>
          <w:color w:val="000000"/>
          <w:sz w:val="18"/>
          <w:szCs w:val="18"/>
        </w:rPr>
        <w:t>Talanoa</w:t>
      </w:r>
      <w:proofErr w:type="spellEnd"/>
      <w:r>
        <w:rPr>
          <w:color w:val="000000"/>
          <w:sz w:val="18"/>
          <w:szCs w:val="18"/>
        </w:rPr>
        <w:t xml:space="preserve"> Dialogue with IPCC, 18 September 2018, </w:t>
      </w:r>
      <w:hyperlink r:id="rId15">
        <w:r>
          <w:rPr>
            <w:color w:val="0563C1"/>
            <w:sz w:val="18"/>
            <w:szCs w:val="18"/>
            <w:u w:val="single"/>
          </w:rPr>
          <w:t>https://unfccc.int/sites/default/files/resource/418_TALANOA%20INPUT%20on%20Loss%20and%20Damage%20and%20Human%20Rights.pdf</w:t>
        </w:r>
      </w:hyperlink>
      <w:r>
        <w:rPr>
          <w:color w:val="000000"/>
          <w:sz w:val="18"/>
          <w:szCs w:val="18"/>
        </w:rPr>
        <w:t xml:space="preserve">; Olivia </w:t>
      </w:r>
      <w:proofErr w:type="spellStart"/>
      <w:r>
        <w:rPr>
          <w:color w:val="000000"/>
          <w:sz w:val="18"/>
          <w:szCs w:val="18"/>
        </w:rPr>
        <w:t>Serdeczny</w:t>
      </w:r>
      <w:proofErr w:type="spellEnd"/>
      <w:r>
        <w:rPr>
          <w:color w:val="000000"/>
          <w:sz w:val="18"/>
          <w:szCs w:val="18"/>
        </w:rPr>
        <w:t>, Dawn Pierre-</w:t>
      </w:r>
      <w:proofErr w:type="spellStart"/>
      <w:r>
        <w:rPr>
          <w:color w:val="000000"/>
          <w:sz w:val="18"/>
          <w:szCs w:val="18"/>
        </w:rPr>
        <w:t>Nathoniel</w:t>
      </w:r>
      <w:proofErr w:type="spellEnd"/>
      <w:r>
        <w:rPr>
          <w:color w:val="000000"/>
          <w:sz w:val="18"/>
          <w:szCs w:val="18"/>
        </w:rPr>
        <w:t xml:space="preserve">, Linda </w:t>
      </w:r>
      <w:proofErr w:type="spellStart"/>
      <w:r>
        <w:rPr>
          <w:color w:val="000000"/>
          <w:sz w:val="18"/>
          <w:szCs w:val="18"/>
        </w:rPr>
        <w:t>Siegele</w:t>
      </w:r>
      <w:proofErr w:type="spellEnd"/>
      <w:r>
        <w:rPr>
          <w:color w:val="000000"/>
          <w:sz w:val="18"/>
          <w:szCs w:val="18"/>
        </w:rPr>
        <w:t xml:space="preserve">, “Progress on Loss and Damage in Katowice,” </w:t>
      </w:r>
      <w:r>
        <w:rPr>
          <w:i/>
          <w:color w:val="000000"/>
          <w:sz w:val="18"/>
          <w:szCs w:val="18"/>
        </w:rPr>
        <w:t xml:space="preserve">Climate Analytics </w:t>
      </w:r>
      <w:r>
        <w:rPr>
          <w:color w:val="000000"/>
          <w:sz w:val="18"/>
          <w:szCs w:val="18"/>
        </w:rPr>
        <w:t>(17 December 2</w:t>
      </w:r>
      <w:r>
        <w:rPr>
          <w:color w:val="000000"/>
          <w:sz w:val="18"/>
          <w:szCs w:val="18"/>
        </w:rPr>
        <w:t xml:space="preserve">018), </w:t>
      </w:r>
      <w:hyperlink r:id="rId16">
        <w:r>
          <w:rPr>
            <w:color w:val="0563C1"/>
            <w:sz w:val="18"/>
            <w:szCs w:val="18"/>
            <w:u w:val="single"/>
          </w:rPr>
          <w:t>https://climateanalytics.org/blog/2018/progress-on-loss-and-damage-in-katowice/</w:t>
        </w:r>
      </w:hyperlink>
      <w:r>
        <w:rPr>
          <w:color w:val="000000"/>
          <w:sz w:val="18"/>
          <w:szCs w:val="18"/>
        </w:rPr>
        <w:t xml:space="preserve">; Olivia </w:t>
      </w:r>
      <w:proofErr w:type="spellStart"/>
      <w:r>
        <w:rPr>
          <w:color w:val="000000"/>
          <w:sz w:val="18"/>
          <w:szCs w:val="18"/>
        </w:rPr>
        <w:t>Serdeczny</w:t>
      </w:r>
      <w:proofErr w:type="spellEnd"/>
      <w:r>
        <w:rPr>
          <w:color w:val="000000"/>
          <w:sz w:val="18"/>
          <w:szCs w:val="18"/>
        </w:rPr>
        <w:t xml:space="preserve">, “Loss and damage in the Paris Agreement rule book – </w:t>
      </w:r>
      <w:r>
        <w:rPr>
          <w:color w:val="000000"/>
          <w:sz w:val="18"/>
          <w:szCs w:val="18"/>
        </w:rPr>
        <w:t xml:space="preserve">state of play,” </w:t>
      </w:r>
      <w:r>
        <w:rPr>
          <w:i/>
          <w:color w:val="000000"/>
          <w:sz w:val="18"/>
          <w:szCs w:val="18"/>
        </w:rPr>
        <w:t xml:space="preserve">Climate Analytics </w:t>
      </w:r>
      <w:r>
        <w:rPr>
          <w:color w:val="000000"/>
          <w:sz w:val="18"/>
          <w:szCs w:val="18"/>
        </w:rPr>
        <w:t xml:space="preserve">(14 September 2018), </w:t>
      </w:r>
      <w:hyperlink r:id="rId17">
        <w:r>
          <w:rPr>
            <w:color w:val="0563C1"/>
            <w:sz w:val="18"/>
            <w:szCs w:val="18"/>
            <w:u w:val="single"/>
          </w:rPr>
          <w:t>https://climateanalytics.org/blog/2018/loss-and-damage-in-the-paris-agreement-r</w:t>
        </w:r>
        <w:r>
          <w:rPr>
            <w:color w:val="0563C1"/>
            <w:sz w:val="18"/>
            <w:szCs w:val="18"/>
            <w:u w:val="single"/>
          </w:rPr>
          <w:t>ule-book-state-of-play/</w:t>
        </w:r>
      </w:hyperlink>
      <w:r>
        <w:rPr>
          <w:color w:val="000000"/>
          <w:sz w:val="18"/>
          <w:szCs w:val="18"/>
        </w:rPr>
        <w:t xml:space="preserve">; Thomas Hirsch, </w:t>
      </w:r>
      <w:r>
        <w:rPr>
          <w:i/>
          <w:color w:val="000000"/>
          <w:sz w:val="18"/>
          <w:szCs w:val="18"/>
        </w:rPr>
        <w:t>Climate Finance for Addressing Loss and Damage</w:t>
      </w:r>
      <w:r>
        <w:rPr>
          <w:color w:val="000000"/>
          <w:sz w:val="18"/>
          <w:szCs w:val="18"/>
        </w:rPr>
        <w:t xml:space="preserve"> (Berlin: </w:t>
      </w:r>
      <w:proofErr w:type="spellStart"/>
      <w:r>
        <w:rPr>
          <w:color w:val="000000"/>
          <w:sz w:val="18"/>
          <w:szCs w:val="18"/>
        </w:rPr>
        <w:t>Brot</w:t>
      </w:r>
      <w:proofErr w:type="spellEnd"/>
      <w:r>
        <w:rPr>
          <w:color w:val="000000"/>
          <w:sz w:val="18"/>
          <w:szCs w:val="18"/>
        </w:rPr>
        <w:t xml:space="preserve"> für die Welt, November 2019), </w:t>
      </w:r>
      <w:hyperlink r:id="rId18">
        <w:r>
          <w:rPr>
            <w:color w:val="0563C1"/>
            <w:sz w:val="18"/>
            <w:szCs w:val="18"/>
            <w:u w:val="single"/>
          </w:rPr>
          <w:t>https://www.brot-fuer-die-welt.de/fileadmin/mediapool/2_Downloads/Fachinformationen/Analyse/Analysis_87_Climate_Risk_Financing_01.pdf</w:t>
        </w:r>
      </w:hyperlink>
      <w:r>
        <w:rPr>
          <w:color w:val="000000"/>
          <w:sz w:val="18"/>
          <w:szCs w:val="18"/>
        </w:rPr>
        <w:t xml:space="preserve">; Patrick Toussaint and Adrian Martinez Blanco, “A human rights-based approach to loss and damage under the climate change regime,” </w:t>
      </w:r>
      <w:r>
        <w:rPr>
          <w:i/>
          <w:color w:val="000000"/>
          <w:sz w:val="18"/>
          <w:szCs w:val="18"/>
        </w:rPr>
        <w:t>Climate Policy</w:t>
      </w:r>
      <w:r>
        <w:rPr>
          <w:color w:val="000000"/>
          <w:sz w:val="18"/>
          <w:szCs w:val="18"/>
        </w:rPr>
        <w:t xml:space="preserve">, Vol. 20, Issue 6, special issue “Loss and Damage after the Paris Agreement” (2019), pp. 743–57, </w:t>
      </w:r>
      <w:hyperlink r:id="rId19">
        <w:r>
          <w:rPr>
            <w:color w:val="0563C1"/>
            <w:sz w:val="18"/>
            <w:szCs w:val="18"/>
            <w:u w:val="single"/>
          </w:rPr>
          <w:t>https://www.tandfonline.com/doi/abs/10.1080/14693062.2019.1630354</w:t>
        </w:r>
      </w:hyperlink>
      <w:r>
        <w:rPr>
          <w:color w:val="000000"/>
          <w:sz w:val="18"/>
          <w:szCs w:val="18"/>
        </w:rPr>
        <w:t xml:space="preserve">; Marina </w:t>
      </w:r>
      <w:proofErr w:type="spellStart"/>
      <w:r>
        <w:rPr>
          <w:color w:val="000000"/>
          <w:sz w:val="18"/>
          <w:szCs w:val="18"/>
        </w:rPr>
        <w:t>Andrijevic</w:t>
      </w:r>
      <w:proofErr w:type="spellEnd"/>
      <w:r>
        <w:rPr>
          <w:color w:val="000000"/>
          <w:sz w:val="18"/>
          <w:szCs w:val="18"/>
        </w:rPr>
        <w:t xml:space="preserve"> and Joe Ware, </w:t>
      </w:r>
      <w:r>
        <w:rPr>
          <w:i/>
          <w:color w:val="000000"/>
          <w:sz w:val="18"/>
          <w:szCs w:val="18"/>
        </w:rPr>
        <w:t>Lost &amp; Damaged: A study of the economic impact of climate change on vulnerable count</w:t>
      </w:r>
      <w:r>
        <w:rPr>
          <w:i/>
          <w:color w:val="000000"/>
          <w:sz w:val="18"/>
          <w:szCs w:val="18"/>
        </w:rPr>
        <w:t>ries</w:t>
      </w:r>
      <w:r>
        <w:rPr>
          <w:color w:val="000000"/>
          <w:sz w:val="18"/>
          <w:szCs w:val="18"/>
        </w:rPr>
        <w:t xml:space="preserve"> (London: Christian Aid, November 2021), </w:t>
      </w:r>
      <w:hyperlink r:id="rId20">
        <w:r>
          <w:rPr>
            <w:color w:val="0563C1"/>
            <w:sz w:val="18"/>
            <w:szCs w:val="18"/>
            <w:u w:val="single"/>
          </w:rPr>
          <w:t>https://mediacentre.christianaid.org.uk/download?id=7693</w:t>
        </w:r>
      </w:hyperlink>
      <w:r>
        <w:rPr>
          <w:color w:val="000000"/>
          <w:sz w:val="18"/>
          <w:szCs w:val="18"/>
        </w:rPr>
        <w:t xml:space="preserve">; Annalisa </w:t>
      </w:r>
      <w:proofErr w:type="spellStart"/>
      <w:r>
        <w:rPr>
          <w:color w:val="000000"/>
          <w:sz w:val="18"/>
          <w:szCs w:val="18"/>
        </w:rPr>
        <w:t>Savaresi</w:t>
      </w:r>
      <w:proofErr w:type="spellEnd"/>
      <w:r>
        <w:rPr>
          <w:color w:val="000000"/>
          <w:sz w:val="18"/>
          <w:szCs w:val="18"/>
        </w:rPr>
        <w:t>, “Human rights and the impacts of climate change: Revisitin</w:t>
      </w:r>
      <w:r>
        <w:rPr>
          <w:color w:val="000000"/>
          <w:sz w:val="18"/>
          <w:szCs w:val="18"/>
        </w:rPr>
        <w:t xml:space="preserve">g the assumptions,” </w:t>
      </w:r>
      <w:proofErr w:type="spellStart"/>
      <w:r>
        <w:rPr>
          <w:i/>
          <w:color w:val="000000"/>
          <w:sz w:val="18"/>
          <w:szCs w:val="18"/>
        </w:rPr>
        <w:t>Oñati</w:t>
      </w:r>
      <w:proofErr w:type="spellEnd"/>
      <w:r>
        <w:rPr>
          <w:i/>
          <w:color w:val="000000"/>
          <w:sz w:val="18"/>
          <w:szCs w:val="18"/>
        </w:rPr>
        <w:t xml:space="preserve"> Socio-Legal Series: Climate Justice in the Anthropocene</w:t>
      </w:r>
      <w:r>
        <w:rPr>
          <w:color w:val="000000"/>
          <w:sz w:val="18"/>
          <w:szCs w:val="18"/>
        </w:rPr>
        <w:t xml:space="preserve">, Vol. 11, Issue 1 (2021), pp. 231–253, </w:t>
      </w:r>
      <w:hyperlink r:id="rId21">
        <w:r>
          <w:rPr>
            <w:color w:val="0563C1"/>
            <w:sz w:val="18"/>
            <w:szCs w:val="18"/>
            <w:u w:val="single"/>
          </w:rPr>
          <w:t>https://opo.iisj.net/index.php/osls/article/view/1195</w:t>
        </w:r>
      </w:hyperlink>
      <w:r>
        <w:rPr>
          <w:color w:val="000000"/>
          <w:sz w:val="18"/>
          <w:szCs w:val="18"/>
        </w:rPr>
        <w:t>; The Lon</w:t>
      </w:r>
      <w:r>
        <w:rPr>
          <w:color w:val="000000"/>
          <w:sz w:val="18"/>
          <w:szCs w:val="18"/>
        </w:rPr>
        <w:t xml:space="preserve">don School of Economics and the Grantham Institute on Climate Change and the Environment, “What is climate change ‘Loss and Damage’?” 13 January 2021, </w:t>
      </w:r>
      <w:hyperlink r:id="rId22">
        <w:r>
          <w:rPr>
            <w:color w:val="0563C1"/>
            <w:sz w:val="18"/>
            <w:szCs w:val="18"/>
            <w:u w:val="single"/>
          </w:rPr>
          <w:t>https://www.lse.ac.uk/granthaminstitute/explainers/what-is-climate-change-loss-and-damage/</w:t>
        </w:r>
      </w:hyperlink>
      <w:r>
        <w:rPr>
          <w:color w:val="000000"/>
          <w:sz w:val="18"/>
          <w:szCs w:val="18"/>
        </w:rPr>
        <w:t>; Dawn Pierre-</w:t>
      </w:r>
      <w:proofErr w:type="spellStart"/>
      <w:r>
        <w:rPr>
          <w:color w:val="000000"/>
          <w:sz w:val="18"/>
          <w:szCs w:val="18"/>
        </w:rPr>
        <w:t>Nathoniel</w:t>
      </w:r>
      <w:proofErr w:type="spellEnd"/>
      <w:r>
        <w:rPr>
          <w:color w:val="000000"/>
          <w:sz w:val="18"/>
          <w:szCs w:val="18"/>
        </w:rPr>
        <w:t xml:space="preserve">, Linda </w:t>
      </w:r>
      <w:proofErr w:type="spellStart"/>
      <w:r>
        <w:rPr>
          <w:color w:val="000000"/>
          <w:sz w:val="18"/>
          <w:szCs w:val="18"/>
        </w:rPr>
        <w:t>Siegele</w:t>
      </w:r>
      <w:proofErr w:type="spellEnd"/>
      <w:r>
        <w:rPr>
          <w:color w:val="000000"/>
          <w:sz w:val="18"/>
          <w:szCs w:val="18"/>
        </w:rPr>
        <w:t xml:space="preserve">, Inga Menke, “Loss and Damage at COP25 – a hard fought step in the right direction,” </w:t>
      </w:r>
      <w:r>
        <w:rPr>
          <w:i/>
          <w:color w:val="000000"/>
          <w:sz w:val="18"/>
          <w:szCs w:val="18"/>
        </w:rPr>
        <w:t>Climate Analytics</w:t>
      </w:r>
      <w:r>
        <w:rPr>
          <w:color w:val="000000"/>
          <w:sz w:val="18"/>
          <w:szCs w:val="18"/>
        </w:rPr>
        <w:t xml:space="preserve"> (20 December 2019),</w:t>
      </w:r>
      <w:r>
        <w:rPr>
          <w:color w:val="000000"/>
          <w:sz w:val="18"/>
          <w:szCs w:val="18"/>
        </w:rPr>
        <w:t xml:space="preserve">  </w:t>
      </w:r>
      <w:hyperlink r:id="rId23">
        <w:r>
          <w:rPr>
            <w:color w:val="0563C1"/>
            <w:sz w:val="18"/>
            <w:szCs w:val="18"/>
            <w:u w:val="single"/>
          </w:rPr>
          <w:t>https://climateanalytics.org/blog/2019/loss-and-damage-at-cop25-a-hard-fought-step-in-the-right-direction/</w:t>
        </w:r>
      </w:hyperlink>
      <w:r>
        <w:rPr>
          <w:color w:val="000000"/>
          <w:sz w:val="18"/>
          <w:szCs w:val="18"/>
        </w:rPr>
        <w:t xml:space="preserve">; “Explainer: Dealing </w:t>
      </w:r>
      <w:r>
        <w:rPr>
          <w:color w:val="000000"/>
          <w:sz w:val="18"/>
          <w:szCs w:val="18"/>
        </w:rPr>
        <w:t xml:space="preserve">with the 'loss and damage' caused by climate change,” </w:t>
      </w:r>
      <w:r>
        <w:rPr>
          <w:i/>
          <w:color w:val="000000"/>
          <w:sz w:val="18"/>
          <w:szCs w:val="18"/>
        </w:rPr>
        <w:t>Carbon Brief</w:t>
      </w:r>
      <w:r>
        <w:rPr>
          <w:color w:val="000000"/>
          <w:sz w:val="18"/>
          <w:szCs w:val="18"/>
        </w:rPr>
        <w:t xml:space="preserve"> (16 April 2022), </w:t>
      </w:r>
      <w:hyperlink r:id="rId24">
        <w:r>
          <w:rPr>
            <w:color w:val="0563C1"/>
            <w:sz w:val="18"/>
            <w:szCs w:val="18"/>
            <w:u w:val="single"/>
          </w:rPr>
          <w:t>https://www.carbonbrief.org/explainer-dealing-with-the-lo</w:t>
        </w:r>
        <w:r>
          <w:rPr>
            <w:color w:val="0563C1"/>
            <w:sz w:val="18"/>
            <w:szCs w:val="18"/>
            <w:u w:val="single"/>
          </w:rPr>
          <w:t>ss-and-damage-caused-by-climate-change</w:t>
        </w:r>
      </w:hyperlink>
      <w:r>
        <w:rPr>
          <w:color w:val="000000"/>
          <w:sz w:val="18"/>
          <w:szCs w:val="18"/>
        </w:rPr>
        <w:t xml:space="preserve">; Heinrich </w:t>
      </w:r>
      <w:proofErr w:type="spellStart"/>
      <w:r>
        <w:rPr>
          <w:color w:val="000000"/>
          <w:sz w:val="18"/>
          <w:szCs w:val="18"/>
        </w:rPr>
        <w:t>Böll</w:t>
      </w:r>
      <w:proofErr w:type="spellEnd"/>
      <w:r>
        <w:rPr>
          <w:color w:val="000000"/>
          <w:sz w:val="18"/>
          <w:szCs w:val="18"/>
        </w:rPr>
        <w:t xml:space="preserve"> Stiftung, “Unpacking finance for Loss and Damage,” undated, </w:t>
      </w:r>
      <w:hyperlink r:id="rId25">
        <w:r>
          <w:rPr>
            <w:color w:val="0563C1"/>
            <w:sz w:val="18"/>
            <w:szCs w:val="18"/>
            <w:u w:val="single"/>
          </w:rPr>
          <w:t>https://us.boell.org/en/unpacking-finance-loss-and-damage</w:t>
        </w:r>
      </w:hyperlink>
      <w:r>
        <w:rPr>
          <w:color w:val="000000"/>
          <w:sz w:val="18"/>
          <w:szCs w:val="18"/>
        </w:rPr>
        <w:t>; Malavi</w:t>
      </w:r>
      <w:r>
        <w:rPr>
          <w:color w:val="000000"/>
          <w:sz w:val="18"/>
          <w:szCs w:val="18"/>
        </w:rPr>
        <w:t xml:space="preserve">ka Rao, “A TWAIL Perspective on Loss and Damage from Climate Change: Reflections from Indira Gandhi’s Speech at Stockholm,” </w:t>
      </w:r>
      <w:r>
        <w:rPr>
          <w:i/>
          <w:color w:val="000000"/>
          <w:sz w:val="18"/>
          <w:szCs w:val="18"/>
        </w:rPr>
        <w:t>Asian Journal of International Law</w:t>
      </w:r>
      <w:r>
        <w:rPr>
          <w:color w:val="000000"/>
          <w:sz w:val="18"/>
          <w:szCs w:val="18"/>
        </w:rPr>
        <w:t xml:space="preserve"> (2022), pp. 1–19, </w:t>
      </w:r>
      <w:hyperlink r:id="rId26">
        <w:r>
          <w:rPr>
            <w:color w:val="0563C1"/>
            <w:sz w:val="18"/>
            <w:szCs w:val="18"/>
            <w:u w:val="single"/>
          </w:rPr>
          <w:t>https://www.cambridge.org/core/services/aop-cambridge-core/content/view/2</w:t>
        </w:r>
        <w:r>
          <w:rPr>
            <w:color w:val="0563C1"/>
            <w:sz w:val="18"/>
            <w:szCs w:val="18"/>
            <w:u w:val="single"/>
          </w:rPr>
          <w:t>A3A62E2FF4815926E2A25332B9B47B2/S2044251322000066a.pdf/a-twail-perspective-on-loss-and-damage-from-climate-change-reflections-from-indira-gandhis-speech-at-stockholm.pdf</w:t>
        </w:r>
      </w:hyperlink>
      <w:r>
        <w:rPr>
          <w:color w:val="000000"/>
          <w:sz w:val="18"/>
          <w:szCs w:val="18"/>
        </w:rPr>
        <w:t>..</w:t>
      </w:r>
    </w:p>
  </w:footnote>
  <w:footnote w:id="11">
    <w:p w14:paraId="000000EE"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r>
      <w:proofErr w:type="spellStart"/>
      <w:r>
        <w:rPr>
          <w:color w:val="000000"/>
          <w:sz w:val="18"/>
          <w:szCs w:val="18"/>
        </w:rPr>
        <w:t>Muntasir</w:t>
      </w:r>
      <w:proofErr w:type="spellEnd"/>
      <w:r>
        <w:rPr>
          <w:color w:val="000000"/>
          <w:sz w:val="18"/>
          <w:szCs w:val="18"/>
        </w:rPr>
        <w:t xml:space="preserve"> </w:t>
      </w:r>
      <w:proofErr w:type="spellStart"/>
      <w:r>
        <w:rPr>
          <w:color w:val="000000"/>
          <w:sz w:val="18"/>
          <w:szCs w:val="18"/>
        </w:rPr>
        <w:t>Murshed</w:t>
      </w:r>
      <w:proofErr w:type="spellEnd"/>
      <w:r>
        <w:rPr>
          <w:color w:val="000000"/>
          <w:sz w:val="18"/>
          <w:szCs w:val="18"/>
        </w:rPr>
        <w:t xml:space="preserve"> and Syed Yusuf Saadat, “Effects of Urbanization on Climate Change: Evidence from Bangladesh,” </w:t>
      </w:r>
      <w:r>
        <w:rPr>
          <w:i/>
          <w:color w:val="000000"/>
          <w:sz w:val="18"/>
          <w:szCs w:val="18"/>
        </w:rPr>
        <w:t>Journal of Natural Sciences Research</w:t>
      </w:r>
      <w:r>
        <w:rPr>
          <w:color w:val="000000"/>
          <w:sz w:val="18"/>
          <w:szCs w:val="18"/>
        </w:rPr>
        <w:t xml:space="preserve">, Vol.8, Special Issue for ICNST (January 2018), </w:t>
      </w:r>
      <w:hyperlink r:id="rId27" w:anchor=":~:text=The%20causality%20test%20results%20show,emission%20in%20the%20short%20run">
        <w:r>
          <w:rPr>
            <w:color w:val="0563C1"/>
            <w:sz w:val="18"/>
            <w:szCs w:val="18"/>
            <w:u w:val="single"/>
          </w:rPr>
          <w:t>https://www.researchgate.net/publication/327561901_Effects_of_Urbanization_on_Climate_Change</w:t>
        </w:r>
        <w:r>
          <w:rPr>
            <w:color w:val="0563C1"/>
            <w:sz w:val="18"/>
            <w:szCs w:val="18"/>
            <w:u w:val="single"/>
          </w:rPr>
          <w:t>_Evidence_from_Bangladesh#:~:text=The%20causality%20test%20results%20show,emission%20in%20the%20short%20run</w:t>
        </w:r>
      </w:hyperlink>
      <w:r>
        <w:rPr>
          <w:color w:val="000000"/>
          <w:sz w:val="18"/>
          <w:szCs w:val="18"/>
        </w:rPr>
        <w:t xml:space="preserve">;  “Cities: a </w:t>
      </w:r>
      <w:proofErr w:type="spellStart"/>
      <w:r>
        <w:rPr>
          <w:color w:val="000000"/>
          <w:sz w:val="18"/>
          <w:szCs w:val="18"/>
        </w:rPr>
        <w:t>'cause</w:t>
      </w:r>
      <w:proofErr w:type="spellEnd"/>
      <w:r>
        <w:rPr>
          <w:color w:val="000000"/>
          <w:sz w:val="18"/>
          <w:szCs w:val="18"/>
        </w:rPr>
        <w:t xml:space="preserve"> of and solution to' climate change,” </w:t>
      </w:r>
      <w:r>
        <w:rPr>
          <w:i/>
          <w:color w:val="000000"/>
          <w:sz w:val="18"/>
          <w:szCs w:val="18"/>
        </w:rPr>
        <w:t>UN News</w:t>
      </w:r>
      <w:r>
        <w:rPr>
          <w:color w:val="000000"/>
          <w:sz w:val="18"/>
          <w:szCs w:val="18"/>
        </w:rPr>
        <w:t xml:space="preserve"> (18 September 2018), </w:t>
      </w:r>
      <w:hyperlink r:id="rId28">
        <w:r>
          <w:rPr>
            <w:color w:val="0563C1"/>
            <w:sz w:val="18"/>
            <w:szCs w:val="18"/>
            <w:u w:val="single"/>
          </w:rPr>
          <w:t>https://news.un.org/en/story/2019/09/1046662</w:t>
        </w:r>
      </w:hyperlink>
      <w:r>
        <w:rPr>
          <w:color w:val="000000"/>
          <w:sz w:val="18"/>
          <w:szCs w:val="18"/>
        </w:rPr>
        <w:t xml:space="preserve">; Rebecca </w:t>
      </w:r>
      <w:proofErr w:type="spellStart"/>
      <w:r>
        <w:rPr>
          <w:color w:val="000000"/>
          <w:sz w:val="18"/>
          <w:szCs w:val="18"/>
        </w:rPr>
        <w:t>Shamasundari</w:t>
      </w:r>
      <w:proofErr w:type="spellEnd"/>
      <w:r>
        <w:rPr>
          <w:color w:val="000000"/>
          <w:sz w:val="18"/>
          <w:szCs w:val="18"/>
        </w:rPr>
        <w:t xml:space="preserve">, “Climate change dilemma driven by </w:t>
      </w:r>
      <w:proofErr w:type="spellStart"/>
      <w:r>
        <w:rPr>
          <w:color w:val="000000"/>
          <w:sz w:val="18"/>
          <w:szCs w:val="18"/>
        </w:rPr>
        <w:t>urbanisation</w:t>
      </w:r>
      <w:proofErr w:type="spellEnd"/>
      <w:r>
        <w:rPr>
          <w:color w:val="000000"/>
          <w:sz w:val="18"/>
          <w:szCs w:val="18"/>
        </w:rPr>
        <w:t xml:space="preserve">,” </w:t>
      </w:r>
      <w:r>
        <w:rPr>
          <w:i/>
          <w:color w:val="000000"/>
          <w:sz w:val="18"/>
          <w:szCs w:val="18"/>
        </w:rPr>
        <w:t xml:space="preserve">The ASEAN Post </w:t>
      </w:r>
      <w:r>
        <w:rPr>
          <w:color w:val="000000"/>
          <w:sz w:val="18"/>
          <w:szCs w:val="18"/>
        </w:rPr>
        <w:t xml:space="preserve">(26 August 2017), </w:t>
      </w:r>
      <w:hyperlink r:id="rId29">
        <w:r>
          <w:rPr>
            <w:color w:val="0563C1"/>
            <w:sz w:val="18"/>
            <w:szCs w:val="18"/>
            <w:u w:val="single"/>
          </w:rPr>
          <w:t>https://t</w:t>
        </w:r>
        <w:r>
          <w:rPr>
            <w:color w:val="0563C1"/>
            <w:sz w:val="18"/>
            <w:szCs w:val="18"/>
            <w:u w:val="single"/>
          </w:rPr>
          <w:t>heaseanpost.com/article/climate-change-dilemma-driven-urbanisation</w:t>
        </w:r>
      </w:hyperlink>
      <w:r>
        <w:rPr>
          <w:color w:val="000000"/>
          <w:sz w:val="18"/>
          <w:szCs w:val="18"/>
        </w:rPr>
        <w:t xml:space="preserve">; Galina </w:t>
      </w:r>
      <w:proofErr w:type="spellStart"/>
      <w:r>
        <w:rPr>
          <w:color w:val="000000"/>
          <w:sz w:val="18"/>
          <w:szCs w:val="18"/>
        </w:rPr>
        <w:t>Churkina</w:t>
      </w:r>
      <w:proofErr w:type="spellEnd"/>
      <w:r>
        <w:rPr>
          <w:color w:val="000000"/>
          <w:sz w:val="18"/>
          <w:szCs w:val="18"/>
        </w:rPr>
        <w:t xml:space="preserve">, “The Role of Urbanization in the Global Carbon Cycle” </w:t>
      </w:r>
      <w:proofErr w:type="spellStart"/>
      <w:r>
        <w:rPr>
          <w:i/>
          <w:color w:val="000000"/>
          <w:sz w:val="18"/>
          <w:szCs w:val="18"/>
        </w:rPr>
        <w:t>Frotiers</w:t>
      </w:r>
      <w:proofErr w:type="spellEnd"/>
      <w:r>
        <w:rPr>
          <w:i/>
          <w:color w:val="000000"/>
          <w:sz w:val="18"/>
          <w:szCs w:val="18"/>
        </w:rPr>
        <w:t xml:space="preserve"> in Ecology and Evolution</w:t>
      </w:r>
      <w:r>
        <w:rPr>
          <w:color w:val="000000"/>
          <w:sz w:val="18"/>
          <w:szCs w:val="18"/>
        </w:rPr>
        <w:t xml:space="preserve"> (11 January 2016), </w:t>
      </w:r>
      <w:hyperlink r:id="rId30">
        <w:r>
          <w:rPr>
            <w:color w:val="0563C1"/>
            <w:sz w:val="18"/>
            <w:szCs w:val="18"/>
            <w:u w:val="single"/>
          </w:rPr>
          <w:t>https://www.frontiersin.org/articles/10.3389/fevo.2015.00144/full</w:t>
        </w:r>
      </w:hyperlink>
      <w:r>
        <w:rPr>
          <w:color w:val="000000"/>
          <w:sz w:val="18"/>
          <w:szCs w:val="18"/>
        </w:rPr>
        <w:t xml:space="preserve">; Mohammad </w:t>
      </w:r>
      <w:proofErr w:type="spellStart"/>
      <w:r>
        <w:rPr>
          <w:color w:val="000000"/>
          <w:sz w:val="18"/>
          <w:szCs w:val="18"/>
        </w:rPr>
        <w:t>Hadi</w:t>
      </w:r>
      <w:proofErr w:type="spellEnd"/>
      <w:r>
        <w:rPr>
          <w:color w:val="000000"/>
          <w:sz w:val="18"/>
          <w:szCs w:val="18"/>
        </w:rPr>
        <w:t xml:space="preserve"> </w:t>
      </w:r>
      <w:proofErr w:type="spellStart"/>
      <w:r>
        <w:rPr>
          <w:color w:val="000000"/>
          <w:sz w:val="18"/>
          <w:szCs w:val="18"/>
        </w:rPr>
        <w:t>Bazrkar</w:t>
      </w:r>
      <w:proofErr w:type="spellEnd"/>
      <w:r>
        <w:rPr>
          <w:color w:val="000000"/>
          <w:sz w:val="18"/>
          <w:szCs w:val="18"/>
        </w:rPr>
        <w:t xml:space="preserve">, </w:t>
      </w:r>
      <w:proofErr w:type="spellStart"/>
      <w:r>
        <w:rPr>
          <w:color w:val="000000"/>
          <w:sz w:val="18"/>
          <w:szCs w:val="18"/>
        </w:rPr>
        <w:t>Negin</w:t>
      </w:r>
      <w:proofErr w:type="spellEnd"/>
      <w:r>
        <w:rPr>
          <w:color w:val="000000"/>
          <w:sz w:val="18"/>
          <w:szCs w:val="18"/>
        </w:rPr>
        <w:t xml:space="preserve"> Zamani, </w:t>
      </w:r>
      <w:proofErr w:type="spellStart"/>
      <w:r>
        <w:rPr>
          <w:color w:val="000000"/>
          <w:sz w:val="18"/>
          <w:szCs w:val="18"/>
        </w:rPr>
        <w:t>Saeid</w:t>
      </w:r>
      <w:proofErr w:type="spellEnd"/>
      <w:r>
        <w:rPr>
          <w:color w:val="000000"/>
          <w:sz w:val="18"/>
          <w:szCs w:val="18"/>
        </w:rPr>
        <w:t xml:space="preserve"> </w:t>
      </w:r>
      <w:proofErr w:type="spellStart"/>
      <w:r>
        <w:rPr>
          <w:color w:val="000000"/>
          <w:sz w:val="18"/>
          <w:szCs w:val="18"/>
        </w:rPr>
        <w:t>Eslamian</w:t>
      </w:r>
      <w:proofErr w:type="spellEnd"/>
      <w:r>
        <w:rPr>
          <w:color w:val="000000"/>
          <w:sz w:val="18"/>
          <w:szCs w:val="18"/>
        </w:rPr>
        <w:t xml:space="preserve">, Alireza </w:t>
      </w:r>
      <w:proofErr w:type="spellStart"/>
      <w:r>
        <w:rPr>
          <w:color w:val="000000"/>
          <w:sz w:val="18"/>
          <w:szCs w:val="18"/>
        </w:rPr>
        <w:t>Eslamian</w:t>
      </w:r>
      <w:proofErr w:type="spellEnd"/>
      <w:r>
        <w:rPr>
          <w:color w:val="000000"/>
          <w:sz w:val="18"/>
          <w:szCs w:val="18"/>
        </w:rPr>
        <w:t xml:space="preserve"> and </w:t>
      </w:r>
      <w:proofErr w:type="spellStart"/>
      <w:r>
        <w:rPr>
          <w:color w:val="000000"/>
          <w:sz w:val="18"/>
          <w:szCs w:val="18"/>
        </w:rPr>
        <w:t>Zohreh</w:t>
      </w:r>
      <w:proofErr w:type="spellEnd"/>
      <w:r>
        <w:rPr>
          <w:color w:val="000000"/>
          <w:sz w:val="18"/>
          <w:szCs w:val="18"/>
        </w:rPr>
        <w:t xml:space="preserve"> </w:t>
      </w:r>
      <w:proofErr w:type="spellStart"/>
      <w:r>
        <w:rPr>
          <w:color w:val="000000"/>
          <w:sz w:val="18"/>
          <w:szCs w:val="18"/>
        </w:rPr>
        <w:t>Dehghan</w:t>
      </w:r>
      <w:proofErr w:type="spellEnd"/>
      <w:r>
        <w:rPr>
          <w:color w:val="000000"/>
          <w:sz w:val="18"/>
          <w:szCs w:val="18"/>
        </w:rPr>
        <w:t xml:space="preserve">, “Urbanization and Climate Change,” in Walter Leal Filho, ed., </w:t>
      </w:r>
      <w:r>
        <w:rPr>
          <w:i/>
          <w:color w:val="000000"/>
          <w:sz w:val="18"/>
          <w:szCs w:val="18"/>
        </w:rPr>
        <w:t>Handbook of Clim</w:t>
      </w:r>
      <w:r>
        <w:rPr>
          <w:i/>
          <w:color w:val="000000"/>
          <w:sz w:val="18"/>
          <w:szCs w:val="18"/>
        </w:rPr>
        <w:t>ate Change Adaptation</w:t>
      </w:r>
      <w:r>
        <w:rPr>
          <w:color w:val="000000"/>
          <w:sz w:val="18"/>
          <w:szCs w:val="18"/>
        </w:rPr>
        <w:t xml:space="preserve"> (Berlin, Heidelberg: Springer, 2015), </w:t>
      </w:r>
      <w:hyperlink r:id="rId31">
        <w:r>
          <w:rPr>
            <w:color w:val="0563C1"/>
            <w:sz w:val="18"/>
            <w:szCs w:val="18"/>
            <w:u w:val="single"/>
          </w:rPr>
          <w:t>https://link.springer.com/referenceworkentry/10.1007/978-3-642-38670-1_90</w:t>
        </w:r>
      </w:hyperlink>
      <w:r>
        <w:rPr>
          <w:color w:val="000000"/>
          <w:sz w:val="18"/>
          <w:szCs w:val="18"/>
        </w:rPr>
        <w:t>; Liming Zhou, Robert E. Dicki</w:t>
      </w:r>
      <w:r>
        <w:rPr>
          <w:color w:val="000000"/>
          <w:sz w:val="18"/>
          <w:szCs w:val="18"/>
        </w:rPr>
        <w:t xml:space="preserve">nson, </w:t>
      </w:r>
      <w:proofErr w:type="spellStart"/>
      <w:r>
        <w:rPr>
          <w:color w:val="000000"/>
          <w:sz w:val="18"/>
          <w:szCs w:val="18"/>
        </w:rPr>
        <w:t>Yuhong</w:t>
      </w:r>
      <w:proofErr w:type="spellEnd"/>
      <w:r>
        <w:rPr>
          <w:color w:val="000000"/>
          <w:sz w:val="18"/>
          <w:szCs w:val="18"/>
        </w:rPr>
        <w:t xml:space="preserve"> Tian, </w:t>
      </w:r>
      <w:proofErr w:type="spellStart"/>
      <w:r>
        <w:rPr>
          <w:color w:val="000000"/>
          <w:sz w:val="18"/>
          <w:szCs w:val="18"/>
        </w:rPr>
        <w:t>Jingyun</w:t>
      </w:r>
      <w:proofErr w:type="spellEnd"/>
      <w:r>
        <w:rPr>
          <w:color w:val="000000"/>
          <w:sz w:val="18"/>
          <w:szCs w:val="18"/>
        </w:rPr>
        <w:t xml:space="preserve"> Fang, </w:t>
      </w:r>
      <w:proofErr w:type="spellStart"/>
      <w:r>
        <w:rPr>
          <w:color w:val="000000"/>
          <w:sz w:val="18"/>
          <w:szCs w:val="18"/>
        </w:rPr>
        <w:t>Qingxiang</w:t>
      </w:r>
      <w:proofErr w:type="spellEnd"/>
      <w:r>
        <w:rPr>
          <w:color w:val="000000"/>
          <w:sz w:val="18"/>
          <w:szCs w:val="18"/>
        </w:rPr>
        <w:t xml:space="preserve"> Li, Robert K. Kaufmann, Compton J. Tucker and Ranga B. Myneni, “Evidence for a significant urbanization effect on climate in China,” </w:t>
      </w:r>
      <w:r>
        <w:rPr>
          <w:i/>
          <w:color w:val="000000"/>
          <w:sz w:val="18"/>
          <w:szCs w:val="18"/>
        </w:rPr>
        <w:t>Proceedings of the National Academy of Sciences of the United States of America,</w:t>
      </w:r>
      <w:r>
        <w:rPr>
          <w:i/>
          <w:color w:val="000000"/>
          <w:sz w:val="18"/>
          <w:szCs w:val="18"/>
        </w:rPr>
        <w:t xml:space="preserve"> </w:t>
      </w:r>
      <w:r>
        <w:rPr>
          <w:color w:val="000000"/>
          <w:sz w:val="18"/>
          <w:szCs w:val="18"/>
        </w:rPr>
        <w:t xml:space="preserve">Vol. 101, No. 26 (17 June 2004), </w:t>
      </w:r>
      <w:hyperlink r:id="rId32">
        <w:r>
          <w:rPr>
            <w:color w:val="0563C1"/>
            <w:sz w:val="18"/>
            <w:szCs w:val="18"/>
            <w:u w:val="single"/>
          </w:rPr>
          <w:t>https://www.pnas.org/doi/full/10.1073/pnas.0400357101</w:t>
        </w:r>
      </w:hyperlink>
      <w:r>
        <w:rPr>
          <w:color w:val="000000"/>
          <w:sz w:val="18"/>
          <w:szCs w:val="18"/>
        </w:rPr>
        <w:t xml:space="preserve">. </w:t>
      </w:r>
    </w:p>
  </w:footnote>
  <w:footnote w:id="12">
    <w:p w14:paraId="00000100" w14:textId="77777777" w:rsidR="00522B99" w:rsidRDefault="006B3BE2">
      <w:pPr>
        <w:spacing w:after="0" w:line="240" w:lineRule="auto"/>
        <w:rPr>
          <w:sz w:val="20"/>
          <w:szCs w:val="20"/>
        </w:rPr>
      </w:pPr>
      <w:r>
        <w:rPr>
          <w:rStyle w:val="FootnoteReference"/>
        </w:rPr>
        <w:footnoteRef/>
      </w:r>
      <w:r>
        <w:rPr>
          <w:sz w:val="20"/>
          <w:szCs w:val="20"/>
        </w:rPr>
        <w:t xml:space="preserve"> http://www.fundacionconama.org/descarbonizacion-construccion/</w:t>
      </w:r>
    </w:p>
  </w:footnote>
  <w:footnote w:id="13">
    <w:p w14:paraId="00000101" w14:textId="77777777" w:rsidR="00522B99" w:rsidRDefault="006B3BE2">
      <w:pPr>
        <w:spacing w:after="0" w:line="240" w:lineRule="auto"/>
        <w:rPr>
          <w:sz w:val="20"/>
          <w:szCs w:val="20"/>
        </w:rPr>
      </w:pPr>
      <w:r>
        <w:rPr>
          <w:rStyle w:val="FootnoteReference"/>
        </w:rPr>
        <w:footnoteRef/>
      </w:r>
      <w:r>
        <w:rPr>
          <w:sz w:val="20"/>
          <w:szCs w:val="20"/>
        </w:rPr>
        <w:t>https://www.lavanguardia.com/vida/20210803/7637524/ineficiencia-energetica-viviendas-responsable-14-emisiones.html</w:t>
      </w:r>
    </w:p>
  </w:footnote>
  <w:footnote w:id="14">
    <w:p w14:paraId="000000EF"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t xml:space="preserve">Global Building Information Gateway, advanced searches, </w:t>
      </w:r>
      <w:hyperlink r:id="rId33">
        <w:r>
          <w:rPr>
            <w:color w:val="0563C1"/>
            <w:sz w:val="18"/>
            <w:szCs w:val="18"/>
            <w:u w:val="single"/>
          </w:rPr>
          <w:t>http://www.gbig.org/</w:t>
        </w:r>
      </w:hyperlink>
      <w:r>
        <w:rPr>
          <w:color w:val="000000"/>
          <w:sz w:val="18"/>
          <w:szCs w:val="18"/>
        </w:rPr>
        <w:t xml:space="preserve">. </w:t>
      </w:r>
    </w:p>
  </w:footnote>
  <w:footnote w:id="15">
    <w:p w14:paraId="000000F0"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t xml:space="preserve">Kingdom of Bahrain, </w:t>
      </w:r>
      <w:r>
        <w:rPr>
          <w:i/>
          <w:color w:val="000000"/>
          <w:sz w:val="18"/>
          <w:szCs w:val="18"/>
        </w:rPr>
        <w:t>Voluntary National Review</w:t>
      </w:r>
      <w:r>
        <w:rPr>
          <w:color w:val="000000"/>
          <w:sz w:val="18"/>
          <w:szCs w:val="18"/>
        </w:rPr>
        <w:t xml:space="preserve"> (2019), p. 96.</w:t>
      </w:r>
    </w:p>
  </w:footnote>
  <w:footnote w:id="16">
    <w:p w14:paraId="000000F1"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r>
      <w:r>
        <w:rPr>
          <w:i/>
          <w:color w:val="000000"/>
          <w:sz w:val="18"/>
          <w:szCs w:val="18"/>
        </w:rPr>
        <w:t>Ibid</w:t>
      </w:r>
      <w:r>
        <w:rPr>
          <w:color w:val="000000"/>
          <w:sz w:val="18"/>
          <w:szCs w:val="18"/>
        </w:rPr>
        <w:t>., p. 52.</w:t>
      </w:r>
    </w:p>
  </w:footnote>
  <w:footnote w:id="17">
    <w:p w14:paraId="000000F2"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r>
      <w:r>
        <w:rPr>
          <w:i/>
          <w:color w:val="000000"/>
          <w:sz w:val="18"/>
          <w:szCs w:val="18"/>
        </w:rPr>
        <w:t>Ibid.</w:t>
      </w:r>
      <w:r>
        <w:rPr>
          <w:color w:val="000000"/>
          <w:sz w:val="18"/>
          <w:szCs w:val="18"/>
        </w:rPr>
        <w:t>, p. 55.</w:t>
      </w:r>
    </w:p>
  </w:footnote>
  <w:footnote w:id="18">
    <w:p w14:paraId="000000F3"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r>
      <w:r>
        <w:rPr>
          <w:color w:val="000000"/>
          <w:sz w:val="18"/>
          <w:szCs w:val="18"/>
        </w:rPr>
        <w:t xml:space="preserve">Green Building Council, “Green Building information Gateway,” GBIG advanced search, </w:t>
      </w:r>
    </w:p>
    <w:p w14:paraId="000000F4"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color w:val="000000"/>
          <w:sz w:val="18"/>
          <w:szCs w:val="18"/>
        </w:rPr>
        <w:tab/>
      </w:r>
      <w:hyperlink r:id="rId34">
        <w:r>
          <w:rPr>
            <w:color w:val="0563C1"/>
            <w:sz w:val="18"/>
            <w:szCs w:val="18"/>
            <w:u w:val="single"/>
          </w:rPr>
          <w:t>http://www.gbig.org/search/advanced?sea</w:t>
        </w:r>
        <w:r>
          <w:rPr>
            <w:color w:val="0563C1"/>
            <w:sz w:val="18"/>
            <w:szCs w:val="18"/>
            <w:u w:val="single"/>
          </w:rPr>
          <w:t>rch%5Bflat_rating_program_ids%5D=Certification&amp;search%5Bplace_ids%5D=415</w:t>
        </w:r>
      </w:hyperlink>
      <w:r>
        <w:rPr>
          <w:color w:val="000000"/>
          <w:sz w:val="18"/>
          <w:szCs w:val="18"/>
        </w:rPr>
        <w:t xml:space="preserve">. </w:t>
      </w:r>
    </w:p>
  </w:footnote>
  <w:footnote w:id="19">
    <w:p w14:paraId="000000F5"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t xml:space="preserve">Hashemite Kingdom of Jordan, “Intended Nationally Determined Contribution (INDC),” 2015, p. 6, </w:t>
      </w:r>
      <w:hyperlink r:id="rId35">
        <w:r>
          <w:rPr>
            <w:color w:val="0563C1"/>
            <w:sz w:val="18"/>
            <w:szCs w:val="18"/>
            <w:u w:val="single"/>
          </w:rPr>
          <w:t>https://www4.unfccc.int/sites/ndcstaging/PublishedDocuments/Jordan%20First/Jordan%20INDCs%20Final.pdf</w:t>
        </w:r>
      </w:hyperlink>
      <w:r>
        <w:rPr>
          <w:color w:val="000000"/>
          <w:sz w:val="18"/>
          <w:szCs w:val="18"/>
        </w:rPr>
        <w:t xml:space="preserve">. </w:t>
      </w:r>
    </w:p>
    <w:bookmarkStart w:id="6" w:name="_heading=h.3dy6vkm" w:colFirst="0" w:colLast="0"/>
    <w:bookmarkEnd w:id="6"/>
  </w:footnote>
  <w:footnote w:id="20">
    <w:p w14:paraId="000000F6"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bookmarkStart w:id="7" w:name="_heading=h.3dy6vkm" w:colFirst="0" w:colLast="0"/>
      <w:bookmarkEnd w:id="7"/>
      <w:r>
        <w:rPr>
          <w:rStyle w:val="FootnoteReference"/>
        </w:rPr>
        <w:footnoteRef/>
      </w:r>
      <w:r>
        <w:rPr>
          <w:color w:val="000000"/>
          <w:sz w:val="18"/>
          <w:szCs w:val="18"/>
        </w:rPr>
        <w:t xml:space="preserve"> </w:t>
      </w:r>
      <w:r>
        <w:rPr>
          <w:color w:val="000000"/>
          <w:sz w:val="18"/>
          <w:szCs w:val="18"/>
        </w:rPr>
        <w:tab/>
        <w:t xml:space="preserve">JREEF, Residential Sector, “ </w:t>
      </w:r>
      <w:hyperlink r:id="rId36">
        <w:r>
          <w:rPr>
            <w:color w:val="0563C1"/>
            <w:sz w:val="18"/>
            <w:szCs w:val="18"/>
            <w:u w:val="single"/>
          </w:rPr>
          <w:t>http://jr</w:t>
        </w:r>
        <w:r>
          <w:rPr>
            <w:color w:val="0563C1"/>
            <w:sz w:val="18"/>
            <w:szCs w:val="18"/>
            <w:u w:val="single"/>
          </w:rPr>
          <w:t>eeef.memr.gov.jo/En/Pages/Residential_Sector</w:t>
        </w:r>
      </w:hyperlink>
      <w:r>
        <w:rPr>
          <w:color w:val="000000"/>
          <w:sz w:val="18"/>
          <w:szCs w:val="18"/>
        </w:rPr>
        <w:t xml:space="preserve">. </w:t>
      </w:r>
    </w:p>
    <w:bookmarkStart w:id="8" w:name="_heading=h.1t3h5sf" w:colFirst="0" w:colLast="0"/>
    <w:bookmarkEnd w:id="8"/>
  </w:footnote>
  <w:footnote w:id="21">
    <w:p w14:paraId="000000F7"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bookmarkStart w:id="9" w:name="_heading=h.1t3h5sf" w:colFirst="0" w:colLast="0"/>
      <w:bookmarkEnd w:id="9"/>
      <w:r>
        <w:rPr>
          <w:rStyle w:val="FootnoteReference"/>
        </w:rPr>
        <w:footnoteRef/>
      </w:r>
      <w:r>
        <w:rPr>
          <w:color w:val="000000"/>
          <w:sz w:val="18"/>
          <w:szCs w:val="18"/>
        </w:rPr>
        <w:t xml:space="preserve"> </w:t>
      </w:r>
      <w:r>
        <w:rPr>
          <w:color w:val="000000"/>
          <w:sz w:val="18"/>
          <w:szCs w:val="18"/>
        </w:rPr>
        <w:tab/>
        <w:t xml:space="preserve">Green Building Council, “Green Building Information Gateway,” GBIG advanced search, </w:t>
      </w:r>
      <w:hyperlink r:id="rId37">
        <w:r>
          <w:rPr>
            <w:color w:val="0563C1"/>
            <w:sz w:val="18"/>
            <w:szCs w:val="18"/>
            <w:u w:val="single"/>
          </w:rPr>
          <w:t>http://www.gbig.org/places/659</w:t>
        </w:r>
      </w:hyperlink>
      <w:r>
        <w:rPr>
          <w:color w:val="000000"/>
          <w:sz w:val="18"/>
          <w:szCs w:val="18"/>
        </w:rPr>
        <w:t xml:space="preserve">. </w:t>
      </w:r>
    </w:p>
  </w:footnote>
  <w:footnote w:id="22">
    <w:p w14:paraId="000000F8"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i/>
          <w:color w:val="000000"/>
          <w:sz w:val="18"/>
          <w:szCs w:val="18"/>
        </w:rPr>
        <w:t>Ibid.</w:t>
      </w:r>
      <w:r>
        <w:rPr>
          <w:color w:val="000000"/>
          <w:sz w:val="18"/>
          <w:szCs w:val="18"/>
        </w:rPr>
        <w:t>, p. 111.</w:t>
      </w:r>
    </w:p>
  </w:footnote>
  <w:footnote w:id="23">
    <w:p w14:paraId="000000F9"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i/>
          <w:color w:val="000000"/>
          <w:sz w:val="18"/>
          <w:szCs w:val="18"/>
        </w:rPr>
        <w:t>Ibid.</w:t>
      </w:r>
      <w:r>
        <w:rPr>
          <w:color w:val="000000"/>
          <w:sz w:val="18"/>
          <w:szCs w:val="18"/>
        </w:rPr>
        <w:t>, pp. 130, 165.</w:t>
      </w:r>
    </w:p>
  </w:footnote>
  <w:footnote w:id="24">
    <w:p w14:paraId="000000FA" w14:textId="77777777" w:rsidR="00522B99" w:rsidRDefault="006B3BE2">
      <w:pPr>
        <w:pBdr>
          <w:top w:val="nil"/>
          <w:left w:val="nil"/>
          <w:bottom w:val="nil"/>
          <w:right w:val="nil"/>
          <w:between w:val="nil"/>
        </w:pBdr>
        <w:spacing w:after="0" w:line="240" w:lineRule="auto"/>
        <w:ind w:left="170" w:hanging="170"/>
        <w:jc w:val="both"/>
        <w:rPr>
          <w:i/>
          <w:color w:val="000000"/>
          <w:sz w:val="18"/>
          <w:szCs w:val="18"/>
        </w:rPr>
      </w:pPr>
      <w:r>
        <w:rPr>
          <w:rStyle w:val="FootnoteReference"/>
        </w:rPr>
        <w:footnoteRef/>
      </w:r>
      <w:r>
        <w:rPr>
          <w:color w:val="000000"/>
          <w:sz w:val="18"/>
          <w:szCs w:val="18"/>
        </w:rPr>
        <w:t xml:space="preserve"> </w:t>
      </w:r>
      <w:r>
        <w:rPr>
          <w:color w:val="000000"/>
          <w:sz w:val="18"/>
          <w:szCs w:val="18"/>
        </w:rPr>
        <w:tab/>
        <w:t xml:space="preserve">Nicholas </w:t>
      </w:r>
      <w:proofErr w:type="spellStart"/>
      <w:r>
        <w:rPr>
          <w:color w:val="000000"/>
          <w:sz w:val="18"/>
          <w:szCs w:val="18"/>
        </w:rPr>
        <w:t>Nhede</w:t>
      </w:r>
      <w:proofErr w:type="spellEnd"/>
      <w:r>
        <w:rPr>
          <w:color w:val="000000"/>
          <w:sz w:val="18"/>
          <w:szCs w:val="18"/>
        </w:rPr>
        <w:t xml:space="preserve">, “Saudi Arabia develops new green building rating system,” </w:t>
      </w:r>
      <w:r>
        <w:rPr>
          <w:i/>
          <w:color w:val="000000"/>
          <w:sz w:val="18"/>
          <w:szCs w:val="18"/>
        </w:rPr>
        <w:t xml:space="preserve">Smart Energy international </w:t>
      </w:r>
      <w:r>
        <w:rPr>
          <w:color w:val="000000"/>
          <w:sz w:val="18"/>
          <w:szCs w:val="18"/>
        </w:rPr>
        <w:t xml:space="preserve">(21 January 2020), </w:t>
      </w:r>
      <w:hyperlink r:id="rId38">
        <w:r>
          <w:rPr>
            <w:color w:val="0563C1"/>
            <w:sz w:val="18"/>
            <w:szCs w:val="18"/>
            <w:u w:val="single"/>
          </w:rPr>
          <w:t>https://www.smart-energy.com/regional-news/middle-east/saudi-arabia-develops-new-green-building-rating-system/</w:t>
        </w:r>
      </w:hyperlink>
      <w:r>
        <w:rPr>
          <w:color w:val="000000"/>
          <w:sz w:val="18"/>
          <w:szCs w:val="18"/>
        </w:rPr>
        <w:t xml:space="preserve">;  Ashraf </w:t>
      </w:r>
      <w:proofErr w:type="spellStart"/>
      <w:r>
        <w:rPr>
          <w:color w:val="000000"/>
          <w:sz w:val="18"/>
          <w:szCs w:val="18"/>
        </w:rPr>
        <w:t>Balabel</w:t>
      </w:r>
      <w:proofErr w:type="spellEnd"/>
      <w:r>
        <w:rPr>
          <w:color w:val="000000"/>
          <w:sz w:val="18"/>
          <w:szCs w:val="18"/>
        </w:rPr>
        <w:t xml:space="preserve"> and </w:t>
      </w:r>
      <w:proofErr w:type="spellStart"/>
      <w:r>
        <w:rPr>
          <w:color w:val="000000"/>
          <w:sz w:val="18"/>
          <w:szCs w:val="18"/>
        </w:rPr>
        <w:t>Mamdooh</w:t>
      </w:r>
      <w:proofErr w:type="spellEnd"/>
      <w:r>
        <w:rPr>
          <w:color w:val="000000"/>
          <w:sz w:val="18"/>
          <w:szCs w:val="18"/>
        </w:rPr>
        <w:t xml:space="preserve"> </w:t>
      </w:r>
      <w:proofErr w:type="spellStart"/>
      <w:r>
        <w:rPr>
          <w:color w:val="000000"/>
          <w:sz w:val="18"/>
          <w:szCs w:val="18"/>
        </w:rPr>
        <w:t>Alwetaishi</w:t>
      </w:r>
      <w:proofErr w:type="spellEnd"/>
      <w:r>
        <w:rPr>
          <w:color w:val="000000"/>
          <w:sz w:val="18"/>
          <w:szCs w:val="18"/>
        </w:rPr>
        <w:t>, “Towards Sustainable Residential Buildings in Saudi Arabia According to the Conceptual Fram</w:t>
      </w:r>
      <w:r>
        <w:rPr>
          <w:color w:val="000000"/>
          <w:sz w:val="18"/>
          <w:szCs w:val="18"/>
        </w:rPr>
        <w:t>ework of “</w:t>
      </w:r>
      <w:proofErr w:type="spellStart"/>
      <w:r>
        <w:rPr>
          <w:color w:val="000000"/>
          <w:sz w:val="18"/>
          <w:szCs w:val="18"/>
        </w:rPr>
        <w:t>Mostadam</w:t>
      </w:r>
      <w:proofErr w:type="spellEnd"/>
      <w:r>
        <w:rPr>
          <w:color w:val="000000"/>
          <w:sz w:val="18"/>
          <w:szCs w:val="18"/>
        </w:rPr>
        <w:t xml:space="preserve">” Rating System and Vision 2030,” </w:t>
      </w:r>
      <w:r>
        <w:rPr>
          <w:i/>
          <w:color w:val="000000"/>
          <w:sz w:val="18"/>
          <w:szCs w:val="18"/>
        </w:rPr>
        <w:t xml:space="preserve">Sustainability, </w:t>
      </w:r>
      <w:r>
        <w:rPr>
          <w:color w:val="000000"/>
          <w:sz w:val="18"/>
          <w:szCs w:val="18"/>
        </w:rPr>
        <w:t>Vol.</w:t>
      </w:r>
      <w:r>
        <w:rPr>
          <w:i/>
          <w:color w:val="000000"/>
          <w:sz w:val="18"/>
          <w:szCs w:val="18"/>
        </w:rPr>
        <w:t xml:space="preserve"> </w:t>
      </w:r>
      <w:r>
        <w:rPr>
          <w:color w:val="000000"/>
          <w:sz w:val="18"/>
          <w:szCs w:val="18"/>
        </w:rPr>
        <w:t xml:space="preserve">13, Issue 793 (January 2021), pp. 1–16, </w:t>
      </w:r>
      <w:hyperlink r:id="rId39">
        <w:r>
          <w:rPr>
            <w:color w:val="0563C1"/>
            <w:sz w:val="18"/>
            <w:szCs w:val="18"/>
            <w:u w:val="single"/>
          </w:rPr>
          <w:t>https://www.mdpi.com/2071-1050/13/2/793/pdf</w:t>
        </w:r>
      </w:hyperlink>
      <w:r>
        <w:rPr>
          <w:i/>
          <w:color w:val="000000"/>
          <w:sz w:val="18"/>
          <w:szCs w:val="18"/>
        </w:rPr>
        <w:t xml:space="preserve">. </w:t>
      </w:r>
    </w:p>
  </w:footnote>
  <w:footnote w:id="25">
    <w:p w14:paraId="000000FB"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GBIG, “Saudi Arabia,” </w:t>
      </w:r>
      <w:hyperlink r:id="rId40">
        <w:r>
          <w:rPr>
            <w:color w:val="0563C1"/>
            <w:sz w:val="18"/>
            <w:szCs w:val="18"/>
            <w:u w:val="single"/>
          </w:rPr>
          <w:t>http://www.gbig.org/places/851</w:t>
        </w:r>
      </w:hyperlink>
      <w:r>
        <w:rPr>
          <w:color w:val="000000"/>
          <w:sz w:val="18"/>
          <w:szCs w:val="18"/>
        </w:rPr>
        <w:t>, accessed 5 October 2021.</w:t>
      </w:r>
    </w:p>
    <w:bookmarkStart w:id="11" w:name="_heading=h.4d34og8" w:colFirst="0" w:colLast="0"/>
    <w:bookmarkEnd w:id="11"/>
  </w:footnote>
  <w:footnote w:id="26">
    <w:p w14:paraId="000000FC" w14:textId="77777777" w:rsidR="00522B99" w:rsidRPr="006B3BE2" w:rsidRDefault="006B3BE2">
      <w:pPr>
        <w:pBdr>
          <w:top w:val="nil"/>
          <w:left w:val="nil"/>
          <w:bottom w:val="nil"/>
          <w:right w:val="nil"/>
          <w:between w:val="nil"/>
        </w:pBdr>
        <w:spacing w:after="0" w:line="240" w:lineRule="auto"/>
        <w:ind w:left="170" w:hanging="170"/>
        <w:jc w:val="both"/>
        <w:rPr>
          <w:color w:val="000000"/>
          <w:sz w:val="18"/>
          <w:szCs w:val="18"/>
          <w:lang w:val="es-ES"/>
        </w:rPr>
      </w:pPr>
      <w:bookmarkStart w:id="12" w:name="_heading=h.4d34og8" w:colFirst="0" w:colLast="0"/>
      <w:bookmarkEnd w:id="12"/>
      <w:r>
        <w:rPr>
          <w:rStyle w:val="FootnoteReference"/>
        </w:rPr>
        <w:footnoteRef/>
      </w:r>
      <w:r w:rsidRPr="006B3BE2">
        <w:rPr>
          <w:color w:val="000000"/>
          <w:sz w:val="18"/>
          <w:szCs w:val="18"/>
          <w:lang w:val="es-ES"/>
        </w:rPr>
        <w:t xml:space="preserve"> </w:t>
      </w:r>
      <w:r w:rsidRPr="006B3BE2">
        <w:rPr>
          <w:color w:val="000000"/>
          <w:sz w:val="18"/>
          <w:szCs w:val="18"/>
          <w:lang w:val="es-ES"/>
        </w:rPr>
        <w:t>UAE VNR (2018), p. 69.</w:t>
      </w:r>
    </w:p>
  </w:footnote>
  <w:footnote w:id="27">
    <w:p w14:paraId="000000FD" w14:textId="77777777" w:rsidR="00522B99" w:rsidRPr="006B3BE2" w:rsidRDefault="006B3BE2">
      <w:pPr>
        <w:pBdr>
          <w:top w:val="nil"/>
          <w:left w:val="nil"/>
          <w:bottom w:val="nil"/>
          <w:right w:val="nil"/>
          <w:between w:val="nil"/>
        </w:pBdr>
        <w:spacing w:after="0" w:line="240" w:lineRule="auto"/>
        <w:ind w:left="170" w:hanging="170"/>
        <w:jc w:val="both"/>
        <w:rPr>
          <w:color w:val="000000"/>
          <w:sz w:val="18"/>
          <w:szCs w:val="18"/>
          <w:lang w:val="es-ES"/>
        </w:rPr>
      </w:pPr>
      <w:r>
        <w:rPr>
          <w:rStyle w:val="FootnoteReference"/>
        </w:rPr>
        <w:footnoteRef/>
      </w:r>
      <w:r w:rsidRPr="006B3BE2">
        <w:rPr>
          <w:color w:val="000000"/>
          <w:sz w:val="18"/>
          <w:szCs w:val="18"/>
          <w:lang w:val="es-ES"/>
        </w:rPr>
        <w:t xml:space="preserve"> </w:t>
      </w:r>
      <w:r w:rsidRPr="006B3BE2">
        <w:rPr>
          <w:i/>
          <w:color w:val="000000"/>
          <w:sz w:val="18"/>
          <w:szCs w:val="18"/>
          <w:lang w:val="es-ES"/>
        </w:rPr>
        <w:t>Ibid</w:t>
      </w:r>
      <w:r w:rsidRPr="006B3BE2">
        <w:rPr>
          <w:color w:val="000000"/>
          <w:sz w:val="18"/>
          <w:szCs w:val="18"/>
          <w:lang w:val="es-ES"/>
        </w:rPr>
        <w:t>, p. 106.</w:t>
      </w:r>
    </w:p>
  </w:footnote>
  <w:footnote w:id="28">
    <w:p w14:paraId="000000FE" w14:textId="77777777" w:rsidR="00522B99" w:rsidRDefault="006B3BE2">
      <w:pPr>
        <w:pBdr>
          <w:top w:val="nil"/>
          <w:left w:val="nil"/>
          <w:bottom w:val="nil"/>
          <w:right w:val="nil"/>
          <w:between w:val="nil"/>
        </w:pBdr>
        <w:spacing w:after="0" w:line="240" w:lineRule="auto"/>
        <w:ind w:left="170" w:hanging="170"/>
        <w:jc w:val="both"/>
        <w:rPr>
          <w:color w:val="000000"/>
          <w:sz w:val="18"/>
          <w:szCs w:val="18"/>
        </w:rPr>
      </w:pPr>
      <w:r>
        <w:rPr>
          <w:rStyle w:val="FootnoteReference"/>
        </w:rPr>
        <w:footnoteRef/>
      </w:r>
      <w:r>
        <w:rPr>
          <w:color w:val="000000"/>
          <w:sz w:val="18"/>
          <w:szCs w:val="18"/>
        </w:rPr>
        <w:t xml:space="preserve"> </w:t>
      </w:r>
      <w:r>
        <w:rPr>
          <w:color w:val="000000"/>
          <w:sz w:val="18"/>
          <w:szCs w:val="18"/>
        </w:rPr>
        <w:tab/>
      </w:r>
      <w:r>
        <w:rPr>
          <w:color w:val="000000"/>
          <w:sz w:val="18"/>
          <w:szCs w:val="18"/>
        </w:rPr>
        <w:t xml:space="preserve">Green Building Council, “Green Building Information Gateway,” GBIG advanced search, </w:t>
      </w:r>
      <w:hyperlink r:id="rId41">
        <w:r>
          <w:rPr>
            <w:color w:val="0563C1"/>
            <w:sz w:val="18"/>
            <w:szCs w:val="18"/>
            <w:u w:val="single"/>
          </w:rPr>
          <w:t>http://www.gbig.org/places/31</w:t>
        </w:r>
      </w:hyperlink>
      <w:r>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282F"/>
    <w:multiLevelType w:val="multilevel"/>
    <w:tmpl w:val="88BC308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F3CA3"/>
    <w:multiLevelType w:val="multilevel"/>
    <w:tmpl w:val="0B3422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25A17DC"/>
    <w:multiLevelType w:val="multilevel"/>
    <w:tmpl w:val="F99A2B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70C3BF0"/>
    <w:multiLevelType w:val="multilevel"/>
    <w:tmpl w:val="269CB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C12987"/>
    <w:multiLevelType w:val="multilevel"/>
    <w:tmpl w:val="C250078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CDA6EBE"/>
    <w:multiLevelType w:val="multilevel"/>
    <w:tmpl w:val="6212BB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70704832"/>
    <w:multiLevelType w:val="multilevel"/>
    <w:tmpl w:val="B6324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1D1AFD"/>
    <w:multiLevelType w:val="multilevel"/>
    <w:tmpl w:val="3084A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6D408A"/>
    <w:multiLevelType w:val="multilevel"/>
    <w:tmpl w:val="3B56A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3"/>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99"/>
    <w:rsid w:val="00522B99"/>
    <w:rsid w:val="006B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9912"/>
  <w15:docId w15:val="{3C09BD69-D6A8-4852-94FA-BE7520F2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1">
    <w:name w:val="heading 1"/>
    <w:basedOn w:val="Normal"/>
    <w:next w:val="Normal"/>
    <w:link w:val="Heading1Char"/>
    <w:uiPriority w:val="9"/>
    <w:qFormat/>
    <w:rsid w:val="009651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character" w:styleId="UnresolvedMention">
    <w:name w:val="Unresolved Mention"/>
    <w:basedOn w:val="DefaultParagraphFont"/>
    <w:uiPriority w:val="99"/>
    <w:semiHidden/>
    <w:unhideWhenUsed/>
    <w:rsid w:val="00D73AAF"/>
    <w:rPr>
      <w:color w:val="605E5C"/>
      <w:shd w:val="clear" w:color="auto" w:fill="E1DFDD"/>
    </w:rPr>
  </w:style>
  <w:style w:type="character" w:styleId="FollowedHyperlink">
    <w:name w:val="FollowedHyperlink"/>
    <w:basedOn w:val="DefaultParagraphFont"/>
    <w:uiPriority w:val="99"/>
    <w:semiHidden/>
    <w:unhideWhenUsed/>
    <w:rsid w:val="00005597"/>
    <w:rPr>
      <w:color w:val="954F72" w:themeColor="followedHyperlink"/>
      <w:u w:val="single"/>
    </w:rPr>
  </w:style>
  <w:style w:type="character" w:customStyle="1" w:styleId="Heading1Char">
    <w:name w:val="Heading 1 Char"/>
    <w:basedOn w:val="DefaultParagraphFont"/>
    <w:link w:val="Heading1"/>
    <w:uiPriority w:val="9"/>
    <w:rsid w:val="009651F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hlrn.org/violation.php?id=p21ta6o=" TargetMode="External"/><Relationship Id="rId18" Type="http://schemas.openxmlformats.org/officeDocument/2006/relationships/hyperlink" Target="http://www.hlrn.org/admin/violations/article_edit.php?id=55969&amp;back=YXJ0aWNsZV9kaXNwbGF5LnBocA==" TargetMode="External"/><Relationship Id="rId26" Type="http://schemas.openxmlformats.org/officeDocument/2006/relationships/hyperlink" Target="http://www.hlrn.org/welcome_violation.php" TargetMode="External"/><Relationship Id="rId39" Type="http://schemas.openxmlformats.org/officeDocument/2006/relationships/theme" Target="theme/theme1.xml"/><Relationship Id="rId21" Type="http://schemas.openxmlformats.org/officeDocument/2006/relationships/hyperlink" Target="http://www.hlrn.org/violation.php?id=p21taqc=" TargetMode="External"/><Relationship Id="rId34" Type="http://schemas.openxmlformats.org/officeDocument/2006/relationships/hyperlink" Target="http://www.hlrn.org/admin/violations/article_edit.php?id=55969&amp;back=YXJ0aWNsZV9kaXNwbGF5LnBocA==" TargetMode="External"/><Relationship Id="rId7" Type="http://schemas.openxmlformats.org/officeDocument/2006/relationships/endnotes" Target="endnotes.xml"/><Relationship Id="rId12" Type="http://schemas.openxmlformats.org/officeDocument/2006/relationships/hyperlink" Target="http://www.hlrn.org/violation.php?id=o2xsZg==" TargetMode="External"/><Relationship Id="rId17" Type="http://schemas.openxmlformats.org/officeDocument/2006/relationships/hyperlink" Target="http://www.hlrn.org/admin/violations/article_edit.php?id=55969&amp;back=YXJ0aWNsZV9kaXNwbGF5LnBocA==" TargetMode="External"/><Relationship Id="rId25" Type="http://schemas.openxmlformats.org/officeDocument/2006/relationships/hyperlink" Target="http://www.hlrn.org/img/documents/kurds%20status%20in%20Syria.pdf" TargetMode="External"/><Relationship Id="rId33" Type="http://schemas.openxmlformats.org/officeDocument/2006/relationships/hyperlink" Target="http://www.hlrn.org/activitydetails.php?title=Puerto-Rico:-Still-No-Relief-since-Hurricane-Maria&amp;id=p2pnY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lrn.org/violation.php?id=p21taqs=" TargetMode="External"/><Relationship Id="rId20" Type="http://schemas.openxmlformats.org/officeDocument/2006/relationships/hyperlink" Target="http://www.hlrn.org/violation.php?id=p21taqk=" TargetMode="External"/><Relationship Id="rId29" Type="http://schemas.openxmlformats.org/officeDocument/2006/relationships/hyperlink" Target="http://www.hlrn.org/spagenew.php?id=q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rn.org/violation.php?id=p21pa6o=" TargetMode="External"/><Relationship Id="rId24" Type="http://schemas.openxmlformats.org/officeDocument/2006/relationships/hyperlink" Target="http://www.hlrn.org/violation.php?id=q29s" TargetMode="External"/><Relationship Id="rId32" Type="http://schemas.openxmlformats.org/officeDocument/2006/relationships/hyperlink" Target="http://hlrn.org/violation.php?id=p21sbKk="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lrn.org/violation.php?id=p21ta6k=" TargetMode="External"/><Relationship Id="rId23" Type="http://schemas.openxmlformats.org/officeDocument/2006/relationships/hyperlink" Target="http://www.hlrn.org/violation.php?id=q29s" TargetMode="External"/><Relationship Id="rId28" Type="http://schemas.openxmlformats.org/officeDocument/2006/relationships/hyperlink" Target="https://documents-dds-ny.un.org/doc/UNDOC/GEN/N05/496/42/PDF/N0549642.pdf?OpenElement" TargetMode="External"/><Relationship Id="rId36" Type="http://schemas.openxmlformats.org/officeDocument/2006/relationships/hyperlink" Target="https://annd.org/uploads/publications/Going_Green_-_Monitoring_the_Green_Transition_in_the_Arab_Region_EN.pdf" TargetMode="External"/><Relationship Id="rId10" Type="http://schemas.openxmlformats.org/officeDocument/2006/relationships/hyperlink" Target="http://www.hlrn.org/violation.php?id=p21ta6s=" TargetMode="External"/><Relationship Id="rId19" Type="http://schemas.openxmlformats.org/officeDocument/2006/relationships/hyperlink" Target="http://www.hlrn.org/violation.php?id=p21taqk=" TargetMode="External"/><Relationship Id="rId31" Type="http://schemas.openxmlformats.org/officeDocument/2006/relationships/hyperlink" Target="http://www.hlrn.org/violation.php?id=p21taqc=" TargetMode="External"/><Relationship Id="rId4" Type="http://schemas.openxmlformats.org/officeDocument/2006/relationships/settings" Target="settings.xml"/><Relationship Id="rId9" Type="http://schemas.openxmlformats.org/officeDocument/2006/relationships/hyperlink" Target="http://www.hlrn.org/violation.php?id=p21taqk=" TargetMode="External"/><Relationship Id="rId14" Type="http://schemas.openxmlformats.org/officeDocument/2006/relationships/hyperlink" Target="http://www.hlrn.org/violation.php?id=q29s" TargetMode="External"/><Relationship Id="rId22" Type="http://schemas.openxmlformats.org/officeDocument/2006/relationships/hyperlink" Target="http://www.hlrn.org/violation.php?id=p21taqc=" TargetMode="External"/><Relationship Id="rId27" Type="http://schemas.openxmlformats.org/officeDocument/2006/relationships/hyperlink" Target="http://www.hlrn.org/img/documents/Habitat_Day_2013_en.pdf" TargetMode="External"/><Relationship Id="rId30" Type="http://schemas.openxmlformats.org/officeDocument/2006/relationships/hyperlink" Target="http://www.hlrn.org/violation.php?id=p21taqc=" TargetMode="External"/><Relationship Id="rId35" Type="http://schemas.openxmlformats.org/officeDocument/2006/relationships/hyperlink" Target="http://www.hlrn.org/admin/violations/article_edit.php?id=55969&amp;back=YXJ0aWNsZV9kaXNwbGF5LnBocA==" TargetMode="External"/><Relationship Id="rId8" Type="http://schemas.openxmlformats.org/officeDocument/2006/relationships/hyperlink" Target="http://www.hlrn.org/activitydetails.php?title=Kurdistan-Border-Forests-Denuded&amp;id=p2ppZQ=="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climateanalytics.org/blog/2017/a-year-of-climate-extremes-a-case-for-loss-damage-at-cop23/" TargetMode="External"/><Relationship Id="rId18" Type="http://schemas.openxmlformats.org/officeDocument/2006/relationships/hyperlink" Target="https://www.brot-fuer-die-welt.de/fileadmin/mediapool/2_Downloads/Fachinformationen/Analyse/Analysis_87_Climate_Risk_Financing_01.pdf" TargetMode="External"/><Relationship Id="rId26" Type="http://schemas.openxmlformats.org/officeDocument/2006/relationships/hyperlink" Target="https://www.cambridge.org/core/services/aop-cambridge-core/content/view/2A3A62E2FF4815926E2A25332B9B47B2/S2044251322000066a.pdf/a-twail-perspective-on-loss-and-damage-from-climate-change-reflections-from-indira-gandhis-speech-at-stockholm.pdf" TargetMode="External"/><Relationship Id="rId39" Type="http://schemas.openxmlformats.org/officeDocument/2006/relationships/hyperlink" Target="https://www.mdpi.com/2071-1050/13/2/793/pdf" TargetMode="External"/><Relationship Id="rId21" Type="http://schemas.openxmlformats.org/officeDocument/2006/relationships/hyperlink" Target="https://opo.iisj.net/index.php/osls/article/view/1195" TargetMode="External"/><Relationship Id="rId34" Type="http://schemas.openxmlformats.org/officeDocument/2006/relationships/hyperlink" Target="http://www.gbig.org/search/advanced?search%5Bflat_rating_program_ids%5D=Certification&amp;search%5Bplace_ids%5D=415" TargetMode="External"/><Relationship Id="rId7" Type="http://schemas.openxmlformats.org/officeDocument/2006/relationships/hyperlink" Target="https://documents-dds-ny.un.org/doc/UNDOC/GEN/G06/636/20/PDF/G0663620.pdf?OpenElement" TargetMode="External"/><Relationship Id="rId2" Type="http://schemas.openxmlformats.org/officeDocument/2006/relationships/hyperlink" Target="https://documents-dds-ny.un.org/doc/RESOLUTION/GEN/NR0/477/41/IMG/NR047741.pdf?OpenElement" TargetMode="External"/><Relationship Id="rId16" Type="http://schemas.openxmlformats.org/officeDocument/2006/relationships/hyperlink" Target="https://climateanalytics.org/blog/2018/progress-on-loss-and-damage-in-katowice/" TargetMode="External"/><Relationship Id="rId20" Type="http://schemas.openxmlformats.org/officeDocument/2006/relationships/hyperlink" Target="https://mediacentre.christianaid.org.uk/download?id=7693" TargetMode="External"/><Relationship Id="rId29" Type="http://schemas.openxmlformats.org/officeDocument/2006/relationships/hyperlink" Target="https://theaseanpost.com/article/climate-change-dilemma-driven-urbanisation" TargetMode="External"/><Relationship Id="rId41" Type="http://schemas.openxmlformats.org/officeDocument/2006/relationships/hyperlink" Target="http://www.gbig.org/places/31" TargetMode="External"/><Relationship Id="rId1" Type="http://schemas.openxmlformats.org/officeDocument/2006/relationships/hyperlink" Target="https://tbinternet.ohchr.org/_layouts/15/treatybodyexternal/Download.aspx?symbolno=INT%2fCESCR%2fGEC%2f4759&amp;Lang=en" TargetMode="External"/><Relationship Id="rId6" Type="http://schemas.openxmlformats.org/officeDocument/2006/relationships/hyperlink" Target="https://documents-dds-ny.un.org/doc/UNDOC/GEN/N01/557/81/IMG/N0155781.pdf?OpenElement" TargetMode="External"/><Relationship Id="rId11" Type="http://schemas.openxmlformats.org/officeDocument/2006/relationships/hyperlink" Target="https://wedocs.unep.org/handle/20.500.11822/9934" TargetMode="External"/><Relationship Id="rId24" Type="http://schemas.openxmlformats.org/officeDocument/2006/relationships/hyperlink" Target="https://www.carbonbrief.org/explainer-dealing-with-the-loss-and-damage-caused-by-climate-change" TargetMode="External"/><Relationship Id="rId32" Type="http://schemas.openxmlformats.org/officeDocument/2006/relationships/hyperlink" Target="https://www.pnas.org/doi/full/10.1073/pnas.0400357101" TargetMode="External"/><Relationship Id="rId37" Type="http://schemas.openxmlformats.org/officeDocument/2006/relationships/hyperlink" Target="http://www.gbig.org/places/659" TargetMode="External"/><Relationship Id="rId40" Type="http://schemas.openxmlformats.org/officeDocument/2006/relationships/hyperlink" Target="http://www.gbig.org/places/851" TargetMode="External"/><Relationship Id="rId5" Type="http://schemas.openxmlformats.org/officeDocument/2006/relationships/hyperlink" Target="https://documents-dds-ny.un.org/doc/UNDOC/GEN/G21/289/50/PDF/G2128950.pdf?OpenElement" TargetMode="External"/><Relationship Id="rId15" Type="http://schemas.openxmlformats.org/officeDocument/2006/relationships/hyperlink" Target="https://unfccc.int/sites/default/files/resource/418_TALANOA%20INPUT%20on%20Loss%20and%20Damage%20and%20Human%20Rights.pdf" TargetMode="External"/><Relationship Id="rId23" Type="http://schemas.openxmlformats.org/officeDocument/2006/relationships/hyperlink" Target="https://climateanalytics.org/blog/2019/loss-and-damage-at-cop25-a-hard-fought-step-in-the-right-direction/" TargetMode="External"/><Relationship Id="rId28" Type="http://schemas.openxmlformats.org/officeDocument/2006/relationships/hyperlink" Target="https://news.un.org/en/story/2019/09/1046662" TargetMode="External"/><Relationship Id="rId36" Type="http://schemas.openxmlformats.org/officeDocument/2006/relationships/hyperlink" Target="http://jreeef.memr.gov.jo/En/Pages/Residential_Sector" TargetMode="External"/><Relationship Id="rId10" Type="http://schemas.openxmlformats.org/officeDocument/2006/relationships/hyperlink" Target="https://actionaid.org/sites/default/files/loss_and_damage_-_discussion_paper_by_actionaid-_nov_2010.pdf" TargetMode="External"/><Relationship Id="rId19" Type="http://schemas.openxmlformats.org/officeDocument/2006/relationships/hyperlink" Target="https://www.tandfonline.com/doi/abs/10.1080/14693062.2019.1630354" TargetMode="External"/><Relationship Id="rId31" Type="http://schemas.openxmlformats.org/officeDocument/2006/relationships/hyperlink" Target="https://link.springer.com/referenceworkentry/10.1007/978-3-642-38670-1_90" TargetMode="External"/><Relationship Id="rId4" Type="http://schemas.openxmlformats.org/officeDocument/2006/relationships/hyperlink" Target="http://www.hlrn.org/img/documents/HICtionary.pdf" TargetMode="External"/><Relationship Id="rId9" Type="http://schemas.openxmlformats.org/officeDocument/2006/relationships/hyperlink" Target="https://www.ohchr.org/en/instruments-mechanisms/instruments/international-covenant-economic-social-and-cultural-rights" TargetMode="External"/><Relationship Id="rId14" Type="http://schemas.openxmlformats.org/officeDocument/2006/relationships/hyperlink" Target="https://climateanalytics.org/blog/2018/climate-change-loss-damage-an-urgent-cross-cutting-issue/" TargetMode="External"/><Relationship Id="rId22" Type="http://schemas.openxmlformats.org/officeDocument/2006/relationships/hyperlink" Target="https://www.lse.ac.uk/granthaminstitute/explainers/what-is-climate-change-loss-and-damage/" TargetMode="External"/><Relationship Id="rId27" Type="http://schemas.openxmlformats.org/officeDocument/2006/relationships/hyperlink" Target="https://www.researchgate.net/publication/327561901_Effects_of_Urbanization_on_Climate_Change_Evidence_from_Bangladesh" TargetMode="External"/><Relationship Id="rId30" Type="http://schemas.openxmlformats.org/officeDocument/2006/relationships/hyperlink" Target="https://www.frontiersin.org/articles/10.3389/fevo.2015.00144/full" TargetMode="External"/><Relationship Id="rId35" Type="http://schemas.openxmlformats.org/officeDocument/2006/relationships/hyperlink" Target="https://www4.unfccc.int/sites/ndcstaging/PublishedDocuments/Jordan%20First/Jordan%20INDCs%20Final.pdf" TargetMode="External"/><Relationship Id="rId8" Type="http://schemas.openxmlformats.org/officeDocument/2006/relationships/hyperlink" Target="https://documents-dds-ny.un.org/doc/UNDOC/GEN/N15/291/89/PDF/N1529189.pdf?OpenElement" TargetMode="External"/><Relationship Id="rId3" Type="http://schemas.openxmlformats.org/officeDocument/2006/relationships/hyperlink" Target="https://documents-dds-ny.un.org/doc/RESOLUTION/GEN/NR0/477/41/IMG/NR047741.pdf?OpenElement" TargetMode="External"/><Relationship Id="rId12" Type="http://schemas.openxmlformats.org/officeDocument/2006/relationships/hyperlink" Target="https://www.ohchr.org/sites/default/files/Documents/Issues/ClimateChange/COP21.pdf" TargetMode="External"/><Relationship Id="rId17" Type="http://schemas.openxmlformats.org/officeDocument/2006/relationships/hyperlink" Target="https://climateanalytics.org/blog/2018/loss-and-damage-in-the-paris-agreement-rule-book-state-of-play/" TargetMode="External"/><Relationship Id="rId25" Type="http://schemas.openxmlformats.org/officeDocument/2006/relationships/hyperlink" Target="https://us.boell.org/en/unpacking-finance-loss-and-damage" TargetMode="External"/><Relationship Id="rId33" Type="http://schemas.openxmlformats.org/officeDocument/2006/relationships/hyperlink" Target="http://www.gbig.org/" TargetMode="External"/><Relationship Id="rId38" Type="http://schemas.openxmlformats.org/officeDocument/2006/relationships/hyperlink" Target="https://www.smart-energy.com/regional-news/middle-east/saudi-arabia-develops-new-green-building-rating-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8UonD7B8VzrA7lI7MiGdBxuihw==">AMUW2mXpIqa1eGr3IoX0v/m12WNYCZp9WsZSzzAWb5rCUMyiowEj3AdUdv1ykLi/Vjzrb146/AKnP55Zz7PUBwf0fqzsI+JK578bhwXajORdkq9R9hghCnbuVIka3TmiySqdZVljJejIp1qwFMNM8tRbN6eNkShxvTiALZgyZdDlVxw6+kaygGB+srGh/+rBSfaEHsq0r4eY7GYonuwcXvq8ZIA1MokezVOWFTvTNVgxXgb3kkWOcAY=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4697</Words>
  <Characters>26774</Characters>
  <Application>Microsoft Office Word</Application>
  <DocSecurity>0</DocSecurity>
  <Lines>223</Lines>
  <Paragraphs>62</Paragraphs>
  <ScaleCrop>false</ScaleCrop>
  <Company>OHCHR</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Stoyanova-Bahchevanova</dc:creator>
  <cp:lastModifiedBy>Sofia</cp:lastModifiedBy>
  <cp:revision>2</cp:revision>
  <dcterms:created xsi:type="dcterms:W3CDTF">2022-05-27T21:53:00Z</dcterms:created>
  <dcterms:modified xsi:type="dcterms:W3CDTF">2022-10-14T10:44:00Z</dcterms:modified>
</cp:coreProperties>
</file>