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EC977" w14:textId="5506BBC2" w:rsidR="00076069" w:rsidRPr="00456128" w:rsidRDefault="00376217" w:rsidP="00954A26">
      <w:pPr>
        <w:pStyle w:val="Body"/>
        <w:jc w:val="center"/>
        <w:rPr>
          <w:rFonts w:ascii="Avenir Heavy" w:eastAsia="Avenir Heavy" w:hAnsi="Avenir Heavy" w:cs="Avenir Heavy"/>
          <w:sz w:val="20"/>
          <w:szCs w:val="20"/>
          <w:lang w:val="en-GB"/>
        </w:rPr>
      </w:pPr>
      <w:r>
        <w:rPr>
          <w:rFonts w:ascii="Avenir Heavy" w:hAnsi="Avenir Heavy"/>
          <w:sz w:val="20"/>
          <w:szCs w:val="20"/>
          <w:lang w:val="en-GB"/>
        </w:rPr>
        <w:br/>
      </w:r>
      <w:r w:rsidR="00AD6320" w:rsidRPr="00456128">
        <w:rPr>
          <w:rFonts w:ascii="Avenir Heavy" w:hAnsi="Avenir Heavy"/>
          <w:sz w:val="20"/>
          <w:szCs w:val="20"/>
          <w:lang w:val="en-GB"/>
        </w:rPr>
        <w:t>IHRB response to request for input on the Right to Adequate Housing and Climate Change</w:t>
      </w:r>
    </w:p>
    <w:p w14:paraId="7FF3BF3B" w14:textId="77777777" w:rsidR="00076069" w:rsidRPr="00456128" w:rsidRDefault="00076069" w:rsidP="00735B04">
      <w:pPr>
        <w:pStyle w:val="Body"/>
        <w:rPr>
          <w:rFonts w:ascii="Avenir Roman" w:eastAsia="Avenir Roman" w:hAnsi="Avenir Roman" w:cs="Avenir Roman"/>
          <w:sz w:val="20"/>
          <w:szCs w:val="20"/>
          <w:lang w:val="en-GB"/>
        </w:rPr>
      </w:pPr>
    </w:p>
    <w:p w14:paraId="44FC34F1" w14:textId="0B1CA467" w:rsidR="00076069" w:rsidRPr="00456128" w:rsidRDefault="00922847" w:rsidP="00735B04">
      <w:pPr>
        <w:pStyle w:val="Body"/>
        <w:rPr>
          <w:rFonts w:ascii="Avenir Roman" w:eastAsia="Avenir Roman" w:hAnsi="Avenir Roman" w:cs="Avenir Roman"/>
          <w:sz w:val="20"/>
          <w:szCs w:val="20"/>
          <w:lang w:val="en-GB"/>
        </w:rPr>
      </w:pPr>
      <w:r>
        <w:rPr>
          <w:rFonts w:ascii="Avenir Roman" w:hAnsi="Avenir Roman"/>
          <w:sz w:val="20"/>
          <w:szCs w:val="20"/>
          <w:lang w:val="en-GB"/>
        </w:rPr>
        <w:t xml:space="preserve">The Institute for Human Rights and Business (IHRB) </w:t>
      </w:r>
      <w:r w:rsidR="00AD6320" w:rsidRPr="00456128">
        <w:rPr>
          <w:rFonts w:ascii="Avenir Roman" w:hAnsi="Avenir Roman"/>
          <w:sz w:val="20"/>
          <w:szCs w:val="20"/>
          <w:lang w:val="en-GB"/>
        </w:rPr>
        <w:t xml:space="preserve">welcomes the </w:t>
      </w:r>
      <w:hyperlink r:id="rId8" w:history="1">
        <w:r w:rsidR="00AD6320" w:rsidRPr="00456128">
          <w:rPr>
            <w:rStyle w:val="Hyperlink0"/>
            <w:sz w:val="20"/>
            <w:szCs w:val="20"/>
            <w:lang w:val="en-GB"/>
          </w:rPr>
          <w:t>invitation</w:t>
        </w:r>
      </w:hyperlink>
      <w:r w:rsidR="00AD6320" w:rsidRPr="00456128">
        <w:rPr>
          <w:rFonts w:ascii="Avenir Roman" w:hAnsi="Avenir Roman"/>
          <w:sz w:val="20"/>
          <w:szCs w:val="20"/>
          <w:lang w:val="en-GB"/>
        </w:rPr>
        <w:t xml:space="preserve"> of the UN Special Rapporteur on the Right to Adequate Housing for submissions on the right to adequate housing and climate change. </w:t>
      </w:r>
    </w:p>
    <w:p w14:paraId="1A87DACB" w14:textId="77777777" w:rsidR="00076069" w:rsidRPr="00456128" w:rsidRDefault="00076069" w:rsidP="00735B04">
      <w:pPr>
        <w:pStyle w:val="Body"/>
        <w:rPr>
          <w:rFonts w:ascii="Avenir Roman" w:eastAsia="Avenir Roman" w:hAnsi="Avenir Roman" w:cs="Avenir Roman"/>
          <w:sz w:val="20"/>
          <w:szCs w:val="20"/>
          <w:lang w:val="en-GB"/>
        </w:rPr>
      </w:pPr>
    </w:p>
    <w:p w14:paraId="68E15E08" w14:textId="39FC91D4" w:rsidR="00076069" w:rsidRPr="00456128" w:rsidRDefault="000B7CAA" w:rsidP="00735B04">
      <w:pPr>
        <w:pStyle w:val="Body"/>
        <w:rPr>
          <w:rFonts w:ascii="Avenir Roman" w:eastAsia="Avenir Roman" w:hAnsi="Avenir Roman" w:cs="Avenir Roman"/>
          <w:sz w:val="20"/>
          <w:szCs w:val="20"/>
          <w:lang w:val="en-GB"/>
        </w:rPr>
      </w:pPr>
      <w:hyperlink r:id="rId9" w:history="1">
        <w:r w:rsidR="00AD6320" w:rsidRPr="00456128">
          <w:rPr>
            <w:rStyle w:val="Hyperlink0"/>
            <w:sz w:val="20"/>
            <w:szCs w:val="20"/>
            <w:lang w:val="en-GB"/>
          </w:rPr>
          <w:t>IHRB</w:t>
        </w:r>
      </w:hyperlink>
      <w:r w:rsidR="00AD6320" w:rsidRPr="00456128">
        <w:rPr>
          <w:rFonts w:ascii="Avenir Roman" w:hAnsi="Avenir Roman"/>
          <w:sz w:val="20"/>
          <w:szCs w:val="20"/>
          <w:lang w:val="en-GB"/>
        </w:rPr>
        <w:t xml:space="preserve"> works  to shape policy, advance practice and strengthen accountability in order to make respect for human rights part of everyday business. This submission was prepared by IHRB’s </w:t>
      </w:r>
      <w:hyperlink r:id="rId10" w:history="1">
        <w:r w:rsidR="00AD6320" w:rsidRPr="00456128">
          <w:rPr>
            <w:rStyle w:val="Hyperlink0"/>
            <w:sz w:val="20"/>
            <w:szCs w:val="20"/>
            <w:lang w:val="en-GB"/>
          </w:rPr>
          <w:t>built environment programme</w:t>
        </w:r>
      </w:hyperlink>
      <w:r w:rsidR="00AD6320" w:rsidRPr="00456128">
        <w:rPr>
          <w:rFonts w:ascii="Avenir Roman" w:hAnsi="Avenir Roman"/>
          <w:sz w:val="20"/>
          <w:szCs w:val="20"/>
          <w:lang w:val="en-GB"/>
        </w:rPr>
        <w:t xml:space="preserve">, which works with partners to advance the full range of human rights at each stage of the built environment lifecycle: Land; Planning &amp; Finance; Design; Construction; Management and Use; and Re-development. </w:t>
      </w:r>
      <w:r w:rsidR="00456128">
        <w:rPr>
          <w:rFonts w:ascii="Avenir Roman" w:hAnsi="Avenir Roman"/>
          <w:sz w:val="20"/>
          <w:szCs w:val="20"/>
          <w:lang w:val="en-GB"/>
        </w:rPr>
        <w:t xml:space="preserve">All of these six lifecycle stages have implications for the realisation of the right to housing, as well as many other rights. </w:t>
      </w:r>
    </w:p>
    <w:p w14:paraId="28E15344" w14:textId="77777777" w:rsidR="00076069" w:rsidRPr="00456128" w:rsidRDefault="00076069" w:rsidP="00735B04">
      <w:pPr>
        <w:pStyle w:val="Body"/>
        <w:rPr>
          <w:rFonts w:ascii="Avenir Roman" w:eastAsia="Avenir Roman" w:hAnsi="Avenir Roman" w:cs="Avenir Roman"/>
          <w:sz w:val="20"/>
          <w:szCs w:val="20"/>
          <w:lang w:val="en-GB"/>
        </w:rPr>
      </w:pPr>
    </w:p>
    <w:p w14:paraId="674422EE" w14:textId="29734410" w:rsidR="00076069" w:rsidRPr="00456128" w:rsidRDefault="00AD6320" w:rsidP="00735B04">
      <w:pPr>
        <w:pStyle w:val="Body"/>
        <w:rPr>
          <w:rFonts w:ascii="Avenir Heavy" w:eastAsia="Avenir Heavy" w:hAnsi="Avenir Heavy" w:cs="Avenir Heavy"/>
          <w:sz w:val="20"/>
          <w:szCs w:val="20"/>
          <w:lang w:val="en-GB"/>
        </w:rPr>
      </w:pPr>
      <w:r w:rsidRPr="00456128">
        <w:rPr>
          <w:rFonts w:ascii="Avenir Heavy" w:hAnsi="Avenir Heavy"/>
          <w:sz w:val="20"/>
          <w:szCs w:val="20"/>
          <w:lang w:val="en-GB"/>
        </w:rPr>
        <w:t>General comments</w:t>
      </w:r>
    </w:p>
    <w:p w14:paraId="2B3139CB" w14:textId="2A7BF4B6" w:rsidR="00456128" w:rsidRDefault="00AD6320" w:rsidP="00735B04">
      <w:pPr>
        <w:pStyle w:val="Body"/>
        <w:rPr>
          <w:rFonts w:ascii="Avenir Roman" w:hAnsi="Avenir Roman"/>
          <w:sz w:val="20"/>
          <w:szCs w:val="20"/>
          <w:lang w:val="en-GB"/>
        </w:rPr>
      </w:pPr>
      <w:r w:rsidRPr="00456128">
        <w:rPr>
          <w:rFonts w:ascii="Avenir Roman" w:eastAsia="Avenir Roman" w:hAnsi="Avenir Roman" w:cs="Avenir Roman"/>
          <w:sz w:val="20"/>
          <w:szCs w:val="20"/>
          <w:lang w:val="en-GB"/>
        </w:rPr>
        <w:br/>
      </w:r>
      <w:r w:rsidRPr="00456128">
        <w:rPr>
          <w:rFonts w:ascii="Avenir Roman" w:hAnsi="Avenir Roman"/>
          <w:sz w:val="20"/>
          <w:szCs w:val="20"/>
          <w:lang w:val="en-GB"/>
        </w:rPr>
        <w:t xml:space="preserve">Current policy, finance and business initiatives relating to the built environment (buildings and infrastructure) at international, national and local levels are paying growing attention to the urgency of climate resilience, adaptation and mitigation. At the same time, millions of people in all regions continue to face barriers to adequate housing in all its facets, i.e. legal security of tenure; availability of services, materials, facilities and infrastructure; affordability; habitability; accessibility; location; and cultural adequacy. It is therefore particularly timely and important that the Special Rapporteur is elevating the interconnections between climate change and housing. </w:t>
      </w:r>
    </w:p>
    <w:p w14:paraId="291CD47C" w14:textId="77777777" w:rsidR="00456128" w:rsidRDefault="00456128" w:rsidP="00735B04">
      <w:pPr>
        <w:pStyle w:val="Body"/>
        <w:rPr>
          <w:rFonts w:ascii="Avenir Roman" w:hAnsi="Avenir Roman"/>
          <w:sz w:val="20"/>
          <w:szCs w:val="20"/>
          <w:lang w:val="en-GB"/>
        </w:rPr>
      </w:pPr>
    </w:p>
    <w:p w14:paraId="2BF9137B" w14:textId="77777777" w:rsidR="00954A26" w:rsidRDefault="00AD6320" w:rsidP="00735B04">
      <w:pPr>
        <w:pStyle w:val="Body"/>
        <w:rPr>
          <w:rFonts w:ascii="Avenir Roman" w:hAnsi="Avenir Roman"/>
          <w:sz w:val="20"/>
          <w:szCs w:val="20"/>
          <w:lang w:val="en-GB"/>
        </w:rPr>
      </w:pPr>
      <w:r w:rsidRPr="00456128">
        <w:rPr>
          <w:rFonts w:ascii="Avenir Roman" w:hAnsi="Avenir Roman"/>
          <w:sz w:val="20"/>
          <w:szCs w:val="20"/>
          <w:lang w:val="en-GB"/>
        </w:rPr>
        <w:t xml:space="preserve">Policy and practice level responses should address the direct need for rights-compliant, climate-resilient and carbon-neutral housing for all. They should also seek to address underlying economic system challenges that exacerbate both the climate and housing crises – for example by leading to over-building in many regions of properties that are beyond the means of most local residents and have high carbon footprints, particularly if they remain empty for the majority of their lifespan. </w:t>
      </w:r>
    </w:p>
    <w:p w14:paraId="2DC57BE2" w14:textId="77777777" w:rsidR="00954A26" w:rsidRDefault="00954A26" w:rsidP="00735B04">
      <w:pPr>
        <w:pStyle w:val="Body"/>
        <w:rPr>
          <w:rFonts w:ascii="Avenir Roman" w:hAnsi="Avenir Roman"/>
          <w:sz w:val="20"/>
          <w:szCs w:val="20"/>
          <w:lang w:val="en-GB"/>
        </w:rPr>
      </w:pPr>
    </w:p>
    <w:p w14:paraId="77A6B3C6" w14:textId="263F626D" w:rsidR="00076069" w:rsidRPr="00456128" w:rsidRDefault="00AD6320" w:rsidP="00735B04">
      <w:pPr>
        <w:pStyle w:val="Body"/>
        <w:rPr>
          <w:rFonts w:ascii="Avenir Roman" w:eastAsia="Avenir Roman" w:hAnsi="Avenir Roman" w:cs="Avenir Roman"/>
          <w:sz w:val="20"/>
          <w:szCs w:val="20"/>
          <w:lang w:val="en-GB"/>
        </w:rPr>
      </w:pPr>
      <w:r w:rsidRPr="00456128">
        <w:rPr>
          <w:rFonts w:ascii="Avenir Roman" w:hAnsi="Avenir Roman"/>
          <w:sz w:val="20"/>
          <w:szCs w:val="20"/>
          <w:lang w:val="en-GB"/>
        </w:rPr>
        <w:t xml:space="preserve">There are significant opportunities for strategies that connect organisations working on the right to housing, on climate and environmental impacts, </w:t>
      </w:r>
      <w:r w:rsidR="00456128">
        <w:rPr>
          <w:rFonts w:ascii="Avenir Roman" w:hAnsi="Avenir Roman"/>
          <w:sz w:val="20"/>
          <w:szCs w:val="20"/>
          <w:lang w:val="en-GB"/>
        </w:rPr>
        <w:t xml:space="preserve">on </w:t>
      </w:r>
      <w:r w:rsidRPr="00456128">
        <w:rPr>
          <w:rFonts w:ascii="Avenir Roman" w:hAnsi="Avenir Roman"/>
          <w:sz w:val="20"/>
          <w:szCs w:val="20"/>
          <w:lang w:val="en-GB"/>
        </w:rPr>
        <w:t>the rights of construction workers</w:t>
      </w:r>
      <w:r w:rsidR="00456128">
        <w:rPr>
          <w:rFonts w:ascii="Avenir Roman" w:hAnsi="Avenir Roman"/>
          <w:sz w:val="20"/>
          <w:szCs w:val="20"/>
          <w:lang w:val="en-GB"/>
        </w:rPr>
        <w:t xml:space="preserve">, on responsible business practices </w:t>
      </w:r>
      <w:r w:rsidRPr="00456128">
        <w:rPr>
          <w:rFonts w:ascii="Avenir Roman" w:hAnsi="Avenir Roman"/>
          <w:sz w:val="20"/>
          <w:szCs w:val="20"/>
          <w:lang w:val="en-GB"/>
        </w:rPr>
        <w:t xml:space="preserve">and other related areas, all in support of a more </w:t>
      </w:r>
      <w:r w:rsidR="00922847">
        <w:rPr>
          <w:rFonts w:ascii="Avenir Roman" w:hAnsi="Avenir Roman"/>
          <w:sz w:val="20"/>
          <w:szCs w:val="20"/>
          <w:lang w:val="en-GB"/>
        </w:rPr>
        <w:t xml:space="preserve">rights-respecting </w:t>
      </w:r>
      <w:r w:rsidRPr="00456128">
        <w:rPr>
          <w:rFonts w:ascii="Avenir Roman" w:hAnsi="Avenir Roman"/>
          <w:sz w:val="20"/>
          <w:szCs w:val="20"/>
          <w:lang w:val="en-GB"/>
        </w:rPr>
        <w:t>and environmentally sustainable approach to the built environment.</w:t>
      </w:r>
    </w:p>
    <w:p w14:paraId="514BA14C" w14:textId="466D704B" w:rsidR="00076069" w:rsidRPr="00456128" w:rsidRDefault="00076069" w:rsidP="00735B04">
      <w:pPr>
        <w:pStyle w:val="Body"/>
        <w:rPr>
          <w:rFonts w:ascii="Avenir Roman" w:eastAsia="Avenir Roman" w:hAnsi="Avenir Roman" w:cs="Avenir Roman"/>
          <w:sz w:val="20"/>
          <w:szCs w:val="20"/>
          <w:lang w:val="en-GB"/>
        </w:rPr>
      </w:pPr>
    </w:p>
    <w:p w14:paraId="75D38DFC" w14:textId="3E4E4ED1" w:rsidR="00954A26" w:rsidRDefault="00AD6320" w:rsidP="00735B04">
      <w:pPr>
        <w:pStyle w:val="Body"/>
        <w:rPr>
          <w:rFonts w:ascii="Avenir Heavy" w:eastAsia="Avenir Heavy" w:hAnsi="Avenir Heavy" w:cs="Avenir Heavy"/>
          <w:sz w:val="20"/>
          <w:szCs w:val="20"/>
          <w:lang w:val="en-GB"/>
        </w:rPr>
      </w:pPr>
      <w:r w:rsidRPr="00456128">
        <w:rPr>
          <w:rFonts w:ascii="Avenir Heavy" w:hAnsi="Avenir Heavy"/>
          <w:sz w:val="20"/>
          <w:szCs w:val="20"/>
          <w:lang w:val="en-GB"/>
        </w:rPr>
        <w:t>Responses to specific questions in the questionnaire</w:t>
      </w:r>
      <w:r w:rsidRPr="00456128">
        <w:rPr>
          <w:rFonts w:ascii="Avenir Heavy" w:eastAsia="Avenir Heavy" w:hAnsi="Avenir Heavy" w:cs="Avenir Heavy"/>
          <w:sz w:val="20"/>
          <w:szCs w:val="20"/>
          <w:lang w:val="en-GB"/>
        </w:rPr>
        <w:br/>
      </w:r>
    </w:p>
    <w:p w14:paraId="342FAE8F" w14:textId="2D53A6A2" w:rsidR="00954A26" w:rsidRDefault="00954A26" w:rsidP="00735B04">
      <w:pPr>
        <w:pStyle w:val="Body"/>
        <w:rPr>
          <w:rFonts w:ascii="Avenir Roman" w:hAnsi="Avenir Roman"/>
          <w:sz w:val="20"/>
          <w:szCs w:val="20"/>
          <w:lang w:val="en-GB"/>
        </w:rPr>
      </w:pPr>
      <w:r>
        <w:rPr>
          <w:rFonts w:ascii="Avenir Roman" w:hAnsi="Avenir Roman"/>
          <w:sz w:val="20"/>
          <w:szCs w:val="20"/>
          <w:lang w:val="en-GB"/>
        </w:rPr>
        <w:t xml:space="preserve">In the sections below, we provide responses to questions 8, 9, 14, 15, 16, 17 and 18 from the Rapporteur’s </w:t>
      </w:r>
      <w:hyperlink r:id="rId11" w:history="1">
        <w:r w:rsidRPr="00954A26">
          <w:rPr>
            <w:rStyle w:val="Hyperlink"/>
            <w:rFonts w:ascii="Avenir Roman" w:hAnsi="Avenir Roman"/>
            <w:sz w:val="20"/>
            <w:szCs w:val="20"/>
            <w:lang w:val="en-GB"/>
          </w:rPr>
          <w:t>questionnaire</w:t>
        </w:r>
      </w:hyperlink>
      <w:r>
        <w:rPr>
          <w:rFonts w:ascii="Avenir Roman" w:hAnsi="Avenir Roman"/>
          <w:sz w:val="20"/>
          <w:szCs w:val="20"/>
          <w:lang w:val="en-GB"/>
        </w:rPr>
        <w:t xml:space="preserve">. </w:t>
      </w:r>
    </w:p>
    <w:p w14:paraId="2A874E4C" w14:textId="77777777" w:rsidR="00954A26" w:rsidRDefault="00954A26" w:rsidP="00735B04">
      <w:pPr>
        <w:pStyle w:val="Body"/>
        <w:rPr>
          <w:rFonts w:ascii="Avenir Heavy" w:hAnsi="Avenir Heavy"/>
          <w:i/>
          <w:iCs/>
          <w:sz w:val="20"/>
          <w:szCs w:val="20"/>
          <w:u w:val="single"/>
          <w:lang w:val="en-GB"/>
        </w:rPr>
      </w:pPr>
    </w:p>
    <w:p w14:paraId="586EBA76" w14:textId="5E923850" w:rsidR="00076069" w:rsidRPr="00456128" w:rsidRDefault="00AD6320" w:rsidP="00735B04">
      <w:pPr>
        <w:pStyle w:val="Body"/>
        <w:rPr>
          <w:rFonts w:ascii="Avenir Roman" w:eastAsia="Avenir Roman" w:hAnsi="Avenir Roman" w:cs="Avenir Roman"/>
          <w:sz w:val="20"/>
          <w:szCs w:val="20"/>
          <w:u w:val="single"/>
          <w:lang w:val="en-GB"/>
        </w:rPr>
      </w:pPr>
      <w:r w:rsidRPr="00456128">
        <w:rPr>
          <w:rFonts w:ascii="Avenir Heavy" w:hAnsi="Avenir Heavy"/>
          <w:i/>
          <w:iCs/>
          <w:sz w:val="20"/>
          <w:szCs w:val="20"/>
          <w:u w:val="single"/>
          <w:lang w:val="en-GB"/>
        </w:rPr>
        <w:t>In measures</w:t>
      </w:r>
    </w:p>
    <w:p w14:paraId="2AF424E6" w14:textId="77777777" w:rsidR="00076069" w:rsidRPr="00456128" w:rsidRDefault="00076069" w:rsidP="00735B04">
      <w:pPr>
        <w:pStyle w:val="gmail-msolistparagraph"/>
        <w:spacing w:before="0" w:after="0"/>
        <w:ind w:left="720"/>
        <w:rPr>
          <w:rFonts w:ascii="Avenir Roman" w:eastAsia="Avenir Roman" w:hAnsi="Avenir Roman" w:cs="Avenir Roman"/>
          <w:sz w:val="20"/>
          <w:szCs w:val="20"/>
          <w:lang w:val="en-GB"/>
        </w:rPr>
      </w:pPr>
    </w:p>
    <w:p w14:paraId="2A70B6E9" w14:textId="3094C91C" w:rsidR="00AF07F3" w:rsidRPr="00456128" w:rsidRDefault="00AD6320" w:rsidP="00735B04">
      <w:pPr>
        <w:pStyle w:val="gmail-msolistparagraph"/>
        <w:spacing w:before="0" w:after="0"/>
        <w:ind w:left="720"/>
        <w:rPr>
          <w:rFonts w:ascii="Avenir Heavy" w:eastAsia="Avenir Heavy" w:hAnsi="Avenir Heavy" w:cs="Avenir Heavy"/>
          <w:sz w:val="20"/>
          <w:szCs w:val="20"/>
          <w:lang w:val="en-GB"/>
        </w:rPr>
      </w:pPr>
      <w:r w:rsidRPr="00456128">
        <w:rPr>
          <w:rFonts w:ascii="Avenir Heavy" w:hAnsi="Avenir Heavy"/>
          <w:sz w:val="20"/>
          <w:szCs w:val="20"/>
          <w:lang w:val="en-GB"/>
        </w:rPr>
        <w:t xml:space="preserve">8.     Please explain how energy efficiency, green urban planning, climate mitigation and adaptation policies and programmes </w:t>
      </w:r>
      <w:proofErr w:type="gramStart"/>
      <w:r w:rsidRPr="00456128">
        <w:rPr>
          <w:rFonts w:ascii="Avenir Heavy" w:hAnsi="Avenir Heavy"/>
          <w:sz w:val="20"/>
          <w:szCs w:val="20"/>
          <w:lang w:val="en-GB"/>
        </w:rPr>
        <w:t>take into account</w:t>
      </w:r>
      <w:proofErr w:type="gramEnd"/>
      <w:r w:rsidRPr="00456128">
        <w:rPr>
          <w:rFonts w:ascii="Avenir Heavy" w:hAnsi="Avenir Heavy"/>
          <w:sz w:val="20"/>
          <w:szCs w:val="20"/>
          <w:lang w:val="en-GB"/>
        </w:rPr>
        <w:t xml:space="preserve"> the right to adequate housing. What measures have been taken to ensure that they do not have any (unintended) discriminatory impact on particular population groups? </w:t>
      </w:r>
    </w:p>
    <w:p w14:paraId="2E610D27" w14:textId="1C8CFE35" w:rsidR="00456128" w:rsidRDefault="00456128" w:rsidP="00735B04">
      <w:pPr>
        <w:pStyle w:val="Body"/>
        <w:rPr>
          <w:rFonts w:ascii="Avenir Roman" w:hAnsi="Avenir Roman"/>
          <w:sz w:val="20"/>
          <w:szCs w:val="20"/>
          <w:lang w:val="en-GB"/>
        </w:rPr>
      </w:pPr>
      <w:r>
        <w:rPr>
          <w:rFonts w:ascii="Avenir Roman" w:hAnsi="Avenir Roman"/>
          <w:sz w:val="20"/>
          <w:szCs w:val="20"/>
          <w:lang w:val="en-GB"/>
        </w:rPr>
        <w:br/>
      </w:r>
      <w:r w:rsidR="00AD6320" w:rsidRPr="00456128">
        <w:rPr>
          <w:rFonts w:ascii="Avenir Roman" w:hAnsi="Avenir Roman"/>
          <w:sz w:val="20"/>
          <w:szCs w:val="20"/>
          <w:lang w:val="en-GB"/>
        </w:rPr>
        <w:t xml:space="preserve">National and local governments are paying increasing attention to the need to decarbonise and </w:t>
      </w:r>
      <w:r w:rsidR="00AD6320" w:rsidRPr="00456128">
        <w:rPr>
          <w:rFonts w:ascii="Avenir Roman" w:hAnsi="Avenir Roman"/>
          <w:sz w:val="20"/>
          <w:szCs w:val="20"/>
          <w:lang w:val="en-GB"/>
        </w:rPr>
        <w:lastRenderedPageBreak/>
        <w:t>strengthen resilience of buildings. For example, in 2020, 136 countries mentioned building emission reductions in their “Nationally-Determined Contributions” (NDCs), compared with 90 countries in 2015 (</w:t>
      </w:r>
      <w:hyperlink r:id="rId12" w:history="1">
        <w:r w:rsidR="00AD6320" w:rsidRPr="00456128">
          <w:rPr>
            <w:rStyle w:val="Hyperlink1"/>
            <w:sz w:val="20"/>
            <w:szCs w:val="20"/>
            <w:lang w:val="en-GB"/>
          </w:rPr>
          <w:t>Global Alliance for Buildings and Construction</w:t>
        </w:r>
      </w:hyperlink>
      <w:r w:rsidR="00AD6320" w:rsidRPr="00456128">
        <w:rPr>
          <w:rFonts w:ascii="Avenir Roman" w:hAnsi="Avenir Roman"/>
          <w:sz w:val="20"/>
          <w:szCs w:val="20"/>
          <w:lang w:val="en-GB"/>
        </w:rPr>
        <w:t>). However, climate plans, particularly at the national level, have limited cross-references to housing implications and opportunities</w:t>
      </w:r>
      <w:r w:rsidR="00922847">
        <w:rPr>
          <w:rFonts w:ascii="Avenir Roman" w:hAnsi="Avenir Roman"/>
          <w:sz w:val="20"/>
          <w:szCs w:val="20"/>
          <w:lang w:val="en-GB"/>
        </w:rPr>
        <w:t>, and rarely with a human rights lens</w:t>
      </w:r>
      <w:r w:rsidR="00AD6320" w:rsidRPr="00456128">
        <w:rPr>
          <w:rFonts w:ascii="Avenir Roman" w:hAnsi="Avenir Roman"/>
          <w:sz w:val="20"/>
          <w:szCs w:val="20"/>
          <w:lang w:val="en-GB"/>
        </w:rPr>
        <w:t xml:space="preserve">. This points in part to the need for stronger joined-up approaches across key governmental departments in shaping the direction of climate responses. At the local level, where governments are often much closer to the immediate needs of residents, combined approaches to climate mitigation and adaptation and the right to adequate housing are more common. For example, the C40 network of cities </w:t>
      </w:r>
      <w:hyperlink r:id="rId13" w:history="1">
        <w:r w:rsidR="00AD6320" w:rsidRPr="00456128">
          <w:rPr>
            <w:rStyle w:val="Hyperlink0"/>
            <w:sz w:val="20"/>
            <w:szCs w:val="20"/>
            <w:lang w:val="en-GB"/>
          </w:rPr>
          <w:t>maps its member cities globally</w:t>
        </w:r>
      </w:hyperlink>
      <w:r w:rsidR="00AD6320" w:rsidRPr="00456128">
        <w:rPr>
          <w:rFonts w:ascii="Avenir Roman" w:hAnsi="Avenir Roman"/>
          <w:sz w:val="20"/>
          <w:szCs w:val="20"/>
          <w:lang w:val="en-GB"/>
        </w:rPr>
        <w:t xml:space="preserve"> that have Climate Action Plans, covering mitigation and adaptation strategies: several of these refer to the housing dimensions of climate action. The Special Rapporteur could consider commissioning a detailed analysis of national-level and city-level climate mitigation and adaptation strategies to assess the extent and ways in which the right to adequate housing, particularly non-discrimination dimensions, is or is not </w:t>
      </w:r>
      <w:proofErr w:type="gramStart"/>
      <w:r w:rsidR="00AD6320" w:rsidRPr="00456128">
        <w:rPr>
          <w:rFonts w:ascii="Avenir Roman" w:hAnsi="Avenir Roman"/>
          <w:sz w:val="20"/>
          <w:szCs w:val="20"/>
          <w:lang w:val="en-GB"/>
        </w:rPr>
        <w:t>taken into account</w:t>
      </w:r>
      <w:proofErr w:type="gramEnd"/>
      <w:r w:rsidR="00AD6320" w:rsidRPr="00456128">
        <w:rPr>
          <w:rFonts w:ascii="Avenir Roman" w:hAnsi="Avenir Roman"/>
          <w:sz w:val="20"/>
          <w:szCs w:val="20"/>
          <w:lang w:val="en-GB"/>
        </w:rPr>
        <w:t>.</w:t>
      </w:r>
    </w:p>
    <w:p w14:paraId="57D4CD60" w14:textId="77777777" w:rsidR="00735B04" w:rsidRDefault="00735B04" w:rsidP="00735B04">
      <w:pPr>
        <w:pStyle w:val="Body"/>
        <w:rPr>
          <w:rFonts w:ascii="Avenir Roman" w:hAnsi="Avenir Roman"/>
          <w:sz w:val="20"/>
          <w:szCs w:val="20"/>
          <w:lang w:val="en-GB"/>
        </w:rPr>
      </w:pPr>
    </w:p>
    <w:p w14:paraId="2188C4CA" w14:textId="4676ACCC" w:rsidR="00076069" w:rsidRPr="00456128" w:rsidRDefault="00AD6320" w:rsidP="00735B04">
      <w:pPr>
        <w:pStyle w:val="Body"/>
        <w:rPr>
          <w:rFonts w:ascii="Avenir Roman" w:eastAsia="Avenir Roman" w:hAnsi="Avenir Roman" w:cs="Avenir Roman"/>
          <w:sz w:val="20"/>
          <w:szCs w:val="20"/>
          <w:lang w:val="en-GB"/>
        </w:rPr>
      </w:pPr>
      <w:r w:rsidRPr="00456128">
        <w:rPr>
          <w:rFonts w:ascii="Avenir Roman" w:hAnsi="Avenir Roman"/>
          <w:sz w:val="20"/>
          <w:szCs w:val="20"/>
          <w:lang w:val="en-GB"/>
        </w:rPr>
        <w:t>Specific examples of measures taken in various contexts are the following</w:t>
      </w:r>
      <w:r w:rsidR="00AF07F3" w:rsidRPr="00456128">
        <w:rPr>
          <w:rFonts w:ascii="Avenir Roman" w:hAnsi="Avenir Roman"/>
          <w:sz w:val="20"/>
          <w:szCs w:val="20"/>
          <w:lang w:val="en-GB"/>
        </w:rPr>
        <w:t>. Not all of these explicitly use a human rights / right to housing framing, however all can be seen to be supportive of greater reali</w:t>
      </w:r>
      <w:r w:rsidR="00735B04">
        <w:rPr>
          <w:rFonts w:ascii="Avenir Roman" w:hAnsi="Avenir Roman"/>
          <w:sz w:val="20"/>
          <w:szCs w:val="20"/>
          <w:lang w:val="en-GB"/>
        </w:rPr>
        <w:t>s</w:t>
      </w:r>
      <w:r w:rsidR="00AF07F3" w:rsidRPr="00456128">
        <w:rPr>
          <w:rFonts w:ascii="Avenir Roman" w:hAnsi="Avenir Roman"/>
          <w:sz w:val="20"/>
          <w:szCs w:val="20"/>
          <w:lang w:val="en-GB"/>
        </w:rPr>
        <w:t>ation of the right to housing, and to serve as counter-balances to practices that are non-conducive to the right to housing (for example practices that limit accessibility and affordability, that lead to forced evictions</w:t>
      </w:r>
      <w:r w:rsidR="00922847">
        <w:rPr>
          <w:rFonts w:ascii="Avenir Roman" w:hAnsi="Avenir Roman"/>
          <w:sz w:val="20"/>
          <w:szCs w:val="20"/>
          <w:lang w:val="en-GB"/>
        </w:rPr>
        <w:t xml:space="preserve"> and displacement</w:t>
      </w:r>
      <w:r w:rsidR="00AF07F3" w:rsidRPr="00456128">
        <w:rPr>
          <w:rFonts w:ascii="Avenir Roman" w:hAnsi="Avenir Roman"/>
          <w:sz w:val="20"/>
          <w:szCs w:val="20"/>
          <w:lang w:val="en-GB"/>
        </w:rPr>
        <w:t xml:space="preserve">, or that do not have </w:t>
      </w:r>
      <w:r w:rsidR="00735B04" w:rsidRPr="00456128">
        <w:rPr>
          <w:rFonts w:ascii="Avenir Roman" w:hAnsi="Avenir Roman"/>
          <w:sz w:val="20"/>
          <w:szCs w:val="20"/>
          <w:lang w:val="en-GB"/>
        </w:rPr>
        <w:t>avenues</w:t>
      </w:r>
      <w:r w:rsidR="00AF07F3" w:rsidRPr="00456128">
        <w:rPr>
          <w:rFonts w:ascii="Avenir Roman" w:hAnsi="Avenir Roman"/>
          <w:sz w:val="20"/>
          <w:szCs w:val="20"/>
          <w:lang w:val="en-GB"/>
        </w:rPr>
        <w:t xml:space="preserve"> for meaningful participation). </w:t>
      </w:r>
      <w:r w:rsidR="00735B04">
        <w:rPr>
          <w:rFonts w:ascii="Avenir Roman" w:hAnsi="Avenir Roman"/>
          <w:sz w:val="20"/>
          <w:szCs w:val="20"/>
          <w:lang w:val="en-GB"/>
        </w:rPr>
        <w:br/>
      </w:r>
    </w:p>
    <w:p w14:paraId="16F23986" w14:textId="77777777" w:rsidR="00076069" w:rsidRPr="00456128" w:rsidRDefault="00AD6320" w:rsidP="00735B04">
      <w:pPr>
        <w:pStyle w:val="Body"/>
        <w:numPr>
          <w:ilvl w:val="0"/>
          <w:numId w:val="9"/>
        </w:numPr>
        <w:rPr>
          <w:rFonts w:ascii="Avenir Roman" w:eastAsia="Avenir Roman" w:hAnsi="Avenir Roman" w:cs="Avenir Roman"/>
          <w:sz w:val="20"/>
          <w:szCs w:val="20"/>
          <w:lang w:val="en-GB"/>
        </w:rPr>
      </w:pPr>
      <w:r w:rsidRPr="00456128">
        <w:rPr>
          <w:rFonts w:ascii="Avenir Heavy" w:hAnsi="Avenir Heavy"/>
          <w:sz w:val="20"/>
          <w:szCs w:val="20"/>
          <w:lang w:val="en-GB"/>
        </w:rPr>
        <w:t>City-wide approaches to planning</w:t>
      </w:r>
      <w:r w:rsidRPr="00456128">
        <w:rPr>
          <w:rFonts w:ascii="Avenir Roman" w:hAnsi="Avenir Roman"/>
          <w:sz w:val="20"/>
          <w:szCs w:val="20"/>
          <w:lang w:val="en-GB"/>
        </w:rPr>
        <w:t xml:space="preserve">, </w:t>
      </w:r>
      <w:r w:rsidRPr="00456128">
        <w:rPr>
          <w:rFonts w:ascii="Avenir Heavy" w:hAnsi="Avenir Heavy"/>
          <w:sz w:val="20"/>
          <w:szCs w:val="20"/>
          <w:lang w:val="en-GB"/>
        </w:rPr>
        <w:t>policies to protect housing affordability</w:t>
      </w:r>
      <w:r w:rsidRPr="00456128">
        <w:rPr>
          <w:rFonts w:ascii="Avenir Roman" w:hAnsi="Avenir Roman"/>
          <w:sz w:val="20"/>
          <w:szCs w:val="20"/>
          <w:lang w:val="en-GB"/>
        </w:rPr>
        <w:t xml:space="preserve"> and </w:t>
      </w:r>
      <w:r w:rsidRPr="00456128">
        <w:rPr>
          <w:rFonts w:ascii="Avenir Heavy" w:hAnsi="Avenir Heavy"/>
          <w:sz w:val="20"/>
          <w:szCs w:val="20"/>
          <w:lang w:val="en-GB"/>
        </w:rPr>
        <w:t>effective allocations of city budgets</w:t>
      </w:r>
      <w:r w:rsidRPr="00456128">
        <w:rPr>
          <w:rFonts w:ascii="Avenir Roman" w:hAnsi="Avenir Roman"/>
          <w:sz w:val="20"/>
          <w:szCs w:val="20"/>
          <w:lang w:val="en-GB"/>
        </w:rPr>
        <w:t xml:space="preserve"> throughout all neighbourhoods can help reduce the risk of discrimination on particular population groups. For example, the Barcelona Laboratory for Urban Environmental Justice and Sustainability (BCNUEJ) and ICLEI (Local Governments for Sustainability) have produced a comprehensive </w:t>
      </w:r>
      <w:hyperlink r:id="rId14" w:history="1">
        <w:r w:rsidRPr="00456128">
          <w:rPr>
            <w:rStyle w:val="Hyperlink1"/>
            <w:sz w:val="20"/>
            <w:szCs w:val="20"/>
            <w:lang w:val="en-GB"/>
          </w:rPr>
          <w:t>Toolkit for Urban Green Justice</w:t>
        </w:r>
      </w:hyperlink>
      <w:r w:rsidRPr="00456128">
        <w:rPr>
          <w:rFonts w:ascii="Avenir Roman" w:hAnsi="Avenir Roman"/>
          <w:sz w:val="20"/>
          <w:szCs w:val="20"/>
          <w:lang w:val="en-GB"/>
        </w:rPr>
        <w:t xml:space="preserve"> with 50 planning and policy tools to avoid gentrification and displacement in green projects, while also ensuring equal access to their benefits. </w:t>
      </w:r>
    </w:p>
    <w:p w14:paraId="7B0E25B6" w14:textId="77777777" w:rsidR="00735B04" w:rsidRDefault="00735B04" w:rsidP="00735B04">
      <w:pPr>
        <w:pStyle w:val="Body"/>
        <w:shd w:val="clear" w:color="auto" w:fill="FFFFFF"/>
        <w:rPr>
          <w:rFonts w:ascii="Avenir Roman" w:hAnsi="Avenir Roman"/>
          <w:sz w:val="20"/>
          <w:szCs w:val="20"/>
          <w:lang w:val="en-GB"/>
        </w:rPr>
      </w:pPr>
    </w:p>
    <w:p w14:paraId="35B81922" w14:textId="12C63E4A" w:rsidR="00076069" w:rsidRPr="00456128" w:rsidRDefault="00AD6320" w:rsidP="00735B04">
      <w:pPr>
        <w:pStyle w:val="Body"/>
        <w:numPr>
          <w:ilvl w:val="0"/>
          <w:numId w:val="9"/>
        </w:numPr>
        <w:shd w:val="clear" w:color="auto" w:fill="FFFFFF"/>
        <w:rPr>
          <w:rFonts w:ascii="Avenir Roman" w:eastAsia="Avenir Roman" w:hAnsi="Avenir Roman" w:cs="Avenir Roman"/>
          <w:sz w:val="20"/>
          <w:szCs w:val="20"/>
          <w:lang w:val="en-GB"/>
        </w:rPr>
      </w:pPr>
      <w:r w:rsidRPr="00456128">
        <w:rPr>
          <w:rFonts w:ascii="Avenir Roman" w:hAnsi="Avenir Roman"/>
          <w:sz w:val="20"/>
          <w:szCs w:val="20"/>
          <w:lang w:val="en-GB"/>
        </w:rPr>
        <w:t xml:space="preserve">Another measure to ensure that climate actions do not have any (unintended) discriminatory impact on particular population groups, is to develop models that are by nature inclusive and redistributive. </w:t>
      </w:r>
      <w:r w:rsidRPr="00456128">
        <w:rPr>
          <w:rFonts w:ascii="Avenir Heavy" w:hAnsi="Avenir Heavy"/>
          <w:sz w:val="20"/>
          <w:szCs w:val="20"/>
          <w:lang w:val="en-GB"/>
        </w:rPr>
        <w:t>Community Land Trusts</w:t>
      </w:r>
      <w:r w:rsidRPr="00456128">
        <w:rPr>
          <w:rFonts w:ascii="Avenir Roman" w:hAnsi="Avenir Roman"/>
          <w:sz w:val="20"/>
          <w:szCs w:val="20"/>
          <w:lang w:val="en-GB"/>
        </w:rPr>
        <w:t xml:space="preserve"> (CLTs) develop and manage housing communities in a democratic way and ensure properties remain affordable. For example, in Brussels, CLTB focuses on net-zero housing developments specifically for at-risk groups, and training residents to use eco-technologies. CLTB also looks to build “local energy cooperatives” and “social economy hubs”, creating opportunities for local production as well for sharing clean energy within the land trust and with other communities. CLTB was a winner of the </w:t>
      </w:r>
      <w:hyperlink r:id="rId15" w:history="1">
        <w:r w:rsidRPr="00456128">
          <w:rPr>
            <w:rStyle w:val="Hyperlink1"/>
            <w:sz w:val="20"/>
            <w:szCs w:val="20"/>
            <w:lang w:val="en-GB"/>
          </w:rPr>
          <w:t>2021 World Habitat Awards</w:t>
        </w:r>
      </w:hyperlink>
      <w:r w:rsidRPr="00456128">
        <w:rPr>
          <w:rFonts w:ascii="Avenir Roman" w:hAnsi="Avenir Roman"/>
          <w:sz w:val="20"/>
          <w:szCs w:val="20"/>
          <w:lang w:val="en-GB"/>
        </w:rPr>
        <w:t xml:space="preserve">. </w:t>
      </w:r>
      <w:r w:rsidR="00735B04">
        <w:rPr>
          <w:rFonts w:ascii="Avenir Roman" w:hAnsi="Avenir Roman"/>
          <w:sz w:val="20"/>
          <w:szCs w:val="20"/>
          <w:lang w:val="en-GB"/>
        </w:rPr>
        <w:br/>
      </w:r>
    </w:p>
    <w:p w14:paraId="72A8EE29" w14:textId="5DB5B358" w:rsidR="00076069" w:rsidRPr="00456128" w:rsidRDefault="00AD6320" w:rsidP="00735B04">
      <w:pPr>
        <w:pStyle w:val="NormalWeb"/>
        <w:numPr>
          <w:ilvl w:val="0"/>
          <w:numId w:val="9"/>
        </w:numPr>
        <w:shd w:val="clear" w:color="auto" w:fill="FFFFFF"/>
        <w:spacing w:before="0" w:after="0"/>
        <w:rPr>
          <w:rFonts w:ascii="Avenir Roman" w:eastAsia="Avenir Roman" w:hAnsi="Avenir Roman" w:cs="Avenir Roman"/>
          <w:sz w:val="20"/>
          <w:szCs w:val="20"/>
          <w:lang w:val="en-GB"/>
        </w:rPr>
      </w:pPr>
      <w:r w:rsidRPr="00456128">
        <w:rPr>
          <w:rFonts w:ascii="Avenir Roman" w:hAnsi="Avenir Roman"/>
          <w:sz w:val="20"/>
          <w:szCs w:val="20"/>
          <w:lang w:val="en-GB"/>
        </w:rPr>
        <w:t>Another measure involves public housing corporations working with energy suppliers to assist people who are unable to pay their energy bills in order to prevent financial hardship. In Almere, Netherlands, people receive financial and energy counselling, and social housing units are equipped with solar panels and energy meters. Installations are pre-financed by the local housing corporation, and monthly savings are enough to pay back the cost and reduce electricity bills, thus reducing the risks of energy poverty and allowing housing affordability to all population groups.</w:t>
      </w:r>
      <w:r w:rsidR="00735B04">
        <w:rPr>
          <w:rFonts w:ascii="Avenir Roman" w:hAnsi="Avenir Roman"/>
          <w:sz w:val="20"/>
          <w:szCs w:val="20"/>
          <w:lang w:val="en-GB"/>
        </w:rPr>
        <w:br/>
      </w:r>
    </w:p>
    <w:p w14:paraId="55C59FAB" w14:textId="77777777" w:rsidR="00076069" w:rsidRPr="00735B04" w:rsidRDefault="00AD6320" w:rsidP="00735B04">
      <w:pPr>
        <w:pStyle w:val="NormalWeb"/>
        <w:shd w:val="clear" w:color="auto" w:fill="FFFFFF"/>
        <w:spacing w:before="0" w:after="0"/>
        <w:rPr>
          <w:rFonts w:ascii="Avenir Roman" w:eastAsia="Avenir Roman" w:hAnsi="Avenir Roman" w:cs="Avenir Roman"/>
          <w:i/>
          <w:sz w:val="20"/>
          <w:szCs w:val="20"/>
          <w:lang w:val="en-GB"/>
        </w:rPr>
      </w:pPr>
      <w:r w:rsidRPr="00735B04">
        <w:rPr>
          <w:rFonts w:ascii="Avenir Roman" w:hAnsi="Avenir Roman"/>
          <w:i/>
          <w:sz w:val="20"/>
          <w:szCs w:val="20"/>
          <w:lang w:val="en-GB"/>
        </w:rPr>
        <w:t>The above measures are drawn from IHRB’s report “</w:t>
      </w:r>
      <w:hyperlink r:id="rId16" w:history="1">
        <w:r w:rsidRPr="00735B04">
          <w:rPr>
            <w:rStyle w:val="Hyperlink0"/>
            <w:i/>
            <w:sz w:val="20"/>
            <w:szCs w:val="20"/>
            <w:lang w:val="en-GB"/>
          </w:rPr>
          <w:t>Better Building(s): Financing Human Rights-Based Decarbonisation of Buildings in Europe</w:t>
        </w:r>
      </w:hyperlink>
      <w:r w:rsidRPr="00735B04">
        <w:rPr>
          <w:rFonts w:ascii="Avenir Roman" w:hAnsi="Avenir Roman"/>
          <w:i/>
          <w:sz w:val="20"/>
          <w:szCs w:val="20"/>
          <w:lang w:val="en-GB"/>
        </w:rPr>
        <w:t>” (particularly chapter one on “The Right to Housing”).</w:t>
      </w:r>
    </w:p>
    <w:p w14:paraId="193D2A8D" w14:textId="77777777" w:rsidR="00735B04" w:rsidRDefault="00735B04" w:rsidP="00735B04">
      <w:pPr>
        <w:pStyle w:val="NormalWeb"/>
        <w:shd w:val="clear" w:color="auto" w:fill="FFFFFF"/>
        <w:spacing w:before="0" w:after="0"/>
        <w:rPr>
          <w:rFonts w:ascii="Avenir Roman" w:hAnsi="Avenir Roman"/>
          <w:sz w:val="20"/>
          <w:szCs w:val="20"/>
          <w:lang w:val="en-GB"/>
        </w:rPr>
      </w:pPr>
    </w:p>
    <w:p w14:paraId="198B37DE" w14:textId="1A3B35F0" w:rsidR="00076069" w:rsidRPr="00456128" w:rsidRDefault="00AD6320" w:rsidP="00735B04">
      <w:pPr>
        <w:pStyle w:val="NormalWeb"/>
        <w:shd w:val="clear" w:color="auto" w:fill="FFFFFF"/>
        <w:spacing w:before="0" w:after="0"/>
        <w:rPr>
          <w:rFonts w:ascii="Avenir Roman" w:eastAsia="Avenir Roman" w:hAnsi="Avenir Roman" w:cs="Avenir Roman"/>
          <w:sz w:val="20"/>
          <w:szCs w:val="20"/>
          <w:lang w:val="en-GB"/>
        </w:rPr>
      </w:pPr>
      <w:r w:rsidRPr="00456128">
        <w:rPr>
          <w:rFonts w:ascii="Avenir Roman" w:hAnsi="Avenir Roman"/>
          <w:sz w:val="20"/>
          <w:szCs w:val="20"/>
          <w:lang w:val="en-GB"/>
        </w:rPr>
        <w:t xml:space="preserve">In addition, construction workers in the informal and formal sectors can be important allies in both climate measures in the built environment and expanding access to adequate housing. For example: </w:t>
      </w:r>
      <w:r w:rsidRPr="00456128">
        <w:rPr>
          <w:rFonts w:ascii="Avenir Roman" w:hAnsi="Avenir Roman"/>
          <w:sz w:val="20"/>
          <w:szCs w:val="20"/>
          <w:lang w:val="en-GB"/>
        </w:rPr>
        <w:lastRenderedPageBreak/>
        <w:t>construction union GBH in Austria has partnered with 15 organisations in the “</w:t>
      </w:r>
      <w:proofErr w:type="spellStart"/>
      <w:r w:rsidR="00FB1E69" w:rsidRPr="00456128">
        <w:fldChar w:fldCharType="begin"/>
      </w:r>
      <w:r w:rsidR="00FB1E69" w:rsidRPr="00456128">
        <w:rPr>
          <w:sz w:val="20"/>
          <w:szCs w:val="20"/>
          <w:lang w:val="en-GB"/>
        </w:rPr>
        <w:instrText xml:space="preserve"> HYPERLINK "http://www.umwelt-bauen.at/umwelt-bauen/" </w:instrText>
      </w:r>
      <w:r w:rsidR="00FB1E69" w:rsidRPr="00456128">
        <w:fldChar w:fldCharType="separate"/>
      </w:r>
      <w:r w:rsidRPr="00456128">
        <w:rPr>
          <w:rStyle w:val="Hyperlink0"/>
          <w:sz w:val="20"/>
          <w:szCs w:val="20"/>
          <w:lang w:val="en-GB"/>
        </w:rPr>
        <w:t>Umwelt+Bauen</w:t>
      </w:r>
      <w:proofErr w:type="spellEnd"/>
      <w:r w:rsidR="00FB1E69" w:rsidRPr="00456128">
        <w:rPr>
          <w:rStyle w:val="Hyperlink0"/>
          <w:sz w:val="20"/>
          <w:szCs w:val="20"/>
          <w:lang w:val="en-GB"/>
        </w:rPr>
        <w:fldChar w:fldCharType="end"/>
      </w:r>
      <w:r w:rsidRPr="00456128">
        <w:rPr>
          <w:rFonts w:ascii="Avenir Roman" w:hAnsi="Avenir Roman"/>
          <w:sz w:val="20"/>
          <w:szCs w:val="20"/>
          <w:lang w:val="en-GB"/>
        </w:rPr>
        <w:t xml:space="preserve">” initiative to increase the supply of affordable housing, renovate buildings and switch to renewable energy, while also addressing heavy rain, flooding, hot summers and melting glaciers. First Union in New Zealand has published a </w:t>
      </w:r>
      <w:hyperlink r:id="rId17" w:history="1">
        <w:r w:rsidRPr="00456128">
          <w:rPr>
            <w:rStyle w:val="Hyperlink0"/>
            <w:sz w:val="20"/>
            <w:szCs w:val="20"/>
            <w:lang w:val="en-GB"/>
          </w:rPr>
          <w:t>policy agenda</w:t>
        </w:r>
      </w:hyperlink>
      <w:r w:rsidRPr="00456128">
        <w:rPr>
          <w:rFonts w:ascii="Avenir Roman" w:hAnsi="Avenir Roman"/>
          <w:sz w:val="20"/>
          <w:szCs w:val="20"/>
          <w:lang w:val="en-GB"/>
        </w:rPr>
        <w:t xml:space="preserve"> to address that country’s affordable housing crisis and climate change through a ministry of green works. Self-employed women construction workers with </w:t>
      </w:r>
      <w:hyperlink r:id="rId18" w:history="1">
        <w:r w:rsidRPr="00456128">
          <w:rPr>
            <w:rStyle w:val="Hyperlink0"/>
            <w:sz w:val="20"/>
            <w:szCs w:val="20"/>
            <w:lang w:val="en-GB"/>
          </w:rPr>
          <w:t>SEWA</w:t>
        </w:r>
      </w:hyperlink>
      <w:r w:rsidRPr="00456128">
        <w:rPr>
          <w:rFonts w:ascii="Avenir Roman" w:hAnsi="Avenir Roman"/>
          <w:sz w:val="20"/>
          <w:szCs w:val="20"/>
          <w:lang w:val="en-GB"/>
        </w:rPr>
        <w:t xml:space="preserve"> in India install solar panels on rooftops and natural ceiling lights, which reduce dependence on unreliable electricity while also expanding the time that home work can be carried out. It is also important to consider the resilience and adaptation of </w:t>
      </w:r>
      <w:hyperlink r:id="rId19" w:history="1">
        <w:r w:rsidRPr="00456128">
          <w:rPr>
            <w:rStyle w:val="Hyperlink0"/>
            <w:sz w:val="20"/>
            <w:szCs w:val="20"/>
            <w:lang w:val="en-GB"/>
          </w:rPr>
          <w:t>migrant workers’ accommodation</w:t>
        </w:r>
      </w:hyperlink>
      <w:r w:rsidRPr="00456128">
        <w:rPr>
          <w:rFonts w:ascii="Avenir Roman" w:hAnsi="Avenir Roman"/>
          <w:sz w:val="20"/>
          <w:szCs w:val="20"/>
          <w:lang w:val="en-GB"/>
        </w:rPr>
        <w:t xml:space="preserve"> to climate change impacts (including increased heat and extreme weather patterns), and the disconnect in the fact that workers building new state-of-the-art “green” buildings with environmental certifications and </w:t>
      </w:r>
      <w:r w:rsidR="00922847">
        <w:rPr>
          <w:rFonts w:ascii="Avenir Roman" w:hAnsi="Avenir Roman"/>
          <w:sz w:val="20"/>
          <w:szCs w:val="20"/>
          <w:lang w:val="en-GB"/>
        </w:rPr>
        <w:t xml:space="preserve">the moderation of </w:t>
      </w:r>
      <w:r w:rsidRPr="00456128">
        <w:rPr>
          <w:rFonts w:ascii="Avenir Roman" w:hAnsi="Avenir Roman"/>
          <w:sz w:val="20"/>
          <w:szCs w:val="20"/>
          <w:lang w:val="en-GB"/>
        </w:rPr>
        <w:t xml:space="preserve">heat and cold are themselves often living in cramped and highly inadequate housing conditions. </w:t>
      </w:r>
    </w:p>
    <w:p w14:paraId="0CEB03D6" w14:textId="77777777" w:rsidR="00076069" w:rsidRPr="00456128" w:rsidRDefault="00076069" w:rsidP="00735B04">
      <w:pPr>
        <w:pStyle w:val="NormalWeb"/>
        <w:shd w:val="clear" w:color="auto" w:fill="FFFFFF"/>
        <w:spacing w:before="0" w:after="0"/>
        <w:rPr>
          <w:rFonts w:ascii="Garamond" w:eastAsia="Garamond" w:hAnsi="Garamond" w:cs="Garamond"/>
          <w:sz w:val="20"/>
          <w:szCs w:val="20"/>
          <w:lang w:val="en-GB"/>
        </w:rPr>
      </w:pPr>
    </w:p>
    <w:p w14:paraId="2EFEE775" w14:textId="77777777" w:rsidR="00076069" w:rsidRPr="00456128" w:rsidRDefault="00AD6320" w:rsidP="00735B04">
      <w:pPr>
        <w:pStyle w:val="gmail-msolistparagraph"/>
        <w:spacing w:before="0" w:after="0"/>
        <w:ind w:left="720"/>
        <w:rPr>
          <w:rFonts w:ascii="Avenir Heavy" w:eastAsia="Avenir Heavy" w:hAnsi="Avenir Heavy" w:cs="Avenir Heavy"/>
          <w:sz w:val="20"/>
          <w:szCs w:val="20"/>
          <w:lang w:val="en-GB"/>
        </w:rPr>
      </w:pPr>
      <w:r w:rsidRPr="00456128">
        <w:rPr>
          <w:rFonts w:ascii="Avenir Heavy" w:hAnsi="Avenir Heavy"/>
          <w:sz w:val="20"/>
          <w:szCs w:val="20"/>
          <w:lang w:val="en-GB"/>
        </w:rPr>
        <w:t>9.     Please explain how natural disaster preparedness, response and recovery/reconstruction strategies and plans ensure non-discrimination? </w:t>
      </w:r>
    </w:p>
    <w:p w14:paraId="04024E9F" w14:textId="77777777" w:rsidR="00076069" w:rsidRPr="00456128" w:rsidRDefault="00AD6320" w:rsidP="00735B04">
      <w:pPr>
        <w:pStyle w:val="gmail-msolistparagraph"/>
        <w:spacing w:before="0" w:after="0"/>
        <w:ind w:left="720"/>
        <w:rPr>
          <w:rFonts w:ascii="Avenir Roman" w:eastAsia="Avenir Roman" w:hAnsi="Avenir Roman" w:cs="Avenir Roman"/>
          <w:sz w:val="20"/>
          <w:szCs w:val="20"/>
          <w:lang w:val="en-GB"/>
        </w:rPr>
      </w:pPr>
      <w:r w:rsidRPr="00456128">
        <w:rPr>
          <w:rFonts w:ascii="Avenir Roman" w:hAnsi="Avenir Roman"/>
          <w:sz w:val="20"/>
          <w:szCs w:val="20"/>
          <w:lang w:val="en-GB"/>
        </w:rPr>
        <w:t> </w:t>
      </w:r>
    </w:p>
    <w:p w14:paraId="678ED871" w14:textId="2ACEE298" w:rsidR="00076069" w:rsidRPr="00456128" w:rsidRDefault="00AD6320" w:rsidP="00735B04">
      <w:pPr>
        <w:pStyle w:val="gmail-msolistparagraph"/>
        <w:spacing w:before="0" w:after="0"/>
        <w:rPr>
          <w:rFonts w:ascii="Avenir Roman" w:eastAsia="Avenir Roman" w:hAnsi="Avenir Roman" w:cs="Avenir Roman"/>
          <w:sz w:val="20"/>
          <w:szCs w:val="20"/>
          <w:lang w:val="en-GB"/>
        </w:rPr>
      </w:pPr>
      <w:r w:rsidRPr="00456128">
        <w:rPr>
          <w:rFonts w:ascii="Avenir Roman" w:hAnsi="Avenir Roman"/>
          <w:sz w:val="20"/>
          <w:szCs w:val="20"/>
          <w:lang w:val="en-GB"/>
        </w:rPr>
        <w:t>The rapid nature of disaster response means that local contexts and risks of non-discrimination are often overlooked. This was the case in rebuilding efforts following the Tsunami in Aceh, as IHRB’s report “</w:t>
      </w:r>
      <w:hyperlink r:id="rId20" w:history="1">
        <w:r w:rsidRPr="00456128">
          <w:rPr>
            <w:rStyle w:val="Hyperlink0"/>
            <w:sz w:val="20"/>
            <w:szCs w:val="20"/>
            <w:lang w:val="en-GB"/>
          </w:rPr>
          <w:t>Dignity by Design: Human Rights and the Built Environment Lifecycle</w:t>
        </w:r>
      </w:hyperlink>
      <w:r w:rsidRPr="00456128">
        <w:rPr>
          <w:rFonts w:ascii="Avenir Roman" w:hAnsi="Avenir Roman"/>
          <w:sz w:val="20"/>
          <w:szCs w:val="20"/>
          <w:lang w:val="en-GB"/>
        </w:rPr>
        <w:t>” highlights (page 46</w:t>
      </w:r>
      <w:r w:rsidR="00462D8F">
        <w:rPr>
          <w:rFonts w:ascii="Avenir Roman" w:hAnsi="Avenir Roman"/>
          <w:sz w:val="20"/>
          <w:szCs w:val="20"/>
          <w:lang w:val="en-GB"/>
        </w:rPr>
        <w:t>; sources in this document</w:t>
      </w:r>
      <w:r w:rsidRPr="00456128">
        <w:rPr>
          <w:rFonts w:ascii="Avenir Roman" w:hAnsi="Avenir Roman"/>
          <w:sz w:val="20"/>
          <w:szCs w:val="20"/>
          <w:lang w:val="en-GB"/>
        </w:rPr>
        <w:t>):</w:t>
      </w:r>
    </w:p>
    <w:p w14:paraId="6E12471B" w14:textId="77777777" w:rsidR="00076069" w:rsidRPr="00456128" w:rsidRDefault="00076069" w:rsidP="00735B04">
      <w:pPr>
        <w:pStyle w:val="gmail-msolistparagraph"/>
        <w:spacing w:before="0" w:after="0"/>
        <w:ind w:left="720"/>
        <w:rPr>
          <w:rFonts w:ascii="Avenir Roman" w:eastAsia="Avenir Roman" w:hAnsi="Avenir Roman" w:cs="Avenir Roman"/>
          <w:sz w:val="20"/>
          <w:szCs w:val="20"/>
          <w:lang w:val="en-GB"/>
        </w:rPr>
      </w:pPr>
    </w:p>
    <w:p w14:paraId="4E3ED1C4" w14:textId="77777777" w:rsidR="00076069" w:rsidRPr="00456128" w:rsidRDefault="00AD6320" w:rsidP="00735B04">
      <w:pPr>
        <w:pStyle w:val="Body"/>
        <w:ind w:left="450"/>
        <w:rPr>
          <w:rFonts w:ascii="Avenir Roman" w:eastAsia="Avenir Roman" w:hAnsi="Avenir Roman" w:cs="Avenir Roman"/>
          <w:sz w:val="20"/>
          <w:szCs w:val="20"/>
          <w:lang w:val="en-GB"/>
        </w:rPr>
      </w:pPr>
      <w:r w:rsidRPr="00456128">
        <w:rPr>
          <w:rFonts w:ascii="Avenir Roman" w:hAnsi="Avenir Roman"/>
          <w:sz w:val="20"/>
          <w:szCs w:val="20"/>
          <w:lang w:val="en-GB"/>
        </w:rPr>
        <w:t xml:space="preserve">In December 2004 an earthquake in the Indian Ocean triggered a major tsunami that affected 14 countries, claiming almost 230,000 lives and impacting more than 2.5 million people. Banda Aceh was hardest hit – with an estimated 130,000 people killed, three times as many women as men. Houses and infrastructure throughout Aceh province were destroyed or partially damaged, and the surrounding geography changed. This led to a massive relief effort, involving 127 international NGOs and the construction of 140,300 new houses. The reconstruction holds important lessons on the importance of deep community consultation in rebuilding processes to be sure that new structures are aligned with the needs of surviving residents, and of a close understanding of the political context in which rebuilding takes place. </w:t>
      </w:r>
    </w:p>
    <w:p w14:paraId="5B0228E3" w14:textId="77777777" w:rsidR="00076069" w:rsidRPr="00456128" w:rsidRDefault="00076069" w:rsidP="00735B04">
      <w:pPr>
        <w:pStyle w:val="Body"/>
        <w:ind w:left="450"/>
        <w:rPr>
          <w:rFonts w:ascii="Avenir Roman" w:eastAsia="Avenir Roman" w:hAnsi="Avenir Roman" w:cs="Avenir Roman"/>
          <w:sz w:val="20"/>
          <w:szCs w:val="20"/>
          <w:lang w:val="en-GB"/>
        </w:rPr>
      </w:pPr>
    </w:p>
    <w:p w14:paraId="4F6AF1ED" w14:textId="7935D769" w:rsidR="00462D8F" w:rsidRPr="002913FD" w:rsidRDefault="00AD6320" w:rsidP="002913FD">
      <w:pPr>
        <w:pStyle w:val="Body"/>
        <w:ind w:left="450"/>
        <w:rPr>
          <w:rFonts w:ascii="Avenir Roman" w:eastAsia="Avenir Roman" w:hAnsi="Avenir Roman" w:cs="Avenir Roman"/>
          <w:sz w:val="20"/>
          <w:szCs w:val="20"/>
          <w:lang w:val="en-GB"/>
        </w:rPr>
      </w:pPr>
      <w:r w:rsidRPr="00456128">
        <w:rPr>
          <w:rFonts w:ascii="Avenir Roman" w:hAnsi="Avenir Roman"/>
          <w:sz w:val="20"/>
          <w:szCs w:val="20"/>
          <w:lang w:val="en-GB"/>
        </w:rPr>
        <w:t>As a report by the Tsunami and Disaster Mitigation Research Centre noted, most international donors “viewed the tsunami victims as the objects, rather than the subjects, of the aid. They thought of the tsunami victims as weak, so most of the aid programs were targeted to short-term needs and physical projects and took a paternalistic attitude, and the format of the aid was not in accordance with local needs.” This led to a situation in which multiple identical houses were built, which did not account for the varying incomes of residents, nor the need for proximity to economic opportunities, leading to rows of unoccupied new houses in some areas. As one study observed: “It appears that the choice of land was limited and decisions were made on the basis of economic rather than development considerations. Several of these villages are partly uninhabited and their future is uncertain: will they be invested by new occupants or will they become ghost villages?”</w:t>
      </w:r>
      <w:r w:rsidR="00462D8F">
        <w:rPr>
          <w:rFonts w:ascii="Avenir Roman" w:hAnsi="Avenir Roman"/>
          <w:sz w:val="20"/>
          <w:szCs w:val="20"/>
          <w:lang w:val="en-GB"/>
        </w:rPr>
        <w:t>.</w:t>
      </w:r>
    </w:p>
    <w:p w14:paraId="4A85878E" w14:textId="77777777" w:rsidR="00462D8F" w:rsidRDefault="00462D8F" w:rsidP="00735B04">
      <w:pPr>
        <w:pStyle w:val="Body"/>
        <w:rPr>
          <w:rFonts w:ascii="Avenir Roman" w:hAnsi="Avenir Roman"/>
          <w:sz w:val="20"/>
          <w:szCs w:val="20"/>
          <w:lang w:val="en-GB"/>
        </w:rPr>
      </w:pPr>
    </w:p>
    <w:p w14:paraId="27557999" w14:textId="30FD55EF" w:rsidR="00076069" w:rsidRPr="00456128" w:rsidRDefault="00AD6320" w:rsidP="00735B04">
      <w:pPr>
        <w:pStyle w:val="Body"/>
        <w:rPr>
          <w:rFonts w:ascii="Avenir Roman" w:eastAsia="Avenir Roman" w:hAnsi="Avenir Roman" w:cs="Avenir Roman"/>
          <w:sz w:val="20"/>
          <w:szCs w:val="20"/>
          <w:lang w:val="en-GB"/>
        </w:rPr>
      </w:pPr>
      <w:r w:rsidRPr="00456128">
        <w:rPr>
          <w:rFonts w:ascii="Avenir Roman" w:hAnsi="Avenir Roman"/>
          <w:sz w:val="20"/>
          <w:szCs w:val="20"/>
          <w:lang w:val="en-GB"/>
        </w:rPr>
        <w:t xml:space="preserve">The </w:t>
      </w:r>
      <w:hyperlink r:id="rId21" w:anchor=":~:text=The%2520Resilient%2520Cities%2520Housing%2520Initiative,an%2520urbanized%2520and%2520urbanizing%2520world." w:history="1">
        <w:r w:rsidRPr="00456128">
          <w:rPr>
            <w:rStyle w:val="Hyperlink2"/>
            <w:sz w:val="20"/>
            <w:szCs w:val="20"/>
            <w:lang w:val="en-GB"/>
          </w:rPr>
          <w:t>Resilient Cities Housing Initiative</w:t>
        </w:r>
      </w:hyperlink>
      <w:r w:rsidRPr="00456128">
        <w:rPr>
          <w:rFonts w:ascii="Avenir Roman" w:hAnsi="Avenir Roman"/>
          <w:sz w:val="20"/>
          <w:szCs w:val="20"/>
          <w:lang w:val="en-GB"/>
        </w:rPr>
        <w:t xml:space="preserve"> has defined housing for resilient cities as housing that: </w:t>
      </w:r>
    </w:p>
    <w:p w14:paraId="1526A293" w14:textId="77777777" w:rsidR="00076069" w:rsidRPr="00456128" w:rsidRDefault="00076069" w:rsidP="00735B04">
      <w:pPr>
        <w:pStyle w:val="Body"/>
        <w:rPr>
          <w:rFonts w:ascii="Avenir Roman" w:eastAsia="Avenir Roman" w:hAnsi="Avenir Roman" w:cs="Avenir Roman"/>
          <w:sz w:val="20"/>
          <w:szCs w:val="20"/>
          <w:lang w:val="en-GB"/>
        </w:rPr>
      </w:pPr>
    </w:p>
    <w:p w14:paraId="06379987" w14:textId="77777777" w:rsidR="00076069" w:rsidRPr="00456128" w:rsidRDefault="00AD6320" w:rsidP="00735B04">
      <w:pPr>
        <w:pStyle w:val="Body"/>
        <w:rPr>
          <w:rFonts w:ascii="Avenir Roman" w:eastAsia="Avenir Roman" w:hAnsi="Avenir Roman" w:cs="Avenir Roman"/>
          <w:sz w:val="20"/>
          <w:szCs w:val="20"/>
          <w:lang w:val="en-GB"/>
        </w:rPr>
      </w:pPr>
      <w:r w:rsidRPr="00456128">
        <w:rPr>
          <w:rFonts w:ascii="Avenir Roman" w:hAnsi="Avenir Roman"/>
          <w:sz w:val="20"/>
          <w:szCs w:val="20"/>
          <w:lang w:val="en-GB"/>
        </w:rPr>
        <w:t xml:space="preserve">• Supports community structure and the economic livelihood of residents. </w:t>
      </w:r>
    </w:p>
    <w:p w14:paraId="1E098565" w14:textId="77777777" w:rsidR="00076069" w:rsidRPr="00456128" w:rsidRDefault="00AD6320" w:rsidP="00735B04">
      <w:pPr>
        <w:pStyle w:val="Body"/>
        <w:rPr>
          <w:rFonts w:ascii="Avenir Roman" w:eastAsia="Avenir Roman" w:hAnsi="Avenir Roman" w:cs="Avenir Roman"/>
          <w:sz w:val="20"/>
          <w:szCs w:val="20"/>
          <w:lang w:val="en-GB"/>
        </w:rPr>
      </w:pPr>
      <w:r w:rsidRPr="00456128">
        <w:rPr>
          <w:rFonts w:ascii="Avenir Roman" w:hAnsi="Avenir Roman"/>
          <w:sz w:val="20"/>
          <w:szCs w:val="20"/>
          <w:lang w:val="en-GB"/>
        </w:rPr>
        <w:t xml:space="preserve">• Reduces the vulnerability of residents to environmental risks and stresses. </w:t>
      </w:r>
    </w:p>
    <w:p w14:paraId="6E4F33C1" w14:textId="77777777" w:rsidR="00076069" w:rsidRPr="00456128" w:rsidRDefault="00AD6320" w:rsidP="00735B04">
      <w:pPr>
        <w:pStyle w:val="Body"/>
        <w:rPr>
          <w:rFonts w:ascii="Avenir Roman" w:eastAsia="Avenir Roman" w:hAnsi="Avenir Roman" w:cs="Avenir Roman"/>
          <w:sz w:val="20"/>
          <w:szCs w:val="20"/>
          <w:lang w:val="en-GB"/>
        </w:rPr>
      </w:pPr>
      <w:r w:rsidRPr="00456128">
        <w:rPr>
          <w:rFonts w:ascii="Avenir Roman" w:hAnsi="Avenir Roman"/>
          <w:sz w:val="20"/>
          <w:szCs w:val="20"/>
          <w:lang w:val="en-GB"/>
        </w:rPr>
        <w:t xml:space="preserve">• Empowers communities through enhanced capacities to share in their own governance. </w:t>
      </w:r>
    </w:p>
    <w:p w14:paraId="6F815890" w14:textId="5990BB6E" w:rsidR="00076069" w:rsidRPr="00456128" w:rsidRDefault="00AD6320" w:rsidP="00735B04">
      <w:pPr>
        <w:pStyle w:val="Body"/>
        <w:rPr>
          <w:rFonts w:ascii="Avenir Roman" w:eastAsia="Avenir Roman" w:hAnsi="Avenir Roman" w:cs="Avenir Roman"/>
          <w:sz w:val="20"/>
          <w:szCs w:val="20"/>
          <w:lang w:val="en-GB"/>
        </w:rPr>
      </w:pPr>
      <w:r w:rsidRPr="00456128">
        <w:rPr>
          <w:rFonts w:ascii="Avenir Roman" w:hAnsi="Avenir Roman"/>
          <w:sz w:val="20"/>
          <w:szCs w:val="20"/>
          <w:lang w:val="en-GB"/>
        </w:rPr>
        <w:t>• Enhances the personal security of residents in the face of violence or threats of displacement.</w:t>
      </w:r>
      <w:r w:rsidRPr="00456128">
        <w:rPr>
          <w:rFonts w:ascii="Avenir Roman" w:eastAsia="Avenir Roman" w:hAnsi="Avenir Roman" w:cs="Avenir Roman"/>
          <w:sz w:val="20"/>
          <w:szCs w:val="20"/>
          <w:lang w:val="en-GB"/>
        </w:rPr>
        <w:br/>
      </w:r>
      <w:r w:rsidRPr="00456128">
        <w:rPr>
          <w:rFonts w:ascii="Avenir Roman" w:eastAsia="Avenir Roman" w:hAnsi="Avenir Roman" w:cs="Avenir Roman"/>
          <w:sz w:val="20"/>
          <w:szCs w:val="20"/>
          <w:lang w:val="en-GB"/>
        </w:rPr>
        <w:br/>
      </w:r>
      <w:r w:rsidRPr="00456128">
        <w:rPr>
          <w:rFonts w:ascii="Avenir Roman" w:hAnsi="Avenir Roman"/>
          <w:sz w:val="20"/>
          <w:szCs w:val="20"/>
          <w:lang w:val="en-GB"/>
        </w:rPr>
        <w:t xml:space="preserve">As in many other areas of human rights, ensuring non-discrimination and protection of rights in disaster </w:t>
      </w:r>
      <w:r w:rsidRPr="00456128">
        <w:rPr>
          <w:rFonts w:ascii="Avenir Roman" w:hAnsi="Avenir Roman"/>
          <w:sz w:val="20"/>
          <w:szCs w:val="20"/>
          <w:lang w:val="en-GB"/>
        </w:rPr>
        <w:lastRenderedPageBreak/>
        <w:t xml:space="preserve">response contexts depends both on the accountability and transparency of actors who are engaging, often internationally, in the response, and also in long-term investments and support for local community infrastructure, which builds resilience to many kinds of threats. As the Platform for Community Action and Architecture in Bangladesh said </w:t>
      </w:r>
      <w:hyperlink r:id="rId22" w:history="1">
        <w:r w:rsidRPr="00456128">
          <w:rPr>
            <w:rStyle w:val="Hyperlink3"/>
            <w:sz w:val="20"/>
            <w:szCs w:val="20"/>
            <w:lang w:val="en-GB"/>
          </w:rPr>
          <w:t>in an interview</w:t>
        </w:r>
      </w:hyperlink>
      <w:r w:rsidRPr="00456128">
        <w:rPr>
          <w:rFonts w:ascii="Avenir Roman" w:hAnsi="Avenir Roman"/>
          <w:sz w:val="20"/>
          <w:szCs w:val="20"/>
          <w:lang w:val="en-GB"/>
        </w:rPr>
        <w:t xml:space="preserve"> with IHRB, they arrived at strengthening climate resilience without this being the intention at the outset:</w:t>
      </w:r>
    </w:p>
    <w:p w14:paraId="502F8A6B" w14:textId="77777777" w:rsidR="00076069" w:rsidRPr="00456128" w:rsidRDefault="00076069" w:rsidP="00735B04">
      <w:pPr>
        <w:pStyle w:val="Body"/>
        <w:rPr>
          <w:rFonts w:ascii="Avenir Roman" w:eastAsia="Avenir Roman" w:hAnsi="Avenir Roman" w:cs="Avenir Roman"/>
          <w:sz w:val="20"/>
          <w:szCs w:val="20"/>
          <w:lang w:val="en-GB"/>
        </w:rPr>
      </w:pPr>
    </w:p>
    <w:p w14:paraId="1F9BBE65" w14:textId="2195CF7B" w:rsidR="00076069" w:rsidRPr="00456128" w:rsidRDefault="00AD6320" w:rsidP="00735B04">
      <w:pPr>
        <w:pStyle w:val="Body"/>
        <w:rPr>
          <w:rFonts w:ascii="Avenir Roman" w:eastAsia="Avenir Roman" w:hAnsi="Avenir Roman" w:cs="Avenir Roman"/>
          <w:sz w:val="20"/>
          <w:szCs w:val="20"/>
          <w:lang w:val="en-GB"/>
        </w:rPr>
      </w:pPr>
      <w:r w:rsidRPr="00456128">
        <w:rPr>
          <w:rFonts w:ascii="Avenir Book Oblique" w:hAnsi="Avenir Book Oblique"/>
          <w:sz w:val="20"/>
          <w:szCs w:val="20"/>
          <w:shd w:val="clear" w:color="auto" w:fill="FFFFFF"/>
          <w:lang w:val="en-GB"/>
        </w:rPr>
        <w:t>“We have been working on physical spaces and better living quality. There are so many other rights that are connected to this. We figured out that when people not individually but collectively can work towards an action or solving a problem, they also somehow achieve the resiliency against those problems of climate threats. So, this is also a new realisation for us. We were not just doing something specially designed for climate change but we realised that having a resilient community already addresses that issue. So now we are trying to see how collective action can solve many different problems related to climate change.”</w:t>
      </w:r>
      <w:r w:rsidRPr="00456128">
        <w:rPr>
          <w:rFonts w:ascii="Avenir Roman" w:eastAsia="Avenir Roman" w:hAnsi="Avenir Roman" w:cs="Avenir Roman"/>
          <w:sz w:val="20"/>
          <w:szCs w:val="20"/>
          <w:lang w:val="en-GB"/>
        </w:rPr>
        <w:br/>
      </w:r>
    </w:p>
    <w:p w14:paraId="34E3E456" w14:textId="77777777" w:rsidR="00076069" w:rsidRPr="00456128" w:rsidRDefault="00AD6320" w:rsidP="00735B04">
      <w:pPr>
        <w:pStyle w:val="Body"/>
        <w:rPr>
          <w:rFonts w:ascii="Avenir Roman" w:eastAsia="Avenir Roman" w:hAnsi="Avenir Roman" w:cs="Avenir Roman"/>
          <w:sz w:val="20"/>
          <w:szCs w:val="20"/>
          <w:u w:val="single"/>
          <w:lang w:val="en-GB"/>
        </w:rPr>
      </w:pPr>
      <w:r w:rsidRPr="00456128">
        <w:rPr>
          <w:rFonts w:ascii="Avenir Heavy" w:hAnsi="Avenir Heavy"/>
          <w:i/>
          <w:iCs/>
          <w:sz w:val="20"/>
          <w:szCs w:val="20"/>
          <w:u w:val="single"/>
          <w:lang w:val="en-GB"/>
        </w:rPr>
        <w:t>Towards </w:t>
      </w:r>
      <w:bookmarkStart w:id="0" w:name="_Hlk100062598"/>
      <w:r w:rsidRPr="00456128">
        <w:rPr>
          <w:rFonts w:ascii="Avenir Heavy" w:hAnsi="Avenir Heavy"/>
          <w:i/>
          <w:iCs/>
          <w:sz w:val="20"/>
          <w:szCs w:val="20"/>
          <w:u w:val="single"/>
          <w:lang w:val="en-GB"/>
        </w:rPr>
        <w:t>a just transition to a rights-compliant, climate-resilient and carbon-neutral housing</w:t>
      </w:r>
      <w:bookmarkEnd w:id="0"/>
      <w:r w:rsidRPr="00456128">
        <w:rPr>
          <w:rFonts w:ascii="Avenir Heavy" w:eastAsia="Avenir Heavy" w:hAnsi="Avenir Heavy" w:cs="Avenir Heavy"/>
          <w:i/>
          <w:iCs/>
          <w:sz w:val="20"/>
          <w:szCs w:val="20"/>
          <w:u w:val="single"/>
          <w:lang w:val="en-GB"/>
        </w:rPr>
        <w:br/>
      </w:r>
    </w:p>
    <w:p w14:paraId="25BB8133" w14:textId="0B4570BD" w:rsidR="00076069" w:rsidRDefault="00AD6320" w:rsidP="00735B04">
      <w:pPr>
        <w:pStyle w:val="gmail-msolistparagraph"/>
        <w:spacing w:before="0" w:after="0"/>
        <w:ind w:left="720"/>
        <w:rPr>
          <w:rFonts w:ascii="Avenir Heavy" w:hAnsi="Avenir Heavy"/>
          <w:sz w:val="20"/>
          <w:szCs w:val="20"/>
          <w:lang w:val="en-GB"/>
        </w:rPr>
      </w:pPr>
      <w:r w:rsidRPr="00456128">
        <w:rPr>
          <w:rFonts w:ascii="Avenir Heavy" w:hAnsi="Avenir Heavy"/>
          <w:sz w:val="20"/>
          <w:szCs w:val="20"/>
          <w:lang w:val="en-GB"/>
        </w:rPr>
        <w:t>14.  What specific legislation, policies, or programmes have been adopted to put in place and finance a just transition to a rights-compliant, climate-resilient and carbon-neutral housing for all, without discrimination?   </w:t>
      </w:r>
    </w:p>
    <w:p w14:paraId="0202A7FB" w14:textId="77777777" w:rsidR="002913FD" w:rsidRPr="00456128" w:rsidRDefault="002913FD" w:rsidP="00735B04">
      <w:pPr>
        <w:pStyle w:val="gmail-msolistparagraph"/>
        <w:spacing w:before="0" w:after="0"/>
        <w:ind w:left="720"/>
        <w:rPr>
          <w:rFonts w:ascii="Avenir Heavy" w:eastAsia="Avenir Heavy" w:hAnsi="Avenir Heavy" w:cs="Avenir Heavy"/>
          <w:sz w:val="20"/>
          <w:szCs w:val="20"/>
          <w:lang w:val="en-GB"/>
        </w:rPr>
      </w:pPr>
    </w:p>
    <w:p w14:paraId="25583FB8" w14:textId="44BACC60" w:rsidR="00076069" w:rsidRPr="00456128" w:rsidRDefault="00AD6320" w:rsidP="00735B04">
      <w:pPr>
        <w:pStyle w:val="Body"/>
        <w:rPr>
          <w:rFonts w:ascii="Avenir Roman" w:eastAsia="Avenir Roman" w:hAnsi="Avenir Roman" w:cs="Avenir Roman"/>
          <w:sz w:val="20"/>
          <w:szCs w:val="20"/>
          <w:lang w:val="en-GB"/>
        </w:rPr>
      </w:pPr>
      <w:r w:rsidRPr="00456128">
        <w:rPr>
          <w:rFonts w:ascii="Avenir Roman" w:hAnsi="Avenir Roman"/>
          <w:sz w:val="20"/>
          <w:szCs w:val="20"/>
          <w:lang w:val="en-GB"/>
        </w:rPr>
        <w:t xml:space="preserve">Measures to advance a just transition in the built environment sit at various levels: </w:t>
      </w:r>
      <w:r w:rsidR="007A0AA2">
        <w:rPr>
          <w:rFonts w:ascii="Avenir Roman" w:hAnsi="Avenir Roman"/>
          <w:sz w:val="20"/>
          <w:szCs w:val="20"/>
          <w:lang w:val="en-GB"/>
        </w:rPr>
        <w:t xml:space="preserve">from local, through national and regional, to international initiatives (which themselves are often translated into local application). </w:t>
      </w:r>
      <w:r w:rsidR="002913FD">
        <w:rPr>
          <w:rFonts w:ascii="Avenir Roman" w:hAnsi="Avenir Roman"/>
          <w:sz w:val="20"/>
          <w:szCs w:val="20"/>
          <w:lang w:val="en-GB"/>
        </w:rPr>
        <w:br/>
      </w:r>
    </w:p>
    <w:p w14:paraId="714C0E05" w14:textId="4ECFC562" w:rsidR="00076069" w:rsidRPr="00456128" w:rsidRDefault="00AD6320" w:rsidP="00735B04">
      <w:pPr>
        <w:pStyle w:val="ListParagraph"/>
        <w:numPr>
          <w:ilvl w:val="0"/>
          <w:numId w:val="2"/>
        </w:numPr>
        <w:rPr>
          <w:rFonts w:ascii="Avenir Roman" w:hAnsi="Avenir Roman"/>
          <w:sz w:val="20"/>
          <w:szCs w:val="20"/>
          <w:lang w:val="en-GB"/>
        </w:rPr>
      </w:pPr>
      <w:r w:rsidRPr="00456128">
        <w:rPr>
          <w:rFonts w:ascii="Avenir Roman" w:hAnsi="Avenir Roman"/>
          <w:sz w:val="20"/>
          <w:szCs w:val="20"/>
          <w:lang w:val="en-GB"/>
        </w:rPr>
        <w:t>At the European level, multiple initiatives are underway within the “Fit for 55” package to reduce emissions from the region’s building stock. These include the Environmental Performance of Buildings Directive, the Energy Efficiency Directive, and new emissions trading requirements applied to buildings. A social climate fund has been proposed to address social impacts that may arise from these measures. BPIE (Buildings Performance Institute Europe’s “</w:t>
      </w:r>
      <w:hyperlink r:id="rId23" w:history="1">
        <w:r w:rsidRPr="00456128">
          <w:rPr>
            <w:rStyle w:val="Hyperlink5"/>
            <w:rFonts w:ascii="Avenir Roman" w:hAnsi="Avenir Roman"/>
            <w:sz w:val="20"/>
            <w:szCs w:val="20"/>
            <w:lang w:val="en-GB"/>
          </w:rPr>
          <w:t>Designing building decarbonisation policies for a socially just energy transition</w:t>
        </w:r>
      </w:hyperlink>
      <w:r w:rsidRPr="00456128">
        <w:rPr>
          <w:rFonts w:ascii="Avenir Roman" w:hAnsi="Avenir Roman"/>
          <w:sz w:val="20"/>
          <w:szCs w:val="20"/>
          <w:lang w:val="en-GB"/>
        </w:rPr>
        <w:t xml:space="preserve">”  considers various social implications of the region’s decarbonisation policies for buildings, including the right to housing. </w:t>
      </w:r>
      <w:r w:rsidRPr="00456128">
        <w:rPr>
          <w:rFonts w:ascii="Avenir Roman" w:eastAsia="Avenir Roman" w:hAnsi="Avenir Roman" w:cs="Avenir Roman"/>
          <w:sz w:val="20"/>
          <w:szCs w:val="20"/>
          <w:lang w:val="en-GB"/>
        </w:rPr>
        <w:br/>
      </w:r>
    </w:p>
    <w:p w14:paraId="0DC2D99E" w14:textId="0673FEE3" w:rsidR="00076069" w:rsidRPr="00456128" w:rsidRDefault="00AD6320" w:rsidP="00735B04">
      <w:pPr>
        <w:pStyle w:val="ListParagraph"/>
        <w:numPr>
          <w:ilvl w:val="0"/>
          <w:numId w:val="2"/>
        </w:numPr>
        <w:rPr>
          <w:rFonts w:ascii="Avenir Roman" w:hAnsi="Avenir Roman"/>
          <w:sz w:val="20"/>
          <w:szCs w:val="20"/>
          <w:lang w:val="en-GB"/>
        </w:rPr>
      </w:pPr>
      <w:r w:rsidRPr="00456128">
        <w:rPr>
          <w:rFonts w:ascii="Avenir Roman" w:hAnsi="Avenir Roman"/>
          <w:sz w:val="20"/>
          <w:szCs w:val="20"/>
          <w:lang w:val="en-GB"/>
        </w:rPr>
        <w:t xml:space="preserve">In Spain, during the 2008 economic crisis  people who were not able to pay their mortgages faced widespread evictions. People affected formed a community of solidarity and became activists for a housing law in Spain that protects the right to housing. Also, recent steps towards decarbonisation, such as the new </w:t>
      </w:r>
      <w:hyperlink r:id="rId24" w:history="1">
        <w:r w:rsidRPr="00456128">
          <w:rPr>
            <w:rStyle w:val="Hyperlink6"/>
            <w:rFonts w:ascii="Avenir Roman" w:hAnsi="Avenir Roman"/>
            <w:sz w:val="20"/>
            <w:szCs w:val="20"/>
            <w:lang w:val="en-GB"/>
          </w:rPr>
          <w:t>Roadmap for the Decarbonisation of the Spanish Built Environmen</w:t>
        </w:r>
        <w:r w:rsidRPr="00456128">
          <w:rPr>
            <w:rStyle w:val="Hyperlink6"/>
            <w:rFonts w:ascii="Avenir Roman" w:hAnsi="Avenir Roman"/>
            <w:sz w:val="20"/>
            <w:szCs w:val="20"/>
            <w:lang w:val="en-GB"/>
          </w:rPr>
          <w:t>t</w:t>
        </w:r>
      </w:hyperlink>
      <w:r w:rsidRPr="00456128">
        <w:rPr>
          <w:rStyle w:val="None"/>
          <w:rFonts w:ascii="Avenir Roman" w:hAnsi="Avenir Roman"/>
          <w:sz w:val="20"/>
          <w:szCs w:val="20"/>
          <w:lang w:val="en-GB"/>
        </w:rPr>
        <w:t xml:space="preserve"> reflect the fundamental human right to housing. </w:t>
      </w:r>
      <w:r w:rsidRPr="00456128">
        <w:rPr>
          <w:rStyle w:val="None"/>
          <w:rFonts w:ascii="Avenir Roman" w:eastAsia="Avenir Roman" w:hAnsi="Avenir Roman" w:cs="Avenir Roman"/>
          <w:sz w:val="20"/>
          <w:szCs w:val="20"/>
          <w:lang w:val="en-GB"/>
        </w:rPr>
        <w:br/>
      </w:r>
    </w:p>
    <w:p w14:paraId="0723495C" w14:textId="5EC8BB01" w:rsidR="00076069" w:rsidRPr="00456128" w:rsidRDefault="00AD6320" w:rsidP="00735B04">
      <w:pPr>
        <w:pStyle w:val="ListParagraph"/>
        <w:numPr>
          <w:ilvl w:val="0"/>
          <w:numId w:val="2"/>
        </w:numPr>
        <w:rPr>
          <w:rFonts w:ascii="Avenir Roman" w:hAnsi="Avenir Roman"/>
          <w:sz w:val="20"/>
          <w:szCs w:val="20"/>
          <w:lang w:val="en-GB"/>
        </w:rPr>
      </w:pPr>
      <w:r w:rsidRPr="00456128">
        <w:rPr>
          <w:rStyle w:val="Hyperlink6"/>
          <w:rFonts w:ascii="Avenir Roman" w:hAnsi="Avenir Roman"/>
          <w:sz w:val="20"/>
          <w:szCs w:val="20"/>
          <w:lang w:val="en-GB"/>
        </w:rPr>
        <w:t xml:space="preserve">Another example of  specific legislation </w:t>
      </w:r>
      <w:r w:rsidRPr="00456128">
        <w:rPr>
          <w:rStyle w:val="None"/>
          <w:rFonts w:ascii="Avenir Roman" w:hAnsi="Avenir Roman"/>
          <w:sz w:val="20"/>
          <w:szCs w:val="20"/>
          <w:lang w:val="en-GB"/>
        </w:rPr>
        <w:t xml:space="preserve">to guarantee </w:t>
      </w:r>
      <w:r w:rsidRPr="00456128">
        <w:rPr>
          <w:rStyle w:val="Hyperlink6"/>
          <w:rFonts w:ascii="Avenir Roman" w:hAnsi="Avenir Roman"/>
          <w:sz w:val="20"/>
          <w:szCs w:val="20"/>
          <w:lang w:val="en-GB"/>
        </w:rPr>
        <w:t xml:space="preserve">the right to housing without discrimination and therefore enable a just transition is </w:t>
      </w:r>
      <w:hyperlink r:id="rId25" w:history="1">
        <w:r w:rsidRPr="00456128">
          <w:rPr>
            <w:rStyle w:val="Hyperlink5"/>
            <w:rFonts w:ascii="Avenir Roman" w:hAnsi="Avenir Roman"/>
            <w:sz w:val="20"/>
            <w:szCs w:val="20"/>
            <w:lang w:val="en-GB"/>
          </w:rPr>
          <w:t>Barcelona’s Right to Housing Plan 2016-2025</w:t>
        </w:r>
      </w:hyperlink>
      <w:r w:rsidRPr="00456128">
        <w:rPr>
          <w:rStyle w:val="Hyperlink6"/>
          <w:rFonts w:ascii="Avenir Roman" w:hAnsi="Avenir Roman"/>
          <w:sz w:val="20"/>
          <w:szCs w:val="20"/>
          <w:lang w:val="en-GB"/>
        </w:rPr>
        <w:t>. This includes specific measures on maintaining, redeveloping and improving the current housing stock in a sustainable way that contributes to the “energy transition, promotes efficiency, savings and generation of renewable energies; and also reverses inequalities, through improved habitability and access to basic services.”</w:t>
      </w:r>
      <w:r w:rsidRPr="00456128">
        <w:rPr>
          <w:rStyle w:val="Hyperlink6"/>
          <w:rFonts w:ascii="Avenir Roman" w:hAnsi="Avenir Roman"/>
          <w:sz w:val="20"/>
          <w:szCs w:val="20"/>
          <w:lang w:val="en-GB"/>
        </w:rPr>
        <w:br/>
      </w:r>
    </w:p>
    <w:p w14:paraId="6FC2026B" w14:textId="1CA9ED89" w:rsidR="00076069" w:rsidRPr="00456128" w:rsidRDefault="000B7CAA" w:rsidP="00735B04">
      <w:pPr>
        <w:pStyle w:val="ListParagraph"/>
        <w:numPr>
          <w:ilvl w:val="0"/>
          <w:numId w:val="2"/>
        </w:numPr>
        <w:rPr>
          <w:rFonts w:ascii="Avenir Roman" w:eastAsia="Avenir Roman" w:hAnsi="Avenir Roman" w:cs="Avenir Roman"/>
          <w:sz w:val="20"/>
          <w:szCs w:val="20"/>
          <w:lang w:val="en-GB"/>
        </w:rPr>
      </w:pPr>
      <w:hyperlink r:id="rId26" w:history="1">
        <w:r w:rsidR="00AD6320" w:rsidRPr="00456128">
          <w:rPr>
            <w:rStyle w:val="Hyperlink7"/>
            <w:rFonts w:ascii="Avenir Roman" w:hAnsi="Avenir Roman"/>
            <w:sz w:val="20"/>
            <w:szCs w:val="20"/>
            <w:lang w:val="en-GB"/>
          </w:rPr>
          <w:t>Portugal’s Housing Foundational Law</w:t>
        </w:r>
      </w:hyperlink>
      <w:r w:rsidR="00AD6320" w:rsidRPr="00456128">
        <w:rPr>
          <w:rStyle w:val="None"/>
          <w:rFonts w:ascii="Avenir Roman" w:hAnsi="Avenir Roman"/>
          <w:sz w:val="20"/>
          <w:szCs w:val="20"/>
          <w:lang w:val="en-GB"/>
        </w:rPr>
        <w:t xml:space="preserve"> (Law 83/2019), establishes the right to housing and the fundamental duties and tasks of the State in the effective guarantee of this right to all citizens with no discrimination. Similar to the previous example, measures and duties towards sustainability and energy efficiency in the housing stock are reflected within the law.</w:t>
      </w:r>
    </w:p>
    <w:p w14:paraId="00E3C553" w14:textId="77777777" w:rsidR="00076069" w:rsidRPr="00456128" w:rsidRDefault="00076069" w:rsidP="00735B04">
      <w:pPr>
        <w:pStyle w:val="ListParagraph"/>
        <w:rPr>
          <w:rStyle w:val="None"/>
          <w:rFonts w:ascii="Avenir Roman" w:eastAsia="Avenir Roman" w:hAnsi="Avenir Roman" w:cs="Avenir Roman"/>
          <w:sz w:val="20"/>
          <w:szCs w:val="20"/>
          <w:lang w:val="en-GB"/>
        </w:rPr>
      </w:pPr>
    </w:p>
    <w:p w14:paraId="3D15BDC5" w14:textId="77777777" w:rsidR="00076069" w:rsidRPr="00456128" w:rsidRDefault="00AD6320" w:rsidP="00735B04">
      <w:pPr>
        <w:pStyle w:val="ListParagraph"/>
        <w:numPr>
          <w:ilvl w:val="0"/>
          <w:numId w:val="4"/>
        </w:numPr>
        <w:rPr>
          <w:rFonts w:ascii="Avenir Roman" w:hAnsi="Avenir Roman"/>
          <w:sz w:val="20"/>
          <w:szCs w:val="20"/>
          <w:lang w:val="en-GB"/>
        </w:rPr>
      </w:pPr>
      <w:r w:rsidRPr="00456128">
        <w:rPr>
          <w:rStyle w:val="None"/>
          <w:rFonts w:ascii="Avenir Roman" w:hAnsi="Avenir Roman"/>
          <w:sz w:val="20"/>
          <w:szCs w:val="20"/>
          <w:lang w:val="en-GB"/>
        </w:rPr>
        <w:lastRenderedPageBreak/>
        <w:t xml:space="preserve">In Denmark, a </w:t>
      </w:r>
      <w:hyperlink r:id="rId27" w:history="1">
        <w:r w:rsidRPr="00456128">
          <w:rPr>
            <w:rStyle w:val="Hyperlink7"/>
            <w:rFonts w:ascii="Avenir Roman" w:hAnsi="Avenir Roman"/>
            <w:sz w:val="20"/>
            <w:szCs w:val="20"/>
            <w:lang w:val="en-GB"/>
          </w:rPr>
          <w:t>broad political housing agreement</w:t>
        </w:r>
      </w:hyperlink>
      <w:r w:rsidRPr="00456128">
        <w:rPr>
          <w:rStyle w:val="None"/>
          <w:rFonts w:ascii="Avenir Roman" w:hAnsi="Avenir Roman"/>
          <w:sz w:val="20"/>
          <w:szCs w:val="20"/>
          <w:lang w:val="en-GB"/>
        </w:rPr>
        <w:t xml:space="preserve"> secured the investment of EUR 4 billion by 2026 for the green renovation of the public housing stock. These renovations are intended to improve the climate impact of public housing, tenants’ living conditions, and generate new jobs. (English </w:t>
      </w:r>
      <w:hyperlink r:id="rId28" w:history="1">
        <w:r w:rsidRPr="00456128">
          <w:rPr>
            <w:rStyle w:val="Hyperlink7"/>
            <w:rFonts w:ascii="Avenir Roman" w:hAnsi="Avenir Roman"/>
            <w:sz w:val="20"/>
            <w:szCs w:val="20"/>
            <w:lang w:val="en-GB"/>
          </w:rPr>
          <w:t>here</w:t>
        </w:r>
      </w:hyperlink>
      <w:r w:rsidRPr="00456128">
        <w:rPr>
          <w:rStyle w:val="None"/>
          <w:rFonts w:ascii="Avenir Roman" w:hAnsi="Avenir Roman"/>
          <w:sz w:val="20"/>
          <w:szCs w:val="20"/>
          <w:lang w:val="en-GB"/>
        </w:rPr>
        <w:t>)</w:t>
      </w:r>
    </w:p>
    <w:p w14:paraId="061E0663" w14:textId="77777777" w:rsidR="00076069" w:rsidRPr="00456128" w:rsidRDefault="00076069" w:rsidP="00735B04">
      <w:pPr>
        <w:pStyle w:val="ListParagraph"/>
        <w:rPr>
          <w:rStyle w:val="None"/>
          <w:rFonts w:ascii="Avenir Roman" w:eastAsia="Avenir Roman" w:hAnsi="Avenir Roman" w:cs="Avenir Roman"/>
          <w:sz w:val="20"/>
          <w:szCs w:val="20"/>
          <w:lang w:val="en-GB"/>
        </w:rPr>
      </w:pPr>
    </w:p>
    <w:p w14:paraId="48E7BE69" w14:textId="03BBBE6C" w:rsidR="00076069" w:rsidRDefault="00AD6320" w:rsidP="00563336">
      <w:pPr>
        <w:pStyle w:val="ListParagraph"/>
        <w:numPr>
          <w:ilvl w:val="0"/>
          <w:numId w:val="4"/>
        </w:numPr>
        <w:rPr>
          <w:rStyle w:val="None"/>
          <w:rFonts w:ascii="Avenir Roman" w:hAnsi="Avenir Roman"/>
          <w:sz w:val="20"/>
          <w:szCs w:val="20"/>
          <w:lang w:val="en-GB"/>
        </w:rPr>
      </w:pPr>
      <w:r w:rsidRPr="00456128">
        <w:rPr>
          <w:rStyle w:val="None"/>
          <w:rFonts w:ascii="Avenir Roman" w:hAnsi="Avenir Roman"/>
          <w:sz w:val="20"/>
          <w:szCs w:val="20"/>
          <w:lang w:val="en-GB"/>
        </w:rPr>
        <w:t>Several initiatives in the United States relate to just transition in the context of housing. The Federal Government has partnered with 33 state and local governments to create the “</w:t>
      </w:r>
      <w:hyperlink r:id="rId29" w:history="1">
        <w:r w:rsidRPr="00456128">
          <w:rPr>
            <w:rStyle w:val="Link"/>
            <w:rFonts w:ascii="Avenir Roman" w:hAnsi="Avenir Roman"/>
            <w:sz w:val="20"/>
            <w:szCs w:val="20"/>
            <w:lang w:val="en-GB"/>
          </w:rPr>
          <w:t>Building Performance Standards Coalition</w:t>
        </w:r>
      </w:hyperlink>
      <w:r w:rsidRPr="00456128">
        <w:rPr>
          <w:rStyle w:val="None"/>
          <w:rFonts w:ascii="Avenir Roman" w:hAnsi="Avenir Roman"/>
          <w:sz w:val="20"/>
          <w:szCs w:val="20"/>
          <w:lang w:val="en-GB"/>
        </w:rPr>
        <w:t xml:space="preserve">”, which has the combined aim of “delivering cleaner, healthier and more affordable buildings”. The Justice40 whole-of-government project aims to deliver at least 40 percent of the overall benefits from Federal investments in climate and clean energy to disadvantaged communities. A </w:t>
      </w:r>
      <w:hyperlink r:id="rId30" w:history="1">
        <w:r w:rsidRPr="00456128">
          <w:rPr>
            <w:rStyle w:val="Link"/>
            <w:rFonts w:ascii="Avenir Roman" w:hAnsi="Avenir Roman"/>
            <w:sz w:val="20"/>
            <w:szCs w:val="20"/>
            <w:lang w:val="en-GB"/>
          </w:rPr>
          <w:t>Justice40</w:t>
        </w:r>
      </w:hyperlink>
      <w:r w:rsidRPr="00456128">
        <w:rPr>
          <w:rStyle w:val="None"/>
          <w:rFonts w:ascii="Avenir Roman" w:hAnsi="Avenir Roman"/>
          <w:sz w:val="20"/>
          <w:szCs w:val="20"/>
          <w:lang w:val="en-GB"/>
        </w:rPr>
        <w:t xml:space="preserve"> coalition of environmental justice movement leaders, academics and advocates has come together to track accountability for this commitment and ensure that a framework centred on racial justice and equity guides the investments. Several cities, such as </w:t>
      </w:r>
      <w:hyperlink r:id="rId31" w:history="1">
        <w:r w:rsidRPr="00456128">
          <w:rPr>
            <w:rStyle w:val="Link"/>
            <w:rFonts w:ascii="Avenir Roman" w:hAnsi="Avenir Roman"/>
            <w:sz w:val="20"/>
            <w:szCs w:val="20"/>
            <w:lang w:val="en-GB"/>
          </w:rPr>
          <w:t>Boston</w:t>
        </w:r>
      </w:hyperlink>
      <w:r w:rsidRPr="00456128">
        <w:rPr>
          <w:rStyle w:val="None"/>
          <w:rFonts w:ascii="Avenir Roman" w:hAnsi="Avenir Roman"/>
          <w:sz w:val="20"/>
          <w:szCs w:val="20"/>
          <w:lang w:val="en-GB"/>
        </w:rPr>
        <w:t xml:space="preserve">, are implementing “green new deal” type programmes focused on equitable and redistributive climate action in buildings, transit and infrastructure.  </w:t>
      </w:r>
    </w:p>
    <w:p w14:paraId="64BE7F54" w14:textId="77777777" w:rsidR="008C26CB" w:rsidRDefault="008C26CB" w:rsidP="008C26CB">
      <w:pPr>
        <w:pStyle w:val="ListParagraph"/>
        <w:rPr>
          <w:rStyle w:val="None"/>
          <w:rFonts w:ascii="Avenir Roman" w:hAnsi="Avenir Roman"/>
          <w:sz w:val="20"/>
          <w:szCs w:val="20"/>
          <w:lang w:val="en-GB"/>
        </w:rPr>
      </w:pPr>
    </w:p>
    <w:p w14:paraId="45EF774B" w14:textId="251A65CB" w:rsidR="008C26CB" w:rsidRPr="008C26CB" w:rsidRDefault="008C26CB" w:rsidP="008C26CB">
      <w:pPr>
        <w:pStyle w:val="ListParagraph"/>
        <w:numPr>
          <w:ilvl w:val="0"/>
          <w:numId w:val="4"/>
        </w:numPr>
        <w:rPr>
          <w:rFonts w:ascii="Avenir Roman" w:hAnsi="Avenir Roman"/>
          <w:sz w:val="20"/>
          <w:szCs w:val="20"/>
          <w:lang w:val="en-GB"/>
        </w:rPr>
      </w:pPr>
      <w:r w:rsidRPr="00456128">
        <w:rPr>
          <w:rFonts w:ascii="Avenir Roman" w:hAnsi="Avenir Roman"/>
          <w:sz w:val="20"/>
          <w:szCs w:val="20"/>
          <w:lang w:val="en-GB"/>
        </w:rPr>
        <w:t>The World Resources Institute (WRI)’s “Zero Carbon Building Accelerator” is a programme that helps governments reduce carbon emissions in the building sector by (1) mapping potential building decarbonisation pathways, (2) facilitating policy dialogues with national and local governments, utilities, the private sector and civil society, (3) developing short- and medium-term action plans and long-term national roadmaps linked to nationally determined contributions and other national strategies, and (4) initiating adoption of policies with local stakeholders. The programme</w:t>
      </w:r>
      <w:r>
        <w:rPr>
          <w:rFonts w:ascii="Avenir Roman" w:hAnsi="Avenir Roman"/>
          <w:sz w:val="20"/>
          <w:szCs w:val="20"/>
          <w:lang w:val="en-GB"/>
        </w:rPr>
        <w:t xml:space="preserve"> aims to integrate</w:t>
      </w:r>
      <w:r w:rsidRPr="00456128">
        <w:rPr>
          <w:rFonts w:ascii="Avenir Roman" w:hAnsi="Avenir Roman"/>
          <w:sz w:val="20"/>
          <w:szCs w:val="20"/>
          <w:lang w:val="en-GB"/>
        </w:rPr>
        <w:t xml:space="preserve"> gender and social equity into the action planning process for the building sector. </w:t>
      </w:r>
      <w:r>
        <w:rPr>
          <w:rFonts w:ascii="Avenir Roman" w:hAnsi="Avenir Roman"/>
          <w:sz w:val="20"/>
          <w:szCs w:val="20"/>
          <w:lang w:val="en-GB"/>
        </w:rPr>
        <w:t>For example</w:t>
      </w:r>
      <w:r w:rsidRPr="00456128">
        <w:rPr>
          <w:rFonts w:ascii="Avenir Roman" w:hAnsi="Avenir Roman"/>
          <w:sz w:val="20"/>
          <w:szCs w:val="20"/>
          <w:lang w:val="en-GB"/>
        </w:rPr>
        <w:t xml:space="preserve"> </w:t>
      </w:r>
      <w:r>
        <w:rPr>
          <w:rFonts w:ascii="Avenir Roman" w:hAnsi="Avenir Roman"/>
          <w:sz w:val="20"/>
          <w:szCs w:val="20"/>
          <w:lang w:val="en-GB"/>
        </w:rPr>
        <w:t>the</w:t>
      </w:r>
      <w:r w:rsidRPr="00456128">
        <w:rPr>
          <w:rFonts w:ascii="Avenir Roman" w:hAnsi="Avenir Roman"/>
          <w:sz w:val="20"/>
          <w:szCs w:val="20"/>
          <w:lang w:val="en-GB"/>
        </w:rPr>
        <w:t xml:space="preserve"> </w:t>
      </w:r>
      <w:hyperlink r:id="rId32" w:history="1">
        <w:r w:rsidRPr="00456128">
          <w:rPr>
            <w:rStyle w:val="Hyperlink4"/>
            <w:rFonts w:ascii="Avenir Roman" w:hAnsi="Avenir Roman"/>
            <w:sz w:val="20"/>
            <w:szCs w:val="20"/>
            <w:lang w:val="en-GB"/>
          </w:rPr>
          <w:t>Colombian Roadmap to Net-Zero Carbon Buildings</w:t>
        </w:r>
      </w:hyperlink>
      <w:r w:rsidRPr="00456128">
        <w:rPr>
          <w:rFonts w:ascii="Avenir Roman" w:hAnsi="Avenir Roman"/>
          <w:sz w:val="20"/>
          <w:szCs w:val="20"/>
          <w:lang w:val="en-GB"/>
        </w:rPr>
        <w:t xml:space="preserve"> includes a specific emphasis on attending on first priority and without discrimination, the vulnerable communities in urban and rural areas, </w:t>
      </w:r>
      <w:r>
        <w:rPr>
          <w:rFonts w:ascii="Avenir Roman" w:hAnsi="Avenir Roman"/>
          <w:sz w:val="20"/>
          <w:szCs w:val="20"/>
          <w:lang w:val="en-GB"/>
        </w:rPr>
        <w:t>who are</w:t>
      </w:r>
      <w:r w:rsidRPr="00456128">
        <w:rPr>
          <w:rFonts w:ascii="Avenir Roman" w:hAnsi="Avenir Roman"/>
          <w:sz w:val="20"/>
          <w:szCs w:val="20"/>
          <w:lang w:val="en-GB"/>
        </w:rPr>
        <w:t xml:space="preserve"> experiencing energy poverty.</w:t>
      </w:r>
    </w:p>
    <w:p w14:paraId="7D808FB1" w14:textId="77777777" w:rsidR="00076069" w:rsidRPr="00456128" w:rsidRDefault="00076069" w:rsidP="00735B04">
      <w:pPr>
        <w:pStyle w:val="ListParagraph"/>
        <w:rPr>
          <w:rStyle w:val="None"/>
          <w:rFonts w:ascii="Avenir Roman" w:eastAsia="Avenir Roman" w:hAnsi="Avenir Roman" w:cs="Avenir Roman"/>
          <w:sz w:val="20"/>
          <w:szCs w:val="20"/>
          <w:lang w:val="en-GB"/>
        </w:rPr>
      </w:pPr>
    </w:p>
    <w:p w14:paraId="4815796E" w14:textId="0AD794AC" w:rsidR="00076069" w:rsidRPr="00456128" w:rsidRDefault="00AD6320" w:rsidP="00735B04">
      <w:pPr>
        <w:pStyle w:val="ListParagraph"/>
        <w:numPr>
          <w:ilvl w:val="0"/>
          <w:numId w:val="4"/>
        </w:numPr>
        <w:rPr>
          <w:rFonts w:ascii="Avenir Roman" w:hAnsi="Avenir Roman"/>
          <w:sz w:val="20"/>
          <w:szCs w:val="20"/>
          <w:lang w:val="en-GB"/>
        </w:rPr>
      </w:pPr>
      <w:r w:rsidRPr="00456128">
        <w:rPr>
          <w:rStyle w:val="None"/>
          <w:rFonts w:ascii="Avenir Roman" w:hAnsi="Avenir Roman"/>
          <w:sz w:val="20"/>
          <w:szCs w:val="20"/>
          <w:lang w:val="en-GB"/>
        </w:rPr>
        <w:t>Global architecture, construction and engineering (AEC) firms that are deeply involved in the planning and design of urban areas – and that therefore have influence over housing outcomes – are beginning to pay attention to the social dimensions of climate action. Efforts are needed to engage these actors to ensure their guidance to local and national governments as well as to other businesses is strongly incorporating the right to adequate housing.</w:t>
      </w:r>
      <w:r w:rsidR="007A0AA2">
        <w:rPr>
          <w:rStyle w:val="None"/>
          <w:rFonts w:ascii="Avenir Roman" w:hAnsi="Avenir Roman"/>
          <w:sz w:val="20"/>
          <w:szCs w:val="20"/>
          <w:lang w:val="en-GB"/>
        </w:rPr>
        <w:t xml:space="preserve"> </w:t>
      </w:r>
      <w:r w:rsidRPr="00456128">
        <w:rPr>
          <w:rStyle w:val="None"/>
          <w:rFonts w:ascii="Avenir Roman" w:hAnsi="Avenir Roman"/>
          <w:sz w:val="20"/>
          <w:szCs w:val="20"/>
          <w:lang w:val="en-GB"/>
        </w:rPr>
        <w:t xml:space="preserve">Through its built environment programme, IHRB takes a cross-sectoral approach to strengthen the practices of governments, investors, and AEC firms, recognising that each actor has </w:t>
      </w:r>
      <w:hyperlink r:id="rId33" w:history="1">
        <w:r w:rsidRPr="00456128">
          <w:rPr>
            <w:rStyle w:val="Link"/>
            <w:rFonts w:ascii="Avenir Roman" w:hAnsi="Avenir Roman"/>
            <w:sz w:val="20"/>
            <w:szCs w:val="20"/>
            <w:lang w:val="en-GB"/>
          </w:rPr>
          <w:t>specific duties or responsibilities, and specific leverage points to harness</w:t>
        </w:r>
      </w:hyperlink>
      <w:r w:rsidRPr="00456128">
        <w:rPr>
          <w:rStyle w:val="None"/>
          <w:rFonts w:ascii="Avenir Roman" w:hAnsi="Avenir Roman"/>
          <w:sz w:val="20"/>
          <w:szCs w:val="20"/>
          <w:lang w:val="en-GB"/>
        </w:rPr>
        <w:t xml:space="preserve">. </w:t>
      </w:r>
    </w:p>
    <w:p w14:paraId="7AE03BD0" w14:textId="77777777" w:rsidR="00076069" w:rsidRPr="00456128" w:rsidRDefault="00076069" w:rsidP="00735B04">
      <w:pPr>
        <w:pStyle w:val="ListParagraph"/>
        <w:rPr>
          <w:rStyle w:val="None"/>
          <w:rFonts w:ascii="Avenir Heavy" w:eastAsia="Avenir Heavy" w:hAnsi="Avenir Heavy" w:cs="Avenir Heavy"/>
          <w:sz w:val="20"/>
          <w:szCs w:val="20"/>
          <w:lang w:val="en-GB"/>
        </w:rPr>
      </w:pPr>
    </w:p>
    <w:p w14:paraId="07638603" w14:textId="77777777" w:rsidR="00076069" w:rsidRPr="00456128" w:rsidRDefault="00AD6320" w:rsidP="00735B04">
      <w:pPr>
        <w:pStyle w:val="gmail-msolistparagraph"/>
        <w:spacing w:before="0" w:after="0"/>
        <w:ind w:left="720"/>
        <w:rPr>
          <w:rStyle w:val="None"/>
          <w:rFonts w:ascii="Avenir Heavy" w:eastAsia="Avenir Heavy" w:hAnsi="Avenir Heavy" w:cs="Avenir Heavy"/>
          <w:sz w:val="20"/>
          <w:szCs w:val="20"/>
          <w:lang w:val="en-GB"/>
        </w:rPr>
      </w:pPr>
      <w:r w:rsidRPr="00456128">
        <w:rPr>
          <w:rStyle w:val="None"/>
          <w:rFonts w:ascii="Avenir Heavy" w:hAnsi="Avenir Heavy"/>
          <w:sz w:val="20"/>
          <w:szCs w:val="20"/>
          <w:lang w:val="en-GB"/>
        </w:rPr>
        <w:t>15.  What measures have been taken to ensure that the costs of green transition in the housing sector are fairly shared between public authorities, taxpayers, homeowners, and tenants/renters or other affected interest groups, and to ensure the continued affordability of housing?</w:t>
      </w:r>
    </w:p>
    <w:p w14:paraId="1018E6DA" w14:textId="77777777" w:rsidR="00076069" w:rsidRPr="00456128" w:rsidRDefault="00076069" w:rsidP="00735B04">
      <w:pPr>
        <w:pStyle w:val="gmail-msolistparagraph"/>
        <w:spacing w:before="0" w:after="0"/>
        <w:ind w:left="720"/>
        <w:rPr>
          <w:rStyle w:val="None"/>
          <w:rFonts w:ascii="Avenir Roman" w:eastAsia="Avenir Roman" w:hAnsi="Avenir Roman" w:cs="Avenir Roman"/>
          <w:sz w:val="20"/>
          <w:szCs w:val="20"/>
          <w:lang w:val="en-GB"/>
        </w:rPr>
      </w:pPr>
    </w:p>
    <w:p w14:paraId="265CF0CB" w14:textId="0B6F345F" w:rsidR="00076069" w:rsidRPr="00456128" w:rsidRDefault="00AD6320" w:rsidP="00735B04">
      <w:pPr>
        <w:pStyle w:val="Body"/>
        <w:rPr>
          <w:rStyle w:val="None"/>
          <w:rFonts w:ascii="Avenir Roman" w:eastAsia="Avenir Roman" w:hAnsi="Avenir Roman" w:cs="Avenir Roman"/>
          <w:sz w:val="20"/>
          <w:szCs w:val="20"/>
          <w:lang w:val="en-GB"/>
        </w:rPr>
      </w:pPr>
      <w:r w:rsidRPr="00456128">
        <w:rPr>
          <w:rStyle w:val="None"/>
          <w:rFonts w:ascii="Avenir Roman" w:hAnsi="Avenir Roman"/>
          <w:sz w:val="20"/>
          <w:szCs w:val="20"/>
          <w:lang w:val="en-GB"/>
        </w:rPr>
        <w:t>Various EU H2020 (Horizon2020) projects promote the green transition in the housing sector, include energy efficiency, housing renovations, and also innovate business models seeking to have a more equal distribution of benefits between public authorities, taxpayers, citizens, energy companies, and other stakeholders. These projects support the creation and strengthening of Citizen Energy Communities (CECs). These are defined as follows:</w:t>
      </w:r>
    </w:p>
    <w:p w14:paraId="568E6D0B" w14:textId="77777777" w:rsidR="00076069" w:rsidRPr="00456128" w:rsidRDefault="00076069" w:rsidP="00735B04">
      <w:pPr>
        <w:pStyle w:val="Body"/>
        <w:rPr>
          <w:rStyle w:val="None"/>
          <w:rFonts w:ascii="Avenir Roman" w:eastAsia="Avenir Roman" w:hAnsi="Avenir Roman" w:cs="Avenir Roman"/>
          <w:sz w:val="20"/>
          <w:szCs w:val="20"/>
          <w:lang w:val="en-GB"/>
        </w:rPr>
      </w:pPr>
    </w:p>
    <w:p w14:paraId="30FA1BE9" w14:textId="1C0611D6" w:rsidR="00076069" w:rsidRPr="00456128" w:rsidRDefault="00AD6320" w:rsidP="00735B04">
      <w:pPr>
        <w:pStyle w:val="Body"/>
        <w:rPr>
          <w:rStyle w:val="None"/>
          <w:rFonts w:ascii="Avenir Roman" w:eastAsia="Avenir Roman" w:hAnsi="Avenir Roman" w:cs="Avenir Roman"/>
          <w:sz w:val="20"/>
          <w:szCs w:val="20"/>
          <w:lang w:val="en-GB"/>
        </w:rPr>
      </w:pPr>
      <w:r w:rsidRPr="00456128">
        <w:rPr>
          <w:rStyle w:val="None"/>
          <w:rFonts w:ascii="Avenir Roman" w:hAnsi="Avenir Roman"/>
          <w:sz w:val="20"/>
          <w:szCs w:val="20"/>
          <w:lang w:val="en-GB"/>
        </w:rPr>
        <w:t xml:space="preserve">“Energy communities can take any form of legal entity, for instance that of an association, a cooperative, a partnership, a non-profit organisation or a small/medium-sized enterprise. It makes it </w:t>
      </w:r>
      <w:r w:rsidRPr="00456128">
        <w:rPr>
          <w:rStyle w:val="None"/>
          <w:rFonts w:ascii="Avenir Roman" w:hAnsi="Avenir Roman"/>
          <w:sz w:val="20"/>
          <w:szCs w:val="20"/>
          <w:lang w:val="en-GB"/>
        </w:rPr>
        <w:lastRenderedPageBreak/>
        <w:t xml:space="preserve">easier for its citizens, together with other market players, to team up and jointly invest in energy assets. This in turn, helps contribute to a more decarbonised and flexible energy system, as the energy communities can act as one entity and access all suitable energy markets, on a level-playing field with other market actors”. (EC, </w:t>
      </w:r>
      <w:hyperlink r:id="rId34" w:history="1">
        <w:r w:rsidRPr="00456128">
          <w:rPr>
            <w:rStyle w:val="Hyperlink8"/>
            <w:sz w:val="20"/>
            <w:szCs w:val="20"/>
            <w:lang w:val="en-GB"/>
          </w:rPr>
          <w:t>Energy Communities</w:t>
        </w:r>
      </w:hyperlink>
      <w:r w:rsidRPr="00456128">
        <w:rPr>
          <w:rStyle w:val="None"/>
          <w:rFonts w:ascii="Avenir Roman" w:hAnsi="Avenir Roman"/>
          <w:sz w:val="20"/>
          <w:szCs w:val="20"/>
          <w:lang w:val="en-GB"/>
        </w:rPr>
        <w:t xml:space="preserve">). </w:t>
      </w:r>
    </w:p>
    <w:p w14:paraId="060D761E" w14:textId="77777777" w:rsidR="00076069" w:rsidRPr="00456128" w:rsidRDefault="00076069" w:rsidP="00735B04">
      <w:pPr>
        <w:pStyle w:val="Body"/>
        <w:rPr>
          <w:rStyle w:val="None"/>
          <w:rFonts w:ascii="Avenir Roman" w:eastAsia="Avenir Roman" w:hAnsi="Avenir Roman" w:cs="Avenir Roman"/>
          <w:sz w:val="20"/>
          <w:szCs w:val="20"/>
          <w:lang w:val="en-GB"/>
        </w:rPr>
      </w:pPr>
    </w:p>
    <w:p w14:paraId="4D79006A" w14:textId="4CA3DE7B" w:rsidR="00076069" w:rsidRPr="00456128" w:rsidRDefault="00AD6320" w:rsidP="00735B04">
      <w:pPr>
        <w:pStyle w:val="Body"/>
        <w:rPr>
          <w:rStyle w:val="None"/>
          <w:rFonts w:ascii="Avenir Roman" w:eastAsia="Avenir Roman" w:hAnsi="Avenir Roman" w:cs="Avenir Roman"/>
          <w:sz w:val="20"/>
          <w:szCs w:val="20"/>
          <w:lang w:val="en-GB"/>
        </w:rPr>
      </w:pPr>
      <w:r w:rsidRPr="00456128">
        <w:rPr>
          <w:rStyle w:val="None"/>
          <w:rFonts w:ascii="Avenir Roman" w:hAnsi="Avenir Roman"/>
          <w:sz w:val="20"/>
          <w:szCs w:val="20"/>
          <w:lang w:val="en-GB"/>
        </w:rPr>
        <w:t xml:space="preserve">The CECs  harness the collective power of citizens to produce and trade their own energy. In this way, tenants can be active participants and beneficiaries of energy-efficient improvements, cost savings and the financial returns from energy surplus, as well. </w:t>
      </w:r>
    </w:p>
    <w:p w14:paraId="3611C018" w14:textId="77777777" w:rsidR="00076069" w:rsidRPr="00456128" w:rsidRDefault="00AD6320" w:rsidP="00735B04">
      <w:pPr>
        <w:pStyle w:val="gmail-msolistparagraph"/>
        <w:spacing w:before="0" w:after="0"/>
        <w:rPr>
          <w:rStyle w:val="None"/>
          <w:rFonts w:ascii="Avenir Heavy" w:eastAsia="Avenir Heavy" w:hAnsi="Avenir Heavy" w:cs="Avenir Heavy"/>
          <w:sz w:val="20"/>
          <w:szCs w:val="20"/>
          <w:lang w:val="en-GB"/>
        </w:rPr>
      </w:pPr>
      <w:r w:rsidRPr="00456128">
        <w:rPr>
          <w:rStyle w:val="None"/>
          <w:rFonts w:ascii="Avenir Roman" w:hAnsi="Avenir Roman"/>
          <w:sz w:val="20"/>
          <w:szCs w:val="20"/>
          <w:lang w:val="en-GB"/>
        </w:rPr>
        <w:t> </w:t>
      </w:r>
    </w:p>
    <w:p w14:paraId="62032D89" w14:textId="77777777" w:rsidR="00076069" w:rsidRPr="00456128" w:rsidRDefault="00AD6320" w:rsidP="00735B04">
      <w:pPr>
        <w:pStyle w:val="gmail-msolistparagraph"/>
        <w:spacing w:before="0" w:after="0"/>
        <w:ind w:left="720"/>
        <w:rPr>
          <w:rStyle w:val="None"/>
          <w:rFonts w:ascii="Avenir Heavy" w:eastAsia="Avenir Heavy" w:hAnsi="Avenir Heavy" w:cs="Avenir Heavy"/>
          <w:sz w:val="20"/>
          <w:szCs w:val="20"/>
          <w:lang w:val="en-GB"/>
        </w:rPr>
      </w:pPr>
      <w:r w:rsidRPr="00456128">
        <w:rPr>
          <w:rStyle w:val="None"/>
          <w:rFonts w:ascii="Avenir Heavy" w:hAnsi="Avenir Heavy"/>
          <w:sz w:val="20"/>
          <w:szCs w:val="20"/>
          <w:lang w:val="en-GB"/>
        </w:rPr>
        <w:t>16.  How are different interest groups, including marginalised communities, homeowners and tenants, being consulted, and able to participate in the design, implementation, monitoring and evaluation of: </w:t>
      </w:r>
    </w:p>
    <w:p w14:paraId="2EF6D24A" w14:textId="77777777" w:rsidR="00076069" w:rsidRPr="00456128" w:rsidRDefault="00AD6320" w:rsidP="00735B04">
      <w:pPr>
        <w:pStyle w:val="gmail-msolistparagraph"/>
        <w:spacing w:before="0" w:after="0"/>
        <w:ind w:left="720"/>
        <w:rPr>
          <w:rStyle w:val="None"/>
          <w:rFonts w:ascii="Avenir Heavy" w:eastAsia="Avenir Heavy" w:hAnsi="Avenir Heavy" w:cs="Avenir Heavy"/>
          <w:sz w:val="20"/>
          <w:szCs w:val="20"/>
          <w:lang w:val="en-GB"/>
        </w:rPr>
      </w:pPr>
      <w:r w:rsidRPr="00456128">
        <w:rPr>
          <w:rStyle w:val="None"/>
          <w:rFonts w:ascii="Avenir Heavy" w:hAnsi="Avenir Heavy"/>
          <w:sz w:val="20"/>
          <w:szCs w:val="20"/>
          <w:lang w:val="en-GB"/>
        </w:rPr>
        <w:t> </w:t>
      </w:r>
    </w:p>
    <w:p w14:paraId="4DEE1B7A" w14:textId="77777777" w:rsidR="00076069" w:rsidRPr="00456128" w:rsidRDefault="00AD6320" w:rsidP="00735B04">
      <w:pPr>
        <w:pStyle w:val="gmail-msolistparagraph"/>
        <w:spacing w:before="0" w:after="0"/>
        <w:ind w:left="1080"/>
        <w:rPr>
          <w:rStyle w:val="None"/>
          <w:rFonts w:ascii="Avenir Heavy" w:eastAsia="Avenir Heavy" w:hAnsi="Avenir Heavy" w:cs="Avenir Heavy"/>
          <w:sz w:val="20"/>
          <w:szCs w:val="20"/>
          <w:lang w:val="en-GB"/>
        </w:rPr>
      </w:pPr>
      <w:r w:rsidRPr="00456128">
        <w:rPr>
          <w:rStyle w:val="None"/>
          <w:rFonts w:ascii="Avenir Heavy" w:hAnsi="Avenir Heavy"/>
          <w:sz w:val="20"/>
          <w:szCs w:val="20"/>
          <w:lang w:val="en-GB"/>
        </w:rPr>
        <w:t>·       legislation, policies, or programmes been adopted that provide for specific measures to ensure the realisation of the right to adequate housing in the face of the climate crisis;  </w:t>
      </w:r>
    </w:p>
    <w:p w14:paraId="42A0F2CF" w14:textId="77777777" w:rsidR="00076069" w:rsidRPr="00456128" w:rsidRDefault="00AD6320" w:rsidP="00735B04">
      <w:pPr>
        <w:pStyle w:val="gmail-msolistparagraph"/>
        <w:spacing w:before="0" w:after="0"/>
        <w:ind w:left="1080"/>
        <w:rPr>
          <w:rStyle w:val="None"/>
          <w:rFonts w:ascii="Avenir Heavy" w:eastAsia="Avenir Heavy" w:hAnsi="Avenir Heavy" w:cs="Avenir Heavy"/>
          <w:sz w:val="20"/>
          <w:szCs w:val="20"/>
          <w:lang w:val="en-GB"/>
        </w:rPr>
      </w:pPr>
      <w:r w:rsidRPr="00456128">
        <w:rPr>
          <w:rStyle w:val="None"/>
          <w:rFonts w:ascii="Avenir Heavy" w:hAnsi="Avenir Heavy"/>
          <w:sz w:val="20"/>
          <w:szCs w:val="20"/>
          <w:lang w:val="en-GB"/>
        </w:rPr>
        <w:t>·       natural disaster preparedness, response and reconstruction, as well as in mitigation and adaptation efforts; </w:t>
      </w:r>
    </w:p>
    <w:p w14:paraId="338FC0B9" w14:textId="10EDC528" w:rsidR="00076069" w:rsidRPr="00456128" w:rsidRDefault="00AD6320" w:rsidP="00735B04">
      <w:pPr>
        <w:pStyle w:val="gmail-msolistparagraph"/>
        <w:spacing w:before="0" w:after="0"/>
        <w:ind w:left="1080"/>
        <w:rPr>
          <w:rStyle w:val="None"/>
          <w:rFonts w:ascii="Avenir Heavy" w:eastAsia="Avenir Heavy" w:hAnsi="Avenir Heavy" w:cs="Avenir Heavy"/>
          <w:sz w:val="20"/>
          <w:szCs w:val="20"/>
          <w:lang w:val="en-GB"/>
        </w:rPr>
      </w:pPr>
      <w:r w:rsidRPr="00456128">
        <w:rPr>
          <w:rStyle w:val="None"/>
          <w:rFonts w:ascii="Avenir Heavy" w:hAnsi="Avenir Heavy"/>
          <w:sz w:val="20"/>
          <w:szCs w:val="20"/>
          <w:lang w:val="en-GB"/>
        </w:rPr>
        <w:t>·       measures to reduce and eliminate the adverse impacts of the housing sector on climate. </w:t>
      </w:r>
      <w:r w:rsidR="007A0AA2">
        <w:rPr>
          <w:rStyle w:val="None"/>
          <w:rFonts w:ascii="Avenir Heavy" w:hAnsi="Avenir Heavy"/>
          <w:sz w:val="20"/>
          <w:szCs w:val="20"/>
          <w:lang w:val="en-GB"/>
        </w:rPr>
        <w:br/>
      </w:r>
    </w:p>
    <w:p w14:paraId="2CE144A9" w14:textId="0CB1543E" w:rsidR="00076069" w:rsidRPr="00456128" w:rsidRDefault="00AD6320" w:rsidP="00735B04">
      <w:pPr>
        <w:pStyle w:val="Heading"/>
        <w:numPr>
          <w:ilvl w:val="0"/>
          <w:numId w:val="6"/>
        </w:numPr>
        <w:spacing w:before="0" w:after="0"/>
        <w:rPr>
          <w:rFonts w:ascii="Avenir Roman" w:hAnsi="Avenir Roman"/>
          <w:b w:val="0"/>
          <w:bCs w:val="0"/>
          <w:sz w:val="20"/>
          <w:szCs w:val="20"/>
          <w:lang w:val="en-GB"/>
        </w:rPr>
      </w:pPr>
      <w:r w:rsidRPr="00456128">
        <w:rPr>
          <w:rStyle w:val="None"/>
          <w:rFonts w:ascii="Avenir Roman" w:hAnsi="Avenir Roman"/>
          <w:b w:val="0"/>
          <w:bCs w:val="0"/>
          <w:sz w:val="20"/>
          <w:szCs w:val="20"/>
          <w:lang w:val="en-GB"/>
        </w:rPr>
        <w:t xml:space="preserve">One example comes from Cartagena de </w:t>
      </w:r>
      <w:proofErr w:type="spellStart"/>
      <w:r w:rsidRPr="00456128">
        <w:rPr>
          <w:rStyle w:val="None"/>
          <w:rFonts w:ascii="Avenir Roman" w:hAnsi="Avenir Roman"/>
          <w:b w:val="0"/>
          <w:bCs w:val="0"/>
          <w:sz w:val="20"/>
          <w:szCs w:val="20"/>
          <w:lang w:val="en-GB"/>
        </w:rPr>
        <w:t>Indias</w:t>
      </w:r>
      <w:proofErr w:type="spellEnd"/>
      <w:r w:rsidRPr="00456128">
        <w:rPr>
          <w:rStyle w:val="None"/>
          <w:rFonts w:ascii="Avenir Roman" w:hAnsi="Avenir Roman"/>
          <w:b w:val="0"/>
          <w:bCs w:val="0"/>
          <w:sz w:val="20"/>
          <w:szCs w:val="20"/>
          <w:lang w:val="en-GB"/>
        </w:rPr>
        <w:t xml:space="preserve">, Colombia where the local government is using a highly participatory process for the development of the new Territorial Ordering Plan (POT) that will dictate urban planning for the next 12 years. The process consists of various participation phases with virtual and in-person workshops throughout the city actively engaging various stakeholders from all sectors including industry, NGOs, and rural and insular communities of the wider Cartagena region as well. </w:t>
      </w:r>
      <w:hyperlink r:id="rId35" w:history="1">
        <w:r w:rsidRPr="00456128">
          <w:rPr>
            <w:rStyle w:val="Hyperlink4"/>
            <w:rFonts w:ascii="Avenir Roman" w:hAnsi="Avenir Roman"/>
            <w:b w:val="0"/>
            <w:bCs w:val="0"/>
            <w:sz w:val="20"/>
            <w:szCs w:val="20"/>
            <w:lang w:val="en-GB"/>
          </w:rPr>
          <w:t>IHRB</w:t>
        </w:r>
      </w:hyperlink>
      <w:r w:rsidRPr="00456128">
        <w:rPr>
          <w:rStyle w:val="None"/>
          <w:rFonts w:ascii="Avenir Roman" w:hAnsi="Avenir Roman"/>
          <w:b w:val="0"/>
          <w:bCs w:val="0"/>
          <w:sz w:val="20"/>
          <w:szCs w:val="20"/>
          <w:lang w:val="en-GB"/>
        </w:rPr>
        <w:t xml:space="preserve"> and Colombian local organisation </w:t>
      </w:r>
      <w:hyperlink r:id="rId36" w:history="1">
        <w:r w:rsidRPr="00456128">
          <w:rPr>
            <w:rStyle w:val="Hyperlink4"/>
            <w:rFonts w:ascii="Avenir Roman" w:hAnsi="Avenir Roman"/>
            <w:b w:val="0"/>
            <w:bCs w:val="0"/>
            <w:sz w:val="20"/>
            <w:szCs w:val="20"/>
            <w:lang w:val="en-GB"/>
          </w:rPr>
          <w:t>CREER</w:t>
        </w:r>
      </w:hyperlink>
      <w:r w:rsidRPr="00456128">
        <w:rPr>
          <w:rStyle w:val="None"/>
          <w:rFonts w:ascii="Avenir Roman" w:hAnsi="Avenir Roman"/>
          <w:b w:val="0"/>
          <w:bCs w:val="0"/>
          <w:sz w:val="20"/>
          <w:szCs w:val="20"/>
          <w:lang w:val="en-GB"/>
        </w:rPr>
        <w:t xml:space="preserve"> are currently engaged to strengthen the human rights approach in this process, and ensure the resulting POT is a tool to realise the right to housing of coastal communities currently experiencing issues of flooding, waste management and homelessness, in addition to other climate change risks. More information about this participatory process in this article: “</w:t>
      </w:r>
      <w:hyperlink r:id="rId37" w:history="1">
        <w:r w:rsidRPr="00456128">
          <w:rPr>
            <w:rStyle w:val="Hyperlink4"/>
            <w:rFonts w:ascii="Avenir Roman" w:hAnsi="Avenir Roman"/>
            <w:b w:val="0"/>
            <w:bCs w:val="0"/>
            <w:sz w:val="20"/>
            <w:szCs w:val="20"/>
            <w:lang w:val="en-GB"/>
          </w:rPr>
          <w:t xml:space="preserve">Advancing Human Rights in the Built Environment in Cartagena de </w:t>
        </w:r>
        <w:proofErr w:type="spellStart"/>
        <w:r w:rsidRPr="00456128">
          <w:rPr>
            <w:rStyle w:val="Hyperlink4"/>
            <w:rFonts w:ascii="Avenir Roman" w:hAnsi="Avenir Roman"/>
            <w:b w:val="0"/>
            <w:bCs w:val="0"/>
            <w:sz w:val="20"/>
            <w:szCs w:val="20"/>
            <w:lang w:val="en-GB"/>
          </w:rPr>
          <w:t>Indias</w:t>
        </w:r>
        <w:proofErr w:type="spellEnd"/>
        <w:r w:rsidRPr="00456128">
          <w:rPr>
            <w:rStyle w:val="Hyperlink4"/>
            <w:rFonts w:ascii="Avenir Roman" w:hAnsi="Avenir Roman"/>
            <w:b w:val="0"/>
            <w:bCs w:val="0"/>
            <w:sz w:val="20"/>
            <w:szCs w:val="20"/>
            <w:lang w:val="en-GB"/>
          </w:rPr>
          <w:t>, and Insights for Other Cities</w:t>
        </w:r>
      </w:hyperlink>
      <w:r w:rsidRPr="00456128">
        <w:rPr>
          <w:rStyle w:val="None"/>
          <w:rFonts w:ascii="Avenir Roman" w:hAnsi="Avenir Roman"/>
          <w:b w:val="0"/>
          <w:bCs w:val="0"/>
          <w:sz w:val="20"/>
          <w:szCs w:val="20"/>
          <w:lang w:val="en-GB"/>
        </w:rPr>
        <w:t>”</w:t>
      </w:r>
      <w:r w:rsidR="007A0AA2">
        <w:rPr>
          <w:rStyle w:val="None"/>
          <w:rFonts w:ascii="Avenir Roman" w:hAnsi="Avenir Roman"/>
          <w:b w:val="0"/>
          <w:bCs w:val="0"/>
          <w:sz w:val="20"/>
          <w:szCs w:val="20"/>
          <w:lang w:val="en-GB"/>
        </w:rPr>
        <w:br/>
      </w:r>
    </w:p>
    <w:p w14:paraId="5913DDDC" w14:textId="77777777" w:rsidR="00076069" w:rsidRPr="00456128" w:rsidRDefault="00AD6320" w:rsidP="00735B04">
      <w:pPr>
        <w:pStyle w:val="gmail-msolistparagraph"/>
        <w:numPr>
          <w:ilvl w:val="0"/>
          <w:numId w:val="6"/>
        </w:numPr>
        <w:spacing w:before="0" w:after="0"/>
        <w:rPr>
          <w:rFonts w:ascii="Avenir Roman" w:hAnsi="Avenir Roman"/>
          <w:sz w:val="20"/>
          <w:szCs w:val="20"/>
          <w:lang w:val="en-GB"/>
        </w:rPr>
      </w:pPr>
      <w:r w:rsidRPr="00456128">
        <w:rPr>
          <w:rStyle w:val="None"/>
          <w:rFonts w:ascii="Avenir Roman" w:hAnsi="Avenir Roman"/>
          <w:sz w:val="20"/>
          <w:szCs w:val="20"/>
          <w:lang w:val="en-GB"/>
        </w:rPr>
        <w:t>See various examples of “</w:t>
      </w:r>
      <w:hyperlink r:id="rId38" w:history="1">
        <w:r w:rsidRPr="00456128">
          <w:rPr>
            <w:rStyle w:val="Hyperlink4"/>
            <w:rFonts w:ascii="Avenir Roman" w:hAnsi="Avenir Roman"/>
            <w:sz w:val="20"/>
            <w:szCs w:val="20"/>
            <w:lang w:val="en-GB"/>
          </w:rPr>
          <w:t>Community-led and Participatory Approaches to Climate Action in the Built Environment</w:t>
        </w:r>
      </w:hyperlink>
      <w:r w:rsidRPr="00456128">
        <w:rPr>
          <w:rStyle w:val="None"/>
          <w:rFonts w:ascii="Avenir Roman" w:hAnsi="Avenir Roman"/>
          <w:sz w:val="20"/>
          <w:szCs w:val="20"/>
          <w:lang w:val="en-GB"/>
        </w:rPr>
        <w:t>” with special emphasis on the right to housing.</w:t>
      </w:r>
    </w:p>
    <w:p w14:paraId="6A333249" w14:textId="77777777" w:rsidR="00076069" w:rsidRPr="00456128" w:rsidRDefault="00076069" w:rsidP="00735B04">
      <w:pPr>
        <w:pStyle w:val="gmail-msolistparagraph"/>
        <w:spacing w:before="0" w:after="0"/>
        <w:rPr>
          <w:rStyle w:val="None"/>
          <w:rFonts w:ascii="Avenir Roman" w:eastAsia="Avenir Roman" w:hAnsi="Avenir Roman" w:cs="Avenir Roman"/>
          <w:sz w:val="20"/>
          <w:szCs w:val="20"/>
          <w:lang w:val="en-GB"/>
        </w:rPr>
      </w:pPr>
    </w:p>
    <w:p w14:paraId="491D13E7" w14:textId="77777777" w:rsidR="00076069" w:rsidRPr="00456128" w:rsidRDefault="00AD6320" w:rsidP="00735B04">
      <w:pPr>
        <w:pStyle w:val="gmail-msolistparagraph"/>
        <w:numPr>
          <w:ilvl w:val="0"/>
          <w:numId w:val="6"/>
        </w:numPr>
        <w:spacing w:before="0" w:after="0"/>
        <w:rPr>
          <w:rFonts w:ascii="Avenir Roman" w:hAnsi="Avenir Roman"/>
          <w:sz w:val="20"/>
          <w:szCs w:val="20"/>
          <w:lang w:val="en-GB"/>
        </w:rPr>
      </w:pPr>
      <w:r w:rsidRPr="00456128">
        <w:rPr>
          <w:rStyle w:val="None"/>
          <w:rFonts w:ascii="Avenir Roman" w:hAnsi="Avenir Roman"/>
          <w:sz w:val="20"/>
          <w:szCs w:val="20"/>
          <w:lang w:val="en-GB"/>
        </w:rPr>
        <w:t xml:space="preserve">See database: </w:t>
      </w:r>
      <w:r w:rsidRPr="00456128">
        <w:rPr>
          <w:rStyle w:val="None"/>
          <w:rFonts w:ascii="Avenir Book Oblique" w:hAnsi="Avenir Book Oblique"/>
          <w:sz w:val="20"/>
          <w:szCs w:val="20"/>
          <w:lang w:val="en-GB"/>
        </w:rPr>
        <w:t>“</w:t>
      </w:r>
      <w:hyperlink r:id="rId39" w:anchor="search-results" w:history="1">
        <w:r w:rsidRPr="00456128">
          <w:rPr>
            <w:rStyle w:val="Hyperlink9"/>
            <w:rFonts w:ascii="Avenir Book Oblique" w:hAnsi="Avenir Book Oblique"/>
            <w:sz w:val="20"/>
            <w:szCs w:val="20"/>
            <w:lang w:val="en-GB"/>
          </w:rPr>
          <w:t>Urban Sustainability Exchange</w:t>
        </w:r>
      </w:hyperlink>
      <w:r w:rsidRPr="00456128">
        <w:rPr>
          <w:rStyle w:val="None"/>
          <w:rFonts w:ascii="Avenir Book Oblique" w:hAnsi="Avenir Book Oblique"/>
          <w:sz w:val="20"/>
          <w:szCs w:val="20"/>
          <w:lang w:val="en-GB"/>
        </w:rPr>
        <w:t xml:space="preserve">” </w:t>
      </w:r>
      <w:r w:rsidRPr="00456128">
        <w:rPr>
          <w:rStyle w:val="None"/>
          <w:rFonts w:ascii="Avenir Roman" w:hAnsi="Avenir Roman"/>
          <w:sz w:val="20"/>
          <w:szCs w:val="20"/>
          <w:lang w:val="en-GB"/>
        </w:rPr>
        <w:t xml:space="preserve">from </w:t>
      </w:r>
      <w:hyperlink r:id="rId40" w:history="1">
        <w:r w:rsidRPr="00456128">
          <w:rPr>
            <w:rStyle w:val="Hyperlink4"/>
            <w:rFonts w:ascii="Avenir Roman" w:hAnsi="Avenir Roman"/>
            <w:sz w:val="20"/>
            <w:szCs w:val="20"/>
            <w:lang w:val="en-GB"/>
          </w:rPr>
          <w:t>Metropolis</w:t>
        </w:r>
      </w:hyperlink>
      <w:r w:rsidRPr="00456128">
        <w:rPr>
          <w:rStyle w:val="None"/>
          <w:rFonts w:ascii="Avenir Roman" w:hAnsi="Avenir Roman"/>
          <w:sz w:val="20"/>
          <w:szCs w:val="20"/>
          <w:lang w:val="en-GB"/>
        </w:rPr>
        <w:t xml:space="preserve">, the world’s association of metropolitan areas, with </w:t>
      </w:r>
      <w:hyperlink r:id="rId41" w:anchor="search-results" w:history="1">
        <w:r w:rsidRPr="00456128">
          <w:rPr>
            <w:rStyle w:val="Hyperlink4"/>
            <w:rFonts w:ascii="Avenir Roman" w:hAnsi="Avenir Roman"/>
            <w:sz w:val="20"/>
            <w:szCs w:val="20"/>
            <w:lang w:val="en-GB"/>
          </w:rPr>
          <w:t>57 case studies</w:t>
        </w:r>
      </w:hyperlink>
      <w:r w:rsidRPr="00456128">
        <w:rPr>
          <w:rStyle w:val="None"/>
          <w:rFonts w:ascii="Avenir Roman" w:hAnsi="Avenir Roman"/>
          <w:sz w:val="20"/>
          <w:szCs w:val="20"/>
          <w:lang w:val="en-GB"/>
        </w:rPr>
        <w:t xml:space="preserve"> under the topic/label of “housing”, that include different interest groups in climate adaptation and mitigation, circular economy, energy efficiency, and inclusion and equity processes.</w:t>
      </w:r>
    </w:p>
    <w:p w14:paraId="7B9168A5" w14:textId="77777777" w:rsidR="00076069" w:rsidRPr="00456128" w:rsidRDefault="00AD6320" w:rsidP="00735B04">
      <w:pPr>
        <w:pStyle w:val="gmail-msolistparagraph"/>
        <w:spacing w:before="0" w:after="0"/>
        <w:rPr>
          <w:rStyle w:val="None"/>
          <w:rFonts w:ascii="Avenir Roman" w:eastAsia="Avenir Roman" w:hAnsi="Avenir Roman" w:cs="Avenir Roman"/>
          <w:sz w:val="20"/>
          <w:szCs w:val="20"/>
          <w:lang w:val="en-GB"/>
        </w:rPr>
      </w:pPr>
      <w:r w:rsidRPr="00456128">
        <w:rPr>
          <w:rStyle w:val="None"/>
          <w:rFonts w:ascii="Avenir Roman" w:hAnsi="Avenir Roman"/>
          <w:sz w:val="20"/>
          <w:szCs w:val="20"/>
          <w:lang w:val="en-GB"/>
        </w:rPr>
        <w:t> </w:t>
      </w:r>
    </w:p>
    <w:p w14:paraId="14687915" w14:textId="77777777" w:rsidR="00076069" w:rsidRPr="00456128" w:rsidRDefault="00AD6320" w:rsidP="00735B04">
      <w:pPr>
        <w:pStyle w:val="gmail-msolistparagraph"/>
        <w:spacing w:before="0" w:after="0"/>
        <w:ind w:left="720"/>
        <w:rPr>
          <w:rStyle w:val="None"/>
          <w:rFonts w:ascii="Avenir Heavy" w:eastAsia="Avenir Heavy" w:hAnsi="Avenir Heavy" w:cs="Avenir Heavy"/>
          <w:sz w:val="20"/>
          <w:szCs w:val="20"/>
          <w:lang w:val="en-GB"/>
        </w:rPr>
      </w:pPr>
      <w:r w:rsidRPr="00456128">
        <w:rPr>
          <w:rStyle w:val="None"/>
          <w:rFonts w:ascii="Avenir Heavy" w:hAnsi="Avenir Heavy"/>
          <w:sz w:val="20"/>
          <w:szCs w:val="20"/>
          <w:lang w:val="en-GB"/>
        </w:rPr>
        <w:t>17.  What is the role of international cooperation, technology transfer and development assistance of States and multilateral agencies to ensure a just transition?</w:t>
      </w:r>
    </w:p>
    <w:p w14:paraId="06F9C6EA" w14:textId="77777777" w:rsidR="00076069" w:rsidRPr="00456128" w:rsidRDefault="00076069" w:rsidP="00735B04">
      <w:pPr>
        <w:pStyle w:val="gmail-msolistparagraph"/>
        <w:spacing w:before="0" w:after="0"/>
        <w:ind w:left="720"/>
        <w:rPr>
          <w:rStyle w:val="None"/>
          <w:rFonts w:ascii="Avenir Roman" w:eastAsia="Avenir Roman" w:hAnsi="Avenir Roman" w:cs="Avenir Roman"/>
          <w:sz w:val="20"/>
          <w:szCs w:val="20"/>
          <w:lang w:val="en-GB"/>
        </w:rPr>
      </w:pPr>
    </w:p>
    <w:p w14:paraId="3750BFE6" w14:textId="6B5B8773" w:rsidR="00076069" w:rsidRPr="00456128" w:rsidRDefault="00AD6320" w:rsidP="007A0AA2">
      <w:pPr>
        <w:pStyle w:val="ListParagraph"/>
        <w:ind w:left="0"/>
        <w:rPr>
          <w:rStyle w:val="None"/>
          <w:rFonts w:ascii="Avenir Roman" w:eastAsia="Avenir Roman" w:hAnsi="Avenir Roman" w:cs="Avenir Roman"/>
          <w:sz w:val="20"/>
          <w:szCs w:val="20"/>
          <w:lang w:val="en-GB"/>
        </w:rPr>
      </w:pPr>
      <w:r w:rsidRPr="00456128">
        <w:rPr>
          <w:rStyle w:val="None"/>
          <w:rFonts w:ascii="Avenir Roman" w:hAnsi="Avenir Roman"/>
          <w:sz w:val="20"/>
          <w:szCs w:val="20"/>
          <w:lang w:val="en-GB"/>
        </w:rPr>
        <w:t xml:space="preserve">International development agencies are paying growing attention to </w:t>
      </w:r>
      <w:r w:rsidR="001D6258" w:rsidRPr="00456128">
        <w:rPr>
          <w:rStyle w:val="None"/>
          <w:rFonts w:ascii="Avenir Roman" w:hAnsi="Avenir Roman"/>
          <w:sz w:val="20"/>
          <w:szCs w:val="20"/>
          <w:lang w:val="en-GB"/>
        </w:rPr>
        <w:t>decarbonisation</w:t>
      </w:r>
      <w:r w:rsidRPr="00456128">
        <w:rPr>
          <w:rStyle w:val="None"/>
          <w:rFonts w:ascii="Avenir Roman" w:hAnsi="Avenir Roman"/>
          <w:sz w:val="20"/>
          <w:szCs w:val="20"/>
          <w:lang w:val="en-GB"/>
        </w:rPr>
        <w:t xml:space="preserve"> and mitigation in the built environment. For example</w:t>
      </w:r>
      <w:r w:rsidR="00563336">
        <w:rPr>
          <w:rStyle w:val="None"/>
          <w:rFonts w:ascii="Avenir Roman" w:hAnsi="Avenir Roman"/>
          <w:sz w:val="20"/>
          <w:szCs w:val="20"/>
          <w:lang w:val="en-GB"/>
        </w:rPr>
        <w:t xml:space="preserve">, </w:t>
      </w:r>
      <w:r w:rsidRPr="00456128">
        <w:rPr>
          <w:rStyle w:val="None"/>
          <w:rFonts w:ascii="Avenir Roman" w:hAnsi="Avenir Roman"/>
          <w:sz w:val="20"/>
          <w:szCs w:val="20"/>
          <w:lang w:val="en-GB"/>
        </w:rPr>
        <w:t xml:space="preserve">GIZ and the </w:t>
      </w:r>
      <w:proofErr w:type="spellStart"/>
      <w:r w:rsidRPr="00456128">
        <w:rPr>
          <w:rStyle w:val="None"/>
          <w:rFonts w:ascii="Avenir Roman" w:hAnsi="Avenir Roman"/>
          <w:sz w:val="20"/>
          <w:szCs w:val="20"/>
          <w:lang w:val="en-GB"/>
        </w:rPr>
        <w:t>Agence</w:t>
      </w:r>
      <w:proofErr w:type="spellEnd"/>
      <w:r w:rsidRPr="00456128">
        <w:rPr>
          <w:rStyle w:val="None"/>
          <w:rFonts w:ascii="Avenir Roman" w:hAnsi="Avenir Roman"/>
          <w:sz w:val="20"/>
          <w:szCs w:val="20"/>
          <w:lang w:val="en-GB"/>
        </w:rPr>
        <w:t xml:space="preserve"> </w:t>
      </w:r>
      <w:proofErr w:type="spellStart"/>
      <w:r w:rsidRPr="00456128">
        <w:rPr>
          <w:rStyle w:val="None"/>
          <w:rFonts w:ascii="Avenir Roman" w:hAnsi="Avenir Roman"/>
          <w:sz w:val="20"/>
          <w:szCs w:val="20"/>
          <w:lang w:val="en-GB"/>
        </w:rPr>
        <w:t>Française</w:t>
      </w:r>
      <w:proofErr w:type="spellEnd"/>
      <w:r w:rsidRPr="00456128">
        <w:rPr>
          <w:rStyle w:val="None"/>
          <w:rFonts w:ascii="Avenir Roman" w:hAnsi="Avenir Roman"/>
          <w:sz w:val="20"/>
          <w:szCs w:val="20"/>
          <w:lang w:val="en-GB"/>
        </w:rPr>
        <w:t xml:space="preserve"> de </w:t>
      </w:r>
      <w:proofErr w:type="spellStart"/>
      <w:r w:rsidRPr="00456128">
        <w:rPr>
          <w:rStyle w:val="None"/>
          <w:rFonts w:ascii="Avenir Roman" w:hAnsi="Avenir Roman"/>
          <w:sz w:val="20"/>
          <w:szCs w:val="20"/>
          <w:lang w:val="en-GB"/>
        </w:rPr>
        <w:t>Développement</w:t>
      </w:r>
      <w:proofErr w:type="spellEnd"/>
      <w:r w:rsidRPr="00456128">
        <w:rPr>
          <w:rStyle w:val="None"/>
          <w:rFonts w:ascii="Avenir Roman" w:hAnsi="Avenir Roman"/>
          <w:sz w:val="20"/>
          <w:szCs w:val="20"/>
          <w:lang w:val="en-GB"/>
        </w:rPr>
        <w:t xml:space="preserve"> have established the </w:t>
      </w:r>
      <w:hyperlink r:id="rId42" w:history="1">
        <w:r w:rsidRPr="00456128">
          <w:rPr>
            <w:rStyle w:val="Hyperlink1"/>
            <w:sz w:val="20"/>
            <w:szCs w:val="20"/>
            <w:lang w:val="en-GB"/>
          </w:rPr>
          <w:t>Programme for Energy Efficiency in Buildings</w:t>
        </w:r>
      </w:hyperlink>
      <w:r w:rsidRPr="00456128">
        <w:rPr>
          <w:rStyle w:val="None"/>
          <w:rFonts w:ascii="Avenir Roman" w:hAnsi="Avenir Roman"/>
          <w:sz w:val="20"/>
          <w:szCs w:val="20"/>
          <w:lang w:val="en-GB"/>
        </w:rPr>
        <w:t xml:space="preserve"> (PEEB) which “mobilises innovative financing solutions for large building projects, such as hospitals or schools, but also large national green building programmes”. Similarly, regional and international development banks are financing green building initiatives – the IFC for example is implementing its EDGE certification programme for green buildings in multiple countries. And the OECD recently </w:t>
      </w:r>
      <w:hyperlink r:id="rId43" w:history="1">
        <w:r w:rsidRPr="00456128">
          <w:rPr>
            <w:rStyle w:val="Hyperlink1"/>
            <w:sz w:val="20"/>
            <w:szCs w:val="20"/>
            <w:lang w:val="en-GB"/>
          </w:rPr>
          <w:t>conducted a detailed global survey</w:t>
        </w:r>
      </w:hyperlink>
      <w:r w:rsidRPr="00456128">
        <w:rPr>
          <w:rStyle w:val="None"/>
          <w:rFonts w:ascii="Avenir Roman" w:hAnsi="Avenir Roman"/>
          <w:sz w:val="20"/>
          <w:szCs w:val="20"/>
          <w:lang w:val="en-GB"/>
        </w:rPr>
        <w:t xml:space="preserve"> on </w:t>
      </w:r>
      <w:r w:rsidRPr="00456128">
        <w:rPr>
          <w:rStyle w:val="None"/>
          <w:rFonts w:ascii="Avenir Roman" w:hAnsi="Avenir Roman"/>
          <w:sz w:val="20"/>
          <w:szCs w:val="20"/>
          <w:lang w:val="en-GB"/>
        </w:rPr>
        <w:lastRenderedPageBreak/>
        <w:t xml:space="preserve">decarbonising buildings in cities and regions, which honed in not only on carbon emission reduction but also on “co-benefits in health, energy affordability and the labour market”. In all of these policy arenas, ensuring that there is joined-up thinking and action between organisations’ commitments and programmes on climate change and on human rights – including the right to adequate housing – is fundamentally important. IHRB is advocating for the effective incorporation of human rights as the built environment decarbonises with the </w:t>
      </w:r>
      <w:hyperlink r:id="rId44" w:history="1">
        <w:r w:rsidRPr="00456128">
          <w:rPr>
            <w:rStyle w:val="Hyperlink0"/>
            <w:sz w:val="20"/>
            <w:szCs w:val="20"/>
            <w:lang w:val="en-GB"/>
          </w:rPr>
          <w:t>Framework for Dignity in the Built Environment</w:t>
        </w:r>
      </w:hyperlink>
      <w:r w:rsidRPr="00456128">
        <w:rPr>
          <w:rStyle w:val="None"/>
          <w:rFonts w:ascii="Avenir Roman" w:hAnsi="Avenir Roman"/>
          <w:sz w:val="20"/>
          <w:szCs w:val="20"/>
          <w:lang w:val="en-GB"/>
        </w:rPr>
        <w:t xml:space="preserve"> as a practical touch-point aligned with international human rights standards. We welcome opportunities to scale up this agenda in partnership with others and would be happy to discuss further practical collaboration in this regard with the Special Rapporteur and his team. </w:t>
      </w:r>
    </w:p>
    <w:p w14:paraId="2FDE9992" w14:textId="77777777" w:rsidR="00076069" w:rsidRPr="00456128" w:rsidRDefault="00076069" w:rsidP="007A0AA2">
      <w:pPr>
        <w:pStyle w:val="ListParagraph"/>
        <w:ind w:left="0"/>
        <w:rPr>
          <w:rStyle w:val="None"/>
          <w:rFonts w:ascii="Avenir Roman" w:eastAsia="Avenir Roman" w:hAnsi="Avenir Roman" w:cs="Avenir Roman"/>
          <w:sz w:val="20"/>
          <w:szCs w:val="20"/>
          <w:lang w:val="en-GB"/>
        </w:rPr>
      </w:pPr>
    </w:p>
    <w:p w14:paraId="09B646AA" w14:textId="77777777" w:rsidR="00076069" w:rsidRPr="00456128" w:rsidRDefault="00AD6320" w:rsidP="007A0AA2">
      <w:pPr>
        <w:pStyle w:val="ListParagraph"/>
        <w:ind w:left="0"/>
        <w:rPr>
          <w:rStyle w:val="None"/>
          <w:rFonts w:ascii="Avenir Roman" w:eastAsia="Avenir Roman" w:hAnsi="Avenir Roman" w:cs="Avenir Roman"/>
          <w:sz w:val="20"/>
          <w:szCs w:val="20"/>
          <w:lang w:val="en-GB"/>
        </w:rPr>
      </w:pPr>
      <w:r w:rsidRPr="00456128">
        <w:rPr>
          <w:rStyle w:val="None"/>
          <w:rFonts w:ascii="Avenir Roman" w:hAnsi="Avenir Roman"/>
          <w:sz w:val="20"/>
          <w:szCs w:val="20"/>
          <w:lang w:val="en-GB"/>
        </w:rPr>
        <w:t>International cooperation and financing interventions also need to engage proactively to address current structures that stand in the way of advancing a just transition, including excessive debt burdens, loopholes in national and local laws that weaken protection for tenants, restriction of civic space, and corporate lobbying practices that slow progress both on climate and on strengthening access to adequate housing. As one specific example: the same countries that have high levels of sovereign debt are also those that need massive financial support to adapt to climate threats. There are calls underway for a “</w:t>
      </w:r>
      <w:hyperlink r:id="rId45" w:history="1">
        <w:r w:rsidRPr="00456128">
          <w:rPr>
            <w:rStyle w:val="Hyperlink0"/>
            <w:sz w:val="20"/>
            <w:szCs w:val="20"/>
            <w:lang w:val="en-GB"/>
          </w:rPr>
          <w:t>Debt for Climate</w:t>
        </w:r>
      </w:hyperlink>
      <w:r w:rsidRPr="00456128">
        <w:rPr>
          <w:rStyle w:val="None"/>
          <w:rFonts w:ascii="Avenir Roman" w:hAnsi="Avenir Roman"/>
          <w:sz w:val="20"/>
          <w:szCs w:val="20"/>
          <w:lang w:val="en-GB"/>
        </w:rPr>
        <w:t xml:space="preserve">” swap that will forgive foreign debt in return for the indebted countries pursuing just transition pathways. </w:t>
      </w:r>
    </w:p>
    <w:p w14:paraId="30C1AC52" w14:textId="77777777" w:rsidR="00076069" w:rsidRPr="00456128" w:rsidRDefault="00076069" w:rsidP="00735B04">
      <w:pPr>
        <w:pStyle w:val="ListParagraph"/>
        <w:ind w:left="360"/>
        <w:rPr>
          <w:rStyle w:val="None"/>
          <w:rFonts w:ascii="Avenir Roman" w:eastAsia="Avenir Roman" w:hAnsi="Avenir Roman" w:cs="Avenir Roman"/>
          <w:sz w:val="20"/>
          <w:szCs w:val="20"/>
          <w:lang w:val="en-GB"/>
        </w:rPr>
      </w:pPr>
    </w:p>
    <w:p w14:paraId="10FC80FC" w14:textId="77777777" w:rsidR="00076069" w:rsidRPr="00456128" w:rsidRDefault="00AD6320" w:rsidP="00735B04">
      <w:pPr>
        <w:pStyle w:val="gmail-msolistparagraph"/>
        <w:spacing w:before="0" w:after="0"/>
        <w:ind w:left="720"/>
        <w:rPr>
          <w:rStyle w:val="None"/>
          <w:rFonts w:ascii="Avenir Heavy" w:eastAsia="Avenir Heavy" w:hAnsi="Avenir Heavy" w:cs="Avenir Heavy"/>
          <w:sz w:val="20"/>
          <w:szCs w:val="20"/>
          <w:lang w:val="en-GB"/>
        </w:rPr>
      </w:pPr>
      <w:r w:rsidRPr="00456128">
        <w:rPr>
          <w:rStyle w:val="None"/>
          <w:rFonts w:ascii="Avenir Heavy" w:hAnsi="Avenir Heavy"/>
          <w:sz w:val="20"/>
          <w:szCs w:val="20"/>
          <w:lang w:val="en-GB"/>
        </w:rPr>
        <w:t>18.  What are the main barriers to achieving such a just transition?</w:t>
      </w:r>
      <w:r w:rsidRPr="00456128">
        <w:rPr>
          <w:rStyle w:val="None"/>
          <w:rFonts w:ascii="Avenir Heavy" w:eastAsia="Avenir Heavy" w:hAnsi="Avenir Heavy" w:cs="Avenir Heavy"/>
          <w:sz w:val="20"/>
          <w:szCs w:val="20"/>
          <w:lang w:val="en-GB"/>
        </w:rPr>
        <w:br/>
      </w:r>
    </w:p>
    <w:p w14:paraId="41ED0A0E" w14:textId="77777777" w:rsidR="00076069" w:rsidRPr="00456128" w:rsidRDefault="00AD6320" w:rsidP="00735B04">
      <w:pPr>
        <w:pStyle w:val="gmail-msolistparagraph"/>
        <w:spacing w:before="0" w:after="0"/>
        <w:rPr>
          <w:rStyle w:val="None"/>
          <w:rFonts w:ascii="Avenir Roman" w:eastAsia="Avenir Roman" w:hAnsi="Avenir Roman" w:cs="Avenir Roman"/>
          <w:sz w:val="20"/>
          <w:szCs w:val="20"/>
          <w:lang w:val="en-GB"/>
        </w:rPr>
      </w:pPr>
      <w:r w:rsidRPr="00456128">
        <w:rPr>
          <w:rStyle w:val="None"/>
          <w:rFonts w:ascii="Avenir Roman" w:hAnsi="Avenir Roman"/>
          <w:sz w:val="20"/>
          <w:szCs w:val="20"/>
          <w:lang w:val="en-GB"/>
        </w:rPr>
        <w:t xml:space="preserve">The above sections have touched on various barriers that stand in the way of a just transition in the built environment. Among these are: </w:t>
      </w:r>
      <w:r w:rsidRPr="00456128">
        <w:rPr>
          <w:rStyle w:val="None"/>
          <w:rFonts w:ascii="Avenir Roman" w:eastAsia="Avenir Roman" w:hAnsi="Avenir Roman" w:cs="Avenir Roman"/>
          <w:sz w:val="20"/>
          <w:szCs w:val="20"/>
          <w:lang w:val="en-GB"/>
        </w:rPr>
        <w:br/>
      </w:r>
    </w:p>
    <w:p w14:paraId="3DA79201" w14:textId="3456BEE1" w:rsidR="00076069" w:rsidRPr="00456128" w:rsidRDefault="00AD6320" w:rsidP="00735B04">
      <w:pPr>
        <w:pStyle w:val="gmail-msolistparagraph"/>
        <w:numPr>
          <w:ilvl w:val="0"/>
          <w:numId w:val="8"/>
        </w:numPr>
        <w:spacing w:before="0" w:after="0"/>
        <w:rPr>
          <w:rFonts w:ascii="Avenir Roman" w:hAnsi="Avenir Roman"/>
          <w:sz w:val="20"/>
          <w:szCs w:val="20"/>
          <w:lang w:val="en-GB"/>
        </w:rPr>
      </w:pPr>
      <w:r w:rsidRPr="00456128">
        <w:rPr>
          <w:rStyle w:val="None"/>
          <w:rFonts w:ascii="Avenir Heavy" w:hAnsi="Avenir Heavy"/>
          <w:sz w:val="20"/>
          <w:szCs w:val="20"/>
          <w:lang w:val="en-GB"/>
        </w:rPr>
        <w:t>challenges with urban governance</w:t>
      </w:r>
      <w:r w:rsidRPr="00456128">
        <w:rPr>
          <w:rStyle w:val="None"/>
          <w:rFonts w:ascii="Avenir Roman" w:hAnsi="Avenir Roman"/>
          <w:sz w:val="20"/>
          <w:szCs w:val="20"/>
          <w:lang w:val="en-GB"/>
        </w:rPr>
        <w:t>, including corruption and inadequate social safeguards;</w:t>
      </w:r>
      <w:r w:rsidR="001D6258">
        <w:rPr>
          <w:rStyle w:val="None"/>
          <w:rFonts w:ascii="Avenir Roman" w:hAnsi="Avenir Roman"/>
          <w:sz w:val="20"/>
          <w:szCs w:val="20"/>
          <w:lang w:val="en-GB"/>
        </w:rPr>
        <w:br/>
      </w:r>
    </w:p>
    <w:p w14:paraId="6098FED0" w14:textId="7EE58404" w:rsidR="00076069" w:rsidRPr="00456128" w:rsidRDefault="00AD6320" w:rsidP="00735B04">
      <w:pPr>
        <w:pStyle w:val="gmail-msolistparagraph"/>
        <w:numPr>
          <w:ilvl w:val="0"/>
          <w:numId w:val="8"/>
        </w:numPr>
        <w:spacing w:before="0" w:after="0"/>
        <w:rPr>
          <w:rFonts w:ascii="Avenir Roman" w:hAnsi="Avenir Roman"/>
          <w:sz w:val="20"/>
          <w:szCs w:val="20"/>
          <w:lang w:val="en-GB"/>
        </w:rPr>
      </w:pPr>
      <w:r w:rsidRPr="00456128">
        <w:rPr>
          <w:rStyle w:val="None"/>
          <w:rFonts w:ascii="Avenir Heavy" w:hAnsi="Avenir Heavy"/>
          <w:sz w:val="20"/>
          <w:szCs w:val="20"/>
          <w:lang w:val="en-GB"/>
        </w:rPr>
        <w:t>limited avenues for meaningful participation;</w:t>
      </w:r>
      <w:r w:rsidR="001D6258">
        <w:rPr>
          <w:rStyle w:val="None"/>
          <w:rFonts w:ascii="Avenir Heavy" w:hAnsi="Avenir Heavy"/>
          <w:sz w:val="20"/>
          <w:szCs w:val="20"/>
          <w:lang w:val="en-GB"/>
        </w:rPr>
        <w:br/>
      </w:r>
    </w:p>
    <w:p w14:paraId="68745238" w14:textId="46069C31" w:rsidR="00076069" w:rsidRPr="00456128" w:rsidRDefault="00AD6320" w:rsidP="00735B04">
      <w:pPr>
        <w:pStyle w:val="gmail-msolistparagraph"/>
        <w:numPr>
          <w:ilvl w:val="0"/>
          <w:numId w:val="8"/>
        </w:numPr>
        <w:spacing w:before="0" w:after="0"/>
        <w:rPr>
          <w:rFonts w:ascii="Avenir Roman" w:hAnsi="Avenir Roman"/>
          <w:sz w:val="20"/>
          <w:szCs w:val="20"/>
          <w:lang w:val="en-GB"/>
        </w:rPr>
      </w:pPr>
      <w:r w:rsidRPr="00456128">
        <w:rPr>
          <w:rStyle w:val="None"/>
          <w:rFonts w:ascii="Avenir Heavy" w:hAnsi="Avenir Heavy"/>
          <w:sz w:val="20"/>
          <w:szCs w:val="20"/>
          <w:lang w:val="en-GB"/>
        </w:rPr>
        <w:t>bureaucracy</w:t>
      </w:r>
      <w:r w:rsidRPr="00456128">
        <w:rPr>
          <w:rStyle w:val="None"/>
          <w:rFonts w:ascii="Avenir Roman" w:hAnsi="Avenir Roman"/>
          <w:sz w:val="20"/>
          <w:szCs w:val="20"/>
          <w:lang w:val="en-GB"/>
        </w:rPr>
        <w:t xml:space="preserve">, which can stifle local innovation and the growth of small businesses working at the intersection of climate action and access to adequate housing; </w:t>
      </w:r>
      <w:r w:rsidR="001D6258">
        <w:rPr>
          <w:rStyle w:val="None"/>
          <w:rFonts w:ascii="Avenir Roman" w:hAnsi="Avenir Roman"/>
          <w:sz w:val="20"/>
          <w:szCs w:val="20"/>
          <w:lang w:val="en-GB"/>
        </w:rPr>
        <w:br/>
      </w:r>
    </w:p>
    <w:p w14:paraId="51831452" w14:textId="06A2DEB1" w:rsidR="00076069" w:rsidRPr="00456128" w:rsidRDefault="00AD6320" w:rsidP="00735B04">
      <w:pPr>
        <w:pStyle w:val="gmail-msolistparagraph"/>
        <w:numPr>
          <w:ilvl w:val="0"/>
          <w:numId w:val="8"/>
        </w:numPr>
        <w:spacing w:before="0" w:after="0"/>
        <w:rPr>
          <w:rFonts w:ascii="Avenir Roman" w:hAnsi="Avenir Roman"/>
          <w:sz w:val="20"/>
          <w:szCs w:val="20"/>
          <w:lang w:val="en-GB"/>
        </w:rPr>
      </w:pPr>
      <w:r w:rsidRPr="00456128">
        <w:rPr>
          <w:rStyle w:val="None"/>
          <w:rFonts w:ascii="Avenir Heavy" w:hAnsi="Avenir Heavy"/>
          <w:sz w:val="20"/>
          <w:szCs w:val="20"/>
          <w:lang w:val="en-GB"/>
        </w:rPr>
        <w:t>the disconnect between abundant funding, technology and resources</w:t>
      </w:r>
      <w:r w:rsidRPr="00456128">
        <w:rPr>
          <w:rStyle w:val="None"/>
          <w:rFonts w:ascii="Avenir Roman" w:hAnsi="Avenir Roman"/>
          <w:sz w:val="20"/>
          <w:szCs w:val="20"/>
          <w:lang w:val="en-GB"/>
        </w:rPr>
        <w:t xml:space="preserve"> available globally, and the regions, countries, neighbourhoods and communities where they are most needed;</w:t>
      </w:r>
      <w:r w:rsidR="001D6258">
        <w:rPr>
          <w:rStyle w:val="None"/>
          <w:rFonts w:ascii="Avenir Roman" w:hAnsi="Avenir Roman"/>
          <w:sz w:val="20"/>
          <w:szCs w:val="20"/>
          <w:lang w:val="en-GB"/>
        </w:rPr>
        <w:br/>
      </w:r>
    </w:p>
    <w:p w14:paraId="2CAF6FCC" w14:textId="3145EC71" w:rsidR="00076069" w:rsidRPr="00456128" w:rsidRDefault="00AD6320" w:rsidP="00735B04">
      <w:pPr>
        <w:pStyle w:val="gmail-msolistparagraph"/>
        <w:numPr>
          <w:ilvl w:val="0"/>
          <w:numId w:val="8"/>
        </w:numPr>
        <w:spacing w:before="0" w:after="0"/>
        <w:rPr>
          <w:rFonts w:ascii="Avenir Roman" w:hAnsi="Avenir Roman"/>
          <w:sz w:val="20"/>
          <w:szCs w:val="20"/>
          <w:lang w:val="en-GB"/>
        </w:rPr>
      </w:pPr>
      <w:r w:rsidRPr="00456128">
        <w:rPr>
          <w:rStyle w:val="None"/>
          <w:rFonts w:ascii="Avenir Heavy" w:hAnsi="Avenir Heavy"/>
          <w:sz w:val="20"/>
          <w:szCs w:val="20"/>
          <w:lang w:val="en-GB"/>
        </w:rPr>
        <w:t>over-financialised real estate</w:t>
      </w:r>
      <w:r w:rsidRPr="00456128">
        <w:rPr>
          <w:rStyle w:val="None"/>
          <w:rFonts w:ascii="Avenir Roman" w:hAnsi="Avenir Roman"/>
          <w:sz w:val="20"/>
          <w:szCs w:val="20"/>
          <w:lang w:val="en-GB"/>
        </w:rPr>
        <w:t xml:space="preserve">, which drives up housing prices and deepens inequality, while also fuelling building booms that take a heavy toll on the environment and climate change (see The Shift’s recent </w:t>
      </w:r>
      <w:hyperlink r:id="rId46" w:history="1">
        <w:r w:rsidRPr="00456128">
          <w:rPr>
            <w:rStyle w:val="Hyperlink10"/>
            <w:rFonts w:ascii="Avenir Roman" w:hAnsi="Avenir Roman"/>
            <w:sz w:val="20"/>
            <w:szCs w:val="20"/>
            <w:lang w:val="en-GB"/>
          </w:rPr>
          <w:t>global map of examples of over-</w:t>
        </w:r>
        <w:proofErr w:type="spellStart"/>
        <w:r w:rsidRPr="00456128">
          <w:rPr>
            <w:rStyle w:val="Hyperlink10"/>
            <w:rFonts w:ascii="Avenir Roman" w:hAnsi="Avenir Roman"/>
            <w:sz w:val="20"/>
            <w:szCs w:val="20"/>
            <w:lang w:val="en-GB"/>
          </w:rPr>
          <w:t>financialisation</w:t>
        </w:r>
        <w:proofErr w:type="spellEnd"/>
        <w:r w:rsidRPr="00456128">
          <w:rPr>
            <w:rStyle w:val="Hyperlink10"/>
            <w:rFonts w:ascii="Avenir Roman" w:hAnsi="Avenir Roman"/>
            <w:sz w:val="20"/>
            <w:szCs w:val="20"/>
            <w:lang w:val="en-GB"/>
          </w:rPr>
          <w:t xml:space="preserve"> and solutions</w:t>
        </w:r>
      </w:hyperlink>
      <w:r w:rsidRPr="00456128">
        <w:rPr>
          <w:rStyle w:val="None"/>
          <w:rFonts w:ascii="Avenir Roman" w:hAnsi="Avenir Roman"/>
          <w:sz w:val="20"/>
          <w:szCs w:val="20"/>
          <w:lang w:val="en-GB"/>
        </w:rPr>
        <w:t xml:space="preserve"> to it);</w:t>
      </w:r>
      <w:r w:rsidR="001D6258">
        <w:rPr>
          <w:rStyle w:val="None"/>
          <w:rFonts w:ascii="Avenir Roman" w:hAnsi="Avenir Roman"/>
          <w:sz w:val="20"/>
          <w:szCs w:val="20"/>
          <w:lang w:val="en-GB"/>
        </w:rPr>
        <w:br/>
      </w:r>
    </w:p>
    <w:p w14:paraId="6160AF10" w14:textId="31682F4E" w:rsidR="00076069" w:rsidRPr="00456128" w:rsidRDefault="00AD6320" w:rsidP="00735B04">
      <w:pPr>
        <w:pStyle w:val="gmail-msolistparagraph"/>
        <w:numPr>
          <w:ilvl w:val="0"/>
          <w:numId w:val="8"/>
        </w:numPr>
        <w:spacing w:before="0" w:after="0"/>
        <w:rPr>
          <w:rFonts w:ascii="Avenir Roman" w:hAnsi="Avenir Roman"/>
          <w:sz w:val="20"/>
          <w:szCs w:val="20"/>
          <w:lang w:val="en-GB"/>
        </w:rPr>
      </w:pPr>
      <w:r w:rsidRPr="00456128">
        <w:rPr>
          <w:rStyle w:val="None"/>
          <w:rFonts w:ascii="Avenir Roman" w:hAnsi="Avenir Roman"/>
          <w:sz w:val="20"/>
          <w:szCs w:val="20"/>
          <w:lang w:val="en-GB"/>
        </w:rPr>
        <w:t xml:space="preserve">and </w:t>
      </w:r>
      <w:r w:rsidRPr="00456128">
        <w:rPr>
          <w:rStyle w:val="None"/>
          <w:rFonts w:ascii="Avenir Heavy" w:hAnsi="Avenir Heavy"/>
          <w:sz w:val="20"/>
          <w:szCs w:val="20"/>
          <w:lang w:val="en-GB"/>
        </w:rPr>
        <w:t>silos between organisations</w:t>
      </w:r>
      <w:r w:rsidRPr="00456128">
        <w:rPr>
          <w:rStyle w:val="None"/>
          <w:rFonts w:ascii="Avenir Roman" w:hAnsi="Avenir Roman"/>
          <w:sz w:val="20"/>
          <w:szCs w:val="20"/>
          <w:lang w:val="en-GB"/>
        </w:rPr>
        <w:t xml:space="preserve"> focused on climate action and on housing (at the policy level, </w:t>
      </w:r>
      <w:bookmarkStart w:id="1" w:name="_GoBack"/>
      <w:bookmarkEnd w:id="1"/>
      <w:r w:rsidRPr="00456128">
        <w:rPr>
          <w:rStyle w:val="None"/>
          <w:rFonts w:ascii="Avenir Roman" w:hAnsi="Avenir Roman"/>
          <w:sz w:val="20"/>
          <w:szCs w:val="20"/>
          <w:lang w:val="en-GB"/>
        </w:rPr>
        <w:t>and at the grassroots).</w:t>
      </w:r>
    </w:p>
    <w:p w14:paraId="5528DD5E" w14:textId="77777777" w:rsidR="00076069" w:rsidRPr="00456128" w:rsidRDefault="00076069">
      <w:pPr>
        <w:pStyle w:val="Body"/>
        <w:rPr>
          <w:sz w:val="20"/>
          <w:szCs w:val="20"/>
        </w:rPr>
      </w:pPr>
    </w:p>
    <w:sectPr w:rsidR="00076069" w:rsidRPr="00456128" w:rsidSect="00456128">
      <w:footerReference w:type="even" r:id="rId47"/>
      <w:footerReference w:type="default" r:id="rId48"/>
      <w:headerReference w:type="first" r:id="rId49"/>
      <w:pgSz w:w="11900" w:h="16840"/>
      <w:pgMar w:top="1440" w:right="1370" w:bottom="1440" w:left="126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D93D0" w14:textId="77777777" w:rsidR="000B7CAA" w:rsidRDefault="000B7CAA">
      <w:r>
        <w:separator/>
      </w:r>
    </w:p>
  </w:endnote>
  <w:endnote w:type="continuationSeparator" w:id="0">
    <w:p w14:paraId="15F60C35" w14:textId="77777777" w:rsidR="000B7CAA" w:rsidRDefault="000B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venir Roman">
    <w:panose1 w:val="020B0503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Avenir Book Oblique">
    <w:panose1 w:val="02000503020000020003"/>
    <w:charset w:val="00"/>
    <w:family w:val="auto"/>
    <w:pitch w:val="variable"/>
    <w:sig w:usb0="800000AF" w:usb1="5000204A" w:usb2="00000000" w:usb3="00000000" w:csb0="0000009B" w:csb1="00000000"/>
  </w:font>
  <w:font w:name="Gotham Light">
    <w:altName w:val="Copperplate Light"/>
    <w:panose1 w:val="020B0604020202020204"/>
    <w:charset w:val="00"/>
    <w:family w:val="auto"/>
    <w:pitch w:val="variable"/>
    <w:sig w:usb0="8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4177952"/>
      <w:docPartObj>
        <w:docPartGallery w:val="Page Numbers (Bottom of Page)"/>
        <w:docPartUnique/>
      </w:docPartObj>
    </w:sdtPr>
    <w:sdtEndPr>
      <w:rPr>
        <w:rStyle w:val="PageNumber"/>
      </w:rPr>
    </w:sdtEndPr>
    <w:sdtContent>
      <w:p w14:paraId="5D2EA98A" w14:textId="245BD7EC" w:rsidR="00954A26" w:rsidRDefault="00954A26" w:rsidP="005413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F62678" w14:textId="77777777" w:rsidR="00954A26" w:rsidRDefault="00954A26" w:rsidP="00954A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4815694"/>
      <w:docPartObj>
        <w:docPartGallery w:val="Page Numbers (Bottom of Page)"/>
        <w:docPartUnique/>
      </w:docPartObj>
    </w:sdtPr>
    <w:sdtEndPr>
      <w:rPr>
        <w:rStyle w:val="PageNumber"/>
      </w:rPr>
    </w:sdtEndPr>
    <w:sdtContent>
      <w:p w14:paraId="3FCF83FA" w14:textId="608A9F88" w:rsidR="00954A26" w:rsidRDefault="00954A26" w:rsidP="005413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8ABF09" w14:textId="77777777" w:rsidR="00954A26" w:rsidRDefault="00954A26" w:rsidP="00954A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88D54" w14:textId="77777777" w:rsidR="000B7CAA" w:rsidRDefault="000B7CAA">
      <w:r>
        <w:separator/>
      </w:r>
    </w:p>
  </w:footnote>
  <w:footnote w:type="continuationSeparator" w:id="0">
    <w:p w14:paraId="65AF0E9B" w14:textId="77777777" w:rsidR="000B7CAA" w:rsidRDefault="000B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02DF" w14:textId="02340C8F" w:rsidR="00AF07F3" w:rsidRPr="00E63F5B" w:rsidRDefault="00456128" w:rsidP="00AF07F3">
    <w:pPr>
      <w:spacing w:line="480" w:lineRule="auto"/>
      <w:ind w:right="-880"/>
      <w:jc w:val="right"/>
      <w:rPr>
        <w:rFonts w:ascii="Gotham Light" w:hAnsi="Gotham Light"/>
        <w:color w:val="CD1719"/>
        <w:sz w:val="21"/>
        <w:szCs w:val="21"/>
      </w:rPr>
    </w:pPr>
    <w:r w:rsidRPr="00E63F5B">
      <w:rPr>
        <w:noProof/>
        <w:sz w:val="21"/>
        <w:szCs w:val="21"/>
      </w:rPr>
      <w:drawing>
        <wp:anchor distT="0" distB="0" distL="114300" distR="114300" simplePos="0" relativeHeight="251659264" behindDoc="1" locked="0" layoutInCell="1" allowOverlap="1" wp14:anchorId="7DDC7411" wp14:editId="2FE49B83">
          <wp:simplePos x="0" y="0"/>
          <wp:positionH relativeFrom="column">
            <wp:posOffset>-381000</wp:posOffset>
          </wp:positionH>
          <wp:positionV relativeFrom="paragraph">
            <wp:posOffset>-247650</wp:posOffset>
          </wp:positionV>
          <wp:extent cx="2016125" cy="1196975"/>
          <wp:effectExtent l="0" t="0" r="3175" b="0"/>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RB_Master_Cmyk_BL_Logo small (print).jpg"/>
                  <pic:cNvPicPr/>
                </pic:nvPicPr>
                <pic:blipFill>
                  <a:blip r:embed="rId1">
                    <a:extLst>
                      <a:ext uri="{28A0092B-C50C-407E-A947-70E740481C1C}">
                        <a14:useLocalDpi xmlns:a14="http://schemas.microsoft.com/office/drawing/2010/main" val="0"/>
                      </a:ext>
                    </a:extLst>
                  </a:blip>
                  <a:stretch>
                    <a:fillRect/>
                  </a:stretch>
                </pic:blipFill>
                <pic:spPr>
                  <a:xfrm>
                    <a:off x="0" y="0"/>
                    <a:ext cx="2016125" cy="1196975"/>
                  </a:xfrm>
                  <a:prstGeom prst="rect">
                    <a:avLst/>
                  </a:prstGeom>
                </pic:spPr>
              </pic:pic>
            </a:graphicData>
          </a:graphic>
          <wp14:sizeRelH relativeFrom="page">
            <wp14:pctWidth>0</wp14:pctWidth>
          </wp14:sizeRelH>
          <wp14:sizeRelV relativeFrom="page">
            <wp14:pctHeight>0</wp14:pctHeight>
          </wp14:sizeRelV>
        </wp:anchor>
      </w:drawing>
    </w:r>
    <w:r w:rsidR="00AF07F3" w:rsidRPr="00E63F5B">
      <w:rPr>
        <w:rFonts w:ascii="Gotham Light" w:hAnsi="Gotham Light"/>
        <w:color w:val="CD1719"/>
        <w:sz w:val="13"/>
        <w:szCs w:val="13"/>
      </w:rPr>
      <w:br/>
    </w:r>
    <w:r w:rsidR="00AF07F3" w:rsidRPr="00E63F5B">
      <w:rPr>
        <w:rFonts w:ascii="Gotham Light" w:hAnsi="Gotham Light"/>
        <w:color w:val="CD1719"/>
        <w:sz w:val="21"/>
        <w:szCs w:val="21"/>
      </w:rPr>
      <w:t>Shaping Policy</w:t>
    </w:r>
  </w:p>
  <w:p w14:paraId="1FC7DF4F" w14:textId="77777777" w:rsidR="00AF07F3" w:rsidRPr="00E63F5B" w:rsidRDefault="00AF07F3" w:rsidP="00AF07F3">
    <w:pPr>
      <w:spacing w:line="480" w:lineRule="auto"/>
      <w:ind w:right="-880"/>
      <w:jc w:val="right"/>
      <w:rPr>
        <w:rFonts w:ascii="Gotham Light" w:hAnsi="Gotham Light"/>
        <w:color w:val="CD1719"/>
        <w:sz w:val="21"/>
        <w:szCs w:val="21"/>
      </w:rPr>
    </w:pPr>
    <w:r w:rsidRPr="00E63F5B">
      <w:rPr>
        <w:rFonts w:ascii="Gotham Light" w:hAnsi="Gotham Light"/>
        <w:color w:val="CD1719"/>
        <w:sz w:val="21"/>
        <w:szCs w:val="21"/>
      </w:rPr>
      <w:t>Advancing Practice</w:t>
    </w:r>
  </w:p>
  <w:p w14:paraId="32AB68E6" w14:textId="25A4EE52" w:rsidR="00076069" w:rsidRPr="001D6258" w:rsidRDefault="00AF07F3" w:rsidP="001D6258">
    <w:pPr>
      <w:spacing w:line="480" w:lineRule="auto"/>
      <w:ind w:right="-880"/>
      <w:jc w:val="right"/>
      <w:rPr>
        <w:rFonts w:ascii="Gotham Light" w:hAnsi="Gotham Light"/>
        <w:color w:val="CD1719"/>
        <w:sz w:val="21"/>
        <w:szCs w:val="21"/>
      </w:rPr>
    </w:pPr>
    <w:r w:rsidRPr="00E63F5B">
      <w:rPr>
        <w:rFonts w:ascii="Gotham Light" w:hAnsi="Gotham Light"/>
        <w:color w:val="CD1719"/>
        <w:sz w:val="21"/>
        <w:szCs w:val="21"/>
      </w:rPr>
      <w:t>Strengthening Accountability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134"/>
    <w:multiLevelType w:val="hybridMultilevel"/>
    <w:tmpl w:val="60342284"/>
    <w:styleLink w:val="ImportedStyle2"/>
    <w:lvl w:ilvl="0" w:tplc="A4863C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5E8F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AE0A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B200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D80A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F4A7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C409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5C7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D63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6B0470B"/>
    <w:multiLevelType w:val="hybridMultilevel"/>
    <w:tmpl w:val="C890C80A"/>
    <w:numStyleLink w:val="ImportedStyle4"/>
  </w:abstractNum>
  <w:abstractNum w:abstractNumId="2" w15:restartNumberingAfterBreak="0">
    <w:nsid w:val="38276F72"/>
    <w:multiLevelType w:val="hybridMultilevel"/>
    <w:tmpl w:val="7AEADF86"/>
    <w:styleLink w:val="ImportedStyle1"/>
    <w:lvl w:ilvl="0" w:tplc="A6349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C49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64CB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5E64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E4B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6AFE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91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E863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4E3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3C6C8D"/>
    <w:multiLevelType w:val="hybridMultilevel"/>
    <w:tmpl w:val="55506176"/>
    <w:styleLink w:val="ImportedStyle3"/>
    <w:lvl w:ilvl="0" w:tplc="774623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D6162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E88CD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BE40F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609042">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92D39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120078">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08937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E075C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387255"/>
    <w:multiLevelType w:val="hybridMultilevel"/>
    <w:tmpl w:val="C890C80A"/>
    <w:styleLink w:val="ImportedStyle4"/>
    <w:lvl w:ilvl="0" w:tplc="AD10CE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5E7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6AFD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224E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C63F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3A53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D681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A8F1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285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FA41164"/>
    <w:multiLevelType w:val="hybridMultilevel"/>
    <w:tmpl w:val="55506176"/>
    <w:numStyleLink w:val="ImportedStyle3"/>
  </w:abstractNum>
  <w:abstractNum w:abstractNumId="6" w15:restartNumberingAfterBreak="0">
    <w:nsid w:val="5A954D9A"/>
    <w:multiLevelType w:val="hybridMultilevel"/>
    <w:tmpl w:val="9454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66269"/>
    <w:multiLevelType w:val="hybridMultilevel"/>
    <w:tmpl w:val="7AEADF86"/>
    <w:numStyleLink w:val="ImportedStyle1"/>
  </w:abstractNum>
  <w:abstractNum w:abstractNumId="8" w15:restartNumberingAfterBreak="0">
    <w:nsid w:val="6B8D4F93"/>
    <w:multiLevelType w:val="hybridMultilevel"/>
    <w:tmpl w:val="60342284"/>
    <w:numStyleLink w:val="ImportedStyle2"/>
  </w:abstractNum>
  <w:num w:numId="1">
    <w:abstractNumId w:val="2"/>
  </w:num>
  <w:num w:numId="2">
    <w:abstractNumId w:val="7"/>
  </w:num>
  <w:num w:numId="3">
    <w:abstractNumId w:val="0"/>
  </w:num>
  <w:num w:numId="4">
    <w:abstractNumId w:val="8"/>
  </w:num>
  <w:num w:numId="5">
    <w:abstractNumId w:val="3"/>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69"/>
    <w:rsid w:val="00062D0F"/>
    <w:rsid w:val="00076069"/>
    <w:rsid w:val="000B7CAA"/>
    <w:rsid w:val="001D6258"/>
    <w:rsid w:val="002913FD"/>
    <w:rsid w:val="00376217"/>
    <w:rsid w:val="003F7B96"/>
    <w:rsid w:val="00456128"/>
    <w:rsid w:val="00462D8F"/>
    <w:rsid w:val="00563336"/>
    <w:rsid w:val="00735B04"/>
    <w:rsid w:val="007A0AA2"/>
    <w:rsid w:val="008C26CB"/>
    <w:rsid w:val="00922847"/>
    <w:rsid w:val="00946E4E"/>
    <w:rsid w:val="00954A26"/>
    <w:rsid w:val="00AD6320"/>
    <w:rsid w:val="00AF07F3"/>
    <w:rsid w:val="00E84B19"/>
    <w:rsid w:val="00F36807"/>
    <w:rsid w:val="00FB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A838F"/>
  <w15:docId w15:val="{659E3007-8A29-5041-8396-E7D30925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venir Roman" w:eastAsia="Avenir Roman" w:hAnsi="Avenir Roman" w:cs="Avenir Roman"/>
      <w:outline w:val="0"/>
      <w:color w:val="0563C1"/>
      <w:sz w:val="22"/>
      <w:szCs w:val="22"/>
      <w:u w:val="single" w:color="0563C1"/>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gmail-msolistparagraph">
    <w:name w:val="gmail-msolistparagraph"/>
    <w:pPr>
      <w:spacing w:before="100" w:after="100"/>
    </w:pPr>
    <w:rPr>
      <w:rFonts w:eastAsia="Times New Roman"/>
      <w:color w:val="000000"/>
      <w:sz w:val="24"/>
      <w:szCs w:val="24"/>
      <w:u w:color="000000"/>
    </w:rPr>
  </w:style>
  <w:style w:type="character" w:customStyle="1" w:styleId="Hyperlink1">
    <w:name w:val="Hyperlink.1"/>
    <w:basedOn w:val="Link"/>
    <w:rPr>
      <w:rFonts w:ascii="Avenir Roman" w:eastAsia="Avenir Roman" w:hAnsi="Avenir Roman" w:cs="Avenir Roman"/>
      <w:outline w:val="0"/>
      <w:color w:val="000000"/>
      <w:sz w:val="22"/>
      <w:szCs w:val="22"/>
      <w:u w:val="single" w:color="000000"/>
      <w:lang w:val="en-US"/>
    </w:rPr>
  </w:style>
  <w:style w:type="paragraph" w:styleId="NormalWeb">
    <w:name w:val="Normal (Web)"/>
    <w:pPr>
      <w:spacing w:before="100" w:after="100"/>
    </w:pPr>
    <w:rPr>
      <w:rFonts w:cs="Arial Unicode MS"/>
      <w:color w:val="000000"/>
      <w:sz w:val="24"/>
      <w:szCs w:val="24"/>
      <w:u w:color="000000"/>
    </w:rPr>
  </w:style>
  <w:style w:type="character" w:customStyle="1" w:styleId="Hyperlink2">
    <w:name w:val="Hyperlink.2"/>
    <w:basedOn w:val="Link"/>
    <w:rPr>
      <w:rFonts w:ascii="Avenir Roman" w:eastAsia="Avenir Roman" w:hAnsi="Avenir Roman" w:cs="Avenir Roman"/>
      <w:outline w:val="0"/>
      <w:color w:val="0563C1"/>
      <w:sz w:val="22"/>
      <w:szCs w:val="22"/>
      <w:u w:val="single" w:color="0563C1"/>
    </w:rPr>
  </w:style>
  <w:style w:type="character" w:customStyle="1" w:styleId="Hyperlink3">
    <w:name w:val="Hyperlink.3"/>
    <w:basedOn w:val="Link"/>
    <w:rPr>
      <w:rFonts w:ascii="Avenir Roman" w:eastAsia="Avenir Roman" w:hAnsi="Avenir Roman" w:cs="Avenir Roman"/>
      <w:outline w:val="0"/>
      <w:color w:val="000000"/>
      <w:sz w:val="22"/>
      <w:szCs w:val="22"/>
      <w:u w:val="single"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Hyperlink4">
    <w:name w:val="Hyperlink.4"/>
    <w:basedOn w:val="Link"/>
    <w:rPr>
      <w:outline w:val="0"/>
      <w:color w:val="000000"/>
      <w:u w:val="single" w:color="000000"/>
      <w:lang w:val="en-US"/>
    </w:rPr>
  </w:style>
  <w:style w:type="character" w:customStyle="1" w:styleId="Hyperlink5">
    <w:name w:val="Hyperlink.5"/>
    <w:basedOn w:val="Link"/>
    <w:rPr>
      <w:outline w:val="0"/>
      <w:color w:val="000000"/>
      <w:u w:val="single" w:color="000000"/>
      <w:lang w:val="en-US"/>
    </w:rPr>
  </w:style>
  <w:style w:type="character" w:customStyle="1" w:styleId="None">
    <w:name w:val="None"/>
  </w:style>
  <w:style w:type="character" w:customStyle="1" w:styleId="Hyperlink6">
    <w:name w:val="Hyperlink.6"/>
    <w:basedOn w:val="None"/>
    <w:rPr>
      <w:outline w:val="0"/>
      <w:color w:val="000000"/>
      <w:u w:color="000000"/>
      <w:lang w:val="en-US"/>
    </w:rPr>
  </w:style>
  <w:style w:type="character" w:customStyle="1" w:styleId="Hyperlink7">
    <w:name w:val="Hyperlink.7"/>
    <w:basedOn w:val="Link"/>
    <w:rPr>
      <w:outline w:val="0"/>
      <w:color w:val="000000"/>
      <w:u w:val="single" w:color="000000"/>
    </w:rPr>
  </w:style>
  <w:style w:type="numbering" w:customStyle="1" w:styleId="ImportedStyle2">
    <w:name w:val="Imported Style 2"/>
    <w:pPr>
      <w:numPr>
        <w:numId w:val="3"/>
      </w:numPr>
    </w:pPr>
  </w:style>
  <w:style w:type="character" w:customStyle="1" w:styleId="Hyperlink8">
    <w:name w:val="Hyperlink.8"/>
    <w:basedOn w:val="None"/>
    <w:rPr>
      <w:rFonts w:ascii="Avenir Roman" w:eastAsia="Avenir Roman" w:hAnsi="Avenir Roman" w:cs="Avenir Roman"/>
      <w:outline w:val="0"/>
      <w:color w:val="000000"/>
      <w:sz w:val="22"/>
      <w:szCs w:val="22"/>
      <w:u w:val="single" w:color="000000"/>
      <w:lang w:val="en-US"/>
    </w:rPr>
  </w:style>
  <w:style w:type="paragraph" w:customStyle="1" w:styleId="Heading">
    <w:name w:val="Heading"/>
    <w:pPr>
      <w:spacing w:before="100" w:after="100"/>
      <w:outlineLvl w:val="0"/>
    </w:pPr>
    <w:rPr>
      <w:rFonts w:cs="Arial Unicode MS"/>
      <w:b/>
      <w:bCs/>
      <w:color w:val="000000"/>
      <w:kern w:val="36"/>
      <w:sz w:val="48"/>
      <w:szCs w:val="48"/>
      <w:u w:color="000000"/>
      <w14:textOutline w14:w="0" w14:cap="flat" w14:cmpd="sng" w14:algn="ctr">
        <w14:noFill/>
        <w14:prstDash w14:val="solid"/>
        <w14:bevel/>
      </w14:textOutline>
    </w:rPr>
  </w:style>
  <w:style w:type="numbering" w:customStyle="1" w:styleId="ImportedStyle3">
    <w:name w:val="Imported Style 3"/>
    <w:pPr>
      <w:numPr>
        <w:numId w:val="5"/>
      </w:numPr>
    </w:pPr>
  </w:style>
  <w:style w:type="character" w:customStyle="1" w:styleId="Hyperlink9">
    <w:name w:val="Hyperlink.9"/>
    <w:basedOn w:val="Link"/>
    <w:rPr>
      <w:i/>
      <w:iCs/>
      <w:outline w:val="0"/>
      <w:color w:val="000000"/>
      <w:u w:val="single" w:color="000000"/>
      <w:lang w:val="en-US"/>
    </w:rPr>
  </w:style>
  <w:style w:type="numbering" w:customStyle="1" w:styleId="ImportedStyle4">
    <w:name w:val="Imported Style 4"/>
    <w:pPr>
      <w:numPr>
        <w:numId w:val="7"/>
      </w:numPr>
    </w:pPr>
  </w:style>
  <w:style w:type="character" w:customStyle="1" w:styleId="Hyperlink10">
    <w:name w:val="Hyperlink.10"/>
    <w:basedOn w:val="Link"/>
    <w:rPr>
      <w:outline w:val="0"/>
      <w:color w:val="0563C1"/>
      <w:u w:val="single" w:color="0563C1"/>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62D0F"/>
    <w:rPr>
      <w:sz w:val="18"/>
      <w:szCs w:val="18"/>
    </w:rPr>
  </w:style>
  <w:style w:type="character" w:customStyle="1" w:styleId="BalloonTextChar">
    <w:name w:val="Balloon Text Char"/>
    <w:basedOn w:val="DefaultParagraphFont"/>
    <w:link w:val="BalloonText"/>
    <w:uiPriority w:val="99"/>
    <w:semiHidden/>
    <w:rsid w:val="00062D0F"/>
    <w:rPr>
      <w:sz w:val="18"/>
      <w:szCs w:val="18"/>
    </w:rPr>
  </w:style>
  <w:style w:type="paragraph" w:styleId="Header">
    <w:name w:val="header"/>
    <w:basedOn w:val="Normal"/>
    <w:link w:val="HeaderChar"/>
    <w:uiPriority w:val="99"/>
    <w:unhideWhenUsed/>
    <w:rsid w:val="00AF07F3"/>
    <w:pPr>
      <w:tabs>
        <w:tab w:val="center" w:pos="4680"/>
        <w:tab w:val="right" w:pos="9360"/>
      </w:tabs>
    </w:pPr>
  </w:style>
  <w:style w:type="character" w:customStyle="1" w:styleId="HeaderChar">
    <w:name w:val="Header Char"/>
    <w:basedOn w:val="DefaultParagraphFont"/>
    <w:link w:val="Header"/>
    <w:uiPriority w:val="99"/>
    <w:rsid w:val="00AF07F3"/>
    <w:rPr>
      <w:sz w:val="24"/>
      <w:szCs w:val="24"/>
    </w:rPr>
  </w:style>
  <w:style w:type="paragraph" w:styleId="Footer">
    <w:name w:val="footer"/>
    <w:basedOn w:val="Normal"/>
    <w:link w:val="FooterChar"/>
    <w:uiPriority w:val="99"/>
    <w:unhideWhenUsed/>
    <w:rsid w:val="00AF07F3"/>
    <w:pPr>
      <w:tabs>
        <w:tab w:val="center" w:pos="4680"/>
        <w:tab w:val="right" w:pos="9360"/>
      </w:tabs>
    </w:pPr>
  </w:style>
  <w:style w:type="character" w:customStyle="1" w:styleId="FooterChar">
    <w:name w:val="Footer Char"/>
    <w:basedOn w:val="DefaultParagraphFont"/>
    <w:link w:val="Footer"/>
    <w:uiPriority w:val="99"/>
    <w:rsid w:val="00AF07F3"/>
    <w:rPr>
      <w:sz w:val="24"/>
      <w:szCs w:val="24"/>
    </w:rPr>
  </w:style>
  <w:style w:type="character" w:styleId="UnresolvedMention">
    <w:name w:val="Unresolved Mention"/>
    <w:basedOn w:val="DefaultParagraphFont"/>
    <w:uiPriority w:val="99"/>
    <w:semiHidden/>
    <w:unhideWhenUsed/>
    <w:rsid w:val="00954A26"/>
    <w:rPr>
      <w:color w:val="605E5C"/>
      <w:shd w:val="clear" w:color="auto" w:fill="E1DFDD"/>
    </w:rPr>
  </w:style>
  <w:style w:type="character" w:styleId="PageNumber">
    <w:name w:val="page number"/>
    <w:basedOn w:val="DefaultParagraphFont"/>
    <w:uiPriority w:val="99"/>
    <w:semiHidden/>
    <w:unhideWhenUsed/>
    <w:rsid w:val="0095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c40knowledgehub.org/s/article/Mapped-Cities-with-a-climate-action-plan?language=en_US" TargetMode="External"/><Relationship Id="rId18" Type="http://schemas.openxmlformats.org/officeDocument/2006/relationships/hyperlink" Target="https://sewabharat.org/" TargetMode="External"/><Relationship Id="rId26" Type="http://schemas.openxmlformats.org/officeDocument/2006/relationships/hyperlink" Target="https://dre.pt/dre/detalhe/lei/83-2019-124392055" TargetMode="External"/><Relationship Id="rId39" Type="http://schemas.openxmlformats.org/officeDocument/2006/relationships/hyperlink" Target="https://use.metropolis.org/search" TargetMode="External"/><Relationship Id="rId21" Type="http://schemas.openxmlformats.org/officeDocument/2006/relationships/hyperlink" Target="https://lcau.mit.edu/affiliated-labs/resilient-cities-housing-initiative" TargetMode="External"/><Relationship Id="rId34" Type="http://schemas.openxmlformats.org/officeDocument/2006/relationships/hyperlink" Target="https://energy.ec.europa.eu/topics/markets-and-consumers/energy-communities_en" TargetMode="External"/><Relationship Id="rId42" Type="http://schemas.openxmlformats.org/officeDocument/2006/relationships/hyperlink" Target="https://www.peeb.build/"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hrb.org/focus-areas/built-environment/decarbonisation-of-buildings-in-europe" TargetMode="External"/><Relationship Id="rId29" Type="http://schemas.openxmlformats.org/officeDocument/2006/relationships/hyperlink" Target="https://www.whitehouse.gov/briefing-room/statements-releases/2022/01/21/fact-sheet-biden-harris-administration-launches-coalition-of-states-and-local-governments-to-strengthen-building-performance-standards/" TargetMode="External"/><Relationship Id="rId11" Type="http://schemas.openxmlformats.org/officeDocument/2006/relationships/hyperlink" Target="https://www.ohchr.org/en/calls-for-input/2022/call-input-right-adequate-housing-and-climate-change" TargetMode="External"/><Relationship Id="rId24" Type="http://schemas.openxmlformats.org/officeDocument/2006/relationships/hyperlink" Target="https://gbce.es/wp-content/uploads/2022/04/BuildingLife_Abril2022_EN_FINAL-prot.pdf" TargetMode="External"/><Relationship Id="rId32" Type="http://schemas.openxmlformats.org/officeDocument/2006/relationships/hyperlink" Target="https://drive.google.com/file/d/1m_lXAjLhtGxdh0k-YAMNCpI29vMc0kk4/view" TargetMode="External"/><Relationship Id="rId37" Type="http://schemas.openxmlformats.org/officeDocument/2006/relationships/hyperlink" Target="https://www.ihrb.org/focus-areas/built-environment/advancing-human-rights-in-the-built-environment-in-cartagena-de-indias-and-insights-for-other-cities" TargetMode="External"/><Relationship Id="rId40" Type="http://schemas.openxmlformats.org/officeDocument/2006/relationships/hyperlink" Target="https://www.metropolis.org/about-us" TargetMode="External"/><Relationship Id="rId45" Type="http://schemas.openxmlformats.org/officeDocument/2006/relationships/hyperlink" Target="https://debtforclimate.org/" TargetMode="External"/><Relationship Id="rId5" Type="http://schemas.openxmlformats.org/officeDocument/2006/relationships/webSettings" Target="webSettings.xml"/><Relationship Id="rId15" Type="http://schemas.openxmlformats.org/officeDocument/2006/relationships/hyperlink" Target="https://world-habitat.org/world-habitat-awards/winners-and-finalists/introducing-community-land-trusts-in-continental-europe/" TargetMode="External"/><Relationship Id="rId23" Type="http://schemas.openxmlformats.org/officeDocument/2006/relationships/hyperlink" Target="https://www.bpie.eu/publication/designing-building-decarbonisation-policies-for-a-socially-just-energy-transition/" TargetMode="External"/><Relationship Id="rId28" Type="http://schemas.openxmlformats.org/officeDocument/2006/relationships/hyperlink" Target="https://stateofgreen.com/en/news/denmark-pushes-billion-euro-investments-for-greener-public-housing/" TargetMode="External"/><Relationship Id="rId36" Type="http://schemas.openxmlformats.org/officeDocument/2006/relationships/hyperlink" Target="https://www.creer-ihrb.org/" TargetMode="External"/><Relationship Id="rId49" Type="http://schemas.openxmlformats.org/officeDocument/2006/relationships/header" Target="header1.xml"/><Relationship Id="rId10" Type="http://schemas.openxmlformats.org/officeDocument/2006/relationships/hyperlink" Target="https://www.ihrb.org/focus-areas/built-environment" TargetMode="External"/><Relationship Id="rId19" Type="http://schemas.openxmlformats.org/officeDocument/2006/relationships/hyperlink" Target="https://www.ihrb.org/focus-areas/built-environment/briefing-migrant-worker-accommodation" TargetMode="External"/><Relationship Id="rId31" Type="http://schemas.openxmlformats.org/officeDocument/2006/relationships/hyperlink" Target="https://assets.ctfassets.net/1hf11j69ure4/B6NLxlOVxTVMNbHEvFaQE/700f4762bae92990f91327a7e01e2f09/Boston-Green-New-Deal-August-2020-FINAL.pdf" TargetMode="External"/><Relationship Id="rId44" Type="http://schemas.openxmlformats.org/officeDocument/2006/relationships/hyperlink" Target="https://www.ihrb.org/focus-areas/built-environment/framework-for-dignity-built-environment" TargetMode="External"/><Relationship Id="rId4" Type="http://schemas.openxmlformats.org/officeDocument/2006/relationships/settings" Target="settings.xml"/><Relationship Id="rId9" Type="http://schemas.openxmlformats.org/officeDocument/2006/relationships/hyperlink" Target="https://www.ihrb.org/" TargetMode="External"/><Relationship Id="rId14" Type="http://schemas.openxmlformats.org/officeDocument/2006/relationships/hyperlink" Target="http://www.bcnuej.org/2021/04/08/policy-and-planning-toolkit-for-urban-green-justice/" TargetMode="External"/><Relationship Id="rId22" Type="http://schemas.openxmlformats.org/officeDocument/2006/relationships/hyperlink" Target="https://www.ihrb.org/focus-areas/built-environment/community-led-and-participatory-approaches-to-climate-action-in-the-built-environment" TargetMode="External"/><Relationship Id="rId27" Type="http://schemas.openxmlformats.org/officeDocument/2006/relationships/hyperlink" Target="https://www.trm.dk/nyheder/2020/bred-politisk-aftale-om-groen-renovering-af-almene-boliger/" TargetMode="External"/><Relationship Id="rId30" Type="http://schemas.openxmlformats.org/officeDocument/2006/relationships/hyperlink" Target="https://www.thejustice40.com/" TargetMode="External"/><Relationship Id="rId35" Type="http://schemas.openxmlformats.org/officeDocument/2006/relationships/hyperlink" Target="http://www.ihrb.org/" TargetMode="External"/><Relationship Id="rId43" Type="http://schemas.openxmlformats.org/officeDocument/2006/relationships/hyperlink" Target="https://www.oecd.org/publications/decarbonising-buildings-in-cities-and-regions-a48ce566-en.htm" TargetMode="External"/><Relationship Id="rId48" Type="http://schemas.openxmlformats.org/officeDocument/2006/relationships/footer" Target="footer2.xml"/><Relationship Id="rId8" Type="http://schemas.openxmlformats.org/officeDocument/2006/relationships/hyperlink" Target="https://www.ohchr.org/en/calls-for-input/2022/call-input-right-adequate-housing-and-climate-chang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globalabc.org/resources/publications/2021-global-status-report-buildings-and-construction" TargetMode="External"/><Relationship Id="rId17" Type="http://schemas.openxmlformats.org/officeDocument/2006/relationships/hyperlink" Target="https://apo.org.au/node/315499" TargetMode="External"/><Relationship Id="rId25" Type="http://schemas.openxmlformats.org/officeDocument/2006/relationships/hyperlink" Target="https://www.habitatge.barcelona/en/strategy/right-to-housing-plan" TargetMode="External"/><Relationship Id="rId33" Type="http://schemas.openxmlformats.org/officeDocument/2006/relationships/hyperlink" Target="https://www.ihrb.org/uploads/reports/Actor_Leverage_updated_800x943.jpg" TargetMode="External"/><Relationship Id="rId38" Type="http://schemas.openxmlformats.org/officeDocument/2006/relationships/hyperlink" Target="https://www.ihrb.org/focus-areas/built-environment/community-led-and-participatory-approaches-to-climate-action-in-the-built-environment" TargetMode="External"/><Relationship Id="rId46" Type="http://schemas.openxmlformats.org/officeDocument/2006/relationships/hyperlink" Target="https://make-the-shift.org/" TargetMode="External"/><Relationship Id="rId20" Type="http://schemas.openxmlformats.org/officeDocument/2006/relationships/hyperlink" Target="https://www.ihrb.org/focus-areas/built-environment/report-dignity-by-design-human-rights-and-the-built-environment-lifecycle" TargetMode="External"/><Relationship Id="rId41" Type="http://schemas.openxmlformats.org/officeDocument/2006/relationships/hyperlink" Target="https://use.metropolis.org/search"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CA898-2795-424B-A126-E61D3382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Annabel Short</cp:lastModifiedBy>
  <cp:revision>8</cp:revision>
  <dcterms:created xsi:type="dcterms:W3CDTF">2022-07-13T19:58:00Z</dcterms:created>
  <dcterms:modified xsi:type="dcterms:W3CDTF">2022-07-13T22:24:00Z</dcterms:modified>
</cp:coreProperties>
</file>