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A61231" w:rsidRDefault="00FC0827" w:rsidP="009A2A86">
      <w:pPr>
        <w:jc w:val="center"/>
        <w:rPr>
          <w:rFonts w:ascii="Times New Roman" w:hAnsi="Times New Roman" w:cs="Times New Roman"/>
          <w:b/>
          <w:lang w:val="en-US"/>
        </w:rPr>
      </w:pPr>
      <w:r>
        <w:rPr>
          <w:rFonts w:ascii="Times New Roman" w:hAnsi="Times New Roman" w:cs="Times New Roman"/>
          <w:b/>
          <w:lang w:val="en-US"/>
        </w:rPr>
        <w:t>R</w:t>
      </w:r>
      <w:r w:rsidR="009A2A86" w:rsidRPr="00A61231">
        <w:rPr>
          <w:rFonts w:ascii="Times New Roman" w:hAnsi="Times New Roman" w:cs="Times New Roman"/>
          <w:b/>
          <w:lang w:val="en-US"/>
        </w:rPr>
        <w:t xml:space="preserve">eport of the </w:t>
      </w:r>
      <w:r w:rsidR="00454648" w:rsidRPr="00A61231">
        <w:rPr>
          <w:rFonts w:ascii="Times New Roman" w:hAnsi="Times New Roman" w:cs="Times New Roman"/>
          <w:b/>
          <w:lang w:val="en-US"/>
        </w:rPr>
        <w:t xml:space="preserve">UN </w:t>
      </w:r>
      <w:r w:rsidR="006F7BD2" w:rsidRPr="00A61231">
        <w:rPr>
          <w:rFonts w:ascii="Times New Roman" w:hAnsi="Times New Roman" w:cs="Times New Roman"/>
          <w:b/>
          <w:lang w:val="en-US"/>
        </w:rPr>
        <w:t>Special Rapporteur</w:t>
      </w:r>
      <w:r w:rsidR="009A2A86" w:rsidRPr="00A61231">
        <w:rPr>
          <w:rFonts w:ascii="Times New Roman" w:hAnsi="Times New Roman" w:cs="Times New Roman"/>
          <w:b/>
          <w:lang w:val="en-US"/>
        </w:rPr>
        <w:t xml:space="preserve"> on the right to adequate housing</w:t>
      </w:r>
      <w:r w:rsidR="002F5464" w:rsidRPr="00A61231">
        <w:rPr>
          <w:rFonts w:ascii="Times New Roman" w:hAnsi="Times New Roman" w:cs="Times New Roman"/>
          <w:b/>
          <w:lang w:val="en-US"/>
        </w:rPr>
        <w:t xml:space="preserve"> to the </w:t>
      </w:r>
      <w:r>
        <w:rPr>
          <w:rFonts w:ascii="Times New Roman" w:hAnsi="Times New Roman" w:cs="Times New Roman"/>
          <w:b/>
          <w:lang w:val="en-US"/>
        </w:rPr>
        <w:br/>
      </w:r>
      <w:r w:rsidR="002F5464" w:rsidRPr="00A61231">
        <w:rPr>
          <w:rFonts w:ascii="Times New Roman" w:hAnsi="Times New Roman" w:cs="Times New Roman"/>
          <w:b/>
          <w:lang w:val="en-US"/>
        </w:rPr>
        <w:t>52</w:t>
      </w:r>
      <w:r w:rsidR="002F5464" w:rsidRPr="00A61231">
        <w:rPr>
          <w:rFonts w:ascii="Times New Roman" w:hAnsi="Times New Roman" w:cs="Times New Roman"/>
          <w:b/>
          <w:vertAlign w:val="superscript"/>
          <w:lang w:val="en-US"/>
        </w:rPr>
        <w:t>nd</w:t>
      </w:r>
      <w:r w:rsidR="002F5464" w:rsidRPr="00A61231">
        <w:rPr>
          <w:rFonts w:ascii="Times New Roman" w:hAnsi="Times New Roman" w:cs="Times New Roman"/>
          <w:b/>
          <w:lang w:val="en-US"/>
        </w:rPr>
        <w:t xml:space="preserve"> session of the Human Rights Council</w:t>
      </w:r>
    </w:p>
    <w:p w14:paraId="54A3A838" w14:textId="0ED2813A" w:rsidR="009A2A86" w:rsidRPr="00FC0827" w:rsidRDefault="00FC0827" w:rsidP="009A2A86">
      <w:pPr>
        <w:jc w:val="center"/>
        <w:rPr>
          <w:rFonts w:ascii="Times New Roman" w:hAnsi="Times New Roman" w:cs="Times New Roman"/>
          <w:b/>
          <w:sz w:val="28"/>
          <w:lang w:val="en-US"/>
        </w:rPr>
      </w:pPr>
      <w:r>
        <w:rPr>
          <w:rFonts w:ascii="Times New Roman" w:hAnsi="Times New Roman" w:cs="Times New Roman"/>
          <w:b/>
          <w:sz w:val="28"/>
          <w:lang w:val="en-US"/>
        </w:rPr>
        <w:t>The r</w:t>
      </w:r>
      <w:r w:rsidR="009A2A86" w:rsidRPr="00FC0827">
        <w:rPr>
          <w:rFonts w:ascii="Times New Roman" w:hAnsi="Times New Roman" w:cs="Times New Roman"/>
          <w:b/>
          <w:sz w:val="28"/>
          <w:lang w:val="en-US"/>
        </w:rPr>
        <w:t>ight to adequate housing and climate change</w:t>
      </w:r>
    </w:p>
    <w:p w14:paraId="76CD86DE" w14:textId="376B8870" w:rsidR="008D03A6" w:rsidRPr="00FC0827" w:rsidRDefault="008D03A6" w:rsidP="0049028B">
      <w:pPr>
        <w:jc w:val="center"/>
        <w:rPr>
          <w:rFonts w:ascii="Times New Roman" w:hAnsi="Times New Roman" w:cs="Times New Roman"/>
          <w:b/>
          <w:bCs/>
          <w:sz w:val="32"/>
        </w:rPr>
      </w:pPr>
      <w:r w:rsidRPr="00FC0827">
        <w:rPr>
          <w:rFonts w:ascii="Times New Roman" w:hAnsi="Times New Roman" w:cs="Times New Roman"/>
          <w:b/>
          <w:bCs/>
          <w:sz w:val="32"/>
        </w:rPr>
        <w:t>Questionnaire</w:t>
      </w:r>
    </w:p>
    <w:p w14:paraId="2C795D84" w14:textId="77777777" w:rsidR="00EB3B9C" w:rsidRPr="0036088E" w:rsidRDefault="00EB3B9C" w:rsidP="009C6F2F">
      <w:pPr>
        <w:jc w:val="both"/>
        <w:rPr>
          <w:rFonts w:ascii="Times New Roman" w:hAnsi="Times New Roman" w:cs="Times New Roman"/>
        </w:rPr>
      </w:pPr>
    </w:p>
    <w:p w14:paraId="7503CE0F" w14:textId="77777777" w:rsidR="00811286" w:rsidRDefault="008D03A6" w:rsidP="001C295F">
      <w:pPr>
        <w:rPr>
          <w:rFonts w:ascii="Times New Roman" w:hAnsi="Times New Roman" w:cs="Times New Roman"/>
          <w:b/>
          <w:bCs/>
          <w:i/>
          <w:iCs/>
        </w:rPr>
      </w:pPr>
      <w:r w:rsidRPr="0036088E">
        <w:rPr>
          <w:rFonts w:ascii="Times New Roman" w:hAnsi="Times New Roman" w:cs="Times New Roman"/>
          <w:b/>
          <w:bCs/>
          <w:i/>
          <w:iCs/>
        </w:rPr>
        <w:t>Impact of climate change on the right to adequate housing</w:t>
      </w:r>
      <w:r w:rsidR="001C295F">
        <w:rPr>
          <w:rFonts w:ascii="Times New Roman" w:hAnsi="Times New Roman" w:cs="Times New Roman"/>
          <w:b/>
          <w:bCs/>
          <w:i/>
          <w:iCs/>
        </w:rPr>
        <w:t xml:space="preserve"> </w:t>
      </w:r>
    </w:p>
    <w:p w14:paraId="2AFA2A3E" w14:textId="640A2A40" w:rsidR="0044112A" w:rsidRPr="001C295F" w:rsidRDefault="0044112A" w:rsidP="001C295F">
      <w:pPr>
        <w:rPr>
          <w:rFonts w:ascii="Times New Roman" w:hAnsi="Times New Roman" w:cs="Times New Roman"/>
          <w:b/>
          <w:bCs/>
          <w:i/>
          <w:iCs/>
        </w:rPr>
      </w:pPr>
      <w:r w:rsidRPr="001C295F">
        <w:rPr>
          <w:rFonts w:ascii="Times New Roman" w:hAnsi="Times New Roman" w:cs="Times New Roman"/>
          <w:b/>
          <w:bCs/>
          <w:i/>
          <w:iCs/>
        </w:rPr>
        <w:t>In real life</w:t>
      </w:r>
    </w:p>
    <w:p w14:paraId="774EA7EA" w14:textId="6D3F47E8" w:rsidR="008D03A6" w:rsidRPr="0036088E" w:rsidRDefault="008D03A6" w:rsidP="00EB7A11">
      <w:pPr>
        <w:pStyle w:val="ListParagraph"/>
        <w:numPr>
          <w:ilvl w:val="0"/>
          <w:numId w:val="2"/>
        </w:numPr>
        <w:ind w:left="360"/>
        <w:jc w:val="both"/>
        <w:rPr>
          <w:rFonts w:ascii="Times New Roman" w:hAnsi="Times New Roman" w:cs="Times New Roman"/>
          <w:b/>
          <w:bCs/>
        </w:rPr>
      </w:pPr>
      <w:r w:rsidRPr="0036088E">
        <w:rPr>
          <w:rFonts w:ascii="Times New Roman" w:hAnsi="Times New Roman" w:cs="Times New Roman"/>
          <w:b/>
          <w:bCs/>
          <w:u w:val="single"/>
        </w:rPr>
        <w:t>In your country</w:t>
      </w:r>
      <w:r w:rsidRPr="0036088E">
        <w:rPr>
          <w:rFonts w:ascii="Times New Roman" w:hAnsi="Times New Roman" w:cs="Times New Roman"/>
          <w:b/>
          <w:bCs/>
        </w:rPr>
        <w:t xml:space="preserve">, what </w:t>
      </w:r>
      <w:r w:rsidR="00267288" w:rsidRPr="0036088E">
        <w:rPr>
          <w:rFonts w:ascii="Times New Roman" w:hAnsi="Times New Roman" w:cs="Times New Roman"/>
          <w:b/>
          <w:bCs/>
        </w:rPr>
        <w:t xml:space="preserve">have been </w:t>
      </w:r>
      <w:r w:rsidRPr="0036088E">
        <w:rPr>
          <w:rFonts w:ascii="Times New Roman" w:hAnsi="Times New Roman" w:cs="Times New Roman"/>
          <w:b/>
          <w:bCs/>
        </w:rPr>
        <w:t xml:space="preserve">the main effects of </w:t>
      </w:r>
      <w:r w:rsidR="00927E27" w:rsidRPr="0036088E">
        <w:rPr>
          <w:rFonts w:ascii="Times New Roman" w:hAnsi="Times New Roman" w:cs="Times New Roman"/>
          <w:b/>
          <w:bCs/>
        </w:rPr>
        <w:t>the climate crisis</w:t>
      </w:r>
      <w:r w:rsidRPr="0036088E">
        <w:rPr>
          <w:rFonts w:ascii="Times New Roman" w:hAnsi="Times New Roman" w:cs="Times New Roman"/>
          <w:b/>
          <w:bCs/>
        </w:rPr>
        <w:t xml:space="preserve">, on the </w:t>
      </w:r>
      <w:r w:rsidR="00516D74" w:rsidRPr="0036088E">
        <w:rPr>
          <w:rFonts w:ascii="Times New Roman" w:hAnsi="Times New Roman" w:cs="Times New Roman"/>
          <w:b/>
          <w:bCs/>
        </w:rPr>
        <w:t xml:space="preserve">enjoyment </w:t>
      </w:r>
      <w:r w:rsidRPr="0036088E">
        <w:rPr>
          <w:rFonts w:ascii="Times New Roman" w:hAnsi="Times New Roman" w:cs="Times New Roman"/>
          <w:b/>
          <w:bCs/>
        </w:rPr>
        <w:t xml:space="preserve">of the right to adequate housing? </w:t>
      </w:r>
      <w:r w:rsidR="00516D74" w:rsidRPr="0036088E">
        <w:rPr>
          <w:rFonts w:ascii="Times New Roman" w:hAnsi="Times New Roman" w:cs="Times New Roman"/>
          <w:b/>
          <w:bCs/>
        </w:rPr>
        <w:t xml:space="preserve"> Please specify </w:t>
      </w:r>
      <w:r w:rsidR="00561044" w:rsidRPr="0036088E">
        <w:rPr>
          <w:rFonts w:ascii="Times New Roman" w:hAnsi="Times New Roman" w:cs="Times New Roman"/>
          <w:b/>
          <w:bCs/>
        </w:rPr>
        <w:t xml:space="preserve">whether there </w:t>
      </w:r>
      <w:r w:rsidR="00306663" w:rsidRPr="0036088E">
        <w:rPr>
          <w:rFonts w:ascii="Times New Roman" w:hAnsi="Times New Roman" w:cs="Times New Roman"/>
          <w:b/>
          <w:bCs/>
        </w:rPr>
        <w:t xml:space="preserve">have been </w:t>
      </w:r>
      <w:r w:rsidR="00561044" w:rsidRPr="0036088E">
        <w:rPr>
          <w:rFonts w:ascii="Times New Roman" w:hAnsi="Times New Roman" w:cs="Times New Roman"/>
          <w:b/>
          <w:bCs/>
        </w:rPr>
        <w:t xml:space="preserve">any </w:t>
      </w:r>
      <w:r w:rsidR="00306663" w:rsidRPr="0036088E">
        <w:rPr>
          <w:rFonts w:ascii="Times New Roman" w:hAnsi="Times New Roman" w:cs="Times New Roman"/>
          <w:b/>
          <w:bCs/>
        </w:rPr>
        <w:t>climate</w:t>
      </w:r>
      <w:r w:rsidR="001915CC" w:rsidRPr="0036088E">
        <w:rPr>
          <w:rFonts w:ascii="Times New Roman" w:hAnsi="Times New Roman" w:cs="Times New Roman"/>
          <w:b/>
          <w:bCs/>
        </w:rPr>
        <w:t>-induced</w:t>
      </w:r>
      <w:r w:rsidR="00306663" w:rsidRPr="0036088E">
        <w:rPr>
          <w:rFonts w:ascii="Times New Roman" w:hAnsi="Times New Roman" w:cs="Times New Roman"/>
          <w:b/>
          <w:bCs/>
        </w:rPr>
        <w:t xml:space="preserve"> impacts on the </w:t>
      </w:r>
      <w:r w:rsidR="001915CC" w:rsidRPr="0036088E">
        <w:rPr>
          <w:rFonts w:ascii="Times New Roman" w:hAnsi="Times New Roman" w:cs="Times New Roman"/>
          <w:b/>
          <w:bCs/>
        </w:rPr>
        <w:t xml:space="preserve">security of tenure, </w:t>
      </w:r>
      <w:r w:rsidR="00516D74" w:rsidRPr="0036088E">
        <w:rPr>
          <w:rFonts w:ascii="Times New Roman" w:hAnsi="Times New Roman" w:cs="Times New Roman"/>
          <w:b/>
          <w:bCs/>
        </w:rPr>
        <w:t>availability, affordability, accessibility, habitability, location and cultural adequacy of housing</w:t>
      </w:r>
      <w:r w:rsidR="00EB45E3" w:rsidRPr="0036088E">
        <w:rPr>
          <w:rFonts w:ascii="Times New Roman" w:hAnsi="Times New Roman" w:cs="Times New Roman"/>
          <w:b/>
          <w:bCs/>
        </w:rPr>
        <w:t>, including climate crisis related displacement</w:t>
      </w:r>
      <w:r w:rsidR="00516D74" w:rsidRPr="0036088E">
        <w:rPr>
          <w:rFonts w:ascii="Times New Roman" w:hAnsi="Times New Roman" w:cs="Times New Roman"/>
          <w:b/>
          <w:bCs/>
        </w:rPr>
        <w:t>.</w:t>
      </w:r>
    </w:p>
    <w:p w14:paraId="1B190753" w14:textId="77777777" w:rsidR="00EB7A11" w:rsidRPr="0036088E" w:rsidRDefault="00EB7A11" w:rsidP="00EB7A11">
      <w:pPr>
        <w:jc w:val="both"/>
        <w:rPr>
          <w:rFonts w:ascii="Times New Roman" w:hAnsi="Times New Roman" w:cs="Times New Roman"/>
          <w:u w:val="single"/>
        </w:rPr>
      </w:pPr>
      <w:r w:rsidRPr="0036088E">
        <w:rPr>
          <w:rFonts w:ascii="Times New Roman" w:hAnsi="Times New Roman" w:cs="Times New Roman"/>
          <w:u w:val="single"/>
        </w:rPr>
        <w:t>About Tenants Victoria</w:t>
      </w:r>
    </w:p>
    <w:p w14:paraId="7C564E80" w14:textId="48ECFC51" w:rsidR="0036088E" w:rsidRPr="0036088E" w:rsidRDefault="0036088E" w:rsidP="0036088E">
      <w:pPr>
        <w:pStyle w:val="ExcludedfromToC3"/>
        <w:rPr>
          <w:rFonts w:ascii="Times New Roman" w:eastAsia="Source Sans Pro" w:hAnsi="Times New Roman" w:cs="Times New Roman"/>
          <w:sz w:val="22"/>
          <w:szCs w:val="22"/>
        </w:rPr>
      </w:pPr>
      <w:r w:rsidRPr="0036088E">
        <w:rPr>
          <w:rFonts w:ascii="Times New Roman" w:eastAsia="Source Sans Pro" w:hAnsi="Times New Roman" w:cs="Times New Roman"/>
          <w:sz w:val="22"/>
          <w:szCs w:val="22"/>
        </w:rPr>
        <w:t xml:space="preserve">Tenants Victoria is the peak body </w:t>
      </w:r>
      <w:r>
        <w:rPr>
          <w:rFonts w:ascii="Times New Roman" w:eastAsia="Source Sans Pro" w:hAnsi="Times New Roman" w:cs="Times New Roman"/>
          <w:sz w:val="22"/>
          <w:szCs w:val="22"/>
        </w:rPr>
        <w:t>for Victorian</w:t>
      </w:r>
      <w:r w:rsidRPr="0036088E">
        <w:rPr>
          <w:rFonts w:ascii="Times New Roman" w:eastAsia="Source Sans Pro" w:hAnsi="Times New Roman" w:cs="Times New Roman"/>
          <w:sz w:val="22"/>
          <w:szCs w:val="22"/>
        </w:rPr>
        <w:t xml:space="preserve"> renters, who number more than 2 million people. Our vision is for a safe, secure and affordable home for every Victorian renter in a fair housing system. For many renting is a permanent situation rather than a transition from the family home to home ownership. We believe all renters, including rooming house residents, should be able to afford a home that allows them to live full lives and contribute to their communities.</w:t>
      </w:r>
    </w:p>
    <w:p w14:paraId="437C1C5D" w14:textId="18C8DBC5" w:rsidR="0036088E" w:rsidRDefault="0036088E" w:rsidP="0036088E">
      <w:pPr>
        <w:pStyle w:val="ExcludedfromToC3"/>
        <w:rPr>
          <w:rFonts w:ascii="Times New Roman" w:eastAsia="Source Sans Pro" w:hAnsi="Times New Roman" w:cs="Times New Roman"/>
          <w:sz w:val="22"/>
          <w:szCs w:val="22"/>
        </w:rPr>
      </w:pPr>
      <w:r>
        <w:rPr>
          <w:rFonts w:ascii="Times New Roman" w:eastAsia="Source Sans Pro" w:hAnsi="Times New Roman" w:cs="Times New Roman"/>
          <w:sz w:val="22"/>
          <w:szCs w:val="22"/>
        </w:rPr>
        <w:t xml:space="preserve">Each year, we </w:t>
      </w:r>
      <w:r w:rsidR="00270B7E">
        <w:rPr>
          <w:rFonts w:ascii="Times New Roman" w:eastAsia="Source Sans Pro" w:hAnsi="Times New Roman" w:cs="Times New Roman"/>
          <w:sz w:val="22"/>
          <w:szCs w:val="22"/>
        </w:rPr>
        <w:t xml:space="preserve">assist over 10,000 renters </w:t>
      </w:r>
      <w:r w:rsidR="00CF2FF4">
        <w:rPr>
          <w:rFonts w:ascii="Times New Roman" w:eastAsia="Source Sans Pro" w:hAnsi="Times New Roman" w:cs="Times New Roman"/>
          <w:sz w:val="22"/>
          <w:szCs w:val="22"/>
        </w:rPr>
        <w:t>by providing them with</w:t>
      </w:r>
      <w:r w:rsidRPr="0036088E">
        <w:rPr>
          <w:rFonts w:ascii="Times New Roman" w:eastAsia="Source Sans Pro" w:hAnsi="Times New Roman" w:cs="Times New Roman"/>
          <w:sz w:val="22"/>
          <w:szCs w:val="22"/>
        </w:rPr>
        <w:t xml:space="preserve"> information, legal representation and advice, financial counselling, and outreach</w:t>
      </w:r>
      <w:r w:rsidR="00CF2FF4">
        <w:rPr>
          <w:rFonts w:ascii="Times New Roman" w:eastAsia="Source Sans Pro" w:hAnsi="Times New Roman" w:cs="Times New Roman"/>
          <w:sz w:val="22"/>
          <w:szCs w:val="22"/>
        </w:rPr>
        <w:t xml:space="preserve"> services</w:t>
      </w:r>
      <w:r w:rsidRPr="0036088E">
        <w:rPr>
          <w:rFonts w:ascii="Times New Roman" w:eastAsia="Source Sans Pro" w:hAnsi="Times New Roman" w:cs="Times New Roman"/>
          <w:sz w:val="22"/>
          <w:szCs w:val="22"/>
        </w:rPr>
        <w:t xml:space="preserve">. </w:t>
      </w:r>
      <w:r>
        <w:rPr>
          <w:rFonts w:ascii="Times New Roman" w:eastAsia="Source Sans Pro" w:hAnsi="Times New Roman" w:cs="Times New Roman"/>
          <w:sz w:val="22"/>
          <w:szCs w:val="22"/>
        </w:rPr>
        <w:t>In addition, we</w:t>
      </w:r>
      <w:r w:rsidRPr="0036088E">
        <w:rPr>
          <w:rFonts w:ascii="Times New Roman" w:eastAsia="Source Sans Pro" w:hAnsi="Times New Roman" w:cs="Times New Roman"/>
          <w:sz w:val="22"/>
          <w:szCs w:val="22"/>
        </w:rPr>
        <w:t xml:space="preserve"> aim to make the housing system fairer in several ways</w:t>
      </w:r>
      <w:r>
        <w:rPr>
          <w:rFonts w:ascii="Times New Roman" w:eastAsia="Source Sans Pro" w:hAnsi="Times New Roman" w:cs="Times New Roman"/>
          <w:sz w:val="22"/>
          <w:szCs w:val="22"/>
        </w:rPr>
        <w:t>.</w:t>
      </w:r>
      <w:r w:rsidRPr="0036088E">
        <w:rPr>
          <w:rFonts w:ascii="Times New Roman" w:eastAsia="Source Sans Pro" w:hAnsi="Times New Roman" w:cs="Times New Roman"/>
          <w:sz w:val="22"/>
          <w:szCs w:val="22"/>
        </w:rPr>
        <w:t xml:space="preserve"> We advocate for practices and attitudes that respect renting and for policies and laws that support the rights of renters. We increase the skills of the community workers who assist renters. We provide information that encourages rental providers and real estate agents to act responsibly.</w:t>
      </w:r>
    </w:p>
    <w:p w14:paraId="5DA588F7" w14:textId="74F9D8A7" w:rsidR="00671FD6" w:rsidRPr="00671FD6" w:rsidRDefault="00671FD6" w:rsidP="0036088E">
      <w:pPr>
        <w:pStyle w:val="ExcludedfromToC3"/>
        <w:rPr>
          <w:rFonts w:ascii="Times New Roman" w:eastAsia="Source Sans Pro" w:hAnsi="Times New Roman" w:cs="Times New Roman"/>
          <w:sz w:val="22"/>
          <w:szCs w:val="22"/>
          <w:u w:val="single"/>
        </w:rPr>
      </w:pPr>
      <w:r w:rsidRPr="00671FD6">
        <w:rPr>
          <w:rFonts w:ascii="Times New Roman" w:eastAsia="Source Sans Pro" w:hAnsi="Times New Roman" w:cs="Times New Roman"/>
          <w:sz w:val="22"/>
          <w:szCs w:val="22"/>
          <w:u w:val="single"/>
        </w:rPr>
        <w:t xml:space="preserve">About renters </w:t>
      </w:r>
    </w:p>
    <w:p w14:paraId="07A9D7F7" w14:textId="3F8925B7" w:rsidR="00E91011" w:rsidRDefault="00E91011" w:rsidP="00E91011">
      <w:pPr>
        <w:pStyle w:val="ExcludedfromToC3"/>
        <w:rPr>
          <w:rFonts w:ascii="Times New Roman" w:eastAsia="Source Sans Pro" w:hAnsi="Times New Roman" w:cs="Times New Roman"/>
          <w:sz w:val="22"/>
          <w:szCs w:val="22"/>
        </w:rPr>
      </w:pPr>
      <w:r>
        <w:rPr>
          <w:rFonts w:ascii="Times New Roman" w:eastAsia="Source Sans Pro" w:hAnsi="Times New Roman" w:cs="Times New Roman"/>
          <w:sz w:val="22"/>
          <w:szCs w:val="22"/>
        </w:rPr>
        <w:t>Importantly, there is an increasing</w:t>
      </w:r>
      <w:r w:rsidR="008B7BB3">
        <w:rPr>
          <w:rFonts w:ascii="Times New Roman" w:eastAsia="Source Sans Pro" w:hAnsi="Times New Roman" w:cs="Times New Roman"/>
          <w:sz w:val="22"/>
          <w:szCs w:val="22"/>
        </w:rPr>
        <w:t xml:space="preserve">ly growing wealth and hardship gap between renters and </w:t>
      </w:r>
      <w:proofErr w:type="gramStart"/>
      <w:r w:rsidR="008B7BB3">
        <w:rPr>
          <w:rFonts w:ascii="Times New Roman" w:eastAsia="Source Sans Pro" w:hAnsi="Times New Roman" w:cs="Times New Roman"/>
          <w:sz w:val="22"/>
          <w:szCs w:val="22"/>
        </w:rPr>
        <w:t>home-owners</w:t>
      </w:r>
      <w:proofErr w:type="gramEnd"/>
      <w:r w:rsidR="008B7BB3">
        <w:rPr>
          <w:rFonts w:ascii="Times New Roman" w:eastAsia="Source Sans Pro" w:hAnsi="Times New Roman" w:cs="Times New Roman"/>
          <w:sz w:val="22"/>
          <w:szCs w:val="22"/>
        </w:rPr>
        <w:t xml:space="preserve">. In particular: </w:t>
      </w:r>
    </w:p>
    <w:p w14:paraId="0C8C2D78" w14:textId="0903FCE9" w:rsidR="00E91011" w:rsidRPr="00E91011" w:rsidRDefault="008B7BB3" w:rsidP="008B7BB3">
      <w:pPr>
        <w:pStyle w:val="ExcludedfromToC3"/>
        <w:numPr>
          <w:ilvl w:val="0"/>
          <w:numId w:val="19"/>
        </w:numPr>
        <w:rPr>
          <w:rFonts w:ascii="Times New Roman" w:eastAsia="Source Sans Pro" w:hAnsi="Times New Roman" w:cs="Times New Roman"/>
          <w:sz w:val="22"/>
          <w:szCs w:val="22"/>
        </w:rPr>
      </w:pPr>
      <w:r>
        <w:rPr>
          <w:rFonts w:ascii="Times New Roman" w:eastAsia="Source Sans Pro" w:hAnsi="Times New Roman" w:cs="Times New Roman"/>
          <w:sz w:val="22"/>
          <w:szCs w:val="22"/>
        </w:rPr>
        <w:t>R</w:t>
      </w:r>
      <w:r w:rsidR="00E91011" w:rsidRPr="00E91011">
        <w:rPr>
          <w:rFonts w:ascii="Times New Roman" w:eastAsia="Source Sans Pro" w:hAnsi="Times New Roman" w:cs="Times New Roman"/>
          <w:sz w:val="22"/>
          <w:szCs w:val="22"/>
        </w:rPr>
        <w:t>enters are increasingly poor. In 2017-18, 46.6% of Victorian renter households were considered ‘lower income’, and 43% of these were in rental hardship.</w:t>
      </w:r>
      <w:r w:rsidR="00F07CB7">
        <w:rPr>
          <w:rStyle w:val="FootnoteReference"/>
          <w:rFonts w:ascii="Times New Roman" w:eastAsia="Source Sans Pro" w:hAnsi="Times New Roman" w:cs="Times New Roman"/>
          <w:sz w:val="22"/>
          <w:szCs w:val="22"/>
        </w:rPr>
        <w:footnoteReference w:id="1"/>
      </w:r>
      <w:r w:rsidR="00E91011" w:rsidRPr="00E91011">
        <w:rPr>
          <w:rFonts w:ascii="Times New Roman" w:eastAsia="Source Sans Pro" w:hAnsi="Times New Roman" w:cs="Times New Roman"/>
          <w:sz w:val="22"/>
          <w:szCs w:val="22"/>
        </w:rPr>
        <w:t xml:space="preserve"> A recent report from the Productivity Commission found rates of rental hardship in Australia have remained unchanged for the last 10 years.</w:t>
      </w:r>
      <w:r w:rsidR="00F07CB7">
        <w:rPr>
          <w:rStyle w:val="FootnoteReference"/>
          <w:rFonts w:ascii="Times New Roman" w:eastAsia="Source Sans Pro" w:hAnsi="Times New Roman" w:cs="Times New Roman"/>
          <w:sz w:val="22"/>
          <w:szCs w:val="22"/>
        </w:rPr>
        <w:footnoteReference w:id="2"/>
      </w:r>
      <w:r w:rsidR="00E91011" w:rsidRPr="00E91011">
        <w:rPr>
          <w:rFonts w:ascii="Times New Roman" w:eastAsia="Source Sans Pro" w:hAnsi="Times New Roman" w:cs="Times New Roman"/>
          <w:sz w:val="22"/>
          <w:szCs w:val="22"/>
        </w:rPr>
        <w:t xml:space="preserve"> </w:t>
      </w:r>
    </w:p>
    <w:p w14:paraId="78B90EBC" w14:textId="076A7304" w:rsidR="00E91011" w:rsidRPr="007C2B7D" w:rsidRDefault="00F07CB7" w:rsidP="008B7BB3">
      <w:pPr>
        <w:pStyle w:val="ExcludedfromToC3"/>
        <w:numPr>
          <w:ilvl w:val="0"/>
          <w:numId w:val="19"/>
        </w:numPr>
        <w:rPr>
          <w:rFonts w:ascii="Times New Roman" w:eastAsia="Source Sans Pro" w:hAnsi="Times New Roman" w:cs="Times New Roman"/>
          <w:sz w:val="22"/>
          <w:szCs w:val="22"/>
        </w:rPr>
      </w:pPr>
      <w:r>
        <w:rPr>
          <w:rFonts w:ascii="Times New Roman" w:eastAsia="Source Sans Pro" w:hAnsi="Times New Roman" w:cs="Times New Roman"/>
          <w:sz w:val="22"/>
          <w:szCs w:val="22"/>
        </w:rPr>
        <w:t>Victorian r</w:t>
      </w:r>
      <w:r w:rsidR="00E91011" w:rsidRPr="00E91011">
        <w:rPr>
          <w:rFonts w:ascii="Times New Roman" w:eastAsia="Source Sans Pro" w:hAnsi="Times New Roman" w:cs="Times New Roman"/>
          <w:sz w:val="22"/>
          <w:szCs w:val="22"/>
        </w:rPr>
        <w:t xml:space="preserve">enters have a higher incidence of other experiences of </w:t>
      </w:r>
      <w:r w:rsidR="00255861">
        <w:rPr>
          <w:rFonts w:ascii="Times New Roman" w:eastAsia="Source Sans Pro" w:hAnsi="Times New Roman" w:cs="Times New Roman"/>
          <w:sz w:val="22"/>
          <w:szCs w:val="22"/>
        </w:rPr>
        <w:t>vulnerabilities</w:t>
      </w:r>
      <w:r w:rsidR="00E91011" w:rsidRPr="00E91011">
        <w:rPr>
          <w:rFonts w:ascii="Times New Roman" w:eastAsia="Source Sans Pro" w:hAnsi="Times New Roman" w:cs="Times New Roman"/>
          <w:sz w:val="22"/>
          <w:szCs w:val="22"/>
        </w:rPr>
        <w:t xml:space="preserve"> and disadvantage, </w:t>
      </w:r>
      <w:r w:rsidR="007C2B7D">
        <w:rPr>
          <w:rFonts w:ascii="Times New Roman" w:eastAsia="Source Sans Pro" w:hAnsi="Times New Roman" w:cs="Times New Roman"/>
          <w:sz w:val="22"/>
          <w:szCs w:val="22"/>
        </w:rPr>
        <w:t xml:space="preserve">as </w:t>
      </w:r>
      <w:r w:rsidR="007C2B7D" w:rsidRPr="007C2B7D">
        <w:rPr>
          <w:rFonts w:ascii="Times New Roman" w:eastAsia="Source Sans Pro" w:hAnsi="Times New Roman" w:cs="Times New Roman"/>
          <w:sz w:val="22"/>
          <w:szCs w:val="22"/>
        </w:rPr>
        <w:t>follows:</w:t>
      </w:r>
      <w:r>
        <w:rPr>
          <w:rStyle w:val="FootnoteReference"/>
          <w:rFonts w:ascii="Times New Roman" w:eastAsia="Source Sans Pro" w:hAnsi="Times New Roman" w:cs="Times New Roman"/>
          <w:sz w:val="22"/>
          <w:szCs w:val="22"/>
        </w:rPr>
        <w:footnoteReference w:id="3"/>
      </w:r>
    </w:p>
    <w:p w14:paraId="2A1C7FCD" w14:textId="6FABAA37" w:rsidR="007C2B7D" w:rsidRPr="007C2B7D" w:rsidRDefault="007C2B7D" w:rsidP="007C2B7D">
      <w:pPr>
        <w:pStyle w:val="ExcludedfromToC3"/>
        <w:numPr>
          <w:ilvl w:val="1"/>
          <w:numId w:val="19"/>
        </w:numPr>
        <w:rPr>
          <w:rFonts w:ascii="Times New Roman" w:eastAsia="Source Sans Pro" w:hAnsi="Times New Roman" w:cs="Times New Roman"/>
          <w:sz w:val="22"/>
          <w:szCs w:val="22"/>
        </w:rPr>
      </w:pPr>
      <w:r w:rsidRPr="007C2B7D">
        <w:rPr>
          <w:rFonts w:ascii="Times New Roman" w:eastAsia="Source Sans Pro" w:hAnsi="Times New Roman" w:cs="Times New Roman"/>
          <w:sz w:val="22"/>
          <w:szCs w:val="22"/>
        </w:rPr>
        <w:t>51% of Vic</w:t>
      </w:r>
      <w:r w:rsidR="00F07CB7">
        <w:rPr>
          <w:rFonts w:ascii="Times New Roman" w:eastAsia="Source Sans Pro" w:hAnsi="Times New Roman" w:cs="Times New Roman"/>
          <w:sz w:val="22"/>
          <w:szCs w:val="22"/>
        </w:rPr>
        <w:t>torian</w:t>
      </w:r>
      <w:r w:rsidRPr="007C2B7D">
        <w:rPr>
          <w:rFonts w:ascii="Times New Roman" w:eastAsia="Source Sans Pro" w:hAnsi="Times New Roman" w:cs="Times New Roman"/>
          <w:sz w:val="22"/>
          <w:szCs w:val="22"/>
        </w:rPr>
        <w:t xml:space="preserve"> households including an Aboriginal person rented</w:t>
      </w:r>
    </w:p>
    <w:p w14:paraId="225FA248" w14:textId="77777777" w:rsidR="007C2B7D" w:rsidRPr="007C2B7D" w:rsidRDefault="007C2B7D" w:rsidP="007C2B7D">
      <w:pPr>
        <w:pStyle w:val="ExcludedfromToC3"/>
        <w:numPr>
          <w:ilvl w:val="1"/>
          <w:numId w:val="19"/>
        </w:numPr>
        <w:rPr>
          <w:rFonts w:ascii="Times New Roman" w:eastAsia="Source Sans Pro" w:hAnsi="Times New Roman" w:cs="Times New Roman"/>
          <w:sz w:val="22"/>
          <w:szCs w:val="22"/>
        </w:rPr>
      </w:pPr>
      <w:r w:rsidRPr="007C2B7D">
        <w:rPr>
          <w:rFonts w:ascii="Times New Roman" w:eastAsia="Source Sans Pro" w:hAnsi="Times New Roman" w:cs="Times New Roman"/>
          <w:sz w:val="22"/>
          <w:szCs w:val="22"/>
        </w:rPr>
        <w:t>About 33% of all renters spoke a language other than English</w:t>
      </w:r>
    </w:p>
    <w:p w14:paraId="35881FBC" w14:textId="619B85EA" w:rsidR="00E91011" w:rsidRDefault="007C2B7D" w:rsidP="007C2B7D">
      <w:pPr>
        <w:pStyle w:val="ExcludedfromToC3"/>
        <w:numPr>
          <w:ilvl w:val="1"/>
          <w:numId w:val="19"/>
        </w:numPr>
        <w:rPr>
          <w:rFonts w:ascii="Times New Roman" w:eastAsia="Source Sans Pro" w:hAnsi="Times New Roman" w:cs="Times New Roman"/>
          <w:sz w:val="22"/>
          <w:szCs w:val="22"/>
        </w:rPr>
      </w:pPr>
      <w:r w:rsidRPr="007C2B7D">
        <w:rPr>
          <w:rFonts w:ascii="Times New Roman" w:eastAsia="Source Sans Pro" w:hAnsi="Times New Roman" w:cs="Times New Roman"/>
          <w:sz w:val="22"/>
          <w:szCs w:val="22"/>
        </w:rPr>
        <w:lastRenderedPageBreak/>
        <w:t>About 4.4% of renters are ‘profoundly disabled’</w:t>
      </w:r>
    </w:p>
    <w:p w14:paraId="266D571F" w14:textId="5D7E4226" w:rsidR="00146C1D" w:rsidRPr="00E91011" w:rsidRDefault="00146C1D" w:rsidP="007C2B7D">
      <w:pPr>
        <w:pStyle w:val="ExcludedfromToC3"/>
        <w:numPr>
          <w:ilvl w:val="1"/>
          <w:numId w:val="19"/>
        </w:numPr>
        <w:rPr>
          <w:rFonts w:ascii="Times New Roman" w:eastAsia="Source Sans Pro" w:hAnsi="Times New Roman" w:cs="Times New Roman"/>
          <w:sz w:val="22"/>
          <w:szCs w:val="22"/>
        </w:rPr>
      </w:pPr>
      <w:r>
        <w:rPr>
          <w:rFonts w:ascii="Times New Roman" w:eastAsia="Source Sans Pro" w:hAnsi="Times New Roman" w:cs="Times New Roman"/>
          <w:sz w:val="22"/>
          <w:szCs w:val="22"/>
        </w:rPr>
        <w:t>An increasing percentage of renters, or those with insecure housing, are older women</w:t>
      </w:r>
    </w:p>
    <w:p w14:paraId="6E7740B3" w14:textId="380BDF27" w:rsidR="00E91011" w:rsidRPr="00E91011" w:rsidRDefault="00E91011" w:rsidP="008B7BB3">
      <w:pPr>
        <w:pStyle w:val="ExcludedfromToC3"/>
        <w:numPr>
          <w:ilvl w:val="0"/>
          <w:numId w:val="19"/>
        </w:numPr>
        <w:rPr>
          <w:rFonts w:ascii="Times New Roman" w:eastAsia="Source Sans Pro" w:hAnsi="Times New Roman" w:cs="Times New Roman"/>
          <w:sz w:val="22"/>
          <w:szCs w:val="22"/>
        </w:rPr>
      </w:pPr>
      <w:r w:rsidRPr="00E91011">
        <w:rPr>
          <w:rFonts w:ascii="Times New Roman" w:eastAsia="Source Sans Pro" w:hAnsi="Times New Roman" w:cs="Times New Roman"/>
          <w:sz w:val="22"/>
          <w:szCs w:val="22"/>
        </w:rPr>
        <w:t>Renters are renting for longer, as purchasing a home</w:t>
      </w:r>
      <w:r w:rsidR="00255861">
        <w:rPr>
          <w:rFonts w:ascii="Times New Roman" w:eastAsia="Source Sans Pro" w:hAnsi="Times New Roman" w:cs="Times New Roman"/>
          <w:sz w:val="22"/>
          <w:szCs w:val="22"/>
        </w:rPr>
        <w:t xml:space="preserve"> in Australia</w:t>
      </w:r>
      <w:r w:rsidRPr="00E91011">
        <w:rPr>
          <w:rFonts w:ascii="Times New Roman" w:eastAsia="Source Sans Pro" w:hAnsi="Times New Roman" w:cs="Times New Roman"/>
          <w:sz w:val="22"/>
          <w:szCs w:val="22"/>
        </w:rPr>
        <w:t xml:space="preserve"> becomes increasingly unaffordable for many. Homeownership is dropping. There are reportedly about 100,000 </w:t>
      </w:r>
      <w:r w:rsidR="00713BDB">
        <w:rPr>
          <w:rFonts w:ascii="Times New Roman" w:eastAsia="Source Sans Pro" w:hAnsi="Times New Roman" w:cs="Times New Roman"/>
          <w:sz w:val="22"/>
          <w:szCs w:val="22"/>
        </w:rPr>
        <w:t xml:space="preserve">people </w:t>
      </w:r>
      <w:r w:rsidRPr="00E91011">
        <w:rPr>
          <w:rFonts w:ascii="Times New Roman" w:eastAsia="Source Sans Pro" w:hAnsi="Times New Roman" w:cs="Times New Roman"/>
          <w:sz w:val="22"/>
          <w:szCs w:val="22"/>
        </w:rPr>
        <w:t xml:space="preserve">on the current social housing wait list in Victoria. </w:t>
      </w:r>
    </w:p>
    <w:p w14:paraId="4AE231DF" w14:textId="0153BE2F" w:rsidR="002801E5" w:rsidRPr="00594999" w:rsidRDefault="00E407A1" w:rsidP="00E91011">
      <w:pPr>
        <w:pStyle w:val="ExcludedfromToC3"/>
        <w:rPr>
          <w:rFonts w:ascii="Times New Roman" w:eastAsia="Source Sans Pro" w:hAnsi="Times New Roman" w:cs="Times New Roman"/>
          <w:sz w:val="22"/>
          <w:szCs w:val="22"/>
        </w:rPr>
      </w:pPr>
      <w:r>
        <w:rPr>
          <w:rFonts w:ascii="Times New Roman" w:eastAsia="Source Sans Pro" w:hAnsi="Times New Roman" w:cs="Times New Roman"/>
          <w:sz w:val="22"/>
          <w:szCs w:val="22"/>
        </w:rPr>
        <w:t>This greater likelihood of vulnerabilit</w:t>
      </w:r>
      <w:r w:rsidR="003966D5">
        <w:rPr>
          <w:rFonts w:ascii="Times New Roman" w:eastAsia="Source Sans Pro" w:hAnsi="Times New Roman" w:cs="Times New Roman"/>
          <w:sz w:val="22"/>
          <w:szCs w:val="22"/>
        </w:rPr>
        <w:t xml:space="preserve">y </w:t>
      </w:r>
      <w:r w:rsidR="00CF60F6">
        <w:rPr>
          <w:rFonts w:ascii="Times New Roman" w:eastAsia="Source Sans Pro" w:hAnsi="Times New Roman" w:cs="Times New Roman"/>
          <w:sz w:val="22"/>
          <w:szCs w:val="22"/>
        </w:rPr>
        <w:t>is likely to</w:t>
      </w:r>
      <w:r w:rsidR="003966D5">
        <w:rPr>
          <w:rFonts w:ascii="Times New Roman" w:eastAsia="Source Sans Pro" w:hAnsi="Times New Roman" w:cs="Times New Roman"/>
          <w:sz w:val="22"/>
          <w:szCs w:val="22"/>
        </w:rPr>
        <w:t xml:space="preserve"> increase</w:t>
      </w:r>
      <w:r w:rsidR="002801E5">
        <w:rPr>
          <w:rFonts w:ascii="Times New Roman" w:eastAsia="Source Sans Pro" w:hAnsi="Times New Roman" w:cs="Times New Roman"/>
          <w:sz w:val="22"/>
          <w:szCs w:val="22"/>
        </w:rPr>
        <w:t xml:space="preserve"> sensitivity to climate change impacts</w:t>
      </w:r>
      <w:r w:rsidR="007F6017">
        <w:rPr>
          <w:rFonts w:ascii="Times New Roman" w:eastAsia="Source Sans Pro" w:hAnsi="Times New Roman" w:cs="Times New Roman"/>
          <w:sz w:val="22"/>
          <w:szCs w:val="22"/>
        </w:rPr>
        <w:t xml:space="preserve"> such as extreme heat and flooding</w:t>
      </w:r>
      <w:r w:rsidR="002801E5">
        <w:rPr>
          <w:rFonts w:ascii="Times New Roman" w:eastAsia="Source Sans Pro" w:hAnsi="Times New Roman" w:cs="Times New Roman"/>
          <w:sz w:val="22"/>
          <w:szCs w:val="22"/>
        </w:rPr>
        <w:t xml:space="preserve"> (i.e. those with disabilities, or older renters)</w:t>
      </w:r>
      <w:r w:rsidR="003966D5">
        <w:rPr>
          <w:rFonts w:ascii="Times New Roman" w:eastAsia="Source Sans Pro" w:hAnsi="Times New Roman" w:cs="Times New Roman"/>
          <w:sz w:val="22"/>
          <w:szCs w:val="22"/>
        </w:rPr>
        <w:t xml:space="preserve">, </w:t>
      </w:r>
      <w:r w:rsidR="003E76D3">
        <w:rPr>
          <w:rFonts w:ascii="Times New Roman" w:eastAsia="Source Sans Pro" w:hAnsi="Times New Roman" w:cs="Times New Roman"/>
          <w:sz w:val="22"/>
          <w:szCs w:val="22"/>
        </w:rPr>
        <w:t xml:space="preserve">increase exposure through </w:t>
      </w:r>
      <w:r w:rsidR="007F626C">
        <w:rPr>
          <w:rFonts w:ascii="Times New Roman" w:eastAsia="Source Sans Pro" w:hAnsi="Times New Roman" w:cs="Times New Roman"/>
          <w:sz w:val="22"/>
          <w:szCs w:val="22"/>
        </w:rPr>
        <w:t xml:space="preserve">reduced capacity to </w:t>
      </w:r>
      <w:r w:rsidR="003E76D3">
        <w:rPr>
          <w:rFonts w:ascii="Times New Roman" w:eastAsia="Source Sans Pro" w:hAnsi="Times New Roman" w:cs="Times New Roman"/>
          <w:sz w:val="22"/>
          <w:szCs w:val="22"/>
        </w:rPr>
        <w:t>move premises, or mitigate the</w:t>
      </w:r>
      <w:r w:rsidR="007F626C">
        <w:rPr>
          <w:rFonts w:ascii="Times New Roman" w:eastAsia="Source Sans Pro" w:hAnsi="Times New Roman" w:cs="Times New Roman"/>
          <w:sz w:val="22"/>
          <w:szCs w:val="22"/>
        </w:rPr>
        <w:t xml:space="preserve"> impacts of climate change through </w:t>
      </w:r>
      <w:r w:rsidR="00945E66">
        <w:rPr>
          <w:rFonts w:ascii="Times New Roman" w:eastAsia="Source Sans Pro" w:hAnsi="Times New Roman" w:cs="Times New Roman"/>
          <w:sz w:val="22"/>
          <w:szCs w:val="22"/>
        </w:rPr>
        <w:t xml:space="preserve">i.e. home modifications such as solar panels </w:t>
      </w:r>
      <w:r w:rsidR="007F626C">
        <w:rPr>
          <w:rFonts w:ascii="Times New Roman" w:eastAsia="Source Sans Pro" w:hAnsi="Times New Roman" w:cs="Times New Roman"/>
          <w:sz w:val="22"/>
          <w:szCs w:val="22"/>
        </w:rPr>
        <w:t xml:space="preserve">(due to relative </w:t>
      </w:r>
      <w:r w:rsidR="007F626C" w:rsidRPr="00594999">
        <w:rPr>
          <w:rFonts w:ascii="Times New Roman" w:eastAsia="Source Sans Pro" w:hAnsi="Times New Roman" w:cs="Times New Roman"/>
          <w:sz w:val="22"/>
          <w:szCs w:val="22"/>
        </w:rPr>
        <w:t xml:space="preserve">poverty as well as reduced </w:t>
      </w:r>
      <w:r w:rsidR="00945E66" w:rsidRPr="00594999">
        <w:rPr>
          <w:rFonts w:ascii="Times New Roman" w:eastAsia="Source Sans Pro" w:hAnsi="Times New Roman" w:cs="Times New Roman"/>
          <w:sz w:val="22"/>
          <w:szCs w:val="22"/>
        </w:rPr>
        <w:t>agency to engage in modifications due to</w:t>
      </w:r>
      <w:r w:rsidR="00336000" w:rsidRPr="00594999">
        <w:rPr>
          <w:rFonts w:ascii="Times New Roman" w:eastAsia="Source Sans Pro" w:hAnsi="Times New Roman" w:cs="Times New Roman"/>
          <w:sz w:val="22"/>
          <w:szCs w:val="22"/>
        </w:rPr>
        <w:t xml:space="preserve"> lack of ownership) </w:t>
      </w:r>
      <w:r w:rsidR="003E76D3">
        <w:rPr>
          <w:rFonts w:ascii="Times New Roman" w:eastAsia="Source Sans Pro" w:hAnsi="Times New Roman" w:cs="Times New Roman"/>
          <w:sz w:val="22"/>
          <w:szCs w:val="22"/>
        </w:rPr>
        <w:t>and so result</w:t>
      </w:r>
      <w:r w:rsidR="00336000" w:rsidRPr="00594999">
        <w:rPr>
          <w:rFonts w:ascii="Times New Roman" w:eastAsia="Source Sans Pro" w:hAnsi="Times New Roman" w:cs="Times New Roman"/>
          <w:sz w:val="22"/>
          <w:szCs w:val="22"/>
        </w:rPr>
        <w:t xml:space="preserve"> in an overall reduction of ‘adaptive capacity’</w:t>
      </w:r>
      <w:r w:rsidR="00536FFF" w:rsidRPr="00594999">
        <w:rPr>
          <w:rStyle w:val="FootnoteReference"/>
          <w:rFonts w:ascii="Times New Roman" w:eastAsia="Source Sans Pro" w:hAnsi="Times New Roman" w:cs="Times New Roman"/>
          <w:sz w:val="22"/>
          <w:szCs w:val="22"/>
        </w:rPr>
        <w:footnoteReference w:id="4"/>
      </w:r>
      <w:r w:rsidR="00336000" w:rsidRPr="00594999">
        <w:rPr>
          <w:rFonts w:ascii="Times New Roman" w:eastAsia="Source Sans Pro" w:hAnsi="Times New Roman" w:cs="Times New Roman"/>
          <w:sz w:val="22"/>
          <w:szCs w:val="22"/>
        </w:rPr>
        <w:t xml:space="preserve"> of renters vis-à-vis </w:t>
      </w:r>
      <w:r w:rsidR="007F6017" w:rsidRPr="00594999">
        <w:rPr>
          <w:rFonts w:ascii="Times New Roman" w:eastAsia="Source Sans Pro" w:hAnsi="Times New Roman" w:cs="Times New Roman"/>
          <w:sz w:val="22"/>
          <w:szCs w:val="22"/>
        </w:rPr>
        <w:t xml:space="preserve">home owners in Australia. </w:t>
      </w:r>
    </w:p>
    <w:p w14:paraId="6A610480" w14:textId="77777777" w:rsidR="00587B9F" w:rsidRPr="00594999" w:rsidRDefault="00587B9F" w:rsidP="00587B9F">
      <w:pPr>
        <w:rPr>
          <w:rFonts w:ascii="Times New Roman" w:hAnsi="Times New Roman" w:cs="Times New Roman"/>
        </w:rPr>
      </w:pPr>
      <w:r w:rsidRPr="00594999">
        <w:rPr>
          <w:rFonts w:ascii="Times New Roman" w:hAnsi="Times New Roman" w:cs="Times New Roman"/>
          <w:noProof/>
          <w:lang w:val="en-US"/>
        </w:rPr>
        <w:drawing>
          <wp:inline distT="0" distB="0" distL="0" distR="0" wp14:anchorId="18232F72" wp14:editId="18DFED6D">
            <wp:extent cx="4524375" cy="140017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1400175"/>
                    </a:xfrm>
                    <a:prstGeom prst="rect">
                      <a:avLst/>
                    </a:prstGeom>
                    <a:noFill/>
                    <a:ln>
                      <a:noFill/>
                    </a:ln>
                  </pic:spPr>
                </pic:pic>
              </a:graphicData>
            </a:graphic>
          </wp:inline>
        </w:drawing>
      </w:r>
    </w:p>
    <w:p w14:paraId="26F6846F" w14:textId="77777777" w:rsidR="00587B9F" w:rsidRPr="00594999" w:rsidRDefault="00587B9F" w:rsidP="00587B9F">
      <w:pPr>
        <w:rPr>
          <w:rFonts w:ascii="Times New Roman" w:hAnsi="Times New Roman" w:cs="Times New Roman"/>
        </w:rPr>
      </w:pPr>
      <w:r w:rsidRPr="00594999">
        <w:rPr>
          <w:rFonts w:ascii="Times New Roman" w:hAnsi="Times New Roman" w:cs="Times New Roman"/>
        </w:rPr>
        <w:t>Figure 2:  Vulnerability to climate events</w:t>
      </w:r>
      <w:r w:rsidRPr="00594999">
        <w:rPr>
          <w:rStyle w:val="FootnoteReference"/>
          <w:rFonts w:ascii="Times New Roman" w:hAnsi="Times New Roman" w:cs="Times New Roman"/>
        </w:rPr>
        <w:footnoteReference w:id="5"/>
      </w:r>
    </w:p>
    <w:p w14:paraId="1E087733" w14:textId="77777777" w:rsidR="00587B9F" w:rsidRPr="00594999" w:rsidRDefault="00587B9F" w:rsidP="00587B9F">
      <w:pPr>
        <w:rPr>
          <w:rFonts w:ascii="Times New Roman" w:hAnsi="Times New Roman" w:cs="Times New Roman"/>
        </w:rPr>
      </w:pPr>
      <w:r w:rsidRPr="00594999">
        <w:rPr>
          <w:rFonts w:ascii="Times New Roman" w:hAnsi="Times New Roman" w:cs="Times New Roman"/>
          <w:noProof/>
          <w:lang w:val="en-US"/>
        </w:rPr>
        <w:drawing>
          <wp:inline distT="0" distB="0" distL="0" distR="0" wp14:anchorId="61A42D3C" wp14:editId="7268514D">
            <wp:extent cx="4743450" cy="16573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1657350"/>
                    </a:xfrm>
                    <a:prstGeom prst="rect">
                      <a:avLst/>
                    </a:prstGeom>
                    <a:noFill/>
                    <a:ln>
                      <a:noFill/>
                    </a:ln>
                  </pic:spPr>
                </pic:pic>
              </a:graphicData>
            </a:graphic>
          </wp:inline>
        </w:drawing>
      </w:r>
    </w:p>
    <w:p w14:paraId="45D1AE94" w14:textId="77777777" w:rsidR="00587B9F" w:rsidRPr="00594999" w:rsidRDefault="00587B9F" w:rsidP="00587B9F">
      <w:pPr>
        <w:rPr>
          <w:rFonts w:ascii="Times New Roman" w:hAnsi="Times New Roman" w:cs="Times New Roman"/>
        </w:rPr>
      </w:pPr>
      <w:r w:rsidRPr="00594999">
        <w:rPr>
          <w:rFonts w:ascii="Times New Roman" w:hAnsi="Times New Roman" w:cs="Times New Roman"/>
        </w:rPr>
        <w:t>Figure 3:   Higher adaptive capacity reduces exposure and sensitivity and overall vulnerability</w:t>
      </w:r>
      <w:r w:rsidRPr="00594999">
        <w:rPr>
          <w:rStyle w:val="FootnoteReference"/>
          <w:rFonts w:ascii="Times New Roman" w:hAnsi="Times New Roman" w:cs="Times New Roman"/>
        </w:rPr>
        <w:footnoteReference w:id="6"/>
      </w:r>
    </w:p>
    <w:p w14:paraId="49325F18" w14:textId="77777777" w:rsidR="00587B9F" w:rsidRDefault="00587B9F" w:rsidP="00E91011">
      <w:pPr>
        <w:pStyle w:val="ExcludedfromToC3"/>
        <w:rPr>
          <w:rFonts w:ascii="Times New Roman" w:eastAsia="Source Sans Pro" w:hAnsi="Times New Roman" w:cs="Times New Roman"/>
          <w:sz w:val="22"/>
          <w:szCs w:val="22"/>
        </w:rPr>
      </w:pPr>
    </w:p>
    <w:p w14:paraId="72BB0589" w14:textId="078F2C73" w:rsidR="00EB7A11" w:rsidRPr="0036088E" w:rsidRDefault="0036088E" w:rsidP="00EB7A11">
      <w:pPr>
        <w:jc w:val="both"/>
        <w:rPr>
          <w:rFonts w:ascii="Times New Roman" w:hAnsi="Times New Roman" w:cs="Times New Roman"/>
          <w:u w:val="single"/>
        </w:rPr>
      </w:pPr>
      <w:r w:rsidRPr="0036088E">
        <w:rPr>
          <w:rFonts w:ascii="Times New Roman" w:hAnsi="Times New Roman" w:cs="Times New Roman"/>
          <w:u w:val="single"/>
        </w:rPr>
        <w:t>Main impacts of climate change on renters’ enjoyment of right to adequate housing</w:t>
      </w:r>
    </w:p>
    <w:p w14:paraId="1A424B7A" w14:textId="408FDF9A" w:rsidR="0036088E" w:rsidRDefault="00CF2FF4" w:rsidP="00EB7A11">
      <w:pPr>
        <w:jc w:val="both"/>
        <w:rPr>
          <w:rFonts w:ascii="Times New Roman" w:hAnsi="Times New Roman" w:cs="Times New Roman"/>
        </w:rPr>
      </w:pPr>
      <w:r>
        <w:rPr>
          <w:rFonts w:ascii="Times New Roman" w:hAnsi="Times New Roman" w:cs="Times New Roman"/>
        </w:rPr>
        <w:t xml:space="preserve">The three key impacts on renters are as follows: </w:t>
      </w:r>
    </w:p>
    <w:p w14:paraId="00C7B7C3" w14:textId="59DE602D" w:rsidR="00123D64" w:rsidRPr="00123D64" w:rsidRDefault="009B24B2" w:rsidP="00123D64">
      <w:pPr>
        <w:pStyle w:val="ListParagraph"/>
        <w:numPr>
          <w:ilvl w:val="1"/>
          <w:numId w:val="2"/>
        </w:numPr>
        <w:jc w:val="both"/>
        <w:rPr>
          <w:rFonts w:ascii="Times New Roman" w:hAnsi="Times New Roman" w:cs="Times New Roman"/>
        </w:rPr>
      </w:pPr>
      <w:r w:rsidRPr="003A6C48">
        <w:rPr>
          <w:rFonts w:ascii="Times New Roman" w:hAnsi="Times New Roman" w:cs="Times New Roman"/>
          <w:b/>
          <w:bCs/>
        </w:rPr>
        <w:t>Reduced</w:t>
      </w:r>
      <w:r w:rsidR="004F36AE" w:rsidRPr="003A6C48">
        <w:rPr>
          <w:rFonts w:ascii="Times New Roman" w:hAnsi="Times New Roman" w:cs="Times New Roman"/>
          <w:b/>
          <w:bCs/>
        </w:rPr>
        <w:t xml:space="preserve"> habitability</w:t>
      </w:r>
      <w:r>
        <w:rPr>
          <w:rFonts w:ascii="Times New Roman" w:hAnsi="Times New Roman" w:cs="Times New Roman"/>
        </w:rPr>
        <w:t xml:space="preserve"> –</w:t>
      </w:r>
      <w:r w:rsidR="004F36AE">
        <w:rPr>
          <w:rFonts w:ascii="Times New Roman" w:hAnsi="Times New Roman" w:cs="Times New Roman"/>
        </w:rPr>
        <w:t xml:space="preserve"> particularly of poorly maintained or low-quality rental stock that is impacted by extreme heat</w:t>
      </w:r>
      <w:r>
        <w:rPr>
          <w:rFonts w:ascii="Times New Roman" w:hAnsi="Times New Roman" w:cs="Times New Roman"/>
        </w:rPr>
        <w:t xml:space="preserve"> (particularly where there is insufficient insulation and/or air-conditioning)</w:t>
      </w:r>
      <w:r w:rsidR="004F36AE">
        <w:rPr>
          <w:rFonts w:ascii="Times New Roman" w:hAnsi="Times New Roman" w:cs="Times New Roman"/>
        </w:rPr>
        <w:t xml:space="preserve"> and/or mould during wet conditions.</w:t>
      </w:r>
      <w:r w:rsidR="00123D64">
        <w:rPr>
          <w:rFonts w:ascii="Times New Roman" w:hAnsi="Times New Roman" w:cs="Times New Roman"/>
        </w:rPr>
        <w:t xml:space="preserve"> This</w:t>
      </w:r>
      <w:r w:rsidR="00BD1868">
        <w:rPr>
          <w:rFonts w:ascii="Times New Roman" w:hAnsi="Times New Roman" w:cs="Times New Roman"/>
        </w:rPr>
        <w:t xml:space="preserve"> reduced habitability </w:t>
      </w:r>
      <w:r w:rsidR="00BD1868">
        <w:rPr>
          <w:rFonts w:ascii="Times New Roman" w:hAnsi="Times New Roman" w:cs="Times New Roman"/>
        </w:rPr>
        <w:lastRenderedPageBreak/>
        <w:t>has been found to have</w:t>
      </w:r>
      <w:r w:rsidR="00123D64">
        <w:rPr>
          <w:rFonts w:ascii="Times New Roman" w:hAnsi="Times New Roman" w:cs="Times New Roman"/>
        </w:rPr>
        <w:t xml:space="preserve"> flow-on effects in relation to </w:t>
      </w:r>
      <w:r w:rsidR="00BD1868">
        <w:rPr>
          <w:rFonts w:ascii="Times New Roman" w:hAnsi="Times New Roman" w:cs="Times New Roman"/>
        </w:rPr>
        <w:t xml:space="preserve">increased </w:t>
      </w:r>
      <w:r w:rsidR="00123D64">
        <w:rPr>
          <w:rFonts w:ascii="Times New Roman" w:hAnsi="Times New Roman" w:cs="Times New Roman"/>
        </w:rPr>
        <w:t>mental health</w:t>
      </w:r>
      <w:r w:rsidR="00BD1868">
        <w:rPr>
          <w:rFonts w:ascii="Times New Roman" w:hAnsi="Times New Roman" w:cs="Times New Roman"/>
        </w:rPr>
        <w:t xml:space="preserve"> episodes</w:t>
      </w:r>
      <w:r w:rsidR="00123D64">
        <w:rPr>
          <w:rFonts w:ascii="Times New Roman" w:hAnsi="Times New Roman" w:cs="Times New Roman"/>
        </w:rPr>
        <w:t>, family violence</w:t>
      </w:r>
      <w:r w:rsidR="00BD1868">
        <w:rPr>
          <w:rFonts w:ascii="Times New Roman" w:hAnsi="Times New Roman" w:cs="Times New Roman"/>
        </w:rPr>
        <w:t xml:space="preserve"> call outs</w:t>
      </w:r>
      <w:r w:rsidR="00123D64">
        <w:rPr>
          <w:rFonts w:ascii="Times New Roman" w:hAnsi="Times New Roman" w:cs="Times New Roman"/>
        </w:rPr>
        <w:t xml:space="preserve">, and other </w:t>
      </w:r>
      <w:r w:rsidR="00BD1868">
        <w:rPr>
          <w:rFonts w:ascii="Times New Roman" w:hAnsi="Times New Roman" w:cs="Times New Roman"/>
        </w:rPr>
        <w:t xml:space="preserve">impacts on </w:t>
      </w:r>
      <w:r w:rsidR="00123D64">
        <w:rPr>
          <w:rFonts w:ascii="Times New Roman" w:hAnsi="Times New Roman" w:cs="Times New Roman"/>
        </w:rPr>
        <w:t>wellbeing measures</w:t>
      </w:r>
      <w:r w:rsidR="00BD1868">
        <w:rPr>
          <w:rFonts w:ascii="Times New Roman" w:hAnsi="Times New Roman" w:cs="Times New Roman"/>
        </w:rPr>
        <w:t xml:space="preserve"> – see boxed text overleaf.</w:t>
      </w:r>
      <w:r w:rsidR="00BD1868">
        <w:rPr>
          <w:rStyle w:val="FootnoteReference"/>
          <w:rFonts w:ascii="Times New Roman" w:hAnsi="Times New Roman" w:cs="Times New Roman"/>
        </w:rPr>
        <w:footnoteReference w:id="7"/>
      </w:r>
    </w:p>
    <w:p w14:paraId="5651B5CA" w14:textId="64710D08" w:rsidR="004F36AE" w:rsidRPr="004F36AE" w:rsidRDefault="009B24B2" w:rsidP="004F36AE">
      <w:pPr>
        <w:pStyle w:val="ListParagraph"/>
        <w:numPr>
          <w:ilvl w:val="1"/>
          <w:numId w:val="2"/>
        </w:numPr>
        <w:jc w:val="both"/>
        <w:rPr>
          <w:rFonts w:ascii="Times New Roman" w:hAnsi="Times New Roman" w:cs="Times New Roman"/>
        </w:rPr>
      </w:pPr>
      <w:r w:rsidRPr="003A6C48">
        <w:rPr>
          <w:rFonts w:ascii="Times New Roman" w:hAnsi="Times New Roman" w:cs="Times New Roman"/>
          <w:b/>
          <w:bCs/>
        </w:rPr>
        <w:t>Reduced</w:t>
      </w:r>
      <w:r w:rsidR="004F36AE" w:rsidRPr="003A6C48">
        <w:rPr>
          <w:rFonts w:ascii="Times New Roman" w:hAnsi="Times New Roman" w:cs="Times New Roman"/>
          <w:b/>
          <w:bCs/>
        </w:rPr>
        <w:t xml:space="preserve"> affordability</w:t>
      </w:r>
      <w:r>
        <w:rPr>
          <w:rFonts w:ascii="Times New Roman" w:hAnsi="Times New Roman" w:cs="Times New Roman"/>
        </w:rPr>
        <w:t xml:space="preserve"> – due to increased living costs flowing from</w:t>
      </w:r>
      <w:r w:rsidR="004F36AE">
        <w:rPr>
          <w:rFonts w:ascii="Times New Roman" w:hAnsi="Times New Roman" w:cs="Times New Roman"/>
        </w:rPr>
        <w:t xml:space="preserve"> </w:t>
      </w:r>
      <w:r w:rsidR="008F02E1">
        <w:rPr>
          <w:rFonts w:ascii="Times New Roman" w:hAnsi="Times New Roman" w:cs="Times New Roman"/>
        </w:rPr>
        <w:t>extreme heat,</w:t>
      </w:r>
      <w:r w:rsidR="00553845">
        <w:rPr>
          <w:rStyle w:val="FootnoteReference"/>
          <w:rFonts w:ascii="Times New Roman" w:hAnsi="Times New Roman" w:cs="Times New Roman"/>
        </w:rPr>
        <w:footnoteReference w:id="8"/>
      </w:r>
      <w:r w:rsidR="008F02E1">
        <w:rPr>
          <w:rFonts w:ascii="Times New Roman" w:hAnsi="Times New Roman" w:cs="Times New Roman"/>
        </w:rPr>
        <w:t xml:space="preserve"> in particular in </w:t>
      </w:r>
      <w:r w:rsidR="004F36AE">
        <w:rPr>
          <w:rFonts w:ascii="Times New Roman" w:hAnsi="Times New Roman" w:cs="Times New Roman"/>
        </w:rPr>
        <w:t>poorly maintained or low-quality rental stock</w:t>
      </w:r>
      <w:r w:rsidR="00894535">
        <w:rPr>
          <w:rFonts w:ascii="Times New Roman" w:hAnsi="Times New Roman" w:cs="Times New Roman"/>
        </w:rPr>
        <w:t xml:space="preserve"> </w:t>
      </w:r>
      <w:r w:rsidR="001C3E8A">
        <w:rPr>
          <w:rFonts w:ascii="Times New Roman" w:hAnsi="Times New Roman" w:cs="Times New Roman"/>
        </w:rPr>
        <w:t>(</w:t>
      </w:r>
      <w:proofErr w:type="gramStart"/>
      <w:r w:rsidR="003F3335">
        <w:rPr>
          <w:rFonts w:ascii="Times New Roman" w:hAnsi="Times New Roman" w:cs="Times New Roman"/>
        </w:rPr>
        <w:t>i.e.</w:t>
      </w:r>
      <w:proofErr w:type="gramEnd"/>
      <w:r w:rsidR="003F3335">
        <w:rPr>
          <w:rFonts w:ascii="Times New Roman" w:hAnsi="Times New Roman" w:cs="Times New Roman"/>
        </w:rPr>
        <w:t xml:space="preserve"> increased energy costs due to </w:t>
      </w:r>
      <w:r w:rsidR="00CA291F">
        <w:rPr>
          <w:rFonts w:ascii="Times New Roman" w:hAnsi="Times New Roman" w:cs="Times New Roman"/>
        </w:rPr>
        <w:t xml:space="preserve">increased use of </w:t>
      </w:r>
      <w:r w:rsidR="009A69B9">
        <w:rPr>
          <w:rFonts w:ascii="Times New Roman" w:hAnsi="Times New Roman" w:cs="Times New Roman"/>
        </w:rPr>
        <w:t xml:space="preserve">high-intensity energy </w:t>
      </w:r>
      <w:r w:rsidR="001C3E8A">
        <w:rPr>
          <w:rFonts w:ascii="Times New Roman" w:hAnsi="Times New Roman" w:cs="Times New Roman"/>
        </w:rPr>
        <w:t>and/</w:t>
      </w:r>
      <w:r w:rsidR="009A69B9">
        <w:rPr>
          <w:rFonts w:ascii="Times New Roman" w:hAnsi="Times New Roman" w:cs="Times New Roman"/>
        </w:rPr>
        <w:t xml:space="preserve">or </w:t>
      </w:r>
      <w:r w:rsidR="00CA291F">
        <w:rPr>
          <w:rFonts w:ascii="Times New Roman" w:hAnsi="Times New Roman" w:cs="Times New Roman"/>
        </w:rPr>
        <w:t>energy-inefficient appliances</w:t>
      </w:r>
      <w:r w:rsidR="001C3E8A">
        <w:rPr>
          <w:rFonts w:ascii="Times New Roman" w:hAnsi="Times New Roman" w:cs="Times New Roman"/>
        </w:rPr>
        <w:t xml:space="preserve"> i.e. air-conditioners)</w:t>
      </w:r>
      <w:r w:rsidR="003F3335">
        <w:rPr>
          <w:rFonts w:ascii="Times New Roman" w:hAnsi="Times New Roman" w:cs="Times New Roman"/>
        </w:rPr>
        <w:t>,</w:t>
      </w:r>
      <w:r w:rsidR="00727F6E">
        <w:rPr>
          <w:rFonts w:ascii="Times New Roman" w:hAnsi="Times New Roman" w:cs="Times New Roman"/>
        </w:rPr>
        <w:t xml:space="preserve"> this exacerbated when a house is poorly insulated; and/</w:t>
      </w:r>
      <w:r w:rsidR="003F3335">
        <w:rPr>
          <w:rFonts w:ascii="Times New Roman" w:hAnsi="Times New Roman" w:cs="Times New Roman"/>
        </w:rPr>
        <w:t xml:space="preserve">or costs for mould remediation </w:t>
      </w:r>
      <w:r w:rsidR="003A6C48">
        <w:rPr>
          <w:rFonts w:ascii="Times New Roman" w:hAnsi="Times New Roman" w:cs="Times New Roman"/>
        </w:rPr>
        <w:t xml:space="preserve">where significant rain-fall in a year, and landlord unwilling to rectify. </w:t>
      </w:r>
      <w:r w:rsidR="00B90238">
        <w:rPr>
          <w:rFonts w:ascii="Times New Roman" w:hAnsi="Times New Roman" w:cs="Times New Roman"/>
        </w:rPr>
        <w:t>This has</w:t>
      </w:r>
      <w:r w:rsidR="00894535">
        <w:rPr>
          <w:rFonts w:ascii="Times New Roman" w:hAnsi="Times New Roman" w:cs="Times New Roman"/>
        </w:rPr>
        <w:t xml:space="preserve"> the largest impact on low-income renters, older renters, and those living with a disability</w:t>
      </w:r>
      <w:r w:rsidR="00C70596">
        <w:rPr>
          <w:rFonts w:ascii="Times New Roman" w:hAnsi="Times New Roman" w:cs="Times New Roman"/>
        </w:rPr>
        <w:t xml:space="preserve">; these groups are often most at risk of living in low-quality housing stock with old or inadequate appliances. </w:t>
      </w:r>
    </w:p>
    <w:p w14:paraId="22FF6E3C" w14:textId="71FB849D" w:rsidR="004F36AE" w:rsidRDefault="00894535" w:rsidP="00894535">
      <w:pPr>
        <w:pStyle w:val="ListParagraph"/>
        <w:numPr>
          <w:ilvl w:val="1"/>
          <w:numId w:val="2"/>
        </w:numPr>
        <w:jc w:val="both"/>
        <w:rPr>
          <w:rFonts w:ascii="Times New Roman" w:hAnsi="Times New Roman" w:cs="Times New Roman"/>
        </w:rPr>
      </w:pPr>
      <w:r w:rsidRPr="003A6C48">
        <w:rPr>
          <w:rFonts w:ascii="Times New Roman" w:hAnsi="Times New Roman" w:cs="Times New Roman"/>
          <w:b/>
          <w:bCs/>
        </w:rPr>
        <w:t>Disaster-related (bushfires, floods etc) impacts</w:t>
      </w:r>
      <w:r>
        <w:rPr>
          <w:rFonts w:ascii="Times New Roman" w:hAnsi="Times New Roman" w:cs="Times New Roman"/>
        </w:rPr>
        <w:t xml:space="preserve"> on rental housing in particular regional areas, impacting on availability, affordability, security of tenure, and habitability.</w:t>
      </w:r>
      <w:r w:rsidR="00867B35">
        <w:rPr>
          <w:rFonts w:ascii="Times New Roman" w:hAnsi="Times New Roman" w:cs="Times New Roman"/>
        </w:rPr>
        <w:t xml:space="preserve"> See further detail below. </w:t>
      </w:r>
    </w:p>
    <w:p w14:paraId="40B43EBD" w14:textId="77777777" w:rsidR="007309A5" w:rsidRPr="007309A5" w:rsidRDefault="007309A5" w:rsidP="007309A5">
      <w:pPr>
        <w:pStyle w:val="paragraph"/>
        <w:spacing w:before="0" w:beforeAutospacing="0" w:after="0" w:afterAutospacing="0"/>
        <w:textAlignment w:val="baseline"/>
        <w:rPr>
          <w:rStyle w:val="eop"/>
          <w:rFonts w:eastAsiaTheme="majorEastAsia"/>
          <w:sz w:val="22"/>
          <w:szCs w:val="22"/>
        </w:rPr>
      </w:pPr>
    </w:p>
    <w:p w14:paraId="7B5A974F" w14:textId="5D6BB785" w:rsidR="00C20CF6" w:rsidRDefault="00C20CF6" w:rsidP="00D03B75">
      <w:pPr>
        <w:jc w:val="both"/>
        <w:rPr>
          <w:rFonts w:ascii="Times New Roman" w:hAnsi="Times New Roman" w:cs="Times New Roman"/>
        </w:rPr>
      </w:pPr>
      <w:r>
        <w:rPr>
          <w:noProof/>
        </w:rPr>
        <w:drawing>
          <wp:inline distT="0" distB="0" distL="0" distR="0" wp14:anchorId="086C530B" wp14:editId="14E25671">
            <wp:extent cx="5731510" cy="3441700"/>
            <wp:effectExtent l="0" t="0" r="2540" b="6350"/>
            <wp:docPr id="8" name="Picture 8"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Word&#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31510" cy="3441700"/>
                    </a:xfrm>
                    <a:prstGeom prst="rect">
                      <a:avLst/>
                    </a:prstGeom>
                  </pic:spPr>
                </pic:pic>
              </a:graphicData>
            </a:graphic>
          </wp:inline>
        </w:drawing>
      </w:r>
    </w:p>
    <w:p w14:paraId="686F8A65" w14:textId="77777777" w:rsidR="00E5286A" w:rsidRDefault="00E5286A" w:rsidP="00D03B75">
      <w:pPr>
        <w:jc w:val="both"/>
        <w:rPr>
          <w:rFonts w:ascii="Times New Roman" w:hAnsi="Times New Roman" w:cs="Times New Roman"/>
          <w:u w:val="single"/>
        </w:rPr>
      </w:pPr>
    </w:p>
    <w:p w14:paraId="1157F5A1" w14:textId="26AD7BB5" w:rsidR="00D03B75" w:rsidRPr="00D03B75" w:rsidRDefault="00D03B75" w:rsidP="00D03B75">
      <w:pPr>
        <w:jc w:val="both"/>
        <w:rPr>
          <w:rFonts w:ascii="Times New Roman" w:hAnsi="Times New Roman" w:cs="Times New Roman"/>
          <w:u w:val="single"/>
        </w:rPr>
      </w:pPr>
      <w:r w:rsidRPr="00D03B75">
        <w:rPr>
          <w:rFonts w:ascii="Times New Roman" w:hAnsi="Times New Roman" w:cs="Times New Roman"/>
          <w:u w:val="single"/>
        </w:rPr>
        <w:t>Disaster-related impacts</w:t>
      </w:r>
    </w:p>
    <w:p w14:paraId="42D99899" w14:textId="77777777" w:rsidR="00F80DEA" w:rsidRPr="00F80DEA" w:rsidRDefault="00F80DEA" w:rsidP="00F80DEA">
      <w:pPr>
        <w:spacing w:after="240" w:line="276" w:lineRule="auto"/>
        <w:rPr>
          <w:rFonts w:ascii="Times New Roman" w:eastAsia="Arial" w:hAnsi="Times New Roman" w:cs="Times New Roman"/>
          <w:b/>
          <w:bCs/>
        </w:rPr>
      </w:pPr>
      <w:r w:rsidRPr="00F80DEA">
        <w:rPr>
          <w:rFonts w:ascii="Times New Roman" w:eastAsia="Arial" w:hAnsi="Times New Roman" w:cs="Times New Roman"/>
        </w:rPr>
        <w:t>Victoria is in one of the most bushfire prone regions on Earth</w:t>
      </w:r>
      <w:r w:rsidRPr="00F80DEA">
        <w:rPr>
          <w:rStyle w:val="FootnoteReference"/>
          <w:rFonts w:ascii="Times New Roman" w:eastAsia="Arial" w:hAnsi="Times New Roman" w:cs="Times New Roman"/>
        </w:rPr>
        <w:footnoteReference w:id="9"/>
      </w:r>
      <w:r w:rsidRPr="00F80DEA">
        <w:rPr>
          <w:rFonts w:ascii="Times New Roman" w:eastAsia="Arial" w:hAnsi="Times New Roman" w:cs="Times New Roman"/>
        </w:rPr>
        <w:t xml:space="preserve"> and research predicts the severity of bushfires will only increase.</w:t>
      </w:r>
      <w:r w:rsidRPr="00F80DEA">
        <w:rPr>
          <w:rStyle w:val="FootnoteReference"/>
          <w:rFonts w:ascii="Times New Roman" w:eastAsia="Arial" w:hAnsi="Times New Roman" w:cs="Times New Roman"/>
        </w:rPr>
        <w:footnoteReference w:id="10"/>
      </w:r>
      <w:r w:rsidRPr="00F80DEA">
        <w:rPr>
          <w:rFonts w:ascii="Times New Roman" w:eastAsia="Arial" w:hAnsi="Times New Roman" w:cs="Times New Roman"/>
        </w:rPr>
        <w:t xml:space="preserve"> Two significant recent bushfire periods in Victoria were Black Saturday </w:t>
      </w:r>
      <w:r w:rsidRPr="00F80DEA">
        <w:rPr>
          <w:rFonts w:ascii="Times New Roman" w:eastAsia="Arial" w:hAnsi="Times New Roman" w:cs="Times New Roman"/>
        </w:rPr>
        <w:lastRenderedPageBreak/>
        <w:t>in 2009, and Black Summer between 2019-2020. The result of the Black Saturday bushfires was the destruction of 450,000 hectares of land, more than 2000 houses and the loss of 173 lives.</w:t>
      </w:r>
      <w:r w:rsidRPr="00F80DEA">
        <w:rPr>
          <w:rStyle w:val="FootnoteReference"/>
          <w:rFonts w:ascii="Times New Roman" w:eastAsia="Arial" w:hAnsi="Times New Roman" w:cs="Times New Roman"/>
        </w:rPr>
        <w:footnoteReference w:id="11"/>
      </w:r>
      <w:r w:rsidRPr="00F80DEA">
        <w:rPr>
          <w:rFonts w:ascii="Times New Roman" w:eastAsia="Arial" w:hAnsi="Times New Roman" w:cs="Times New Roman"/>
        </w:rPr>
        <w:t xml:space="preserve"> During the more recent Victorian bushfire season of 2019-20, 1,507,895 hectares of land was burnt, 405 residences were destroyed, 53 residences were damaged, and 5 people lost their lives.</w:t>
      </w:r>
      <w:r w:rsidRPr="00F80DEA">
        <w:rPr>
          <w:rStyle w:val="FootnoteReference"/>
          <w:rFonts w:ascii="Times New Roman" w:eastAsia="Arial" w:hAnsi="Times New Roman" w:cs="Times New Roman"/>
        </w:rPr>
        <w:footnoteReference w:id="12"/>
      </w:r>
    </w:p>
    <w:p w14:paraId="30BFF502" w14:textId="77777777" w:rsidR="00F80DEA" w:rsidRPr="00F80DEA" w:rsidRDefault="00F80DEA" w:rsidP="00F80DEA">
      <w:pPr>
        <w:spacing w:after="240" w:line="276" w:lineRule="auto"/>
        <w:rPr>
          <w:rFonts w:ascii="Times New Roman" w:eastAsia="Arial" w:hAnsi="Times New Roman" w:cs="Times New Roman"/>
          <w:i/>
          <w:iCs/>
        </w:rPr>
      </w:pPr>
      <w:r w:rsidRPr="00F80DEA">
        <w:rPr>
          <w:rFonts w:ascii="Times New Roman" w:eastAsia="Arial" w:hAnsi="Times New Roman" w:cs="Times New Roman"/>
          <w:i/>
          <w:iCs/>
        </w:rPr>
        <w:t xml:space="preserve">Tenancy Legal Need: Direct Impact of Bushfires on Renting </w:t>
      </w:r>
    </w:p>
    <w:p w14:paraId="4F2715E2" w14:textId="77777777" w:rsidR="00F80DEA" w:rsidRPr="00F80DEA" w:rsidRDefault="00F80DEA" w:rsidP="00F80DEA">
      <w:pPr>
        <w:spacing w:after="240" w:line="276" w:lineRule="auto"/>
        <w:rPr>
          <w:rFonts w:ascii="Times New Roman" w:eastAsia="Arial" w:hAnsi="Times New Roman" w:cs="Times New Roman"/>
        </w:rPr>
      </w:pPr>
      <w:r w:rsidRPr="00F80DEA">
        <w:rPr>
          <w:rFonts w:ascii="Times New Roman" w:eastAsia="Arial" w:hAnsi="Times New Roman" w:cs="Times New Roman"/>
        </w:rPr>
        <w:t>There is no clear data on how many rental properties were impacted by the Black Summer bushfires. Consumer Affairs Victoria lists the following common tenancy problems which arise out of bushfires with which the tenant may need legal assistance with:</w:t>
      </w:r>
      <w:r w:rsidRPr="00F80DEA">
        <w:rPr>
          <w:rStyle w:val="FootnoteReference"/>
          <w:rFonts w:ascii="Times New Roman" w:eastAsia="Arial" w:hAnsi="Times New Roman" w:cs="Times New Roman"/>
        </w:rPr>
        <w:footnoteReference w:id="13"/>
      </w:r>
    </w:p>
    <w:p w14:paraId="297F55DF" w14:textId="77777777" w:rsidR="00F80DEA" w:rsidRPr="00F80DEA" w:rsidRDefault="00F80DEA" w:rsidP="00F80DEA">
      <w:pPr>
        <w:pStyle w:val="ListParagraph"/>
        <w:numPr>
          <w:ilvl w:val="0"/>
          <w:numId w:val="11"/>
        </w:numPr>
        <w:spacing w:after="240" w:line="276" w:lineRule="auto"/>
        <w:ind w:left="567" w:hanging="567"/>
        <w:contextualSpacing w:val="0"/>
        <w:rPr>
          <w:rFonts w:ascii="Times New Roman" w:eastAsia="Arial" w:hAnsi="Times New Roman" w:cs="Times New Roman"/>
        </w:rPr>
      </w:pPr>
      <w:bookmarkStart w:id="1" w:name="_Hlk64988504"/>
      <w:r w:rsidRPr="00F80DEA">
        <w:rPr>
          <w:rFonts w:ascii="Times New Roman" w:eastAsia="Arial" w:hAnsi="Times New Roman" w:cs="Times New Roman"/>
          <w:b/>
          <w:bCs/>
        </w:rPr>
        <w:t>Ending the lease when the property has been destroyed</w:t>
      </w:r>
      <w:r w:rsidRPr="00F80DEA">
        <w:rPr>
          <w:rFonts w:ascii="Times New Roman" w:eastAsia="Arial" w:hAnsi="Times New Roman" w:cs="Times New Roman"/>
        </w:rPr>
        <w:t xml:space="preserve">: If the property is destroyed or damaged so that it is unsafe or unfit to live in, the tenant or landlord can issue a notice to end the lease immediately. </w:t>
      </w:r>
    </w:p>
    <w:p w14:paraId="150E0C87" w14:textId="77777777" w:rsidR="00F80DEA" w:rsidRPr="00F80DEA" w:rsidRDefault="00F80DEA" w:rsidP="00F80DEA">
      <w:pPr>
        <w:pStyle w:val="ListParagraph"/>
        <w:numPr>
          <w:ilvl w:val="0"/>
          <w:numId w:val="11"/>
        </w:numPr>
        <w:spacing w:after="240" w:line="276" w:lineRule="auto"/>
        <w:ind w:left="567" w:hanging="567"/>
        <w:contextualSpacing w:val="0"/>
        <w:rPr>
          <w:rFonts w:ascii="Times New Roman" w:eastAsia="Arial" w:hAnsi="Times New Roman" w:cs="Times New Roman"/>
        </w:rPr>
      </w:pPr>
      <w:r w:rsidRPr="00F80DEA">
        <w:rPr>
          <w:rFonts w:ascii="Times New Roman" w:eastAsia="Arial" w:hAnsi="Times New Roman" w:cs="Times New Roman"/>
          <w:b/>
          <w:bCs/>
        </w:rPr>
        <w:t>Ending the lease when the property is still intact:</w:t>
      </w:r>
      <w:r w:rsidRPr="00F80DEA">
        <w:rPr>
          <w:rFonts w:ascii="Times New Roman" w:eastAsia="Arial" w:hAnsi="Times New Roman" w:cs="Times New Roman"/>
        </w:rPr>
        <w:t xml:space="preserve"> If the property is still safe and fit to live in but the tenant wants to end the tenancy, they must negotiate this with the landlord. If the landlord does not consent, this may result in dispute and raise various lease breaking and costs problems for the tenant. </w:t>
      </w:r>
    </w:p>
    <w:p w14:paraId="57035994" w14:textId="77777777" w:rsidR="00F80DEA" w:rsidRPr="00F80DEA" w:rsidRDefault="00F80DEA" w:rsidP="00F80DEA">
      <w:pPr>
        <w:pStyle w:val="ListParagraph"/>
        <w:numPr>
          <w:ilvl w:val="0"/>
          <w:numId w:val="11"/>
        </w:numPr>
        <w:spacing w:after="240" w:line="276" w:lineRule="auto"/>
        <w:ind w:left="567" w:hanging="567"/>
        <w:contextualSpacing w:val="0"/>
        <w:rPr>
          <w:rFonts w:ascii="Times New Roman" w:eastAsia="Arial" w:hAnsi="Times New Roman" w:cs="Times New Roman"/>
        </w:rPr>
      </w:pPr>
      <w:r w:rsidRPr="00F80DEA">
        <w:rPr>
          <w:rFonts w:ascii="Times New Roman" w:eastAsia="Arial" w:hAnsi="Times New Roman" w:cs="Times New Roman"/>
          <w:b/>
          <w:bCs/>
        </w:rPr>
        <w:t xml:space="preserve">Rental bonds: </w:t>
      </w:r>
      <w:r w:rsidRPr="00F80DEA">
        <w:rPr>
          <w:rFonts w:ascii="Times New Roman" w:eastAsia="Arial" w:hAnsi="Times New Roman" w:cs="Times New Roman"/>
        </w:rPr>
        <w:t xml:space="preserve">If the property is destroyed or damaged so that it is unsafe or unfit to live, the bond should be returned to the tenant in the normal way. Tenants should be refunded the entire bond minus any mutually agreed expenses incurred by the landlord to clean or repair the property. These expenses cannot be for damage caused by the disaster. </w:t>
      </w:r>
    </w:p>
    <w:p w14:paraId="369067FF" w14:textId="77777777" w:rsidR="00F80DEA" w:rsidRPr="00F80DEA" w:rsidRDefault="00F80DEA" w:rsidP="00F80DEA">
      <w:pPr>
        <w:pStyle w:val="ListParagraph"/>
        <w:numPr>
          <w:ilvl w:val="0"/>
          <w:numId w:val="11"/>
        </w:numPr>
        <w:spacing w:after="240" w:line="276" w:lineRule="auto"/>
        <w:ind w:left="567" w:hanging="567"/>
        <w:contextualSpacing w:val="0"/>
        <w:rPr>
          <w:rFonts w:ascii="Times New Roman" w:eastAsia="Arial" w:hAnsi="Times New Roman" w:cs="Times New Roman"/>
        </w:rPr>
      </w:pPr>
      <w:r w:rsidRPr="00F80DEA">
        <w:rPr>
          <w:rFonts w:ascii="Times New Roman" w:eastAsia="Arial" w:hAnsi="Times New Roman" w:cs="Times New Roman"/>
          <w:b/>
          <w:bCs/>
        </w:rPr>
        <w:t xml:space="preserve">Compensation: </w:t>
      </w:r>
      <w:r w:rsidRPr="00F80DEA">
        <w:rPr>
          <w:rFonts w:ascii="Times New Roman" w:eastAsia="Arial" w:hAnsi="Times New Roman" w:cs="Times New Roman"/>
        </w:rPr>
        <w:t xml:space="preserve">The tenant may wish to claim compensation if their possessions are destroyed or damaged in the bushfire. However, unless the landlord can be shown to be negligent, the tenant will bear the cost of damage to their possessions as a tenant is typically responsible for their own </w:t>
      </w:r>
      <w:proofErr w:type="gramStart"/>
      <w:r w:rsidRPr="00F80DEA">
        <w:rPr>
          <w:rFonts w:ascii="Times New Roman" w:eastAsia="Arial" w:hAnsi="Times New Roman" w:cs="Times New Roman"/>
        </w:rPr>
        <w:t>contents</w:t>
      </w:r>
      <w:proofErr w:type="gramEnd"/>
      <w:r w:rsidRPr="00F80DEA">
        <w:rPr>
          <w:rFonts w:ascii="Times New Roman" w:eastAsia="Arial" w:hAnsi="Times New Roman" w:cs="Times New Roman"/>
        </w:rPr>
        <w:t xml:space="preserve"> insurance.</w:t>
      </w:r>
    </w:p>
    <w:p w14:paraId="5CF26452" w14:textId="77777777" w:rsidR="00F80DEA" w:rsidRPr="00F80DEA" w:rsidRDefault="00F80DEA" w:rsidP="00F80DEA">
      <w:pPr>
        <w:pStyle w:val="ListParagraph"/>
        <w:numPr>
          <w:ilvl w:val="0"/>
          <w:numId w:val="11"/>
        </w:numPr>
        <w:spacing w:after="240" w:line="276" w:lineRule="auto"/>
        <w:ind w:left="567" w:hanging="567"/>
        <w:contextualSpacing w:val="0"/>
        <w:rPr>
          <w:rFonts w:ascii="Times New Roman" w:eastAsia="Arial" w:hAnsi="Times New Roman" w:cs="Times New Roman"/>
        </w:rPr>
      </w:pPr>
      <w:r w:rsidRPr="00F80DEA">
        <w:rPr>
          <w:rFonts w:ascii="Times New Roman" w:eastAsia="Arial" w:hAnsi="Times New Roman" w:cs="Times New Roman"/>
          <w:b/>
          <w:bCs/>
        </w:rPr>
        <w:t xml:space="preserve">Rent: </w:t>
      </w:r>
      <w:r w:rsidRPr="00F80DEA">
        <w:rPr>
          <w:rFonts w:ascii="Times New Roman" w:eastAsia="Arial" w:hAnsi="Times New Roman" w:cs="Times New Roman"/>
        </w:rPr>
        <w:t xml:space="preserve">If a property is destroyed or damaged so that it is unsafe or unfit to live in, the tenant should cease paying rent immediately. If the property is damaged but remains safe to live in, the tenant can negotiate a rent reduction with the landlord. </w:t>
      </w:r>
    </w:p>
    <w:p w14:paraId="59FF90F4" w14:textId="77777777" w:rsidR="00F80DEA" w:rsidRPr="00F80DEA" w:rsidRDefault="00F80DEA" w:rsidP="00F80DEA">
      <w:pPr>
        <w:pStyle w:val="ListParagraph"/>
        <w:numPr>
          <w:ilvl w:val="0"/>
          <w:numId w:val="11"/>
        </w:numPr>
        <w:spacing w:after="240" w:line="276" w:lineRule="auto"/>
        <w:ind w:left="567" w:hanging="567"/>
        <w:contextualSpacing w:val="0"/>
        <w:rPr>
          <w:rFonts w:ascii="Times New Roman" w:eastAsia="Arial" w:hAnsi="Times New Roman" w:cs="Times New Roman"/>
        </w:rPr>
      </w:pPr>
      <w:r w:rsidRPr="00F80DEA">
        <w:rPr>
          <w:rFonts w:ascii="Times New Roman" w:eastAsia="Arial" w:hAnsi="Times New Roman" w:cs="Times New Roman"/>
          <w:b/>
          <w:bCs/>
        </w:rPr>
        <w:t xml:space="preserve">Maintenance and repairs: </w:t>
      </w:r>
      <w:r w:rsidRPr="00F80DEA">
        <w:rPr>
          <w:rFonts w:ascii="Times New Roman" w:eastAsia="Arial" w:hAnsi="Times New Roman" w:cs="Times New Roman"/>
        </w:rPr>
        <w:t xml:space="preserve">The tenant </w:t>
      </w:r>
      <w:proofErr w:type="gramStart"/>
      <w:r w:rsidRPr="00F80DEA">
        <w:rPr>
          <w:rFonts w:ascii="Times New Roman" w:eastAsia="Arial" w:hAnsi="Times New Roman" w:cs="Times New Roman"/>
        </w:rPr>
        <w:t>is</w:t>
      </w:r>
      <w:proofErr w:type="gramEnd"/>
      <w:r w:rsidRPr="00F80DEA">
        <w:rPr>
          <w:rFonts w:ascii="Times New Roman" w:eastAsia="Arial" w:hAnsi="Times New Roman" w:cs="Times New Roman"/>
        </w:rPr>
        <w:t xml:space="preserve"> only responsible for cleaning requirements that arise from their use of the property. It is the landlord who must clean and clear any </w:t>
      </w:r>
      <w:bookmarkEnd w:id="1"/>
      <w:r w:rsidRPr="00F80DEA">
        <w:rPr>
          <w:rFonts w:ascii="Times New Roman" w:eastAsia="Arial" w:hAnsi="Times New Roman" w:cs="Times New Roman"/>
        </w:rPr>
        <w:t xml:space="preserve">debris caused by a disaster. If the property suffers relatively minor damage from the disaster, the tenant can serve the landlord a notice for repairs to be carried out within 14 days as usual. If repairs are urgent, the tenant should contact their landlord immediately to arrange the repairs to be fixed. </w:t>
      </w:r>
    </w:p>
    <w:p w14:paraId="3C68C173" w14:textId="77777777" w:rsidR="00F80DEA" w:rsidRPr="00F80DEA" w:rsidRDefault="00F80DEA" w:rsidP="00F80DEA">
      <w:pPr>
        <w:spacing w:after="240" w:line="276" w:lineRule="auto"/>
        <w:rPr>
          <w:rFonts w:ascii="Times New Roman" w:eastAsia="Arial" w:hAnsi="Times New Roman" w:cs="Times New Roman"/>
          <w:i/>
          <w:iCs/>
        </w:rPr>
      </w:pPr>
      <w:r w:rsidRPr="00F80DEA">
        <w:rPr>
          <w:rFonts w:ascii="Times New Roman" w:eastAsia="Arial" w:hAnsi="Times New Roman" w:cs="Times New Roman"/>
          <w:i/>
          <w:iCs/>
        </w:rPr>
        <w:lastRenderedPageBreak/>
        <w:t xml:space="preserve">Tenancy Legal Need: Indirect Impact of Bushfires on Renting </w:t>
      </w:r>
    </w:p>
    <w:p w14:paraId="19D22655" w14:textId="77777777" w:rsidR="00F80DEA" w:rsidRPr="00F80DEA" w:rsidRDefault="00F80DEA" w:rsidP="00F80DEA">
      <w:pPr>
        <w:spacing w:after="240" w:line="276" w:lineRule="auto"/>
        <w:rPr>
          <w:rFonts w:ascii="Times New Roman" w:eastAsia="Arial" w:hAnsi="Times New Roman" w:cs="Times New Roman"/>
        </w:rPr>
      </w:pPr>
      <w:r w:rsidRPr="00F80DEA">
        <w:rPr>
          <w:rFonts w:ascii="Times New Roman" w:eastAsia="Arial" w:hAnsi="Times New Roman" w:cs="Times New Roman"/>
        </w:rPr>
        <w:t xml:space="preserve">Two indirect and interrelated impacts of bushfires on renting are the subsequent housing shortage and decrease of housing affordability. These increase the legal need of renters living in bushfire prone areas, a key example being unaffordable rents resulting in arrears, eviction and requiring subsequent legal assistance. For example, following the Black Summer bushfires of 2020, Tenants Victoria has been informed anecdotally by local services in bushfire impacted areas of rental property shortages, and the consequent unwillingness of tenants to move house, even where they may be experiencing problems, because of this. In addition, tenants living in holiday destinations such as the coastal town of Mallacoota were concerned about the risk of further shortages, or even evictions, where property owners chose to end rental leases in order to make properties available as higher-earning short-term holiday rentals over the summer-period. </w:t>
      </w:r>
    </w:p>
    <w:p w14:paraId="2E153E48" w14:textId="77777777" w:rsidR="00F80DEA" w:rsidRPr="00F80DEA" w:rsidRDefault="00F80DEA" w:rsidP="00F80DEA">
      <w:pPr>
        <w:spacing w:after="240" w:line="276" w:lineRule="auto"/>
        <w:rPr>
          <w:rFonts w:ascii="Times New Roman" w:eastAsia="Arial" w:hAnsi="Times New Roman" w:cs="Times New Roman"/>
        </w:rPr>
      </w:pPr>
      <w:r w:rsidRPr="00F80DEA">
        <w:rPr>
          <w:rFonts w:ascii="Times New Roman" w:eastAsia="Arial" w:hAnsi="Times New Roman" w:cs="Times New Roman"/>
        </w:rPr>
        <w:t>While the rental housing shortage in bushfire impacted areas is caused by rental properties being damaged and destroyed, it is also due to other residential homes being impacted. This is because homeowners and other ‘bushfire affected residents will be turning to rental homes while their homes are rebuilt.’</w:t>
      </w:r>
      <w:r w:rsidRPr="00F80DEA">
        <w:rPr>
          <w:rStyle w:val="FootnoteReference"/>
          <w:rFonts w:ascii="Times New Roman" w:eastAsia="Arial" w:hAnsi="Times New Roman" w:cs="Times New Roman"/>
        </w:rPr>
        <w:footnoteReference w:id="14"/>
      </w:r>
      <w:r w:rsidRPr="00F80DEA">
        <w:rPr>
          <w:rFonts w:ascii="Times New Roman" w:eastAsia="Arial" w:hAnsi="Times New Roman" w:cs="Times New Roman"/>
        </w:rPr>
        <w:t xml:space="preserve"> This reduces housing supply for new and current renters seeking to move accommodation within bushfire-impacted regions, noting that those regions already had relatively low rental vacancy rates. The impacted region of the 2019-2020 Black Summer bushfires for instance included East Gippsland and Wellington Shire which already had a low had a rental vacancy rate of just 0.9% (according to the 2016 ABS census), as well as the Latrobe Valley on 1.3% rental vacancy, the Wodonga region on 1.7%, and the Goulbourn Valley on 2.5%.</w:t>
      </w:r>
      <w:r w:rsidRPr="00F80DEA">
        <w:rPr>
          <w:rStyle w:val="FootnoteReference"/>
          <w:rFonts w:ascii="Times New Roman" w:eastAsia="Arial" w:hAnsi="Times New Roman" w:cs="Times New Roman"/>
        </w:rPr>
        <w:footnoteReference w:id="15"/>
      </w:r>
    </w:p>
    <w:p w14:paraId="00031ADD" w14:textId="77777777" w:rsidR="00F80DEA" w:rsidRPr="00F80DEA" w:rsidRDefault="00F80DEA" w:rsidP="00F80DEA">
      <w:pPr>
        <w:spacing w:after="240" w:line="276" w:lineRule="auto"/>
        <w:rPr>
          <w:rFonts w:ascii="Times New Roman" w:eastAsia="Arial" w:hAnsi="Times New Roman" w:cs="Times New Roman"/>
        </w:rPr>
      </w:pPr>
      <w:r w:rsidRPr="00F80DEA">
        <w:rPr>
          <w:rFonts w:ascii="Times New Roman" w:eastAsia="Arial" w:hAnsi="Times New Roman" w:cs="Times New Roman"/>
        </w:rPr>
        <w:t>Such housing shortages make the rental market increasingly unaffordable. The greater demand for rental properties from existing renters and other households who have lost their homes may result in rental increases in these regions.</w:t>
      </w:r>
      <w:r w:rsidRPr="00F80DEA">
        <w:rPr>
          <w:rStyle w:val="FootnoteReference"/>
          <w:rFonts w:ascii="Times New Roman" w:eastAsia="Arial" w:hAnsi="Times New Roman" w:cs="Times New Roman"/>
        </w:rPr>
        <w:footnoteReference w:id="16"/>
      </w:r>
      <w:r w:rsidRPr="00F80DEA">
        <w:rPr>
          <w:rFonts w:ascii="Times New Roman" w:eastAsia="Arial" w:hAnsi="Times New Roman" w:cs="Times New Roman"/>
        </w:rPr>
        <w:t xml:space="preserve"> Rents may also increase due to owners passing on increased insurance premiums to renters, where they need to ‘upgrade their rental properties to the appropriate bushfire standard required for the zone the house is in.’</w:t>
      </w:r>
      <w:r w:rsidRPr="00F80DEA">
        <w:rPr>
          <w:rStyle w:val="FootnoteReference"/>
          <w:rFonts w:ascii="Times New Roman" w:eastAsia="Arial" w:hAnsi="Times New Roman" w:cs="Times New Roman"/>
        </w:rPr>
        <w:footnoteReference w:id="17"/>
      </w:r>
    </w:p>
    <w:p w14:paraId="122A476F" w14:textId="77777777" w:rsidR="00F80DEA" w:rsidRPr="00F80DEA" w:rsidRDefault="00F80DEA" w:rsidP="00F80DEA">
      <w:pPr>
        <w:spacing w:after="240" w:line="276" w:lineRule="auto"/>
        <w:rPr>
          <w:rFonts w:ascii="Times New Roman" w:eastAsia="Arial" w:hAnsi="Times New Roman" w:cs="Times New Roman"/>
        </w:rPr>
      </w:pPr>
      <w:r w:rsidRPr="00F80DEA">
        <w:rPr>
          <w:rFonts w:ascii="Times New Roman" w:eastAsia="Arial" w:hAnsi="Times New Roman" w:cs="Times New Roman"/>
        </w:rPr>
        <w:t>Furthermore, the Australian Housing and Urban Research Institute (</w:t>
      </w:r>
      <w:r w:rsidRPr="00F80DEA">
        <w:rPr>
          <w:rFonts w:ascii="Times New Roman" w:eastAsia="Arial" w:hAnsi="Times New Roman" w:cs="Times New Roman"/>
          <w:b/>
          <w:bCs/>
        </w:rPr>
        <w:t>AHURI</w:t>
      </w:r>
      <w:r w:rsidRPr="00F80DEA">
        <w:rPr>
          <w:rFonts w:ascii="Times New Roman" w:eastAsia="Arial" w:hAnsi="Times New Roman" w:cs="Times New Roman"/>
        </w:rPr>
        <w:t>) has found a longer-term impact of decreasing housing affordability in areas prone to bushfires may be that ‘many lower income households may be inhibited from moving to—or remaining in—regional, rural and remote areas, moving instead to city areas which offer greater housing options and increased and varied employment opportunities.’</w:t>
      </w:r>
      <w:r w:rsidRPr="00F80DEA">
        <w:rPr>
          <w:rStyle w:val="FootnoteReference"/>
          <w:rFonts w:ascii="Times New Roman" w:eastAsia="Arial" w:hAnsi="Times New Roman" w:cs="Times New Roman"/>
        </w:rPr>
        <w:footnoteReference w:id="18"/>
      </w:r>
      <w:r w:rsidRPr="00F80DEA">
        <w:rPr>
          <w:rFonts w:ascii="Times New Roman" w:eastAsia="Arial" w:hAnsi="Times New Roman" w:cs="Times New Roman"/>
        </w:rPr>
        <w:t xml:space="preserve"> This means that ‘over time, the economic advantages of lower housing and wage costs that rural and regional businesses have enjoyed (over similar businesses based in cities) will be eroded, possibly leading to reduced employment opportunities in rural and remote areas.’</w:t>
      </w:r>
      <w:r w:rsidRPr="00F80DEA">
        <w:rPr>
          <w:rStyle w:val="FootnoteReference"/>
          <w:rFonts w:ascii="Times New Roman" w:eastAsia="Arial" w:hAnsi="Times New Roman" w:cs="Times New Roman"/>
        </w:rPr>
        <w:footnoteReference w:id="19"/>
      </w:r>
    </w:p>
    <w:p w14:paraId="7B033B2C" w14:textId="463B9708" w:rsidR="00F80DEA" w:rsidRPr="00F80DEA" w:rsidRDefault="00F80DEA" w:rsidP="00F80DEA">
      <w:pPr>
        <w:spacing w:after="240" w:line="276" w:lineRule="auto"/>
        <w:rPr>
          <w:rFonts w:ascii="Times New Roman" w:eastAsia="Arial" w:hAnsi="Times New Roman" w:cs="Times New Roman"/>
          <w:i/>
          <w:iCs/>
        </w:rPr>
      </w:pPr>
      <w:r w:rsidRPr="00F80DEA">
        <w:rPr>
          <w:rFonts w:ascii="Times New Roman" w:eastAsia="Arial" w:hAnsi="Times New Roman" w:cs="Times New Roman"/>
          <w:i/>
          <w:iCs/>
        </w:rPr>
        <w:t xml:space="preserve">Legal </w:t>
      </w:r>
      <w:r w:rsidR="0072045D">
        <w:rPr>
          <w:rFonts w:ascii="Times New Roman" w:eastAsia="Arial" w:hAnsi="Times New Roman" w:cs="Times New Roman"/>
          <w:i/>
          <w:iCs/>
        </w:rPr>
        <w:t>Sector</w:t>
      </w:r>
      <w:r w:rsidRPr="00F80DEA">
        <w:rPr>
          <w:rFonts w:ascii="Times New Roman" w:eastAsia="Arial" w:hAnsi="Times New Roman" w:cs="Times New Roman"/>
          <w:i/>
          <w:iCs/>
        </w:rPr>
        <w:t xml:space="preserve"> Response </w:t>
      </w:r>
    </w:p>
    <w:p w14:paraId="57579898" w14:textId="1FF32759" w:rsidR="00F80DEA" w:rsidRPr="00F80DEA" w:rsidRDefault="00F80DEA" w:rsidP="00F80DEA">
      <w:pPr>
        <w:spacing w:after="240" w:line="276" w:lineRule="auto"/>
        <w:rPr>
          <w:rFonts w:ascii="Times New Roman" w:eastAsia="Arial" w:hAnsi="Times New Roman" w:cs="Times New Roman"/>
        </w:rPr>
      </w:pPr>
      <w:r w:rsidRPr="00F80DEA">
        <w:rPr>
          <w:rFonts w:ascii="Times New Roman" w:eastAsia="Arial" w:hAnsi="Times New Roman" w:cs="Times New Roman"/>
        </w:rPr>
        <w:lastRenderedPageBreak/>
        <w:t>An initiative to address the significant legal need caused by the Black Saturday and Black Summer bushfires was to create a state-wide, disaster-specific legal service originally known as Bushfire Legal Help. The service is a joint initiative of Victoria Legal Aid, the Federation of Community Legal Centres, the Law Institute of Victoria, the Victorian Bar, and Justice Connect. It was formed for the 2009 Black Saturday fires as an emergency legal service providing free advice, assistance and referrals to bushfire victims. In the months following the fires, they ‘responded to over 2165 enquiries and provided ongoing legal assistance and resources to more than 800 Victorians affected by the bushfires.’</w:t>
      </w:r>
      <w:r w:rsidRPr="00F80DEA">
        <w:rPr>
          <w:rStyle w:val="FootnoteReference"/>
          <w:rFonts w:ascii="Times New Roman" w:eastAsia="Arial" w:hAnsi="Times New Roman" w:cs="Times New Roman"/>
        </w:rPr>
        <w:footnoteReference w:id="20"/>
      </w:r>
      <w:r w:rsidRPr="00F80DEA">
        <w:rPr>
          <w:rFonts w:ascii="Times New Roman" w:eastAsia="Arial" w:hAnsi="Times New Roman" w:cs="Times New Roman"/>
        </w:rPr>
        <w:t xml:space="preserve"> Bushfire Legal Help then evolved into Disaster Legal Help Victoria (</w:t>
      </w:r>
      <w:r w:rsidRPr="00F80DEA">
        <w:rPr>
          <w:rFonts w:ascii="Times New Roman" w:eastAsia="Arial" w:hAnsi="Times New Roman" w:cs="Times New Roman"/>
          <w:b/>
          <w:bCs/>
        </w:rPr>
        <w:t>DLHV</w:t>
      </w:r>
      <w:r w:rsidRPr="00F80DEA">
        <w:rPr>
          <w:rFonts w:ascii="Times New Roman" w:eastAsia="Arial" w:hAnsi="Times New Roman" w:cs="Times New Roman"/>
        </w:rPr>
        <w:t>) with a larger mandate to provide legal help to Victorians affected by disasters, not specific to bushfires.</w:t>
      </w:r>
      <w:r w:rsidR="00C80D00">
        <w:rPr>
          <w:rFonts w:ascii="Times New Roman" w:eastAsia="Arial" w:hAnsi="Times New Roman" w:cs="Times New Roman"/>
        </w:rPr>
        <w:t xml:space="preserve"> I</w:t>
      </w:r>
      <w:r w:rsidR="0072045D">
        <w:rPr>
          <w:rFonts w:ascii="Times New Roman" w:eastAsia="Arial" w:hAnsi="Times New Roman" w:cs="Times New Roman"/>
        </w:rPr>
        <w:t xml:space="preserve">t may be useful for the special rapporteur to enquire with DLHV in relation to their impact since 2020 in relation to disaster-impacted renters. </w:t>
      </w:r>
    </w:p>
    <w:p w14:paraId="6D58515E" w14:textId="1EA881B0" w:rsidR="006D29FA" w:rsidRPr="003A64B5" w:rsidRDefault="00EB45E3" w:rsidP="00EB7A11">
      <w:pPr>
        <w:pStyle w:val="ListParagraph"/>
        <w:numPr>
          <w:ilvl w:val="0"/>
          <w:numId w:val="2"/>
        </w:numPr>
        <w:ind w:left="360"/>
        <w:jc w:val="both"/>
        <w:rPr>
          <w:rFonts w:ascii="Times New Roman" w:hAnsi="Times New Roman" w:cs="Times New Roman"/>
          <w:b/>
          <w:bCs/>
        </w:rPr>
      </w:pPr>
      <w:r w:rsidRPr="003A64B5">
        <w:rPr>
          <w:rFonts w:ascii="Times New Roman" w:hAnsi="Times New Roman" w:cs="Times New Roman"/>
          <w:b/>
          <w:bCs/>
        </w:rPr>
        <w:t>A</w:t>
      </w:r>
      <w:r w:rsidR="00CC2A85" w:rsidRPr="003A64B5">
        <w:rPr>
          <w:rFonts w:ascii="Times New Roman" w:hAnsi="Times New Roman" w:cs="Times New Roman"/>
          <w:b/>
          <w:bCs/>
        </w:rPr>
        <w:t>re the</w:t>
      </w:r>
      <w:r w:rsidRPr="003A64B5">
        <w:rPr>
          <w:rFonts w:ascii="Times New Roman" w:hAnsi="Times New Roman" w:cs="Times New Roman"/>
          <w:b/>
          <w:bCs/>
        </w:rPr>
        <w:t>re</w:t>
      </w:r>
      <w:r w:rsidR="00CC2A85" w:rsidRPr="003A64B5">
        <w:rPr>
          <w:rFonts w:ascii="Times New Roman" w:hAnsi="Times New Roman" w:cs="Times New Roman"/>
          <w:b/>
          <w:bCs/>
        </w:rPr>
        <w:t xml:space="preserve"> </w:t>
      </w:r>
      <w:r w:rsidR="006D29FA" w:rsidRPr="003A64B5">
        <w:rPr>
          <w:rFonts w:ascii="Times New Roman" w:hAnsi="Times New Roman" w:cs="Times New Roman"/>
          <w:b/>
          <w:bCs/>
        </w:rPr>
        <w:t>difference</w:t>
      </w:r>
      <w:r w:rsidR="00CC2A85" w:rsidRPr="003A64B5">
        <w:rPr>
          <w:rFonts w:ascii="Times New Roman" w:hAnsi="Times New Roman" w:cs="Times New Roman"/>
          <w:b/>
          <w:bCs/>
        </w:rPr>
        <w:t>s</w:t>
      </w:r>
      <w:r w:rsidR="006D29FA" w:rsidRPr="003A64B5">
        <w:rPr>
          <w:rFonts w:ascii="Times New Roman" w:hAnsi="Times New Roman" w:cs="Times New Roman"/>
          <w:b/>
          <w:bCs/>
        </w:rPr>
        <w:t xml:space="preserve"> </w:t>
      </w:r>
      <w:r w:rsidRPr="003A64B5">
        <w:rPr>
          <w:rFonts w:ascii="Times New Roman" w:hAnsi="Times New Roman" w:cs="Times New Roman"/>
          <w:b/>
          <w:bCs/>
        </w:rPr>
        <w:t xml:space="preserve">how the climate crisis affects the right to adequate housing in urban and rural areas? If yes, </w:t>
      </w:r>
      <w:r w:rsidR="00B10878" w:rsidRPr="003A64B5">
        <w:rPr>
          <w:rFonts w:ascii="Times New Roman" w:hAnsi="Times New Roman" w:cs="Times New Roman"/>
          <w:b/>
          <w:bCs/>
        </w:rPr>
        <w:t>is the</w:t>
      </w:r>
      <w:r w:rsidRPr="003A64B5">
        <w:rPr>
          <w:rFonts w:ascii="Times New Roman" w:hAnsi="Times New Roman" w:cs="Times New Roman"/>
          <w:b/>
          <w:bCs/>
        </w:rPr>
        <w:t>re</w:t>
      </w:r>
      <w:r w:rsidR="00B10878" w:rsidRPr="003A64B5">
        <w:rPr>
          <w:rFonts w:ascii="Times New Roman" w:hAnsi="Times New Roman" w:cs="Times New Roman"/>
          <w:b/>
          <w:bCs/>
        </w:rPr>
        <w:t xml:space="preserve"> </w:t>
      </w:r>
      <w:r w:rsidRPr="003A64B5">
        <w:rPr>
          <w:rFonts w:ascii="Times New Roman" w:hAnsi="Times New Roman" w:cs="Times New Roman"/>
          <w:b/>
          <w:bCs/>
        </w:rPr>
        <w:t xml:space="preserve">an </w:t>
      </w:r>
      <w:r w:rsidR="00FA7570" w:rsidRPr="003A64B5">
        <w:rPr>
          <w:rFonts w:ascii="Times New Roman" w:hAnsi="Times New Roman" w:cs="Times New Roman"/>
          <w:b/>
          <w:bCs/>
        </w:rPr>
        <w:t>inter</w:t>
      </w:r>
      <w:r w:rsidR="00CC2A85" w:rsidRPr="003A64B5">
        <w:rPr>
          <w:rFonts w:ascii="Times New Roman" w:hAnsi="Times New Roman" w:cs="Times New Roman"/>
          <w:b/>
          <w:bCs/>
        </w:rPr>
        <w:t xml:space="preserve">relationship </w:t>
      </w:r>
      <w:r w:rsidR="006D29FA" w:rsidRPr="003A64B5">
        <w:rPr>
          <w:rFonts w:ascii="Times New Roman" w:hAnsi="Times New Roman" w:cs="Times New Roman"/>
          <w:b/>
          <w:bCs/>
        </w:rPr>
        <w:t xml:space="preserve">between </w:t>
      </w:r>
      <w:r w:rsidRPr="003A64B5">
        <w:rPr>
          <w:rFonts w:ascii="Times New Roman" w:hAnsi="Times New Roman" w:cs="Times New Roman"/>
          <w:b/>
          <w:bCs/>
        </w:rPr>
        <w:t>the two</w:t>
      </w:r>
      <w:r w:rsidR="006D29FA" w:rsidRPr="003A64B5">
        <w:rPr>
          <w:rFonts w:ascii="Times New Roman" w:hAnsi="Times New Roman" w:cs="Times New Roman"/>
          <w:b/>
          <w:bCs/>
        </w:rPr>
        <w:t xml:space="preserve">? </w:t>
      </w:r>
    </w:p>
    <w:p w14:paraId="1DC25A22" w14:textId="72793477" w:rsidR="003A64B5" w:rsidRDefault="00671FD6" w:rsidP="003A64B5">
      <w:pPr>
        <w:rPr>
          <w:rFonts w:ascii="Times New Roman" w:hAnsi="Times New Roman" w:cs="Times New Roman"/>
        </w:rPr>
      </w:pPr>
      <w:r>
        <w:rPr>
          <w:rFonts w:ascii="Times New Roman" w:hAnsi="Times New Roman" w:cs="Times New Roman"/>
        </w:rPr>
        <w:t xml:space="preserve">Yes, </w:t>
      </w:r>
      <w:proofErr w:type="gramStart"/>
      <w:r>
        <w:rPr>
          <w:rFonts w:ascii="Times New Roman" w:hAnsi="Times New Roman" w:cs="Times New Roman"/>
        </w:rPr>
        <w:t>in particular differences</w:t>
      </w:r>
      <w:proofErr w:type="gramEnd"/>
      <w:r>
        <w:rPr>
          <w:rFonts w:ascii="Times New Roman" w:hAnsi="Times New Roman" w:cs="Times New Roman"/>
        </w:rPr>
        <w:t xml:space="preserve"> between:</w:t>
      </w:r>
    </w:p>
    <w:p w14:paraId="32150225" w14:textId="775FB092" w:rsidR="00671FD6" w:rsidRDefault="00671FD6" w:rsidP="00671FD6">
      <w:pPr>
        <w:pStyle w:val="ListParagraph"/>
        <w:numPr>
          <w:ilvl w:val="0"/>
          <w:numId w:val="12"/>
        </w:numPr>
        <w:rPr>
          <w:rFonts w:ascii="Times New Roman" w:hAnsi="Times New Roman" w:cs="Times New Roman"/>
        </w:rPr>
      </w:pPr>
      <w:r>
        <w:rPr>
          <w:rFonts w:ascii="Times New Roman" w:hAnsi="Times New Roman" w:cs="Times New Roman"/>
        </w:rPr>
        <w:t>Rental housing supply and affordability</w:t>
      </w:r>
      <w:r w:rsidR="005B22C2">
        <w:rPr>
          <w:rFonts w:ascii="Times New Roman" w:hAnsi="Times New Roman" w:cs="Times New Roman"/>
        </w:rPr>
        <w:t xml:space="preserve">, as stated above – this is </w:t>
      </w:r>
      <w:r w:rsidR="00F6257A">
        <w:rPr>
          <w:rFonts w:ascii="Times New Roman" w:hAnsi="Times New Roman" w:cs="Times New Roman"/>
        </w:rPr>
        <w:t>adversely impacted in regional areas that are prone to climate impacts, for example bushfires and flooding.</w:t>
      </w:r>
    </w:p>
    <w:p w14:paraId="57ED8603" w14:textId="6722F7BF" w:rsidR="00BD1868" w:rsidRDefault="00671FD6" w:rsidP="00BD1868">
      <w:pPr>
        <w:pStyle w:val="ListParagraph"/>
        <w:numPr>
          <w:ilvl w:val="0"/>
          <w:numId w:val="12"/>
        </w:numPr>
        <w:rPr>
          <w:rFonts w:ascii="Times New Roman" w:hAnsi="Times New Roman" w:cs="Times New Roman"/>
        </w:rPr>
      </w:pPr>
      <w:r>
        <w:rPr>
          <w:rFonts w:ascii="Times New Roman" w:hAnsi="Times New Roman" w:cs="Times New Roman"/>
        </w:rPr>
        <w:t>Exposure to climate impacts, in particular bushfires, flooding, and extreme heat</w:t>
      </w:r>
      <w:r w:rsidR="0079237A">
        <w:rPr>
          <w:rFonts w:ascii="Times New Roman" w:hAnsi="Times New Roman" w:cs="Times New Roman"/>
        </w:rPr>
        <w:t xml:space="preserve"> – regional areas are more intensely impacted. </w:t>
      </w:r>
    </w:p>
    <w:p w14:paraId="09646EC0" w14:textId="77777777" w:rsidR="00867B35" w:rsidRPr="00867B35" w:rsidRDefault="00867B35" w:rsidP="00867B35">
      <w:pPr>
        <w:pStyle w:val="ListParagraph"/>
        <w:rPr>
          <w:rFonts w:ascii="Times New Roman" w:hAnsi="Times New Roman" w:cs="Times New Roman"/>
        </w:rPr>
      </w:pPr>
    </w:p>
    <w:p w14:paraId="0BD36D7D" w14:textId="61692D95" w:rsidR="005646FF" w:rsidRPr="003A64B5" w:rsidRDefault="008E3A46" w:rsidP="00EB7A11">
      <w:pPr>
        <w:pStyle w:val="ListParagraph"/>
        <w:numPr>
          <w:ilvl w:val="0"/>
          <w:numId w:val="2"/>
        </w:numPr>
        <w:ind w:left="360"/>
        <w:jc w:val="both"/>
        <w:rPr>
          <w:rFonts w:ascii="Times New Roman" w:hAnsi="Times New Roman" w:cs="Times New Roman"/>
          <w:b/>
          <w:bCs/>
        </w:rPr>
      </w:pPr>
      <w:r w:rsidRPr="003A64B5">
        <w:rPr>
          <w:rFonts w:ascii="Times New Roman" w:hAnsi="Times New Roman" w:cs="Times New Roman"/>
          <w:b/>
          <w:bCs/>
        </w:rPr>
        <w:t>A</w:t>
      </w:r>
      <w:r w:rsidR="008D03A6" w:rsidRPr="003A64B5">
        <w:rPr>
          <w:rFonts w:ascii="Times New Roman" w:hAnsi="Times New Roman" w:cs="Times New Roman"/>
          <w:b/>
          <w:bCs/>
        </w:rPr>
        <w:t xml:space="preserve">re there groups </w:t>
      </w:r>
      <w:r w:rsidR="006F07C1" w:rsidRPr="003A64B5">
        <w:rPr>
          <w:rFonts w:ascii="Times New Roman" w:hAnsi="Times New Roman" w:cs="Times New Roman"/>
          <w:b/>
          <w:bCs/>
        </w:rPr>
        <w:t xml:space="preserve">distinctly </w:t>
      </w:r>
      <w:r w:rsidR="008D03A6" w:rsidRPr="003A64B5">
        <w:rPr>
          <w:rFonts w:ascii="Times New Roman" w:hAnsi="Times New Roman" w:cs="Times New Roman"/>
          <w:b/>
          <w:bCs/>
        </w:rPr>
        <w:t xml:space="preserve">affected in the enjoyment of their right to adequate housing as a result of </w:t>
      </w:r>
      <w:r w:rsidRPr="003A64B5">
        <w:rPr>
          <w:rFonts w:ascii="Times New Roman" w:hAnsi="Times New Roman" w:cs="Times New Roman"/>
          <w:b/>
          <w:bCs/>
        </w:rPr>
        <w:t>the climate crisis</w:t>
      </w:r>
      <w:r w:rsidR="00AA1A9A" w:rsidRPr="003A64B5">
        <w:rPr>
          <w:rFonts w:ascii="Times New Roman" w:hAnsi="Times New Roman" w:cs="Times New Roman"/>
          <w:b/>
          <w:bCs/>
        </w:rPr>
        <w:t xml:space="preserve">? </w:t>
      </w:r>
      <w:r w:rsidR="00BF74CB" w:rsidRPr="003A64B5">
        <w:rPr>
          <w:rFonts w:ascii="Times New Roman" w:hAnsi="Times New Roman" w:cs="Times New Roman"/>
          <w:b/>
          <w:bCs/>
        </w:rPr>
        <w:t>P</w:t>
      </w:r>
      <w:r w:rsidR="00B714FD" w:rsidRPr="003A64B5">
        <w:rPr>
          <w:rFonts w:ascii="Times New Roman" w:hAnsi="Times New Roman" w:cs="Times New Roman"/>
          <w:b/>
          <w:bCs/>
        </w:rPr>
        <w:t>lease describe in what way.</w:t>
      </w:r>
    </w:p>
    <w:p w14:paraId="66324CB9" w14:textId="2D803B55" w:rsidR="00D6430D" w:rsidRDefault="00867B35" w:rsidP="00D03B75">
      <w:pPr>
        <w:rPr>
          <w:rFonts w:ascii="Times New Roman" w:hAnsi="Times New Roman" w:cs="Times New Roman"/>
        </w:rPr>
      </w:pPr>
      <w:r>
        <w:rPr>
          <w:rFonts w:ascii="Times New Roman" w:hAnsi="Times New Roman" w:cs="Times New Roman"/>
        </w:rPr>
        <w:t xml:space="preserve">As set out above: </w:t>
      </w:r>
    </w:p>
    <w:p w14:paraId="6AC8FF90" w14:textId="2935B25A" w:rsidR="00867B35" w:rsidRDefault="00867B35" w:rsidP="00867B35">
      <w:pPr>
        <w:pStyle w:val="ListParagraph"/>
        <w:numPr>
          <w:ilvl w:val="0"/>
          <w:numId w:val="12"/>
        </w:numPr>
        <w:rPr>
          <w:rFonts w:ascii="Times New Roman" w:hAnsi="Times New Roman" w:cs="Times New Roman"/>
        </w:rPr>
      </w:pPr>
      <w:r>
        <w:rPr>
          <w:rFonts w:ascii="Times New Roman" w:hAnsi="Times New Roman" w:cs="Times New Roman"/>
        </w:rPr>
        <w:t xml:space="preserve">Low-income renters – due to the reduced adaptive capacity to climate change impacts, and higher likelihood of living in low-quality housing stock that has reduced capacity to </w:t>
      </w:r>
    </w:p>
    <w:p w14:paraId="17EC9653" w14:textId="412C53EE" w:rsidR="00867B35" w:rsidRDefault="00867B35" w:rsidP="00867B35">
      <w:pPr>
        <w:pStyle w:val="ListParagraph"/>
        <w:numPr>
          <w:ilvl w:val="0"/>
          <w:numId w:val="12"/>
        </w:numPr>
        <w:rPr>
          <w:rFonts w:ascii="Times New Roman" w:hAnsi="Times New Roman" w:cs="Times New Roman"/>
        </w:rPr>
      </w:pPr>
      <w:r>
        <w:rPr>
          <w:rFonts w:ascii="Times New Roman" w:hAnsi="Times New Roman" w:cs="Times New Roman"/>
        </w:rPr>
        <w:t>Renters living with a disability</w:t>
      </w:r>
      <w:r w:rsidR="006C0017">
        <w:rPr>
          <w:rFonts w:ascii="Times New Roman" w:hAnsi="Times New Roman" w:cs="Times New Roman"/>
        </w:rPr>
        <w:t>, and older renters</w:t>
      </w:r>
      <w:r>
        <w:rPr>
          <w:rFonts w:ascii="Times New Roman" w:hAnsi="Times New Roman" w:cs="Times New Roman"/>
        </w:rPr>
        <w:t xml:space="preserve"> </w:t>
      </w:r>
      <w:r w:rsidR="006C0017">
        <w:rPr>
          <w:rFonts w:ascii="Times New Roman" w:hAnsi="Times New Roman" w:cs="Times New Roman"/>
        </w:rPr>
        <w:t xml:space="preserve">– due to high likely impacts of extreme heat on these groups. </w:t>
      </w:r>
    </w:p>
    <w:p w14:paraId="7A18ACAC" w14:textId="2E4DA4A3" w:rsidR="006C0017" w:rsidRDefault="006C0017" w:rsidP="00867B35">
      <w:pPr>
        <w:pStyle w:val="ListParagraph"/>
        <w:numPr>
          <w:ilvl w:val="0"/>
          <w:numId w:val="12"/>
        </w:numPr>
        <w:rPr>
          <w:rFonts w:ascii="Times New Roman" w:hAnsi="Times New Roman" w:cs="Times New Roman"/>
        </w:rPr>
      </w:pPr>
      <w:r>
        <w:rPr>
          <w:rFonts w:ascii="Times New Roman" w:hAnsi="Times New Roman" w:cs="Times New Roman"/>
        </w:rPr>
        <w:t xml:space="preserve">Renters in bushfire and disaster-prone areas – for the reasons set out above. </w:t>
      </w:r>
    </w:p>
    <w:p w14:paraId="5D835205" w14:textId="77777777" w:rsidR="00867B35" w:rsidRPr="00867B35" w:rsidRDefault="00867B35" w:rsidP="00867B35">
      <w:pPr>
        <w:pStyle w:val="ListParagraph"/>
        <w:rPr>
          <w:rFonts w:ascii="Times New Roman" w:hAnsi="Times New Roman" w:cs="Times New Roman"/>
        </w:rPr>
      </w:pPr>
    </w:p>
    <w:p w14:paraId="1B069296" w14:textId="5F310B7E" w:rsidR="00D6430D" w:rsidRPr="00D03B75" w:rsidRDefault="00690E59" w:rsidP="00EB7A11">
      <w:pPr>
        <w:pStyle w:val="ListParagraph"/>
        <w:numPr>
          <w:ilvl w:val="0"/>
          <w:numId w:val="2"/>
        </w:numPr>
        <w:ind w:left="360"/>
        <w:jc w:val="both"/>
        <w:rPr>
          <w:rFonts w:ascii="Times New Roman" w:hAnsi="Times New Roman" w:cs="Times New Roman"/>
          <w:b/>
          <w:bCs/>
          <w:lang w:val="en-US"/>
        </w:rPr>
      </w:pPr>
      <w:r w:rsidRPr="00D03B75">
        <w:rPr>
          <w:rFonts w:ascii="Times New Roman" w:hAnsi="Times New Roman" w:cs="Times New Roman"/>
          <w:b/>
          <w:bCs/>
        </w:rPr>
        <w:t>How i</w:t>
      </w:r>
      <w:r w:rsidR="00D6430D" w:rsidRPr="00D03B75">
        <w:rPr>
          <w:rFonts w:ascii="Times New Roman" w:hAnsi="Times New Roman" w:cs="Times New Roman"/>
          <w:b/>
          <w:bCs/>
        </w:rPr>
        <w:t xml:space="preserve">s the right to adequate housing ensured for </w:t>
      </w:r>
      <w:r w:rsidR="00516D74" w:rsidRPr="00D03B75">
        <w:rPr>
          <w:rFonts w:ascii="Times New Roman" w:hAnsi="Times New Roman" w:cs="Times New Roman"/>
          <w:b/>
          <w:bCs/>
        </w:rPr>
        <w:t xml:space="preserve">persons that have been internally or internationally displaced </w:t>
      </w:r>
      <w:r w:rsidR="00CB1E2F" w:rsidRPr="00D03B75">
        <w:rPr>
          <w:rFonts w:ascii="Times New Roman" w:hAnsi="Times New Roman" w:cs="Times New Roman"/>
          <w:b/>
          <w:bCs/>
        </w:rPr>
        <w:t>by the climate crisis</w:t>
      </w:r>
      <w:r w:rsidRPr="00D03B75">
        <w:rPr>
          <w:rFonts w:ascii="Times New Roman" w:hAnsi="Times New Roman" w:cs="Times New Roman"/>
          <w:b/>
          <w:bCs/>
        </w:rPr>
        <w:t xml:space="preserve">? </w:t>
      </w:r>
      <w:r w:rsidR="00FC0827" w:rsidRPr="00D03B75">
        <w:rPr>
          <w:rFonts w:ascii="Times New Roman" w:hAnsi="Times New Roman" w:cs="Times New Roman"/>
          <w:b/>
          <w:bCs/>
        </w:rPr>
        <w:t xml:space="preserve"> </w:t>
      </w:r>
      <w:r w:rsidRPr="00D03B75">
        <w:rPr>
          <w:rFonts w:ascii="Times New Roman" w:hAnsi="Times New Roman" w:cs="Times New Roman"/>
          <w:b/>
          <w:bCs/>
        </w:rPr>
        <w:t>H</w:t>
      </w:r>
      <w:r w:rsidR="00D6430D" w:rsidRPr="00D03B75">
        <w:rPr>
          <w:rFonts w:ascii="Times New Roman" w:hAnsi="Times New Roman" w:cs="Times New Roman"/>
          <w:b/>
          <w:bCs/>
        </w:rPr>
        <w:t xml:space="preserve">ow and under what conditions is their right to </w:t>
      </w:r>
      <w:r w:rsidR="00CB1E2F" w:rsidRPr="00D03B75">
        <w:rPr>
          <w:rFonts w:ascii="Times New Roman" w:hAnsi="Times New Roman" w:cs="Times New Roman"/>
          <w:b/>
          <w:bCs/>
        </w:rPr>
        <w:t>voluntar</w:t>
      </w:r>
      <w:r w:rsidR="004507DC" w:rsidRPr="00D03B75">
        <w:rPr>
          <w:rFonts w:ascii="Times New Roman" w:hAnsi="Times New Roman" w:cs="Times New Roman"/>
          <w:b/>
          <w:bCs/>
        </w:rPr>
        <w:t>il</w:t>
      </w:r>
      <w:r w:rsidR="00CB1E2F" w:rsidRPr="00D03B75">
        <w:rPr>
          <w:rFonts w:ascii="Times New Roman" w:hAnsi="Times New Roman" w:cs="Times New Roman"/>
          <w:b/>
          <w:bCs/>
        </w:rPr>
        <w:t xml:space="preserve">y </w:t>
      </w:r>
      <w:r w:rsidR="00D6430D" w:rsidRPr="00D03B75">
        <w:rPr>
          <w:rFonts w:ascii="Times New Roman" w:hAnsi="Times New Roman" w:cs="Times New Roman"/>
          <w:b/>
          <w:bCs/>
        </w:rPr>
        <w:t xml:space="preserve">return </w:t>
      </w:r>
      <w:r w:rsidR="00516D74" w:rsidRPr="00D03B75">
        <w:rPr>
          <w:rFonts w:ascii="Times New Roman" w:hAnsi="Times New Roman" w:cs="Times New Roman"/>
          <w:b/>
          <w:bCs/>
        </w:rPr>
        <w:t>ensured</w:t>
      </w:r>
      <w:r w:rsidR="00D6430D" w:rsidRPr="00D03B75">
        <w:rPr>
          <w:rFonts w:ascii="Times New Roman" w:hAnsi="Times New Roman" w:cs="Times New Roman"/>
          <w:b/>
          <w:bCs/>
        </w:rPr>
        <w:t xml:space="preserve">? </w:t>
      </w:r>
    </w:p>
    <w:p w14:paraId="1E65D4E2" w14:textId="56889F46" w:rsidR="00FE48B5" w:rsidRPr="00D03B75" w:rsidRDefault="007E3E26" w:rsidP="00D03B75">
      <w:pPr>
        <w:rPr>
          <w:rFonts w:ascii="Times New Roman" w:hAnsi="Times New Roman" w:cs="Times New Roman"/>
        </w:rPr>
      </w:pPr>
      <w:r>
        <w:rPr>
          <w:rFonts w:ascii="Times New Roman" w:hAnsi="Times New Roman" w:cs="Times New Roman"/>
        </w:rPr>
        <w:t>NA</w:t>
      </w:r>
    </w:p>
    <w:p w14:paraId="3D591ACC" w14:textId="7EE4658C" w:rsidR="00FE48B5" w:rsidRPr="009200E5" w:rsidRDefault="00FE48B5" w:rsidP="00EB7A11">
      <w:pPr>
        <w:pStyle w:val="ListParagraph"/>
        <w:numPr>
          <w:ilvl w:val="0"/>
          <w:numId w:val="2"/>
        </w:numPr>
        <w:ind w:left="360"/>
        <w:jc w:val="both"/>
        <w:rPr>
          <w:rFonts w:ascii="Times New Roman" w:hAnsi="Times New Roman" w:cs="Times New Roman"/>
          <w:b/>
          <w:bCs/>
        </w:rPr>
      </w:pPr>
      <w:r w:rsidRPr="009200E5">
        <w:rPr>
          <w:rFonts w:ascii="Times New Roman" w:hAnsi="Times New Roman" w:cs="Times New Roman"/>
          <w:b/>
          <w:bCs/>
        </w:rPr>
        <w:t xml:space="preserve">When housing has been damaged or lost due to climate-induced events, what </w:t>
      </w:r>
      <w:r w:rsidR="009523B8" w:rsidRPr="009200E5">
        <w:rPr>
          <w:rFonts w:ascii="Times New Roman" w:hAnsi="Times New Roman" w:cs="Times New Roman"/>
          <w:b/>
          <w:bCs/>
        </w:rPr>
        <w:t xml:space="preserve">has </w:t>
      </w:r>
      <w:r w:rsidRPr="009200E5">
        <w:rPr>
          <w:rFonts w:ascii="Times New Roman" w:hAnsi="Times New Roman" w:cs="Times New Roman"/>
          <w:b/>
          <w:bCs/>
        </w:rPr>
        <w:t xml:space="preserve">been the related </w:t>
      </w:r>
      <w:r w:rsidR="009523B8" w:rsidRPr="009200E5">
        <w:rPr>
          <w:rFonts w:ascii="Times New Roman" w:hAnsi="Times New Roman" w:cs="Times New Roman"/>
          <w:b/>
          <w:bCs/>
        </w:rPr>
        <w:t xml:space="preserve">impact on </w:t>
      </w:r>
      <w:r w:rsidR="0056133E" w:rsidRPr="009200E5">
        <w:rPr>
          <w:rFonts w:ascii="Times New Roman" w:hAnsi="Times New Roman" w:cs="Times New Roman"/>
          <w:b/>
          <w:bCs/>
        </w:rPr>
        <w:t xml:space="preserve">the </w:t>
      </w:r>
      <w:r w:rsidR="009523B8" w:rsidRPr="009200E5">
        <w:rPr>
          <w:rFonts w:ascii="Times New Roman" w:hAnsi="Times New Roman" w:cs="Times New Roman"/>
          <w:b/>
          <w:bCs/>
        </w:rPr>
        <w:t>lives, health and livelihoods of the affected populations?</w:t>
      </w:r>
    </w:p>
    <w:p w14:paraId="65699B66" w14:textId="05CCCB5F" w:rsidR="00726383" w:rsidRPr="009200E5" w:rsidRDefault="00811286" w:rsidP="00D03B75">
      <w:pPr>
        <w:rPr>
          <w:rFonts w:ascii="Times New Roman" w:hAnsi="Times New Roman" w:cs="Times New Roman"/>
        </w:rPr>
      </w:pPr>
      <w:r w:rsidRPr="009200E5">
        <w:rPr>
          <w:rFonts w:ascii="Times New Roman" w:hAnsi="Times New Roman" w:cs="Times New Roman"/>
        </w:rPr>
        <w:t xml:space="preserve">See above. </w:t>
      </w:r>
    </w:p>
    <w:p w14:paraId="29BA26A7" w14:textId="60B84F1F" w:rsidR="00726383" w:rsidRPr="009200E5" w:rsidRDefault="004507DC" w:rsidP="00EB7A11">
      <w:pPr>
        <w:pStyle w:val="ListParagraph"/>
        <w:numPr>
          <w:ilvl w:val="0"/>
          <w:numId w:val="2"/>
        </w:numPr>
        <w:ind w:left="360"/>
        <w:jc w:val="both"/>
        <w:rPr>
          <w:rFonts w:ascii="Times New Roman" w:hAnsi="Times New Roman" w:cs="Times New Roman"/>
          <w:b/>
          <w:bCs/>
          <w:lang w:val="en-US"/>
        </w:rPr>
      </w:pPr>
      <w:r w:rsidRPr="009200E5">
        <w:rPr>
          <w:rFonts w:ascii="Times New Roman" w:hAnsi="Times New Roman" w:cs="Times New Roman"/>
          <w:b/>
          <w:bCs/>
          <w:lang w:val="en-US"/>
        </w:rPr>
        <w:t>H</w:t>
      </w:r>
      <w:r w:rsidR="00CB1E2F" w:rsidRPr="009200E5">
        <w:rPr>
          <w:rFonts w:ascii="Times New Roman" w:hAnsi="Times New Roman" w:cs="Times New Roman"/>
          <w:b/>
          <w:bCs/>
          <w:lang w:val="en-US"/>
        </w:rPr>
        <w:t>ow</w:t>
      </w:r>
      <w:r w:rsidR="00CE298E" w:rsidRPr="009200E5">
        <w:rPr>
          <w:rFonts w:ascii="Times New Roman" w:hAnsi="Times New Roman" w:cs="Times New Roman"/>
          <w:b/>
          <w:bCs/>
          <w:lang w:val="en-US"/>
        </w:rPr>
        <w:t xml:space="preserve"> </w:t>
      </w:r>
      <w:r w:rsidRPr="009200E5">
        <w:rPr>
          <w:rFonts w:ascii="Times New Roman" w:hAnsi="Times New Roman" w:cs="Times New Roman"/>
          <w:b/>
          <w:bCs/>
          <w:lang w:val="en-US"/>
        </w:rPr>
        <w:t xml:space="preserve">have </w:t>
      </w:r>
      <w:r w:rsidR="00726383" w:rsidRPr="009200E5">
        <w:rPr>
          <w:rFonts w:ascii="Times New Roman" w:hAnsi="Times New Roman" w:cs="Times New Roman"/>
          <w:b/>
          <w:bCs/>
          <w:lang w:val="en-US"/>
        </w:rPr>
        <w:t xml:space="preserve">people </w:t>
      </w:r>
      <w:r w:rsidR="00CE298E" w:rsidRPr="009200E5">
        <w:rPr>
          <w:rFonts w:ascii="Times New Roman" w:hAnsi="Times New Roman" w:cs="Times New Roman"/>
          <w:b/>
          <w:bCs/>
          <w:lang w:val="en-US"/>
        </w:rPr>
        <w:t xml:space="preserve">been able to </w:t>
      </w:r>
      <w:r w:rsidR="00726383" w:rsidRPr="009200E5">
        <w:rPr>
          <w:rFonts w:ascii="Times New Roman" w:hAnsi="Times New Roman" w:cs="Times New Roman"/>
          <w:b/>
          <w:bCs/>
          <w:lang w:val="en-US"/>
        </w:rPr>
        <w:t xml:space="preserve">access redress and compensation for damages </w:t>
      </w:r>
      <w:r w:rsidR="003545B6" w:rsidRPr="009200E5">
        <w:rPr>
          <w:rFonts w:ascii="Times New Roman" w:hAnsi="Times New Roman" w:cs="Times New Roman"/>
          <w:b/>
          <w:bCs/>
          <w:lang w:val="en-US"/>
        </w:rPr>
        <w:t xml:space="preserve">to </w:t>
      </w:r>
      <w:r w:rsidR="00726383" w:rsidRPr="009200E5">
        <w:rPr>
          <w:rFonts w:ascii="Times New Roman" w:hAnsi="Times New Roman" w:cs="Times New Roman"/>
          <w:b/>
          <w:bCs/>
          <w:lang w:val="en-US"/>
        </w:rPr>
        <w:t>or loss of their housing as a result of the climate crisis and extreme weather events?</w:t>
      </w:r>
      <w:r w:rsidR="00CB1E2F" w:rsidRPr="009200E5">
        <w:rPr>
          <w:rFonts w:ascii="Times New Roman" w:hAnsi="Times New Roman" w:cs="Times New Roman"/>
          <w:b/>
          <w:bCs/>
          <w:lang w:val="en-US"/>
        </w:rPr>
        <w:t xml:space="preserve"> </w:t>
      </w:r>
      <w:r w:rsidR="00516D74" w:rsidRPr="009200E5">
        <w:rPr>
          <w:rFonts w:ascii="Times New Roman" w:hAnsi="Times New Roman" w:cs="Times New Roman"/>
          <w:b/>
          <w:bCs/>
          <w:lang w:val="en-US"/>
        </w:rPr>
        <w:t>W</w:t>
      </w:r>
      <w:r w:rsidR="00726383" w:rsidRPr="009200E5">
        <w:rPr>
          <w:rFonts w:ascii="Times New Roman" w:hAnsi="Times New Roman" w:cs="Times New Roman"/>
          <w:b/>
          <w:bCs/>
          <w:lang w:val="en-US"/>
        </w:rPr>
        <w:t xml:space="preserve">hat are the main obstacles to accessing </w:t>
      </w:r>
      <w:r w:rsidR="00516D74" w:rsidRPr="009200E5">
        <w:rPr>
          <w:rFonts w:ascii="Times New Roman" w:hAnsi="Times New Roman" w:cs="Times New Roman"/>
          <w:b/>
          <w:bCs/>
          <w:lang w:val="en-US"/>
        </w:rPr>
        <w:t xml:space="preserve">timely </w:t>
      </w:r>
      <w:r w:rsidR="00726383" w:rsidRPr="009200E5">
        <w:rPr>
          <w:rFonts w:ascii="Times New Roman" w:hAnsi="Times New Roman" w:cs="Times New Roman"/>
          <w:b/>
          <w:bCs/>
          <w:lang w:val="en-US"/>
        </w:rPr>
        <w:t>redress and compensation, and what could be effective solutions?</w:t>
      </w:r>
    </w:p>
    <w:p w14:paraId="1F0AE327" w14:textId="5107A4BE" w:rsidR="006E3A69" w:rsidRPr="0019054D" w:rsidRDefault="006E3A69" w:rsidP="0099058A">
      <w:pPr>
        <w:rPr>
          <w:rFonts w:ascii="Times New Roman" w:hAnsi="Times New Roman" w:cs="Times New Roman"/>
          <w:lang w:val="en-US"/>
        </w:rPr>
      </w:pPr>
      <w:r w:rsidRPr="0019054D">
        <w:rPr>
          <w:rFonts w:ascii="Times New Roman" w:hAnsi="Times New Roman" w:cs="Times New Roman"/>
          <w:lang w:val="en-US"/>
        </w:rPr>
        <w:t xml:space="preserve">Renters, and </w:t>
      </w:r>
      <w:proofErr w:type="gramStart"/>
      <w:r w:rsidRPr="0019054D">
        <w:rPr>
          <w:rFonts w:ascii="Times New Roman" w:hAnsi="Times New Roman" w:cs="Times New Roman"/>
          <w:lang w:val="en-US"/>
        </w:rPr>
        <w:t>home-owners</w:t>
      </w:r>
      <w:proofErr w:type="gramEnd"/>
      <w:r w:rsidRPr="0019054D">
        <w:rPr>
          <w:rFonts w:ascii="Times New Roman" w:hAnsi="Times New Roman" w:cs="Times New Roman"/>
          <w:lang w:val="en-US"/>
        </w:rPr>
        <w:t xml:space="preserve"> alike, </w:t>
      </w:r>
      <w:r w:rsidR="00CB6D35">
        <w:rPr>
          <w:rFonts w:ascii="Times New Roman" w:hAnsi="Times New Roman" w:cs="Times New Roman"/>
          <w:lang w:val="en-US"/>
        </w:rPr>
        <w:t>may</w:t>
      </w:r>
      <w:r w:rsidRPr="0019054D">
        <w:rPr>
          <w:rFonts w:ascii="Times New Roman" w:hAnsi="Times New Roman" w:cs="Times New Roman"/>
          <w:lang w:val="en-US"/>
        </w:rPr>
        <w:t xml:space="preserve"> seek compensation for damage to housing and goods through </w:t>
      </w:r>
      <w:r w:rsidR="00D36710">
        <w:rPr>
          <w:rFonts w:ascii="Times New Roman" w:hAnsi="Times New Roman" w:cs="Times New Roman"/>
          <w:lang w:val="en-US"/>
        </w:rPr>
        <w:t xml:space="preserve">home and/or contents </w:t>
      </w:r>
      <w:r w:rsidRPr="0019054D">
        <w:rPr>
          <w:rFonts w:ascii="Times New Roman" w:hAnsi="Times New Roman" w:cs="Times New Roman"/>
          <w:lang w:val="en-US"/>
        </w:rPr>
        <w:t xml:space="preserve">insurance. </w:t>
      </w:r>
      <w:r w:rsidR="00770719" w:rsidRPr="0019054D">
        <w:rPr>
          <w:rFonts w:ascii="Times New Roman" w:hAnsi="Times New Roman" w:cs="Times New Roman"/>
          <w:lang w:val="en-US"/>
        </w:rPr>
        <w:t xml:space="preserve">Consumer Action Law Centre’s submission to the Bushfire Royal </w:t>
      </w:r>
      <w:r w:rsidR="00770719" w:rsidRPr="0019054D">
        <w:rPr>
          <w:rFonts w:ascii="Times New Roman" w:hAnsi="Times New Roman" w:cs="Times New Roman"/>
          <w:lang w:val="en-US"/>
        </w:rPr>
        <w:lastRenderedPageBreak/>
        <w:t>Commission sets out issues that particularly home-owners have faced in seeking adequate redress following destruction of their homes, including:</w:t>
      </w:r>
      <w:r w:rsidR="00770719" w:rsidRPr="0019054D">
        <w:rPr>
          <w:rStyle w:val="FootnoteReference"/>
          <w:rFonts w:ascii="Times New Roman" w:hAnsi="Times New Roman" w:cs="Times New Roman"/>
          <w:lang w:val="en-US"/>
        </w:rPr>
        <w:footnoteReference w:id="21"/>
      </w:r>
      <w:r w:rsidR="00770719" w:rsidRPr="0019054D">
        <w:rPr>
          <w:rFonts w:ascii="Times New Roman" w:hAnsi="Times New Roman" w:cs="Times New Roman"/>
          <w:lang w:val="en-US"/>
        </w:rPr>
        <w:t xml:space="preserve"> </w:t>
      </w:r>
    </w:p>
    <w:p w14:paraId="34C89A2E" w14:textId="71FB3BC3" w:rsidR="00770719" w:rsidRPr="0019054D" w:rsidRDefault="00D35469" w:rsidP="00770719">
      <w:pPr>
        <w:pStyle w:val="ListParagraph"/>
        <w:numPr>
          <w:ilvl w:val="1"/>
          <w:numId w:val="2"/>
        </w:numPr>
        <w:rPr>
          <w:rFonts w:ascii="Times New Roman" w:hAnsi="Times New Roman" w:cs="Times New Roman"/>
          <w:lang w:val="en-US"/>
        </w:rPr>
      </w:pPr>
      <w:r w:rsidRPr="0019054D">
        <w:rPr>
          <w:rFonts w:ascii="Times New Roman" w:hAnsi="Times New Roman" w:cs="Times New Roman"/>
          <w:lang w:val="en-US"/>
        </w:rPr>
        <w:t>Significant d</w:t>
      </w:r>
      <w:r w:rsidR="00A826DC" w:rsidRPr="0019054D">
        <w:rPr>
          <w:rFonts w:ascii="Times New Roman" w:hAnsi="Times New Roman" w:cs="Times New Roman"/>
          <w:lang w:val="en-US"/>
        </w:rPr>
        <w:t xml:space="preserve">elay in processing </w:t>
      </w:r>
      <w:proofErr w:type="gramStart"/>
      <w:r w:rsidR="00A826DC" w:rsidRPr="0019054D">
        <w:rPr>
          <w:rFonts w:ascii="Times New Roman" w:hAnsi="Times New Roman" w:cs="Times New Roman"/>
          <w:lang w:val="en-US"/>
        </w:rPr>
        <w:t>claims;</w:t>
      </w:r>
      <w:proofErr w:type="gramEnd"/>
    </w:p>
    <w:p w14:paraId="7BE335E5" w14:textId="48D1ACE8" w:rsidR="00A826DC" w:rsidRPr="0019054D" w:rsidRDefault="00D35469" w:rsidP="00770719">
      <w:pPr>
        <w:pStyle w:val="ListParagraph"/>
        <w:numPr>
          <w:ilvl w:val="1"/>
          <w:numId w:val="2"/>
        </w:numPr>
        <w:rPr>
          <w:rFonts w:ascii="Times New Roman" w:hAnsi="Times New Roman" w:cs="Times New Roman"/>
          <w:lang w:val="en-US"/>
        </w:rPr>
      </w:pPr>
      <w:r w:rsidRPr="0019054D">
        <w:rPr>
          <w:rFonts w:ascii="Times New Roman" w:hAnsi="Times New Roman" w:cs="Times New Roman"/>
          <w:lang w:val="en-US"/>
        </w:rPr>
        <w:t>Delay in arranging quotes for work, and work (exacerbated by COVID</w:t>
      </w:r>
      <w:proofErr w:type="gramStart"/>
      <w:r w:rsidRPr="0019054D">
        <w:rPr>
          <w:rFonts w:ascii="Times New Roman" w:hAnsi="Times New Roman" w:cs="Times New Roman"/>
          <w:lang w:val="en-US"/>
        </w:rPr>
        <w:t>);</w:t>
      </w:r>
      <w:proofErr w:type="gramEnd"/>
      <w:r w:rsidRPr="0019054D">
        <w:rPr>
          <w:rFonts w:ascii="Times New Roman" w:hAnsi="Times New Roman" w:cs="Times New Roman"/>
          <w:lang w:val="en-US"/>
        </w:rPr>
        <w:t xml:space="preserve"> </w:t>
      </w:r>
    </w:p>
    <w:p w14:paraId="188BAC0F" w14:textId="15F236DB" w:rsidR="00D35469" w:rsidRPr="0019054D" w:rsidRDefault="00D35469" w:rsidP="00770719">
      <w:pPr>
        <w:pStyle w:val="ListParagraph"/>
        <w:numPr>
          <w:ilvl w:val="1"/>
          <w:numId w:val="2"/>
        </w:numPr>
        <w:rPr>
          <w:rFonts w:ascii="Times New Roman" w:hAnsi="Times New Roman" w:cs="Times New Roman"/>
          <w:lang w:val="en-US"/>
        </w:rPr>
      </w:pPr>
      <w:r w:rsidRPr="0019054D">
        <w:rPr>
          <w:rFonts w:ascii="Times New Roman" w:hAnsi="Times New Roman" w:cs="Times New Roman"/>
          <w:lang w:val="en-US"/>
        </w:rPr>
        <w:t xml:space="preserve">Discovering under-insurance upon making an application to an </w:t>
      </w:r>
      <w:proofErr w:type="gramStart"/>
      <w:r w:rsidRPr="0019054D">
        <w:rPr>
          <w:rFonts w:ascii="Times New Roman" w:hAnsi="Times New Roman" w:cs="Times New Roman"/>
          <w:lang w:val="en-US"/>
        </w:rPr>
        <w:t>insurer;</w:t>
      </w:r>
      <w:proofErr w:type="gramEnd"/>
    </w:p>
    <w:p w14:paraId="082F353F" w14:textId="76FB56AF" w:rsidR="0019054D" w:rsidRPr="0019054D" w:rsidRDefault="0019054D" w:rsidP="00770719">
      <w:pPr>
        <w:pStyle w:val="ListParagraph"/>
        <w:numPr>
          <w:ilvl w:val="1"/>
          <w:numId w:val="2"/>
        </w:numPr>
        <w:rPr>
          <w:rFonts w:ascii="Times New Roman" w:hAnsi="Times New Roman" w:cs="Times New Roman"/>
          <w:lang w:val="en-US"/>
        </w:rPr>
      </w:pPr>
      <w:r w:rsidRPr="0019054D">
        <w:rPr>
          <w:rFonts w:ascii="Times New Roman" w:hAnsi="Times New Roman" w:cs="Times New Roman"/>
          <w:lang w:val="en-US"/>
        </w:rPr>
        <w:t>Feeling pressured to accept an inadequate cash settlement; and</w:t>
      </w:r>
    </w:p>
    <w:p w14:paraId="53ED3AC4" w14:textId="37A132D3" w:rsidR="00D35469" w:rsidRPr="0019054D" w:rsidRDefault="0019054D" w:rsidP="00770719">
      <w:pPr>
        <w:pStyle w:val="ListParagraph"/>
        <w:numPr>
          <w:ilvl w:val="1"/>
          <w:numId w:val="2"/>
        </w:numPr>
        <w:rPr>
          <w:rFonts w:ascii="Times New Roman" w:hAnsi="Times New Roman" w:cs="Times New Roman"/>
          <w:lang w:val="en-US"/>
        </w:rPr>
      </w:pPr>
      <w:r w:rsidRPr="0019054D">
        <w:rPr>
          <w:rFonts w:ascii="Times New Roman" w:hAnsi="Times New Roman" w:cs="Times New Roman"/>
          <w:lang w:val="en-US"/>
        </w:rPr>
        <w:t xml:space="preserve">Affordability of premiums, and issues relating to availability of cover. </w:t>
      </w:r>
    </w:p>
    <w:p w14:paraId="71451D68" w14:textId="77777777" w:rsidR="00AB553D" w:rsidRDefault="00AB553D" w:rsidP="00AB553D">
      <w:pPr>
        <w:pStyle w:val="ListParagraph"/>
        <w:ind w:left="360"/>
        <w:jc w:val="both"/>
        <w:rPr>
          <w:rFonts w:ascii="Times New Roman" w:hAnsi="Times New Roman" w:cs="Times New Roman"/>
          <w:b/>
          <w:bCs/>
        </w:rPr>
      </w:pPr>
    </w:p>
    <w:p w14:paraId="68F9A0E1" w14:textId="3BB386BF" w:rsidR="00E01AF8" w:rsidRPr="00D03B75" w:rsidRDefault="00756FB8" w:rsidP="00EB7A11">
      <w:pPr>
        <w:pStyle w:val="ListParagraph"/>
        <w:numPr>
          <w:ilvl w:val="0"/>
          <w:numId w:val="2"/>
        </w:numPr>
        <w:ind w:left="360"/>
        <w:jc w:val="both"/>
        <w:rPr>
          <w:rFonts w:ascii="Times New Roman" w:hAnsi="Times New Roman" w:cs="Times New Roman"/>
          <w:b/>
          <w:bCs/>
        </w:rPr>
      </w:pPr>
      <w:r w:rsidRPr="00D03B75">
        <w:rPr>
          <w:rFonts w:ascii="Times New Roman" w:hAnsi="Times New Roman" w:cs="Times New Roman"/>
          <w:b/>
          <w:bCs/>
        </w:rPr>
        <w:t xml:space="preserve">Please indicate </w:t>
      </w:r>
      <w:r w:rsidR="00690E59" w:rsidRPr="00D03B75">
        <w:rPr>
          <w:rFonts w:ascii="Times New Roman" w:hAnsi="Times New Roman" w:cs="Times New Roman"/>
          <w:b/>
          <w:bCs/>
        </w:rPr>
        <w:t xml:space="preserve">any key </w:t>
      </w:r>
      <w:r w:rsidRPr="00D03B75">
        <w:rPr>
          <w:rFonts w:ascii="Times New Roman" w:hAnsi="Times New Roman" w:cs="Times New Roman"/>
          <w:b/>
          <w:bCs/>
        </w:rPr>
        <w:t xml:space="preserve">rulings of </w:t>
      </w:r>
      <w:r w:rsidR="00E01AF8" w:rsidRPr="00D03B75">
        <w:rPr>
          <w:rFonts w:ascii="Times New Roman" w:hAnsi="Times New Roman" w:cs="Times New Roman"/>
          <w:b/>
          <w:bCs/>
        </w:rPr>
        <w:t xml:space="preserve">national courts and tribunals </w:t>
      </w:r>
      <w:r w:rsidRPr="00D03B75">
        <w:rPr>
          <w:rFonts w:ascii="Times New Roman" w:hAnsi="Times New Roman" w:cs="Times New Roman"/>
          <w:b/>
          <w:bCs/>
        </w:rPr>
        <w:t>protecting</w:t>
      </w:r>
      <w:r w:rsidR="00561044" w:rsidRPr="00D03B75">
        <w:rPr>
          <w:rFonts w:ascii="Times New Roman" w:hAnsi="Times New Roman" w:cs="Times New Roman"/>
          <w:b/>
          <w:bCs/>
        </w:rPr>
        <w:t xml:space="preserve"> tenants and </w:t>
      </w:r>
      <w:proofErr w:type="gramStart"/>
      <w:r w:rsidR="00561044" w:rsidRPr="00D03B75">
        <w:rPr>
          <w:rFonts w:ascii="Times New Roman" w:hAnsi="Times New Roman" w:cs="Times New Roman"/>
          <w:b/>
          <w:bCs/>
        </w:rPr>
        <w:t>home owners</w:t>
      </w:r>
      <w:proofErr w:type="gramEnd"/>
      <w:r w:rsidR="00561044" w:rsidRPr="00D03B75">
        <w:rPr>
          <w:rFonts w:ascii="Times New Roman" w:hAnsi="Times New Roman" w:cs="Times New Roman"/>
          <w:b/>
          <w:bCs/>
        </w:rPr>
        <w:t xml:space="preserve"> </w:t>
      </w:r>
      <w:r w:rsidRPr="00D03B75">
        <w:rPr>
          <w:rFonts w:ascii="Times New Roman" w:hAnsi="Times New Roman" w:cs="Times New Roman"/>
          <w:b/>
          <w:bCs/>
        </w:rPr>
        <w:t xml:space="preserve">from the impact of </w:t>
      </w:r>
      <w:r w:rsidR="006A27FA" w:rsidRPr="00D03B75">
        <w:rPr>
          <w:rFonts w:ascii="Times New Roman" w:hAnsi="Times New Roman" w:cs="Times New Roman"/>
          <w:b/>
          <w:bCs/>
        </w:rPr>
        <w:t xml:space="preserve">the </w:t>
      </w:r>
      <w:r w:rsidR="00E01AF8" w:rsidRPr="00D03B75">
        <w:rPr>
          <w:rFonts w:ascii="Times New Roman" w:hAnsi="Times New Roman" w:cs="Times New Roman"/>
          <w:b/>
          <w:bCs/>
        </w:rPr>
        <w:t xml:space="preserve">climate crisis </w:t>
      </w:r>
      <w:r w:rsidR="00690E59" w:rsidRPr="00D03B75">
        <w:rPr>
          <w:rFonts w:ascii="Times New Roman" w:hAnsi="Times New Roman" w:cs="Times New Roman"/>
          <w:b/>
          <w:bCs/>
        </w:rPr>
        <w:t xml:space="preserve">or </w:t>
      </w:r>
      <w:r w:rsidRPr="00D03B75">
        <w:rPr>
          <w:rFonts w:ascii="Times New Roman" w:hAnsi="Times New Roman" w:cs="Times New Roman"/>
          <w:b/>
          <w:bCs/>
        </w:rPr>
        <w:t xml:space="preserve">on their right to adequate housing </w:t>
      </w:r>
      <w:r w:rsidR="00690E59" w:rsidRPr="00D03B75">
        <w:rPr>
          <w:rFonts w:ascii="Times New Roman" w:hAnsi="Times New Roman" w:cs="Times New Roman"/>
          <w:b/>
          <w:bCs/>
        </w:rPr>
        <w:t>or related to climate induced displacement? Please</w:t>
      </w:r>
      <w:r w:rsidR="00FC0827" w:rsidRPr="00D03B75">
        <w:rPr>
          <w:rFonts w:ascii="Times New Roman" w:hAnsi="Times New Roman" w:cs="Times New Roman"/>
          <w:b/>
          <w:bCs/>
        </w:rPr>
        <w:t xml:space="preserve"> also</w:t>
      </w:r>
      <w:r w:rsidR="00690E59" w:rsidRPr="00D03B75">
        <w:rPr>
          <w:rFonts w:ascii="Times New Roman" w:hAnsi="Times New Roman" w:cs="Times New Roman"/>
          <w:b/>
          <w:bCs/>
        </w:rPr>
        <w:t xml:space="preserve"> </w:t>
      </w:r>
      <w:r w:rsidRPr="00D03B75">
        <w:rPr>
          <w:rFonts w:ascii="Times New Roman" w:hAnsi="Times New Roman" w:cs="Times New Roman"/>
          <w:b/>
          <w:bCs/>
        </w:rPr>
        <w:t>describe their outcome</w:t>
      </w:r>
      <w:r w:rsidR="00FC0827" w:rsidRPr="00D03B75">
        <w:rPr>
          <w:rFonts w:ascii="Times New Roman" w:hAnsi="Times New Roman" w:cs="Times New Roman"/>
          <w:b/>
          <w:bCs/>
        </w:rPr>
        <w:t xml:space="preserve"> and </w:t>
      </w:r>
      <w:proofErr w:type="gramStart"/>
      <w:r w:rsidR="00FC0827" w:rsidRPr="00D03B75">
        <w:rPr>
          <w:rFonts w:ascii="Times New Roman" w:hAnsi="Times New Roman" w:cs="Times New Roman"/>
          <w:b/>
          <w:bCs/>
        </w:rPr>
        <w:t>impact</w:t>
      </w:r>
      <w:r w:rsidR="00E01AF8" w:rsidRPr="00D03B75">
        <w:rPr>
          <w:rFonts w:ascii="Times New Roman" w:hAnsi="Times New Roman" w:cs="Times New Roman"/>
          <w:b/>
          <w:bCs/>
        </w:rPr>
        <w:t>?</w:t>
      </w:r>
      <w:proofErr w:type="gramEnd"/>
    </w:p>
    <w:p w14:paraId="5C7FF040" w14:textId="3864EDC3" w:rsidR="00D03B75" w:rsidRDefault="007E3E26" w:rsidP="00D03B75">
      <w:pPr>
        <w:rPr>
          <w:rFonts w:ascii="Times New Roman" w:hAnsi="Times New Roman" w:cs="Times New Roman"/>
        </w:rPr>
      </w:pPr>
      <w:r>
        <w:rPr>
          <w:rFonts w:ascii="Times New Roman" w:hAnsi="Times New Roman" w:cs="Times New Roman"/>
        </w:rPr>
        <w:t xml:space="preserve">We are not aware of any such rulings in Victoria. </w:t>
      </w:r>
    </w:p>
    <w:p w14:paraId="13022829" w14:textId="56E01EEB" w:rsidR="009C2911" w:rsidRPr="00D03B75" w:rsidRDefault="009C2911" w:rsidP="00D03B75">
      <w:pPr>
        <w:rPr>
          <w:rFonts w:ascii="Times New Roman" w:hAnsi="Times New Roman" w:cs="Times New Roman"/>
        </w:rPr>
      </w:pPr>
      <w:r>
        <w:rPr>
          <w:rFonts w:ascii="Times New Roman" w:hAnsi="Times New Roman" w:cs="Times New Roman"/>
        </w:rPr>
        <w:t>……</w:t>
      </w:r>
    </w:p>
    <w:p w14:paraId="263DE299" w14:textId="119F8797" w:rsidR="00D77E13" w:rsidRPr="00A61231" w:rsidRDefault="00A12F5C" w:rsidP="00D77E13">
      <w:pPr>
        <w:rPr>
          <w:rFonts w:ascii="Times New Roman" w:hAnsi="Times New Roman" w:cs="Times New Roman"/>
          <w:b/>
          <w:bCs/>
          <w:i/>
          <w:iCs/>
        </w:rPr>
      </w:pPr>
      <w:r w:rsidRPr="00A61231">
        <w:rPr>
          <w:rFonts w:ascii="Times New Roman" w:hAnsi="Times New Roman" w:cs="Times New Roman"/>
          <w:b/>
          <w:bCs/>
          <w:i/>
          <w:iCs/>
        </w:rPr>
        <w:t xml:space="preserve">Towards </w:t>
      </w:r>
      <w:bookmarkStart w:id="2" w:name="_Hlk100062598"/>
      <w:r w:rsidR="00B113A1" w:rsidRPr="00A61231">
        <w:rPr>
          <w:rFonts w:ascii="Times New Roman" w:hAnsi="Times New Roman" w:cs="Times New Roman"/>
          <w:b/>
          <w:bCs/>
          <w:i/>
          <w:iCs/>
        </w:rPr>
        <w:t xml:space="preserve">a </w:t>
      </w:r>
      <w:r w:rsidR="00D77E13" w:rsidRPr="00A61231">
        <w:rPr>
          <w:rFonts w:ascii="Times New Roman" w:hAnsi="Times New Roman" w:cs="Times New Roman"/>
          <w:b/>
          <w:bCs/>
          <w:i/>
          <w:iCs/>
        </w:rPr>
        <w:t>just transition to</w:t>
      </w:r>
      <w:r w:rsidR="006254C7" w:rsidRPr="00A61231">
        <w:rPr>
          <w:rFonts w:ascii="Times New Roman" w:hAnsi="Times New Roman" w:cs="Times New Roman"/>
          <w:b/>
          <w:bCs/>
          <w:i/>
          <w:iCs/>
        </w:rPr>
        <w:t xml:space="preserve"> a</w:t>
      </w:r>
      <w:r w:rsidR="00D77E13" w:rsidRPr="00A61231">
        <w:rPr>
          <w:rFonts w:ascii="Times New Roman" w:hAnsi="Times New Roman" w:cs="Times New Roman"/>
          <w:b/>
          <w:bCs/>
          <w:i/>
          <w:iCs/>
        </w:rPr>
        <w:t xml:space="preserve"> rights-compliant</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 climate</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resilient and </w:t>
      </w:r>
      <w:r w:rsidR="00CD2CD8" w:rsidRPr="00A61231">
        <w:rPr>
          <w:rFonts w:ascii="Times New Roman" w:hAnsi="Times New Roman" w:cs="Times New Roman"/>
          <w:b/>
          <w:bCs/>
          <w:i/>
          <w:iCs/>
        </w:rPr>
        <w:t>carbon</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neutral housing</w:t>
      </w:r>
      <w:bookmarkEnd w:id="2"/>
    </w:p>
    <w:p w14:paraId="4CF54DB8" w14:textId="499EB878" w:rsidR="006D09CA" w:rsidRPr="009C2911" w:rsidRDefault="009A2C44" w:rsidP="009C2911">
      <w:pPr>
        <w:jc w:val="both"/>
        <w:rPr>
          <w:rFonts w:ascii="Times New Roman" w:hAnsi="Times New Roman" w:cs="Times New Roman"/>
          <w:b/>
          <w:bCs/>
          <w:lang w:val="en-US"/>
        </w:rPr>
      </w:pPr>
      <w:r w:rsidRPr="009C2911">
        <w:rPr>
          <w:rFonts w:ascii="Times New Roman" w:hAnsi="Times New Roman" w:cs="Times New Roman"/>
          <w:b/>
          <w:bCs/>
          <w:lang w:val="en-US"/>
        </w:rPr>
        <w:t xml:space="preserve">14. </w:t>
      </w:r>
      <w:r w:rsidR="00AD14A8" w:rsidRPr="009C2911">
        <w:rPr>
          <w:rFonts w:ascii="Times New Roman" w:hAnsi="Times New Roman" w:cs="Times New Roman"/>
          <w:b/>
          <w:bCs/>
          <w:lang w:val="en-US"/>
        </w:rPr>
        <w:t xml:space="preserve">What </w:t>
      </w:r>
      <w:r w:rsidR="00EE77E0" w:rsidRPr="009C2911">
        <w:rPr>
          <w:rFonts w:ascii="Times New Roman" w:hAnsi="Times New Roman" w:cs="Times New Roman"/>
          <w:b/>
          <w:bCs/>
        </w:rPr>
        <w:t xml:space="preserve">specific legislation, policies, or programmes </w:t>
      </w:r>
      <w:r w:rsidR="00AD14A8" w:rsidRPr="009C2911">
        <w:rPr>
          <w:rFonts w:ascii="Times New Roman" w:hAnsi="Times New Roman" w:cs="Times New Roman"/>
          <w:b/>
          <w:bCs/>
          <w:lang w:val="en-US"/>
        </w:rPr>
        <w:t xml:space="preserve">have been adopted to put in place and finance </w:t>
      </w:r>
      <w:r w:rsidR="00DA4CCD" w:rsidRPr="009C2911">
        <w:rPr>
          <w:rFonts w:ascii="Times New Roman" w:hAnsi="Times New Roman" w:cs="Times New Roman"/>
          <w:b/>
          <w:bCs/>
          <w:lang w:val="en-US"/>
        </w:rPr>
        <w:t>a just transition to a rights-compliant, climate-resilient and carbon-neutral housing</w:t>
      </w:r>
      <w:r w:rsidR="00894A7B" w:rsidRPr="009C2911">
        <w:rPr>
          <w:rFonts w:ascii="Times New Roman" w:hAnsi="Times New Roman" w:cs="Times New Roman"/>
          <w:b/>
          <w:bCs/>
          <w:lang w:val="en-US"/>
        </w:rPr>
        <w:t xml:space="preserve"> for all, without discrimination</w:t>
      </w:r>
      <w:r w:rsidR="00AD14A8" w:rsidRPr="009C2911">
        <w:rPr>
          <w:rFonts w:ascii="Times New Roman" w:hAnsi="Times New Roman" w:cs="Times New Roman"/>
          <w:b/>
          <w:bCs/>
          <w:lang w:val="en-US"/>
        </w:rPr>
        <w:t>?</w:t>
      </w:r>
    </w:p>
    <w:p w14:paraId="0EAC01B9" w14:textId="18BEA3F3" w:rsidR="006D09CA" w:rsidRDefault="00C42353" w:rsidP="006D09CA">
      <w:pPr>
        <w:ind w:left="720"/>
        <w:jc w:val="both"/>
        <w:rPr>
          <w:rFonts w:ascii="Times New Roman" w:hAnsi="Times New Roman" w:cs="Times New Roman"/>
          <w:lang w:val="en-US"/>
        </w:rPr>
      </w:pPr>
      <w:r>
        <w:rPr>
          <w:rFonts w:ascii="Times New Roman" w:hAnsi="Times New Roman" w:cs="Times New Roman"/>
          <w:lang w:val="en-US"/>
        </w:rPr>
        <w:t xml:space="preserve">In Victoria, </w:t>
      </w:r>
      <w:r w:rsidR="004174A0">
        <w:rPr>
          <w:rFonts w:ascii="Times New Roman" w:hAnsi="Times New Roman" w:cs="Times New Roman"/>
          <w:lang w:val="en-US"/>
        </w:rPr>
        <w:t>climate change and environmental protection legislation includes the</w:t>
      </w:r>
      <w:r>
        <w:rPr>
          <w:rFonts w:ascii="Times New Roman" w:hAnsi="Times New Roman" w:cs="Times New Roman"/>
          <w:lang w:val="en-US"/>
        </w:rPr>
        <w:t>:</w:t>
      </w:r>
    </w:p>
    <w:p w14:paraId="1C835A4D" w14:textId="4E87BB69" w:rsidR="00C42353" w:rsidRDefault="003F3E8B" w:rsidP="003F3E8B">
      <w:pPr>
        <w:pStyle w:val="ListParagraph"/>
        <w:numPr>
          <w:ilvl w:val="0"/>
          <w:numId w:val="10"/>
        </w:numPr>
        <w:jc w:val="both"/>
        <w:rPr>
          <w:rFonts w:ascii="Times New Roman" w:hAnsi="Times New Roman" w:cs="Times New Roman"/>
          <w:lang w:val="en-US"/>
        </w:rPr>
      </w:pPr>
      <w:r w:rsidRPr="007812E2">
        <w:rPr>
          <w:rFonts w:ascii="Times New Roman" w:hAnsi="Times New Roman" w:cs="Times New Roman"/>
          <w:i/>
          <w:iCs/>
          <w:lang w:val="en-US"/>
        </w:rPr>
        <w:t>Climate Change Act</w:t>
      </w:r>
      <w:r w:rsidR="007812E2" w:rsidRPr="007812E2">
        <w:rPr>
          <w:rFonts w:ascii="Times New Roman" w:hAnsi="Times New Roman" w:cs="Times New Roman"/>
          <w:i/>
          <w:iCs/>
          <w:lang w:val="en-US"/>
        </w:rPr>
        <w:t xml:space="preserve"> 2017</w:t>
      </w:r>
      <w:r w:rsidR="007812E2">
        <w:rPr>
          <w:rFonts w:ascii="Times New Roman" w:hAnsi="Times New Roman" w:cs="Times New Roman"/>
          <w:lang w:val="en-US"/>
        </w:rPr>
        <w:t xml:space="preserve"> (Vic)</w:t>
      </w:r>
      <w:r>
        <w:rPr>
          <w:rFonts w:ascii="Times New Roman" w:hAnsi="Times New Roman" w:cs="Times New Roman"/>
          <w:lang w:val="en-US"/>
        </w:rPr>
        <w:t>,</w:t>
      </w:r>
      <w:r w:rsidR="007812E2">
        <w:rPr>
          <w:rStyle w:val="FootnoteReference"/>
          <w:rFonts w:ascii="Times New Roman" w:hAnsi="Times New Roman" w:cs="Times New Roman"/>
          <w:lang w:val="en-US"/>
        </w:rPr>
        <w:footnoteReference w:id="22"/>
      </w:r>
      <w:r>
        <w:rPr>
          <w:rFonts w:ascii="Times New Roman" w:hAnsi="Times New Roman" w:cs="Times New Roman"/>
          <w:lang w:val="en-US"/>
        </w:rPr>
        <w:t xml:space="preserve"> and a series of </w:t>
      </w:r>
      <w:r w:rsidR="005A07DD">
        <w:rPr>
          <w:rFonts w:ascii="Times New Roman" w:hAnsi="Times New Roman" w:cs="Times New Roman"/>
          <w:lang w:val="en-US"/>
        </w:rPr>
        <w:t xml:space="preserve">Climate Change </w:t>
      </w:r>
      <w:r>
        <w:rPr>
          <w:rFonts w:ascii="Times New Roman" w:hAnsi="Times New Roman" w:cs="Times New Roman"/>
          <w:lang w:val="en-US"/>
        </w:rPr>
        <w:t>Adaptation</w:t>
      </w:r>
      <w:r w:rsidR="005A07DD">
        <w:rPr>
          <w:rFonts w:ascii="Times New Roman" w:hAnsi="Times New Roman" w:cs="Times New Roman"/>
          <w:lang w:val="en-US"/>
        </w:rPr>
        <w:t xml:space="preserve"> Action</w:t>
      </w:r>
      <w:r>
        <w:rPr>
          <w:rFonts w:ascii="Times New Roman" w:hAnsi="Times New Roman" w:cs="Times New Roman"/>
          <w:lang w:val="en-US"/>
        </w:rPr>
        <w:t xml:space="preserve"> Plans</w:t>
      </w:r>
      <w:r w:rsidR="00226AE8">
        <w:rPr>
          <w:rFonts w:ascii="Times New Roman" w:hAnsi="Times New Roman" w:cs="Times New Roman"/>
          <w:lang w:val="en-US"/>
        </w:rPr>
        <w:t xml:space="preserve">, including the Built Environment Climate </w:t>
      </w:r>
      <w:r w:rsidR="00B40EEB">
        <w:rPr>
          <w:rFonts w:ascii="Times New Roman" w:hAnsi="Times New Roman" w:cs="Times New Roman"/>
          <w:lang w:val="en-US"/>
        </w:rPr>
        <w:t>Change Adaptation</w:t>
      </w:r>
      <w:r w:rsidR="00226AE8">
        <w:rPr>
          <w:rFonts w:ascii="Times New Roman" w:hAnsi="Times New Roman" w:cs="Times New Roman"/>
          <w:lang w:val="en-US"/>
        </w:rPr>
        <w:t xml:space="preserve"> Action Plan</w:t>
      </w:r>
      <w:r w:rsidR="00B40EEB">
        <w:rPr>
          <w:rFonts w:ascii="Times New Roman" w:hAnsi="Times New Roman" w:cs="Times New Roman"/>
          <w:lang w:val="en-US"/>
        </w:rPr>
        <w:t xml:space="preserve"> 2022-2026</w:t>
      </w:r>
      <w:r w:rsidR="00226AE8">
        <w:rPr>
          <w:rFonts w:ascii="Times New Roman" w:hAnsi="Times New Roman" w:cs="Times New Roman"/>
          <w:lang w:val="en-US"/>
        </w:rPr>
        <w:t xml:space="preserve"> (the </w:t>
      </w:r>
      <w:r w:rsidR="00226AE8" w:rsidRPr="005A07DD">
        <w:rPr>
          <w:rFonts w:ascii="Times New Roman" w:hAnsi="Times New Roman" w:cs="Times New Roman"/>
          <w:b/>
          <w:bCs/>
          <w:lang w:val="en-US"/>
        </w:rPr>
        <w:t>Plan</w:t>
      </w:r>
      <w:r w:rsidR="00226AE8">
        <w:rPr>
          <w:rFonts w:ascii="Times New Roman" w:hAnsi="Times New Roman" w:cs="Times New Roman"/>
          <w:lang w:val="en-US"/>
        </w:rPr>
        <w:t>)</w:t>
      </w:r>
      <w:r w:rsidR="00226AE8">
        <w:rPr>
          <w:rStyle w:val="FootnoteReference"/>
          <w:rFonts w:ascii="Times New Roman" w:hAnsi="Times New Roman" w:cs="Times New Roman"/>
          <w:lang w:val="en-US"/>
        </w:rPr>
        <w:footnoteReference w:id="23"/>
      </w:r>
    </w:p>
    <w:p w14:paraId="2F6CFE28" w14:textId="10A55459" w:rsidR="003F3E8B" w:rsidRPr="003F3E8B" w:rsidRDefault="003F3E8B" w:rsidP="003F3E8B">
      <w:pPr>
        <w:pStyle w:val="ListParagraph"/>
        <w:numPr>
          <w:ilvl w:val="0"/>
          <w:numId w:val="10"/>
        </w:numPr>
        <w:jc w:val="both"/>
        <w:rPr>
          <w:rFonts w:ascii="Times New Roman" w:hAnsi="Times New Roman" w:cs="Times New Roman"/>
          <w:lang w:val="en-US"/>
        </w:rPr>
      </w:pPr>
      <w:r w:rsidRPr="003D4E7F">
        <w:rPr>
          <w:rFonts w:ascii="Times New Roman" w:hAnsi="Times New Roman" w:cs="Times New Roman"/>
          <w:i/>
          <w:iCs/>
          <w:lang w:val="en-US"/>
        </w:rPr>
        <w:t>Environment Protection Act</w:t>
      </w:r>
      <w:r w:rsidR="0079172A" w:rsidRPr="003D4E7F">
        <w:rPr>
          <w:rFonts w:ascii="Times New Roman" w:hAnsi="Times New Roman" w:cs="Times New Roman"/>
          <w:i/>
          <w:iCs/>
          <w:lang w:val="en-US"/>
        </w:rPr>
        <w:t xml:space="preserve"> 2018</w:t>
      </w:r>
      <w:r w:rsidR="003D4E7F">
        <w:rPr>
          <w:rFonts w:ascii="Times New Roman" w:hAnsi="Times New Roman" w:cs="Times New Roman"/>
          <w:lang w:val="en-US"/>
        </w:rPr>
        <w:t xml:space="preserve"> (Vic)</w:t>
      </w:r>
      <w:r w:rsidR="009E2E88">
        <w:rPr>
          <w:rFonts w:ascii="Times New Roman" w:hAnsi="Times New Roman" w:cs="Times New Roman"/>
          <w:lang w:val="en-US"/>
        </w:rPr>
        <w:t>,</w:t>
      </w:r>
      <w:r w:rsidR="003D4E7F">
        <w:rPr>
          <w:rStyle w:val="FootnoteReference"/>
          <w:rFonts w:ascii="Times New Roman" w:hAnsi="Times New Roman" w:cs="Times New Roman"/>
          <w:lang w:val="en-US"/>
        </w:rPr>
        <w:footnoteReference w:id="24"/>
      </w:r>
      <w:r w:rsidR="009E2E88">
        <w:rPr>
          <w:rFonts w:ascii="Times New Roman" w:hAnsi="Times New Roman" w:cs="Times New Roman"/>
          <w:lang w:val="en-US"/>
        </w:rPr>
        <w:t xml:space="preserve"> which was amended by the </w:t>
      </w:r>
      <w:r w:rsidR="009E2E88" w:rsidRPr="009E2E88">
        <w:rPr>
          <w:rFonts w:ascii="Times New Roman" w:hAnsi="Times New Roman" w:cs="Times New Roman"/>
          <w:i/>
          <w:iCs/>
          <w:lang w:val="en-US"/>
        </w:rPr>
        <w:t>Environment Protection Amendment Act 2018</w:t>
      </w:r>
      <w:r w:rsidR="009E2E88">
        <w:rPr>
          <w:rFonts w:ascii="Times New Roman" w:hAnsi="Times New Roman" w:cs="Times New Roman"/>
          <w:lang w:val="en-US"/>
        </w:rPr>
        <w:t>, implemented on 1 July 2021, including the introduction of a ‘general environmental duty’</w:t>
      </w:r>
    </w:p>
    <w:p w14:paraId="2950CF39" w14:textId="4A252A94" w:rsidR="00105CEE" w:rsidRDefault="00105CEE" w:rsidP="006D09CA">
      <w:pPr>
        <w:ind w:left="720"/>
        <w:jc w:val="both"/>
        <w:rPr>
          <w:rFonts w:ascii="Times New Roman" w:hAnsi="Times New Roman" w:cs="Times New Roman"/>
          <w:lang w:val="en-US"/>
        </w:rPr>
      </w:pPr>
      <w:r>
        <w:rPr>
          <w:rFonts w:ascii="Times New Roman" w:hAnsi="Times New Roman" w:cs="Times New Roman"/>
          <w:lang w:val="en-US"/>
        </w:rPr>
        <w:t xml:space="preserve">The Plan mentions renter only twice, </w:t>
      </w:r>
      <w:r w:rsidR="005A07DD">
        <w:rPr>
          <w:rFonts w:ascii="Times New Roman" w:hAnsi="Times New Roman" w:cs="Times New Roman"/>
          <w:lang w:val="en-US"/>
        </w:rPr>
        <w:t xml:space="preserve">at page 28: </w:t>
      </w:r>
    </w:p>
    <w:p w14:paraId="0D26E8FC" w14:textId="091D2BF2" w:rsidR="00105CEE" w:rsidRDefault="00105CEE" w:rsidP="005A07DD">
      <w:pPr>
        <w:ind w:left="1440"/>
        <w:jc w:val="both"/>
        <w:rPr>
          <w:rFonts w:ascii="Times New Roman" w:hAnsi="Times New Roman" w:cs="Times New Roman"/>
          <w:lang w:val="en-US"/>
        </w:rPr>
      </w:pPr>
      <w:r>
        <w:t>In November 2020, the government launched Victoria’s Household Energy Savings Package. The $797 million investment aims to help Victorians reduce power bills and make their homes more energy efficient. The package delivers high-efficiency heating and cooling systems for low-income households; a program of energy upgrades for social housing properties; minimum efficiency standards for rental properties, benefiting renters living in about 350,000 homes; and work to establish 7-star efficiency standards for new homes by progressing National Construction Code updates.</w:t>
      </w:r>
    </w:p>
    <w:p w14:paraId="00A36CF4" w14:textId="76715E99" w:rsidR="006D09CA" w:rsidRPr="00C42353" w:rsidRDefault="00B91695" w:rsidP="006D09CA">
      <w:pPr>
        <w:ind w:left="720"/>
        <w:jc w:val="both"/>
        <w:rPr>
          <w:rFonts w:ascii="Times New Roman" w:hAnsi="Times New Roman" w:cs="Times New Roman"/>
          <w:lang w:val="en-US"/>
        </w:rPr>
      </w:pPr>
      <w:r>
        <w:rPr>
          <w:rFonts w:ascii="Times New Roman" w:hAnsi="Times New Roman" w:cs="Times New Roman"/>
          <w:lang w:val="en-US"/>
        </w:rPr>
        <w:t xml:space="preserve">On 1 March 2021, there were significant amendments made to the </w:t>
      </w:r>
      <w:r w:rsidR="00C42353" w:rsidRPr="000C3D2A">
        <w:rPr>
          <w:rFonts w:ascii="Times New Roman" w:hAnsi="Times New Roman" w:cs="Times New Roman"/>
          <w:i/>
          <w:iCs/>
          <w:lang w:val="en-US"/>
        </w:rPr>
        <w:t>Residential Tenancies Act 1997</w:t>
      </w:r>
      <w:r w:rsidR="00C42353" w:rsidRPr="00C42353">
        <w:rPr>
          <w:rFonts w:ascii="Times New Roman" w:hAnsi="Times New Roman" w:cs="Times New Roman"/>
          <w:lang w:val="en-US"/>
        </w:rPr>
        <w:t xml:space="preserve"> (Vic)</w:t>
      </w:r>
      <w:r w:rsidR="009A2C44">
        <w:rPr>
          <w:rFonts w:ascii="Times New Roman" w:hAnsi="Times New Roman" w:cs="Times New Roman"/>
          <w:lang w:val="en-US"/>
        </w:rPr>
        <w:t>,</w:t>
      </w:r>
      <w:r w:rsidR="00F35BBC">
        <w:rPr>
          <w:rStyle w:val="FootnoteReference"/>
          <w:rFonts w:ascii="Times New Roman" w:hAnsi="Times New Roman" w:cs="Times New Roman"/>
          <w:lang w:val="en-US"/>
        </w:rPr>
        <w:footnoteReference w:id="25"/>
      </w:r>
      <w:r w:rsidR="009A2C44">
        <w:rPr>
          <w:rFonts w:ascii="Times New Roman" w:hAnsi="Times New Roman" w:cs="Times New Roman"/>
          <w:lang w:val="en-US"/>
        </w:rPr>
        <w:t xml:space="preserve"> the main piece of legislation relating to renting</w:t>
      </w:r>
      <w:r>
        <w:rPr>
          <w:rFonts w:ascii="Times New Roman" w:hAnsi="Times New Roman" w:cs="Times New Roman"/>
          <w:lang w:val="en-US"/>
        </w:rPr>
        <w:t>. There were only minimal changes made relating to</w:t>
      </w:r>
      <w:r w:rsidR="00C42353" w:rsidRPr="00C42353">
        <w:rPr>
          <w:rFonts w:ascii="Times New Roman" w:hAnsi="Times New Roman" w:cs="Times New Roman"/>
          <w:lang w:val="en-US"/>
        </w:rPr>
        <w:t xml:space="preserve"> climate adaptation, including</w:t>
      </w:r>
      <w:r w:rsidR="000F3F59">
        <w:rPr>
          <w:rFonts w:ascii="Times New Roman" w:hAnsi="Times New Roman" w:cs="Times New Roman"/>
          <w:lang w:val="en-US"/>
        </w:rPr>
        <w:t xml:space="preserve"> the introduction of</w:t>
      </w:r>
      <w:r w:rsidR="00C42353" w:rsidRPr="00C42353">
        <w:rPr>
          <w:rFonts w:ascii="Times New Roman" w:hAnsi="Times New Roman" w:cs="Times New Roman"/>
          <w:lang w:val="en-US"/>
        </w:rPr>
        <w:t>:</w:t>
      </w:r>
    </w:p>
    <w:p w14:paraId="5116E365" w14:textId="3D9C6853" w:rsidR="000F3F59" w:rsidRPr="000F3F59" w:rsidRDefault="000F3F59" w:rsidP="000F3F59">
      <w:pPr>
        <w:pStyle w:val="ListParagraph"/>
        <w:numPr>
          <w:ilvl w:val="0"/>
          <w:numId w:val="10"/>
        </w:numPr>
        <w:jc w:val="both"/>
        <w:rPr>
          <w:rFonts w:ascii="Times New Roman" w:hAnsi="Times New Roman" w:cs="Times New Roman"/>
          <w:lang w:val="en-AU"/>
        </w:rPr>
      </w:pPr>
      <w:r>
        <w:rPr>
          <w:rFonts w:ascii="Times New Roman" w:hAnsi="Times New Roman" w:cs="Times New Roman"/>
          <w:lang w:val="en-AU"/>
        </w:rPr>
        <w:t>Rental m</w:t>
      </w:r>
      <w:r w:rsidRPr="000F3F59">
        <w:rPr>
          <w:rFonts w:ascii="Times New Roman" w:hAnsi="Times New Roman" w:cs="Times New Roman"/>
          <w:lang w:val="en-AU"/>
        </w:rPr>
        <w:t xml:space="preserve">inimum standards (s 65A, RTR r 29 and Schedule 4), which includes: </w:t>
      </w:r>
    </w:p>
    <w:p w14:paraId="761E8CDA" w14:textId="77777777" w:rsidR="000F3F59" w:rsidRPr="000F3F59" w:rsidRDefault="000F3F59" w:rsidP="000F3F59">
      <w:pPr>
        <w:pStyle w:val="ListParagraph"/>
        <w:numPr>
          <w:ilvl w:val="1"/>
          <w:numId w:val="10"/>
        </w:numPr>
        <w:jc w:val="both"/>
        <w:rPr>
          <w:rFonts w:ascii="Times New Roman" w:hAnsi="Times New Roman" w:cs="Times New Roman"/>
          <w:lang w:val="en-AU"/>
        </w:rPr>
      </w:pPr>
      <w:r w:rsidRPr="000F3F59">
        <w:rPr>
          <w:rFonts w:ascii="Times New Roman" w:hAnsi="Times New Roman" w:cs="Times New Roman"/>
          <w:lang w:val="en-AU"/>
        </w:rPr>
        <w:t>Adequate heating</w:t>
      </w:r>
    </w:p>
    <w:p w14:paraId="0D0E8E5F" w14:textId="77777777" w:rsidR="000F3F59" w:rsidRPr="000F3F59" w:rsidRDefault="000F3F59" w:rsidP="000F3F59">
      <w:pPr>
        <w:pStyle w:val="ListParagraph"/>
        <w:numPr>
          <w:ilvl w:val="1"/>
          <w:numId w:val="10"/>
        </w:numPr>
        <w:jc w:val="both"/>
        <w:rPr>
          <w:rFonts w:ascii="Times New Roman" w:hAnsi="Times New Roman" w:cs="Times New Roman"/>
          <w:lang w:val="en-AU"/>
        </w:rPr>
      </w:pPr>
      <w:r w:rsidRPr="000F3F59">
        <w:rPr>
          <w:rFonts w:ascii="Times New Roman" w:hAnsi="Times New Roman" w:cs="Times New Roman"/>
          <w:lang w:val="en-AU"/>
        </w:rPr>
        <w:t>Adequate ventilation</w:t>
      </w:r>
    </w:p>
    <w:p w14:paraId="027879B4" w14:textId="77777777" w:rsidR="000F3F59" w:rsidRPr="000F3F59" w:rsidRDefault="000F3F59" w:rsidP="000F3F59">
      <w:pPr>
        <w:pStyle w:val="ListParagraph"/>
        <w:numPr>
          <w:ilvl w:val="1"/>
          <w:numId w:val="10"/>
        </w:numPr>
        <w:jc w:val="both"/>
        <w:rPr>
          <w:rFonts w:ascii="Times New Roman" w:hAnsi="Times New Roman" w:cs="Times New Roman"/>
          <w:lang w:val="en-AU"/>
        </w:rPr>
      </w:pPr>
      <w:r w:rsidRPr="000F3F59">
        <w:rPr>
          <w:rFonts w:ascii="Times New Roman" w:hAnsi="Times New Roman" w:cs="Times New Roman"/>
          <w:lang w:val="en-AU"/>
        </w:rPr>
        <w:lastRenderedPageBreak/>
        <w:t>Free of mould and damp</w:t>
      </w:r>
    </w:p>
    <w:p w14:paraId="62E1A1CA" w14:textId="15E2A7E5" w:rsidR="000F3F59" w:rsidRDefault="000F3F59" w:rsidP="000F3F59">
      <w:pPr>
        <w:pStyle w:val="ListParagraph"/>
        <w:numPr>
          <w:ilvl w:val="1"/>
          <w:numId w:val="10"/>
        </w:numPr>
        <w:jc w:val="both"/>
        <w:rPr>
          <w:rFonts w:ascii="Times New Roman" w:hAnsi="Times New Roman" w:cs="Times New Roman"/>
          <w:lang w:val="en-AU"/>
        </w:rPr>
      </w:pPr>
      <w:r w:rsidRPr="000F3F59">
        <w:rPr>
          <w:rFonts w:ascii="Times New Roman" w:hAnsi="Times New Roman" w:cs="Times New Roman"/>
          <w:lang w:val="en-AU"/>
        </w:rPr>
        <w:t>Weather-proof and structurally sound</w:t>
      </w:r>
    </w:p>
    <w:p w14:paraId="334FBB95" w14:textId="45B502D5" w:rsidR="000F3F59" w:rsidRPr="000F3F59" w:rsidRDefault="008F0F7A" w:rsidP="000F3F59">
      <w:pPr>
        <w:pStyle w:val="ListParagraph"/>
        <w:numPr>
          <w:ilvl w:val="1"/>
          <w:numId w:val="10"/>
        </w:numPr>
        <w:jc w:val="both"/>
        <w:rPr>
          <w:rFonts w:ascii="Times New Roman" w:hAnsi="Times New Roman" w:cs="Times New Roman"/>
          <w:lang w:val="en-AU"/>
        </w:rPr>
      </w:pPr>
      <w:r>
        <w:rPr>
          <w:rFonts w:ascii="Times New Roman" w:hAnsi="Times New Roman" w:cs="Times New Roman"/>
          <w:lang w:val="en-AU"/>
        </w:rPr>
        <w:t>(</w:t>
      </w:r>
      <w:proofErr w:type="gramStart"/>
      <w:r>
        <w:rPr>
          <w:rFonts w:ascii="Times New Roman" w:hAnsi="Times New Roman" w:cs="Times New Roman"/>
          <w:lang w:val="en-AU"/>
        </w:rPr>
        <w:t>note</w:t>
      </w:r>
      <w:proofErr w:type="gramEnd"/>
      <w:r>
        <w:rPr>
          <w:rFonts w:ascii="Times New Roman" w:hAnsi="Times New Roman" w:cs="Times New Roman"/>
          <w:lang w:val="en-AU"/>
        </w:rPr>
        <w:t xml:space="preserve"> the absence of air-conditioning</w:t>
      </w:r>
      <w:r w:rsidR="00C27050">
        <w:rPr>
          <w:rFonts w:ascii="Times New Roman" w:hAnsi="Times New Roman" w:cs="Times New Roman"/>
          <w:lang w:val="en-AU"/>
        </w:rPr>
        <w:t xml:space="preserve"> and proper insulation</w:t>
      </w:r>
      <w:r>
        <w:rPr>
          <w:rFonts w:ascii="Times New Roman" w:hAnsi="Times New Roman" w:cs="Times New Roman"/>
          <w:lang w:val="en-AU"/>
        </w:rPr>
        <w:t xml:space="preserve"> as a minimum standard</w:t>
      </w:r>
      <w:r w:rsidR="00C27050">
        <w:rPr>
          <w:rStyle w:val="FootnoteReference"/>
          <w:rFonts w:ascii="Times New Roman" w:hAnsi="Times New Roman" w:cs="Times New Roman"/>
          <w:lang w:val="en-AU"/>
        </w:rPr>
        <w:footnoteReference w:id="26"/>
      </w:r>
      <w:r>
        <w:rPr>
          <w:rFonts w:ascii="Times New Roman" w:hAnsi="Times New Roman" w:cs="Times New Roman"/>
          <w:lang w:val="en-AU"/>
        </w:rPr>
        <w:t>)</w:t>
      </w:r>
    </w:p>
    <w:p w14:paraId="0508B375" w14:textId="7F0FD3BF" w:rsidR="000F3F59" w:rsidRPr="000F3F59" w:rsidRDefault="008F0F7A" w:rsidP="008F0F7A">
      <w:pPr>
        <w:pStyle w:val="ListParagraph"/>
        <w:numPr>
          <w:ilvl w:val="0"/>
          <w:numId w:val="10"/>
        </w:numPr>
        <w:jc w:val="both"/>
        <w:rPr>
          <w:rFonts w:ascii="Times New Roman" w:hAnsi="Times New Roman" w:cs="Times New Roman"/>
          <w:lang w:val="en-AU"/>
        </w:rPr>
      </w:pPr>
      <w:r>
        <w:rPr>
          <w:rFonts w:ascii="Times New Roman" w:hAnsi="Times New Roman" w:cs="Times New Roman"/>
          <w:lang w:val="en-AU"/>
        </w:rPr>
        <w:t>These minimum standards are e</w:t>
      </w:r>
      <w:r w:rsidR="000F3F59" w:rsidRPr="000F3F59">
        <w:rPr>
          <w:rFonts w:ascii="Times New Roman" w:hAnsi="Times New Roman" w:cs="Times New Roman"/>
          <w:lang w:val="en-AU"/>
        </w:rPr>
        <w:t>nforceable through streamlined ‘urgent repairs’ process</w:t>
      </w:r>
    </w:p>
    <w:p w14:paraId="39D9374B" w14:textId="77777777" w:rsidR="000F3F59" w:rsidRPr="000F3F59" w:rsidRDefault="000F3F59" w:rsidP="000F3F59">
      <w:pPr>
        <w:pStyle w:val="ListParagraph"/>
        <w:numPr>
          <w:ilvl w:val="0"/>
          <w:numId w:val="10"/>
        </w:numPr>
        <w:jc w:val="both"/>
        <w:rPr>
          <w:rFonts w:ascii="Times New Roman" w:hAnsi="Times New Roman" w:cs="Times New Roman"/>
          <w:lang w:val="en-AU"/>
        </w:rPr>
      </w:pPr>
      <w:r w:rsidRPr="000F3F59">
        <w:rPr>
          <w:rFonts w:ascii="Times New Roman" w:hAnsi="Times New Roman" w:cs="Times New Roman"/>
          <w:lang w:val="en-AU"/>
        </w:rPr>
        <w:t xml:space="preserve"> Energy efficiency requirements for some appliances, where they are being replaced (s 69, RTR rr 23-24)</w:t>
      </w:r>
    </w:p>
    <w:p w14:paraId="5D2AFD07" w14:textId="77777777" w:rsidR="000F3F59" w:rsidRPr="000F3F59" w:rsidRDefault="000F3F59" w:rsidP="000F3F59">
      <w:pPr>
        <w:pStyle w:val="ListParagraph"/>
        <w:numPr>
          <w:ilvl w:val="0"/>
          <w:numId w:val="10"/>
        </w:numPr>
        <w:jc w:val="both"/>
        <w:rPr>
          <w:rFonts w:ascii="Times New Roman" w:hAnsi="Times New Roman" w:cs="Times New Roman"/>
          <w:lang w:val="en-AU"/>
        </w:rPr>
      </w:pPr>
      <w:r w:rsidRPr="000F3F59">
        <w:rPr>
          <w:rFonts w:ascii="Times New Roman" w:hAnsi="Times New Roman" w:cs="Times New Roman"/>
          <w:lang w:val="en-AU"/>
        </w:rPr>
        <w:t>If appliance energy efficiency requirements are not met, the landlord is liable to pay for supply of water, gas or electricity to the property until the appliance is compliant (s 54)</w:t>
      </w:r>
    </w:p>
    <w:p w14:paraId="5539EC01" w14:textId="77777777" w:rsidR="000F3F59" w:rsidRPr="000F3F59" w:rsidRDefault="000F3F59" w:rsidP="000F3F59">
      <w:pPr>
        <w:pStyle w:val="ListParagraph"/>
        <w:numPr>
          <w:ilvl w:val="0"/>
          <w:numId w:val="10"/>
        </w:numPr>
        <w:jc w:val="both"/>
        <w:rPr>
          <w:rFonts w:ascii="Times New Roman" w:hAnsi="Times New Roman" w:cs="Times New Roman"/>
          <w:lang w:val="en-AU"/>
        </w:rPr>
      </w:pPr>
      <w:r w:rsidRPr="000F3F59">
        <w:rPr>
          <w:rFonts w:ascii="Times New Roman" w:hAnsi="Times New Roman" w:cs="Times New Roman"/>
          <w:lang w:val="en-AU"/>
        </w:rPr>
        <w:t xml:space="preserve">Modifications – no requirement for landlord’s consent for thermally insulating film, water efficient </w:t>
      </w:r>
      <w:proofErr w:type="gramStart"/>
      <w:r w:rsidRPr="000F3F59">
        <w:rPr>
          <w:rFonts w:ascii="Times New Roman" w:hAnsi="Times New Roman" w:cs="Times New Roman"/>
          <w:lang w:val="en-AU"/>
        </w:rPr>
        <w:t>shower-heads</w:t>
      </w:r>
      <w:proofErr w:type="gramEnd"/>
      <w:r w:rsidRPr="000F3F59">
        <w:rPr>
          <w:rFonts w:ascii="Times New Roman" w:hAnsi="Times New Roman" w:cs="Times New Roman"/>
          <w:lang w:val="en-AU"/>
        </w:rPr>
        <w:t xml:space="preserve"> (s 64, r 26)</w:t>
      </w:r>
    </w:p>
    <w:p w14:paraId="2A1FC2DF" w14:textId="40C15F9A" w:rsidR="000F3F59" w:rsidRPr="000F3F59" w:rsidRDefault="000F3F59" w:rsidP="000F3F59">
      <w:pPr>
        <w:pStyle w:val="ListParagraph"/>
        <w:numPr>
          <w:ilvl w:val="0"/>
          <w:numId w:val="10"/>
        </w:numPr>
        <w:jc w:val="both"/>
        <w:rPr>
          <w:rFonts w:ascii="Times New Roman" w:hAnsi="Times New Roman" w:cs="Times New Roman"/>
          <w:lang w:val="en-AU"/>
        </w:rPr>
      </w:pPr>
      <w:r w:rsidRPr="000F3F59">
        <w:rPr>
          <w:rFonts w:ascii="Times New Roman" w:hAnsi="Times New Roman" w:cs="Times New Roman"/>
          <w:lang w:val="en-AU"/>
        </w:rPr>
        <w:t xml:space="preserve">Removal of the ‘no reason’ Notice to Vacate – making it harder to evict someone </w:t>
      </w:r>
      <w:r w:rsidR="006D56FB">
        <w:rPr>
          <w:rFonts w:ascii="Times New Roman" w:hAnsi="Times New Roman" w:cs="Times New Roman"/>
          <w:lang w:val="en-AU"/>
        </w:rPr>
        <w:t>for asking for modifications</w:t>
      </w:r>
    </w:p>
    <w:p w14:paraId="1F83BD0E" w14:textId="77777777" w:rsidR="000F3F59" w:rsidRPr="000F3F59" w:rsidRDefault="000F3F59" w:rsidP="000F3F59">
      <w:pPr>
        <w:pStyle w:val="ListParagraph"/>
        <w:numPr>
          <w:ilvl w:val="0"/>
          <w:numId w:val="10"/>
        </w:numPr>
        <w:jc w:val="both"/>
        <w:rPr>
          <w:rFonts w:ascii="Times New Roman" w:hAnsi="Times New Roman" w:cs="Times New Roman"/>
          <w:lang w:val="en-AU"/>
        </w:rPr>
      </w:pPr>
      <w:r w:rsidRPr="000F3F59">
        <w:rPr>
          <w:rFonts w:ascii="Times New Roman" w:hAnsi="Times New Roman" w:cs="Times New Roman"/>
          <w:lang w:val="en-AU"/>
        </w:rPr>
        <w:t>Provision for agreements in relation to solar panel installation (s 53AA)</w:t>
      </w:r>
    </w:p>
    <w:p w14:paraId="4B69160B" w14:textId="729C1BD3" w:rsidR="00551871" w:rsidRPr="00551871" w:rsidRDefault="00551871" w:rsidP="00551871">
      <w:pPr>
        <w:ind w:left="720"/>
        <w:jc w:val="both"/>
        <w:rPr>
          <w:rFonts w:ascii="Times New Roman" w:hAnsi="Times New Roman" w:cs="Times New Roman"/>
          <w:lang w:val="en-US"/>
        </w:rPr>
      </w:pPr>
      <w:r>
        <w:rPr>
          <w:rFonts w:ascii="Times New Roman" w:hAnsi="Times New Roman" w:cs="Times New Roman"/>
          <w:lang w:val="en-US"/>
        </w:rPr>
        <w:t xml:space="preserve">There is also a Solar Panel </w:t>
      </w:r>
      <w:r w:rsidR="0027758A">
        <w:rPr>
          <w:rFonts w:ascii="Times New Roman" w:hAnsi="Times New Roman" w:cs="Times New Roman"/>
          <w:lang w:val="en-US"/>
        </w:rPr>
        <w:t xml:space="preserve">Rebate for rental properties of $1400 in Victoria, which has been taken up by, at 8 Jul 2022, </w:t>
      </w:r>
      <w:r w:rsidR="00326755">
        <w:rPr>
          <w:rFonts w:ascii="Times New Roman" w:hAnsi="Times New Roman" w:cs="Times New Roman"/>
          <w:lang w:val="en-US"/>
        </w:rPr>
        <w:t>a modest 348 rental providers.</w:t>
      </w:r>
      <w:r w:rsidR="00326755">
        <w:rPr>
          <w:rStyle w:val="FootnoteReference"/>
          <w:rFonts w:ascii="Times New Roman" w:hAnsi="Times New Roman" w:cs="Times New Roman"/>
          <w:lang w:val="en-US"/>
        </w:rPr>
        <w:footnoteReference w:id="27"/>
      </w:r>
    </w:p>
    <w:p w14:paraId="41E603DA" w14:textId="4C610B65" w:rsidR="00C93F10" w:rsidRPr="005A07DD" w:rsidRDefault="009A2C44" w:rsidP="009C2911">
      <w:pPr>
        <w:rPr>
          <w:rFonts w:ascii="Times New Roman" w:hAnsi="Times New Roman" w:cs="Times New Roman"/>
          <w:b/>
          <w:bCs/>
          <w:lang w:val="en-US"/>
        </w:rPr>
      </w:pPr>
      <w:r w:rsidRPr="005A07DD">
        <w:rPr>
          <w:rFonts w:ascii="Times New Roman" w:hAnsi="Times New Roman" w:cs="Times New Roman"/>
          <w:b/>
          <w:bCs/>
          <w:lang w:val="en-US"/>
        </w:rPr>
        <w:t xml:space="preserve">16. </w:t>
      </w:r>
      <w:r w:rsidR="00C93F10" w:rsidRPr="005A07DD">
        <w:rPr>
          <w:rFonts w:ascii="Times New Roman" w:hAnsi="Times New Roman" w:cs="Times New Roman"/>
          <w:b/>
          <w:bCs/>
          <w:lang w:val="en-US"/>
        </w:rPr>
        <w:t>What adaptation strategies are needed to ensure the continued habitability of housing in the face of the climate crisis? (</w:t>
      </w:r>
      <w:proofErr w:type="gramStart"/>
      <w:r w:rsidR="00C93F10" w:rsidRPr="005A07DD">
        <w:rPr>
          <w:rFonts w:ascii="Times New Roman" w:hAnsi="Times New Roman" w:cs="Times New Roman"/>
          <w:b/>
          <w:bCs/>
          <w:lang w:val="en-US"/>
        </w:rPr>
        <w:t>protection</w:t>
      </w:r>
      <w:proofErr w:type="gramEnd"/>
      <w:r w:rsidR="00C93F10" w:rsidRPr="005A07DD">
        <w:rPr>
          <w:rFonts w:ascii="Times New Roman" w:hAnsi="Times New Roman" w:cs="Times New Roman"/>
          <w:b/>
          <w:bCs/>
          <w:lang w:val="en-US"/>
        </w:rPr>
        <w:t xml:space="preserve"> from e.g. heat, flooding, extreme weather, etc.)</w:t>
      </w:r>
    </w:p>
    <w:p w14:paraId="600C355D" w14:textId="54624775" w:rsidR="006D09CA" w:rsidRDefault="001B73A6" w:rsidP="006D09CA">
      <w:pPr>
        <w:ind w:left="720"/>
        <w:rPr>
          <w:rFonts w:ascii="Times New Roman" w:hAnsi="Times New Roman" w:cs="Times New Roman"/>
          <w:lang w:val="en-US"/>
        </w:rPr>
      </w:pPr>
      <w:r w:rsidRPr="005A07DD">
        <w:rPr>
          <w:rFonts w:ascii="Times New Roman" w:hAnsi="Times New Roman" w:cs="Times New Roman"/>
          <w:lang w:val="en-US"/>
        </w:rPr>
        <w:t xml:space="preserve">We first need to have </w:t>
      </w:r>
      <w:r w:rsidR="00FF36DA">
        <w:rPr>
          <w:rFonts w:ascii="Times New Roman" w:hAnsi="Times New Roman" w:cs="Times New Roman"/>
          <w:lang w:val="en-US"/>
        </w:rPr>
        <w:t xml:space="preserve">national, or state-wide </w:t>
      </w:r>
      <w:r w:rsidRPr="005A07DD">
        <w:rPr>
          <w:rFonts w:ascii="Times New Roman" w:hAnsi="Times New Roman" w:cs="Times New Roman"/>
          <w:lang w:val="en-US"/>
        </w:rPr>
        <w:t>a conversation about what climate just housing</w:t>
      </w:r>
      <w:r w:rsidR="00795EC5">
        <w:rPr>
          <w:rFonts w:ascii="Times New Roman" w:hAnsi="Times New Roman" w:cs="Times New Roman"/>
          <w:lang w:val="en-US"/>
        </w:rPr>
        <w:t xml:space="preserve"> </w:t>
      </w:r>
      <w:r w:rsidR="00C42353" w:rsidRPr="005A07DD">
        <w:rPr>
          <w:rFonts w:ascii="Times New Roman" w:hAnsi="Times New Roman" w:cs="Times New Roman"/>
          <w:lang w:val="en-US"/>
        </w:rPr>
        <w:t>for</w:t>
      </w:r>
      <w:r w:rsidRPr="005A07DD">
        <w:rPr>
          <w:rFonts w:ascii="Times New Roman" w:hAnsi="Times New Roman" w:cs="Times New Roman"/>
          <w:lang w:val="en-US"/>
        </w:rPr>
        <w:t xml:space="preserve"> renters </w:t>
      </w:r>
      <w:r w:rsidR="00C42353" w:rsidRPr="005A07DD">
        <w:rPr>
          <w:rFonts w:ascii="Times New Roman" w:hAnsi="Times New Roman" w:cs="Times New Roman"/>
          <w:lang w:val="en-US"/>
        </w:rPr>
        <w:t>can look like</w:t>
      </w:r>
      <w:r w:rsidR="00C42353">
        <w:rPr>
          <w:rFonts w:ascii="Times New Roman" w:hAnsi="Times New Roman" w:cs="Times New Roman"/>
          <w:lang w:val="en-US"/>
        </w:rPr>
        <w:t xml:space="preserve">, </w:t>
      </w:r>
      <w:proofErr w:type="gramStart"/>
      <w:r w:rsidR="00C42353">
        <w:rPr>
          <w:rFonts w:ascii="Times New Roman" w:hAnsi="Times New Roman" w:cs="Times New Roman"/>
          <w:lang w:val="en-US"/>
        </w:rPr>
        <w:t>taking into account</w:t>
      </w:r>
      <w:proofErr w:type="gramEnd"/>
      <w:r w:rsidR="00C42353">
        <w:rPr>
          <w:rFonts w:ascii="Times New Roman" w:hAnsi="Times New Roman" w:cs="Times New Roman"/>
          <w:lang w:val="en-US"/>
        </w:rPr>
        <w:t xml:space="preserve"> that:</w:t>
      </w:r>
    </w:p>
    <w:p w14:paraId="6C725243" w14:textId="53CE7EB3" w:rsidR="00FF36DA" w:rsidRDefault="00FF36DA" w:rsidP="00935AEB">
      <w:pPr>
        <w:pStyle w:val="ListParagraph"/>
        <w:numPr>
          <w:ilvl w:val="0"/>
          <w:numId w:val="10"/>
        </w:numPr>
        <w:jc w:val="both"/>
        <w:rPr>
          <w:rFonts w:ascii="Times New Roman" w:hAnsi="Times New Roman" w:cs="Times New Roman"/>
          <w:lang w:val="en-US"/>
        </w:rPr>
      </w:pPr>
      <w:r>
        <w:rPr>
          <w:rFonts w:ascii="Times New Roman" w:hAnsi="Times New Roman" w:cs="Times New Roman"/>
          <w:lang w:val="en-US"/>
        </w:rPr>
        <w:t>About one-third of people are renter</w:t>
      </w:r>
      <w:r w:rsidR="00935AEB">
        <w:rPr>
          <w:rFonts w:ascii="Times New Roman" w:hAnsi="Times New Roman" w:cs="Times New Roman"/>
          <w:lang w:val="en-US"/>
        </w:rPr>
        <w:t xml:space="preserve">s, and about one-third of properties are rental properties – therefore renters need to be included in this conversation </w:t>
      </w:r>
    </w:p>
    <w:p w14:paraId="7424DD99" w14:textId="443F4DF8" w:rsidR="005A07DD" w:rsidRDefault="005A07DD" w:rsidP="00C42353">
      <w:pPr>
        <w:pStyle w:val="ListParagraph"/>
        <w:numPr>
          <w:ilvl w:val="0"/>
          <w:numId w:val="10"/>
        </w:numPr>
        <w:jc w:val="both"/>
        <w:rPr>
          <w:rFonts w:ascii="Times New Roman" w:hAnsi="Times New Roman" w:cs="Times New Roman"/>
          <w:lang w:val="en-US"/>
        </w:rPr>
      </w:pPr>
      <w:proofErr w:type="gramStart"/>
      <w:r>
        <w:rPr>
          <w:rFonts w:ascii="Times New Roman" w:hAnsi="Times New Roman" w:cs="Times New Roman"/>
          <w:lang w:val="en-US"/>
        </w:rPr>
        <w:t>The majority of</w:t>
      </w:r>
      <w:proofErr w:type="gramEnd"/>
      <w:r>
        <w:rPr>
          <w:rFonts w:ascii="Times New Roman" w:hAnsi="Times New Roman" w:cs="Times New Roman"/>
          <w:lang w:val="en-US"/>
        </w:rPr>
        <w:t xml:space="preserve"> rental home providers in Victoria own only one investment property</w:t>
      </w:r>
      <w:r w:rsidR="006D4586">
        <w:rPr>
          <w:rFonts w:ascii="Times New Roman" w:hAnsi="Times New Roman" w:cs="Times New Roman"/>
          <w:lang w:val="en-US"/>
        </w:rPr>
        <w:t xml:space="preserve"> (71.8% at 2018)</w:t>
      </w:r>
      <w:r w:rsidR="006D4586">
        <w:rPr>
          <w:rStyle w:val="FootnoteReference"/>
          <w:rFonts w:ascii="Times New Roman" w:hAnsi="Times New Roman" w:cs="Times New Roman"/>
          <w:lang w:val="en-US"/>
        </w:rPr>
        <w:footnoteReference w:id="28"/>
      </w:r>
      <w:r>
        <w:rPr>
          <w:rFonts w:ascii="Times New Roman" w:hAnsi="Times New Roman" w:cs="Times New Roman"/>
          <w:lang w:val="en-US"/>
        </w:rPr>
        <w:t xml:space="preserve"> – they are </w:t>
      </w:r>
      <w:r w:rsidR="00EA37E8">
        <w:rPr>
          <w:rFonts w:ascii="Times New Roman" w:hAnsi="Times New Roman" w:cs="Times New Roman"/>
          <w:lang w:val="en-US"/>
        </w:rPr>
        <w:t>generally</w:t>
      </w:r>
      <w:r>
        <w:rPr>
          <w:rFonts w:ascii="Times New Roman" w:hAnsi="Times New Roman" w:cs="Times New Roman"/>
          <w:lang w:val="en-US"/>
        </w:rPr>
        <w:t xml:space="preserve"> not institutional </w:t>
      </w:r>
      <w:r w:rsidR="00551871">
        <w:rPr>
          <w:rFonts w:ascii="Times New Roman" w:hAnsi="Times New Roman" w:cs="Times New Roman"/>
          <w:lang w:val="en-US"/>
        </w:rPr>
        <w:t xml:space="preserve">providers – </w:t>
      </w:r>
      <w:r w:rsidR="00EA37E8">
        <w:rPr>
          <w:rFonts w:ascii="Times New Roman" w:hAnsi="Times New Roman" w:cs="Times New Roman"/>
          <w:lang w:val="en-US"/>
        </w:rPr>
        <w:t xml:space="preserve">and </w:t>
      </w:r>
      <w:r w:rsidR="000A3FF9">
        <w:rPr>
          <w:rFonts w:ascii="Times New Roman" w:hAnsi="Times New Roman" w:cs="Times New Roman"/>
          <w:lang w:val="en-US"/>
        </w:rPr>
        <w:t>a particular approach to adapting these particular dwellings to climate change impacts much be considered</w:t>
      </w:r>
      <w:r w:rsidR="00EA37E8">
        <w:rPr>
          <w:rFonts w:ascii="Times New Roman" w:hAnsi="Times New Roman" w:cs="Times New Roman"/>
          <w:lang w:val="en-US"/>
        </w:rPr>
        <w:t xml:space="preserve"> </w:t>
      </w:r>
    </w:p>
    <w:p w14:paraId="1AED591D" w14:textId="0DC58349" w:rsidR="008242C0" w:rsidRPr="008242C0" w:rsidRDefault="00935AEB" w:rsidP="008242C0">
      <w:pPr>
        <w:pStyle w:val="ListParagraph"/>
        <w:numPr>
          <w:ilvl w:val="0"/>
          <w:numId w:val="10"/>
        </w:numPr>
        <w:jc w:val="both"/>
        <w:rPr>
          <w:rFonts w:ascii="Times New Roman" w:hAnsi="Times New Roman" w:cs="Times New Roman"/>
          <w:lang w:val="en-US"/>
        </w:rPr>
      </w:pPr>
      <w:proofErr w:type="gramStart"/>
      <w:r>
        <w:rPr>
          <w:rFonts w:ascii="Times New Roman" w:hAnsi="Times New Roman" w:cs="Times New Roman"/>
          <w:lang w:val="en-US"/>
        </w:rPr>
        <w:t>The majority of</w:t>
      </w:r>
      <w:proofErr w:type="gramEnd"/>
      <w:r>
        <w:rPr>
          <w:rFonts w:ascii="Times New Roman" w:hAnsi="Times New Roman" w:cs="Times New Roman"/>
          <w:lang w:val="en-US"/>
        </w:rPr>
        <w:t xml:space="preserve"> </w:t>
      </w:r>
      <w:r w:rsidR="008242C0">
        <w:rPr>
          <w:rFonts w:ascii="Times New Roman" w:hAnsi="Times New Roman" w:cs="Times New Roman"/>
          <w:lang w:val="en-US"/>
        </w:rPr>
        <w:t>investor-owned dwellings in Victoria (57.8%), and Australia (48.1%),</w:t>
      </w:r>
      <w:r w:rsidR="007F0D78">
        <w:rPr>
          <w:rStyle w:val="FootnoteReference"/>
          <w:rFonts w:ascii="Times New Roman" w:hAnsi="Times New Roman" w:cs="Times New Roman"/>
          <w:lang w:val="en-US"/>
        </w:rPr>
        <w:footnoteReference w:id="29"/>
      </w:r>
      <w:r w:rsidR="008242C0">
        <w:rPr>
          <w:rFonts w:ascii="Times New Roman" w:hAnsi="Times New Roman" w:cs="Times New Roman"/>
          <w:lang w:val="en-US"/>
        </w:rPr>
        <w:t xml:space="preserve"> are units</w:t>
      </w:r>
      <w:r w:rsidR="008242C0" w:rsidRPr="008242C0">
        <w:rPr>
          <w:rFonts w:ascii="Times New Roman" w:hAnsi="Times New Roman" w:cs="Times New Roman"/>
          <w:lang w:val="en-US"/>
        </w:rPr>
        <w:t xml:space="preserve">, not stand-alone houses – therefore owners’ corporations </w:t>
      </w:r>
      <w:r w:rsidR="00125E4A">
        <w:rPr>
          <w:rFonts w:ascii="Times New Roman" w:hAnsi="Times New Roman" w:cs="Times New Roman"/>
          <w:lang w:val="en-US"/>
        </w:rPr>
        <w:t xml:space="preserve">(the manager of common property in </w:t>
      </w:r>
      <w:r w:rsidR="00AE0E22">
        <w:rPr>
          <w:rFonts w:ascii="Times New Roman" w:hAnsi="Times New Roman" w:cs="Times New Roman"/>
          <w:lang w:val="en-US"/>
        </w:rPr>
        <w:t xml:space="preserve">a property development, known as ‘strata corporations’ in NSW) </w:t>
      </w:r>
      <w:r w:rsidR="008242C0" w:rsidRPr="008242C0">
        <w:rPr>
          <w:rFonts w:ascii="Times New Roman" w:hAnsi="Times New Roman" w:cs="Times New Roman"/>
          <w:lang w:val="en-US"/>
        </w:rPr>
        <w:t>should also be involved</w:t>
      </w:r>
      <w:r w:rsidR="008242C0">
        <w:rPr>
          <w:rFonts w:ascii="Times New Roman" w:hAnsi="Times New Roman" w:cs="Times New Roman"/>
          <w:lang w:val="en-US"/>
        </w:rPr>
        <w:t xml:space="preserve"> – otherwise they </w:t>
      </w:r>
      <w:r w:rsidR="00AE0E22">
        <w:rPr>
          <w:rFonts w:ascii="Times New Roman" w:hAnsi="Times New Roman" w:cs="Times New Roman"/>
          <w:lang w:val="en-US"/>
        </w:rPr>
        <w:t>risk</w:t>
      </w:r>
      <w:r w:rsidR="008242C0">
        <w:rPr>
          <w:rFonts w:ascii="Times New Roman" w:hAnsi="Times New Roman" w:cs="Times New Roman"/>
          <w:lang w:val="en-US"/>
        </w:rPr>
        <w:t xml:space="preserve"> </w:t>
      </w:r>
      <w:r w:rsidR="00AE0E22">
        <w:rPr>
          <w:rFonts w:ascii="Times New Roman" w:hAnsi="Times New Roman" w:cs="Times New Roman"/>
          <w:lang w:val="en-US"/>
        </w:rPr>
        <w:t>operating as an</w:t>
      </w:r>
      <w:r w:rsidR="008242C0">
        <w:rPr>
          <w:rFonts w:ascii="Times New Roman" w:hAnsi="Times New Roman" w:cs="Times New Roman"/>
          <w:lang w:val="en-US"/>
        </w:rPr>
        <w:t xml:space="preserve"> obstacle for </w:t>
      </w:r>
      <w:r w:rsidR="00F261DD">
        <w:rPr>
          <w:rFonts w:ascii="Times New Roman" w:hAnsi="Times New Roman" w:cs="Times New Roman"/>
          <w:lang w:val="en-US"/>
        </w:rPr>
        <w:t>development and change</w:t>
      </w:r>
      <w:r w:rsidR="00AE0E22">
        <w:rPr>
          <w:rStyle w:val="FootnoteReference"/>
          <w:rFonts w:ascii="Times New Roman" w:hAnsi="Times New Roman" w:cs="Times New Roman"/>
          <w:lang w:val="en-US"/>
        </w:rPr>
        <w:footnoteReference w:id="30"/>
      </w:r>
    </w:p>
    <w:p w14:paraId="22BF7AE4" w14:textId="5BEA276C" w:rsidR="00C42353" w:rsidRDefault="005A07DD" w:rsidP="00C42353">
      <w:pPr>
        <w:pStyle w:val="ListParagraph"/>
        <w:numPr>
          <w:ilvl w:val="0"/>
          <w:numId w:val="10"/>
        </w:numPr>
        <w:jc w:val="both"/>
        <w:rPr>
          <w:rFonts w:ascii="Times New Roman" w:hAnsi="Times New Roman" w:cs="Times New Roman"/>
          <w:lang w:val="en-US"/>
        </w:rPr>
      </w:pPr>
      <w:r>
        <w:rPr>
          <w:rFonts w:ascii="Times New Roman" w:hAnsi="Times New Roman" w:cs="Times New Roman"/>
          <w:lang w:val="en-US"/>
        </w:rPr>
        <w:t>There is a split-incentive for</w:t>
      </w:r>
      <w:r w:rsidR="000A3FF9">
        <w:rPr>
          <w:rFonts w:ascii="Times New Roman" w:hAnsi="Times New Roman" w:cs="Times New Roman"/>
          <w:lang w:val="en-US"/>
        </w:rPr>
        <w:t xml:space="preserve"> climate adaptation investment in rental properties – put crudely, the rental provider pays for a modification (</w:t>
      </w:r>
      <w:proofErr w:type="gramStart"/>
      <w:r w:rsidR="000A3FF9">
        <w:rPr>
          <w:rFonts w:ascii="Times New Roman" w:hAnsi="Times New Roman" w:cs="Times New Roman"/>
          <w:lang w:val="en-US"/>
        </w:rPr>
        <w:t>i.e.</w:t>
      </w:r>
      <w:proofErr w:type="gramEnd"/>
      <w:r w:rsidR="000A3FF9">
        <w:rPr>
          <w:rFonts w:ascii="Times New Roman" w:hAnsi="Times New Roman" w:cs="Times New Roman"/>
          <w:lang w:val="en-US"/>
        </w:rPr>
        <w:t xml:space="preserve"> solar panels, or insulation) but the renter receives the direct benefit (i.e. reduced energy bills)</w:t>
      </w:r>
      <w:r w:rsidR="00C97C8C">
        <w:rPr>
          <w:rStyle w:val="FootnoteReference"/>
          <w:rFonts w:ascii="Times New Roman" w:hAnsi="Times New Roman" w:cs="Times New Roman"/>
          <w:lang w:val="en-US"/>
        </w:rPr>
        <w:footnoteReference w:id="31"/>
      </w:r>
      <w:r w:rsidR="000A3FF9">
        <w:rPr>
          <w:rFonts w:ascii="Times New Roman" w:hAnsi="Times New Roman" w:cs="Times New Roman"/>
          <w:lang w:val="en-US"/>
        </w:rPr>
        <w:t xml:space="preserve"> – this must be taken into account. </w:t>
      </w:r>
    </w:p>
    <w:p w14:paraId="1255517D" w14:textId="1C5E62C4" w:rsidR="000A3FF9" w:rsidRPr="00B96405" w:rsidRDefault="00B96405" w:rsidP="00B96405">
      <w:pPr>
        <w:pStyle w:val="ListParagraph"/>
        <w:numPr>
          <w:ilvl w:val="0"/>
          <w:numId w:val="10"/>
        </w:numPr>
        <w:jc w:val="both"/>
        <w:rPr>
          <w:rFonts w:ascii="Times New Roman" w:hAnsi="Times New Roman" w:cs="Times New Roman"/>
          <w:lang w:val="en-US"/>
        </w:rPr>
      </w:pPr>
      <w:r>
        <w:rPr>
          <w:rFonts w:ascii="Times New Roman" w:hAnsi="Times New Roman" w:cs="Times New Roman"/>
          <w:lang w:val="en-US"/>
        </w:rPr>
        <w:t>Without mandating a particular level of climate adaptation for rentals, there is a risk of exacerbating climate injustice</w:t>
      </w:r>
      <w:r w:rsidR="00795EC5">
        <w:rPr>
          <w:rFonts w:ascii="Times New Roman" w:hAnsi="Times New Roman" w:cs="Times New Roman"/>
          <w:lang w:val="en-US"/>
        </w:rPr>
        <w:t xml:space="preserve"> because</w:t>
      </w:r>
      <w:r>
        <w:rPr>
          <w:rFonts w:ascii="Times New Roman" w:hAnsi="Times New Roman" w:cs="Times New Roman"/>
          <w:lang w:val="en-US"/>
        </w:rPr>
        <w:t xml:space="preserve"> rental providers who invest in adapting their home may increase rents, resulting in </w:t>
      </w:r>
      <w:r w:rsidRPr="00B96405">
        <w:rPr>
          <w:rFonts w:ascii="Times New Roman" w:hAnsi="Times New Roman" w:cs="Times New Roman"/>
          <w:lang w:val="en-US"/>
        </w:rPr>
        <w:t xml:space="preserve">lower income </w:t>
      </w:r>
      <w:r w:rsidR="00795EC5">
        <w:rPr>
          <w:rFonts w:ascii="Times New Roman" w:hAnsi="Times New Roman" w:cs="Times New Roman"/>
          <w:lang w:val="en-US"/>
        </w:rPr>
        <w:t>renter</w:t>
      </w:r>
      <w:r w:rsidRPr="00B96405">
        <w:rPr>
          <w:rFonts w:ascii="Times New Roman" w:hAnsi="Times New Roman" w:cs="Times New Roman"/>
          <w:lang w:val="en-US"/>
        </w:rPr>
        <w:t xml:space="preserve"> households </w:t>
      </w:r>
      <w:r w:rsidR="00795EC5">
        <w:rPr>
          <w:rFonts w:ascii="Times New Roman" w:hAnsi="Times New Roman" w:cs="Times New Roman"/>
          <w:lang w:val="en-US"/>
        </w:rPr>
        <w:t>being</w:t>
      </w:r>
      <w:r w:rsidRPr="00B96405">
        <w:rPr>
          <w:rFonts w:ascii="Times New Roman" w:hAnsi="Times New Roman" w:cs="Times New Roman"/>
          <w:lang w:val="en-US"/>
        </w:rPr>
        <w:t xml:space="preserve"> less likely to find housing they can afford to both rent and heat (or cool).</w:t>
      </w:r>
      <w:r w:rsidR="00795EC5">
        <w:rPr>
          <w:rStyle w:val="FootnoteReference"/>
          <w:rFonts w:ascii="Times New Roman" w:hAnsi="Times New Roman" w:cs="Times New Roman"/>
          <w:lang w:val="en-US"/>
        </w:rPr>
        <w:footnoteReference w:id="32"/>
      </w:r>
    </w:p>
    <w:p w14:paraId="67CF4247" w14:textId="057DEB73" w:rsidR="006D09CA" w:rsidRDefault="006D09CA" w:rsidP="00C93F10">
      <w:pPr>
        <w:pStyle w:val="ListParagraph"/>
        <w:rPr>
          <w:rFonts w:ascii="Times New Roman" w:hAnsi="Times New Roman" w:cs="Times New Roman"/>
          <w:lang w:val="en-US"/>
        </w:rPr>
      </w:pPr>
    </w:p>
    <w:p w14:paraId="7B9BC425" w14:textId="4CDF80D3" w:rsidR="00187078" w:rsidRPr="00DF4B84" w:rsidRDefault="00187078" w:rsidP="00DC25EC">
      <w:pPr>
        <w:jc w:val="both"/>
        <w:rPr>
          <w:rFonts w:ascii="Times New Roman" w:hAnsi="Times New Roman" w:cs="Times New Roman"/>
          <w:b/>
          <w:sz w:val="28"/>
          <w:lang w:val="en-US"/>
        </w:rPr>
      </w:pPr>
      <w:r w:rsidRPr="00DF4B84">
        <w:rPr>
          <w:rFonts w:ascii="Times New Roman" w:hAnsi="Times New Roman" w:cs="Times New Roman"/>
          <w:b/>
          <w:sz w:val="28"/>
          <w:lang w:val="en-US"/>
        </w:rPr>
        <w:t>Submission instructions</w:t>
      </w:r>
    </w:p>
    <w:p w14:paraId="12FE262D" w14:textId="2F8A86E2" w:rsidR="00DF4B84" w:rsidRPr="00DF4B84" w:rsidRDefault="00187078" w:rsidP="00DF4B84">
      <w:pPr>
        <w:jc w:val="both"/>
        <w:rPr>
          <w:rFonts w:ascii="Times New Roman" w:hAnsi="Times New Roman" w:cs="Times New Roman"/>
          <w:lang w:val="en-US"/>
        </w:rPr>
      </w:pPr>
      <w:r w:rsidRPr="00DF4B84">
        <w:rPr>
          <w:rFonts w:ascii="Times New Roman" w:hAnsi="Times New Roman" w:cs="Times New Roman"/>
          <w:b/>
          <w:lang w:val="en-US"/>
        </w:rPr>
        <w:lastRenderedPageBreak/>
        <w:t>Deadline:</w:t>
      </w:r>
      <w:r w:rsidRPr="00DF4B84">
        <w:rPr>
          <w:rFonts w:ascii="Times New Roman" w:hAnsi="Times New Roman" w:cs="Times New Roman"/>
          <w:lang w:val="en-US"/>
        </w:rPr>
        <w:t xml:space="preserve">  </w:t>
      </w:r>
      <w:r w:rsidRPr="00DF4B84">
        <w:rPr>
          <w:rFonts w:ascii="Times New Roman" w:hAnsi="Times New Roman" w:cs="Times New Roman"/>
          <w:b/>
          <w:lang w:val="en-US"/>
        </w:rPr>
        <w:t>8 July 2022</w:t>
      </w:r>
    </w:p>
    <w:p w14:paraId="6A51B130" w14:textId="66841BA1"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Email subject line:</w:t>
      </w:r>
      <w:r w:rsidRPr="00DF4B84">
        <w:rPr>
          <w:rFonts w:ascii="Times New Roman" w:hAnsi="Times New Roman" w:cs="Times New Roman"/>
          <w:lang w:val="en-US"/>
        </w:rPr>
        <w:t xml:space="preserve"> Input </w:t>
      </w:r>
      <w:r w:rsidR="00DF4B84">
        <w:rPr>
          <w:rFonts w:ascii="Times New Roman" w:hAnsi="Times New Roman" w:cs="Times New Roman"/>
          <w:lang w:val="en-US"/>
        </w:rPr>
        <w:t xml:space="preserve">for </w:t>
      </w:r>
      <w:r w:rsidRPr="00DF4B84">
        <w:rPr>
          <w:rFonts w:ascii="Times New Roman" w:hAnsi="Times New Roman" w:cs="Times New Roman"/>
          <w:lang w:val="en-US"/>
        </w:rPr>
        <w:t>SR housing</w:t>
      </w:r>
      <w:r w:rsidR="00FC0827">
        <w:rPr>
          <w:rFonts w:ascii="Times New Roman" w:hAnsi="Times New Roman" w:cs="Times New Roman"/>
          <w:lang w:val="en-US"/>
        </w:rPr>
        <w:t xml:space="preserve"> -</w:t>
      </w:r>
      <w:r w:rsidRPr="00DF4B84">
        <w:rPr>
          <w:rFonts w:ascii="Times New Roman" w:hAnsi="Times New Roman" w:cs="Times New Roman"/>
          <w:lang w:val="en-US"/>
        </w:rPr>
        <w:t xml:space="preserve"> report on climate change </w:t>
      </w:r>
    </w:p>
    <w:p w14:paraId="31287C56" w14:textId="3EFA49EC"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Accepted File formats:</w:t>
      </w:r>
      <w:r w:rsidRPr="00DF4B84">
        <w:rPr>
          <w:rFonts w:ascii="Times New Roman" w:hAnsi="Times New Roman" w:cs="Times New Roman"/>
          <w:lang w:val="en-US"/>
        </w:rPr>
        <w:t xml:space="preserve"> Word</w:t>
      </w:r>
      <w:r w:rsidR="00DF4B84">
        <w:rPr>
          <w:rFonts w:ascii="Times New Roman" w:hAnsi="Times New Roman" w:cs="Times New Roman"/>
          <w:lang w:val="en-US"/>
        </w:rPr>
        <w:t xml:space="preserve"> only (supporting documents may as well be submitted in PDF)</w:t>
      </w:r>
    </w:p>
    <w:p w14:paraId="7F6DBC42" w14:textId="689AA348" w:rsidR="00DC25EC" w:rsidRPr="00DF4B84" w:rsidRDefault="00187078" w:rsidP="00187078">
      <w:pPr>
        <w:jc w:val="both"/>
        <w:rPr>
          <w:rFonts w:ascii="Times New Roman" w:hAnsi="Times New Roman" w:cs="Times New Roman"/>
          <w:lang w:val="en-US"/>
        </w:rPr>
      </w:pPr>
      <w:r w:rsidRPr="00DF4B84">
        <w:rPr>
          <w:rFonts w:ascii="Times New Roman" w:hAnsi="Times New Roman" w:cs="Times New Roman"/>
          <w:b/>
          <w:lang w:val="en-US"/>
        </w:rPr>
        <w:t xml:space="preserve">Accepted languages: </w:t>
      </w:r>
      <w:r w:rsidRPr="00DF4B84">
        <w:rPr>
          <w:rFonts w:ascii="Times New Roman" w:hAnsi="Times New Roman" w:cs="Times New Roman"/>
          <w:lang w:val="en-US"/>
        </w:rPr>
        <w:t>English, French and Spanish</w:t>
      </w:r>
    </w:p>
    <w:p w14:paraId="0F76EF14" w14:textId="67531E6B" w:rsidR="00187078" w:rsidRPr="00DF4B84" w:rsidRDefault="00187078" w:rsidP="00187078">
      <w:pPr>
        <w:jc w:val="both"/>
        <w:rPr>
          <w:rFonts w:ascii="Times New Roman" w:hAnsi="Times New Roman" w:cs="Times New Roman"/>
          <w:lang w:val="en-US"/>
        </w:rPr>
      </w:pPr>
      <w:r w:rsidRPr="00DF4B84">
        <w:rPr>
          <w:rFonts w:ascii="Times New Roman" w:hAnsi="Times New Roman" w:cs="Times New Roman"/>
          <w:lang w:val="en-US"/>
        </w:rPr>
        <w:t xml:space="preserve">Please include references to reports, academic articles, policy documents, text of legislation </w:t>
      </w:r>
      <w:proofErr w:type="gramStart"/>
      <w:r w:rsidRPr="00DF4B84">
        <w:rPr>
          <w:rFonts w:ascii="Times New Roman" w:hAnsi="Times New Roman" w:cs="Times New Roman"/>
          <w:lang w:val="en-US"/>
        </w:rPr>
        <w:t>and,</w:t>
      </w:r>
      <w:proofErr w:type="gramEnd"/>
      <w:r w:rsidRPr="00DF4B84">
        <w:rPr>
          <w:rFonts w:ascii="Times New Roman" w:hAnsi="Times New Roman" w:cs="Times New Roman"/>
          <w:lang w:val="en-US"/>
        </w:rPr>
        <w:t xml:space="preserve"> judgements</w:t>
      </w:r>
      <w:r w:rsidR="00DF4B84">
        <w:rPr>
          <w:rFonts w:ascii="Times New Roman" w:hAnsi="Times New Roman" w:cs="Times New Roman"/>
          <w:lang w:val="en-US"/>
        </w:rPr>
        <w:t xml:space="preserve">, statistical information with </w:t>
      </w:r>
      <w:r w:rsidRPr="00DF4B84">
        <w:rPr>
          <w:rFonts w:ascii="Times New Roman" w:hAnsi="Times New Roman" w:cs="Times New Roman"/>
          <w:lang w:val="en-US"/>
        </w:rPr>
        <w:t>hyperlink</w:t>
      </w:r>
      <w:r w:rsidR="00FC0827">
        <w:rPr>
          <w:rFonts w:ascii="Times New Roman" w:hAnsi="Times New Roman" w:cs="Times New Roman"/>
          <w:lang w:val="en-US"/>
        </w:rPr>
        <w:t>s</w:t>
      </w:r>
      <w:r w:rsidRPr="00DF4B84">
        <w:rPr>
          <w:rFonts w:ascii="Times New Roman" w:hAnsi="Times New Roman" w:cs="Times New Roman"/>
          <w:lang w:val="en-US"/>
        </w:rPr>
        <w:t xml:space="preserve"> </w:t>
      </w:r>
      <w:r w:rsidR="00DF4B84">
        <w:rPr>
          <w:rFonts w:ascii="Times New Roman" w:hAnsi="Times New Roman" w:cs="Times New Roman"/>
          <w:lang w:val="en-US"/>
        </w:rPr>
        <w:t xml:space="preserve">to their full text </w:t>
      </w:r>
      <w:r w:rsidRPr="00DF4B84">
        <w:rPr>
          <w:rFonts w:ascii="Times New Roman" w:hAnsi="Times New Roman" w:cs="Times New Roman"/>
          <w:lang w:val="en-US"/>
        </w:rPr>
        <w:t xml:space="preserve">or </w:t>
      </w:r>
      <w:r w:rsidR="00DF4B84">
        <w:rPr>
          <w:rFonts w:ascii="Times New Roman" w:hAnsi="Times New Roman" w:cs="Times New Roman"/>
          <w:lang w:val="en-US"/>
        </w:rPr>
        <w:t>source or attach them to your submission (please respect total file size limit of 20 MB</w:t>
      </w:r>
      <w:r w:rsidR="00FC0827">
        <w:rPr>
          <w:rFonts w:ascii="Times New Roman" w:hAnsi="Times New Roman" w:cs="Times New Roman"/>
          <w:lang w:val="en-US"/>
        </w:rPr>
        <w:t xml:space="preserve"> to ensure that it can be received</w:t>
      </w:r>
      <w:r w:rsidR="00DF4B84">
        <w:rPr>
          <w:rFonts w:ascii="Times New Roman" w:hAnsi="Times New Roman" w:cs="Times New Roman"/>
          <w:lang w:val="en-US"/>
        </w:rPr>
        <w:t>)</w:t>
      </w:r>
    </w:p>
    <w:p w14:paraId="401DDC00" w14:textId="4CC039BA" w:rsidR="00187078" w:rsidRDefault="00DF4B84" w:rsidP="00187078">
      <w:pPr>
        <w:jc w:val="both"/>
        <w:rPr>
          <w:rFonts w:ascii="Times New Roman" w:hAnsi="Times New Roman" w:cs="Times New Roman"/>
          <w:lang w:val="en-US"/>
        </w:rPr>
      </w:pPr>
      <w:r w:rsidRPr="00DF4B84">
        <w:rPr>
          <w:rFonts w:ascii="Times New Roman" w:hAnsi="Times New Roman" w:cs="Times New Roman"/>
          <w:b/>
          <w:lang w:val="en-US"/>
        </w:rPr>
        <w:t xml:space="preserve">Potential confidentiality: </w:t>
      </w:r>
      <w:r w:rsidR="00187078" w:rsidRPr="00DF4B84">
        <w:rPr>
          <w:rFonts w:ascii="Times New Roman" w:hAnsi="Times New Roman" w:cs="Times New Roman"/>
          <w:lang w:val="en-US"/>
        </w:rPr>
        <w:t xml:space="preserve">Please indicate on </w:t>
      </w:r>
      <w:r>
        <w:rPr>
          <w:rFonts w:ascii="Times New Roman" w:hAnsi="Times New Roman" w:cs="Times New Roman"/>
          <w:lang w:val="en-US"/>
        </w:rPr>
        <w:t xml:space="preserve">top of </w:t>
      </w:r>
      <w:r w:rsidR="00187078" w:rsidRPr="00DF4B84">
        <w:rPr>
          <w:rFonts w:ascii="Times New Roman" w:hAnsi="Times New Roman" w:cs="Times New Roman"/>
          <w:lang w:val="en-US"/>
        </w:rPr>
        <w:t xml:space="preserve">this questionnaire and </w:t>
      </w:r>
      <w:r w:rsidR="00FC0827">
        <w:rPr>
          <w:rFonts w:ascii="Times New Roman" w:hAnsi="Times New Roman" w:cs="Times New Roman"/>
          <w:lang w:val="en-US"/>
        </w:rPr>
        <w:t xml:space="preserve">in </w:t>
      </w:r>
      <w:r w:rsidR="00187078" w:rsidRPr="00DF4B84">
        <w:rPr>
          <w:rFonts w:ascii="Times New Roman" w:hAnsi="Times New Roman" w:cs="Times New Roman"/>
          <w:lang w:val="en-US"/>
        </w:rPr>
        <w:t xml:space="preserve">your e-mail if you want to have this submission </w:t>
      </w:r>
      <w:r>
        <w:rPr>
          <w:rFonts w:ascii="Times New Roman" w:hAnsi="Times New Roman" w:cs="Times New Roman"/>
          <w:lang w:val="en-US"/>
        </w:rPr>
        <w:t xml:space="preserve">or any </w:t>
      </w:r>
      <w:proofErr w:type="gramStart"/>
      <w:r w:rsidR="00FC0827">
        <w:rPr>
          <w:rFonts w:ascii="Times New Roman" w:hAnsi="Times New Roman" w:cs="Times New Roman"/>
          <w:lang w:val="en-US"/>
        </w:rPr>
        <w:t xml:space="preserve">particular </w:t>
      </w:r>
      <w:r>
        <w:rPr>
          <w:rFonts w:ascii="Times New Roman" w:hAnsi="Times New Roman" w:cs="Times New Roman"/>
          <w:lang w:val="en-US"/>
        </w:rPr>
        <w:t>attachment</w:t>
      </w:r>
      <w:proofErr w:type="gramEnd"/>
      <w:r>
        <w:rPr>
          <w:rFonts w:ascii="Times New Roman" w:hAnsi="Times New Roman" w:cs="Times New Roman"/>
          <w:lang w:val="en-US"/>
        </w:rPr>
        <w:t xml:space="preserve"> </w:t>
      </w:r>
      <w:r w:rsidR="00187078" w:rsidRPr="00DF4B84">
        <w:rPr>
          <w:rFonts w:ascii="Times New Roman" w:hAnsi="Times New Roman" w:cs="Times New Roman"/>
          <w:lang w:val="en-US"/>
        </w:rPr>
        <w:t xml:space="preserve">not to be published </w:t>
      </w:r>
      <w:r>
        <w:rPr>
          <w:rFonts w:ascii="Times New Roman" w:hAnsi="Times New Roman" w:cs="Times New Roman"/>
          <w:lang w:val="en-US"/>
        </w:rPr>
        <w:t xml:space="preserve">on the website of the Special Rapporteur </w:t>
      </w:r>
      <w:r w:rsidR="00187078" w:rsidRPr="00DF4B84">
        <w:rPr>
          <w:rFonts w:ascii="Times New Roman" w:hAnsi="Times New Roman" w:cs="Times New Roman"/>
          <w:lang w:val="en-US"/>
        </w:rPr>
        <w:t>and treated as confidential.</w:t>
      </w:r>
    </w:p>
    <w:p w14:paraId="05736160" w14:textId="15148BFF" w:rsidR="00FC0827" w:rsidRPr="00DC25EC" w:rsidRDefault="00FC0827" w:rsidP="00187078">
      <w:pPr>
        <w:jc w:val="both"/>
        <w:rPr>
          <w:rFonts w:ascii="Times New Roman" w:hAnsi="Times New Roman" w:cs="Times New Roman"/>
          <w:lang w:val="en-US"/>
        </w:rPr>
      </w:pPr>
      <w:r w:rsidRPr="00FC0827">
        <w:rPr>
          <w:rFonts w:ascii="Times New Roman" w:hAnsi="Times New Roman" w:cs="Times New Roman"/>
          <w:b/>
          <w:lang w:val="en-US"/>
        </w:rPr>
        <w:t>Expected presentation</w:t>
      </w:r>
      <w:r>
        <w:rPr>
          <w:rFonts w:ascii="Times New Roman" w:hAnsi="Times New Roman" w:cs="Times New Roman"/>
          <w:lang w:val="en-US"/>
        </w:rPr>
        <w:t xml:space="preserve"> of the report of the Special Rapporteur: February/March 2023</w:t>
      </w:r>
    </w:p>
    <w:sectPr w:rsidR="00FC0827" w:rsidRPr="00DC25E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9566" w14:textId="77777777" w:rsidR="004C5BF2" w:rsidRDefault="004C5BF2" w:rsidP="006E29F4">
      <w:pPr>
        <w:spacing w:after="0" w:line="240" w:lineRule="auto"/>
      </w:pPr>
      <w:r>
        <w:separator/>
      </w:r>
    </w:p>
  </w:endnote>
  <w:endnote w:type="continuationSeparator" w:id="0">
    <w:p w14:paraId="222C8574" w14:textId="77777777" w:rsidR="004C5BF2" w:rsidRDefault="004C5BF2"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6E29F4" w:rsidRDefault="006E29F4">
        <w:pPr>
          <w:pStyle w:val="Footer"/>
          <w:jc w:val="right"/>
        </w:pPr>
        <w:r>
          <w:fldChar w:fldCharType="begin"/>
        </w:r>
        <w:r>
          <w:instrText xml:space="preserve"> PAGE   \* MERGEFORMAT </w:instrText>
        </w:r>
        <w:r>
          <w:fldChar w:fldCharType="separate"/>
        </w:r>
        <w:r w:rsidR="00FC0827">
          <w:rPr>
            <w:noProof/>
          </w:rPr>
          <w:t>3</w:t>
        </w:r>
        <w:r>
          <w:rPr>
            <w:noProof/>
          </w:rPr>
          <w:fldChar w:fldCharType="end"/>
        </w:r>
      </w:p>
    </w:sdtContent>
  </w:sdt>
  <w:p w14:paraId="4AFA4A9E" w14:textId="77777777" w:rsidR="006E29F4" w:rsidRDefault="006E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65D0" w14:textId="77777777" w:rsidR="004C5BF2" w:rsidRDefault="004C5BF2" w:rsidP="006E29F4">
      <w:pPr>
        <w:spacing w:after="0" w:line="240" w:lineRule="auto"/>
      </w:pPr>
      <w:r>
        <w:separator/>
      </w:r>
    </w:p>
  </w:footnote>
  <w:footnote w:type="continuationSeparator" w:id="0">
    <w:p w14:paraId="7EBD125B" w14:textId="77777777" w:rsidR="004C5BF2" w:rsidRDefault="004C5BF2" w:rsidP="006E29F4">
      <w:pPr>
        <w:spacing w:after="0" w:line="240" w:lineRule="auto"/>
      </w:pPr>
      <w:r>
        <w:continuationSeparator/>
      </w:r>
    </w:p>
  </w:footnote>
  <w:footnote w:id="1">
    <w:p w14:paraId="0BDE8F36" w14:textId="17072642" w:rsidR="00F07CB7" w:rsidRPr="00F83DBF" w:rsidRDefault="00F07CB7">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hAnsi="Times New Roman" w:cs="Times New Roman"/>
          <w:sz w:val="18"/>
          <w:szCs w:val="18"/>
          <w:lang w:val="en-US"/>
        </w:rPr>
        <w:t>Renting in Victoria Snapshot 2021.pdf (rentingcommissioner.vic.gov.au</w:t>
      </w:r>
    </w:p>
  </w:footnote>
  <w:footnote w:id="2">
    <w:p w14:paraId="790A3DF9" w14:textId="39D72BCF" w:rsidR="00F07CB7" w:rsidRPr="00F83DBF" w:rsidRDefault="00F07CB7">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 w:history="1">
        <w:r w:rsidRPr="00F83DBF">
          <w:rPr>
            <w:rFonts w:ascii="Times New Roman" w:hAnsi="Times New Roman" w:cs="Times New Roman"/>
            <w:sz w:val="18"/>
            <w:szCs w:val="18"/>
          </w:rPr>
          <w:t>G Housing and homelessness - Report on Government Services Productivity Commission (pc.gov.au)</w:t>
        </w:r>
      </w:hyperlink>
    </w:p>
  </w:footnote>
  <w:footnote w:id="3">
    <w:p w14:paraId="57ED4A1D" w14:textId="55828967" w:rsidR="00F07CB7" w:rsidRPr="00F83DBF" w:rsidRDefault="00F07CB7">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hAnsi="Times New Roman" w:cs="Times New Roman"/>
          <w:sz w:val="18"/>
          <w:szCs w:val="18"/>
          <w:lang w:val="en-US"/>
        </w:rPr>
        <w:t xml:space="preserve">Ibid 3. </w:t>
      </w:r>
    </w:p>
  </w:footnote>
  <w:footnote w:id="4">
    <w:p w14:paraId="3263DDFD" w14:textId="3F39EC2D" w:rsidR="00536FFF" w:rsidRPr="00F83DBF" w:rsidRDefault="00536FFF">
      <w:pPr>
        <w:pStyle w:val="FootnoteText"/>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Kimberley Thomas, R Dean Hardy, Heather Lazrus, Michael Mendez, Ben Orlove, Isabel Rivera-Collazo, </w:t>
      </w:r>
      <w:proofErr w:type="gramStart"/>
      <w:r w:rsidRPr="00F83DBF">
        <w:rPr>
          <w:rFonts w:ascii="Times New Roman" w:hAnsi="Times New Roman" w:cs="Times New Roman"/>
          <w:sz w:val="18"/>
          <w:szCs w:val="18"/>
        </w:rPr>
        <w:t>J.Timmons</w:t>
      </w:r>
      <w:proofErr w:type="gramEnd"/>
      <w:r w:rsidRPr="00F83DBF">
        <w:rPr>
          <w:rFonts w:ascii="Times New Roman" w:hAnsi="Times New Roman" w:cs="Times New Roman"/>
          <w:sz w:val="18"/>
          <w:szCs w:val="18"/>
        </w:rPr>
        <w:t xml:space="preserve"> Roberts, Marcy Rockman,  Benjamin P.Warner, and Robert Winthrop, ‘Explaining differential vulnerability to climate change: A social science review’ (2019) 10 Wires Climate Change 565, 566.</w:t>
      </w:r>
    </w:p>
  </w:footnote>
  <w:footnote w:id="5">
    <w:p w14:paraId="5E146C55" w14:textId="48ED5BD0" w:rsidR="00587B9F" w:rsidRPr="00F83DBF" w:rsidRDefault="00587B9F" w:rsidP="00587B9F">
      <w:pPr>
        <w:pStyle w:val="FootnoteText"/>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00594999" w:rsidRPr="00F83DBF">
        <w:rPr>
          <w:rFonts w:ascii="Times New Roman" w:hAnsi="Times New Roman" w:cs="Times New Roman"/>
          <w:sz w:val="18"/>
          <w:szCs w:val="18"/>
        </w:rPr>
        <w:t>Ibid.</w:t>
      </w:r>
    </w:p>
  </w:footnote>
  <w:footnote w:id="6">
    <w:p w14:paraId="4751396F" w14:textId="0A6467C3" w:rsidR="00587B9F" w:rsidRPr="00F83DBF" w:rsidRDefault="00587B9F" w:rsidP="00587B9F">
      <w:pPr>
        <w:pStyle w:val="FootnoteText"/>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00594999" w:rsidRPr="00F83DBF">
        <w:rPr>
          <w:rFonts w:ascii="Times New Roman" w:hAnsi="Times New Roman" w:cs="Times New Roman"/>
          <w:sz w:val="18"/>
          <w:szCs w:val="18"/>
        </w:rPr>
        <w:t>Ibid.</w:t>
      </w:r>
    </w:p>
  </w:footnote>
  <w:footnote w:id="7">
    <w:p w14:paraId="5F29F03B" w14:textId="2FAEF334" w:rsidR="00BD1868" w:rsidRPr="00F83DBF" w:rsidRDefault="00BD1868">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Mallee Family Care &amp; UNSW “Extreme heat driven by the climate emergency: impacts on the health and wellbeing of public housing tenants”: </w:t>
      </w:r>
      <w:hyperlink r:id="rId2" w:history="1">
        <w:r w:rsidRPr="00F83DBF">
          <w:rPr>
            <w:rStyle w:val="Hyperlink"/>
            <w:rFonts w:ascii="Times New Roman" w:hAnsi="Times New Roman" w:cs="Times New Roman"/>
            <w:sz w:val="18"/>
            <w:szCs w:val="18"/>
          </w:rPr>
          <w:t>Public-Housing-Report.aspx (malleefamilycare.org.au)</w:t>
        </w:r>
      </w:hyperlink>
    </w:p>
  </w:footnote>
  <w:footnote w:id="8">
    <w:p w14:paraId="600DEAE8" w14:textId="5DEC5E38" w:rsidR="00553845" w:rsidRPr="00F83DBF" w:rsidRDefault="00553845">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hAnsi="Times New Roman" w:cs="Times New Roman"/>
          <w:sz w:val="18"/>
          <w:szCs w:val="18"/>
          <w:lang w:val="en-US"/>
        </w:rPr>
        <w:t xml:space="preserve">See for example VCOSS ‘Feeling the Heat’ report (2021): </w:t>
      </w:r>
      <w:hyperlink r:id="rId3" w:history="1">
        <w:r w:rsidRPr="00F83DBF">
          <w:rPr>
            <w:rStyle w:val="Hyperlink"/>
            <w:rFonts w:ascii="Times New Roman" w:hAnsi="Times New Roman" w:cs="Times New Roman"/>
            <w:sz w:val="18"/>
            <w:szCs w:val="18"/>
          </w:rPr>
          <w:t>Feeling the Heat | VCOSS</w:t>
        </w:r>
      </w:hyperlink>
      <w:r w:rsidRPr="00F83DBF">
        <w:rPr>
          <w:rFonts w:ascii="Times New Roman" w:hAnsi="Times New Roman" w:cs="Times New Roman"/>
          <w:sz w:val="18"/>
          <w:szCs w:val="18"/>
        </w:rPr>
        <w:t xml:space="preserve">; </w:t>
      </w:r>
      <w:r w:rsidR="00585B18" w:rsidRPr="00F83DBF">
        <w:rPr>
          <w:rFonts w:ascii="Times New Roman" w:hAnsi="Times New Roman" w:cs="Times New Roman"/>
          <w:sz w:val="18"/>
          <w:szCs w:val="18"/>
        </w:rPr>
        <w:t>Mallee Family Care &amp; UNSW “</w:t>
      </w:r>
      <w:r w:rsidR="001710F2" w:rsidRPr="00F83DBF">
        <w:rPr>
          <w:rFonts w:ascii="Times New Roman" w:hAnsi="Times New Roman" w:cs="Times New Roman"/>
          <w:sz w:val="18"/>
          <w:szCs w:val="18"/>
        </w:rPr>
        <w:t>Extreme heat driven by the climate emergency: impacts on the health and wellbeing of public housing tenants</w:t>
      </w:r>
      <w:r w:rsidR="00585B18" w:rsidRPr="00F83DBF">
        <w:rPr>
          <w:rFonts w:ascii="Times New Roman" w:hAnsi="Times New Roman" w:cs="Times New Roman"/>
          <w:sz w:val="18"/>
          <w:szCs w:val="18"/>
        </w:rPr>
        <w:t>”</w:t>
      </w:r>
      <w:r w:rsidR="008F639B" w:rsidRPr="00F83DBF">
        <w:rPr>
          <w:rFonts w:ascii="Times New Roman" w:hAnsi="Times New Roman" w:cs="Times New Roman"/>
          <w:sz w:val="18"/>
          <w:szCs w:val="18"/>
        </w:rPr>
        <w:t xml:space="preserve">: </w:t>
      </w:r>
      <w:hyperlink r:id="rId4" w:history="1">
        <w:r w:rsidR="008F639B" w:rsidRPr="00F83DBF">
          <w:rPr>
            <w:rStyle w:val="Hyperlink"/>
            <w:rFonts w:ascii="Times New Roman" w:hAnsi="Times New Roman" w:cs="Times New Roman"/>
            <w:sz w:val="18"/>
            <w:szCs w:val="18"/>
          </w:rPr>
          <w:t>Public-Housing-Report.aspx (malleefamilycare.org.au)</w:t>
        </w:r>
      </w:hyperlink>
    </w:p>
  </w:footnote>
  <w:footnote w:id="9">
    <w:p w14:paraId="5685EF9C" w14:textId="77777777" w:rsidR="00F80DEA" w:rsidRPr="00F83DBF" w:rsidRDefault="00F80DEA" w:rsidP="00F80DEA">
      <w:pPr>
        <w:spacing w:after="60" w:line="240" w:lineRule="auto"/>
        <w:rPr>
          <w:rFonts w:ascii="Times New Roman" w:eastAsia="Arial"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eastAsia="Arial" w:hAnsi="Times New Roman" w:cs="Times New Roman"/>
          <w:sz w:val="18"/>
          <w:szCs w:val="18"/>
        </w:rPr>
        <w:t>AHURI, ‘Building on the Bushfire Royal Commissions of the past’ (Brief, 2 March 2020) &lt;https://www.ahuri.edu.au/research/ahuri-briefs/building-on-the-bushfire-royal-commissions-of-the-past&gt;</w:t>
      </w:r>
    </w:p>
  </w:footnote>
  <w:footnote w:id="10">
    <w:p w14:paraId="6B461F31" w14:textId="13488A72" w:rsidR="00F80DEA" w:rsidRPr="00F83DBF" w:rsidRDefault="00F80DEA" w:rsidP="00F80DEA">
      <w:pPr>
        <w:pStyle w:val="FootnoteText"/>
        <w:spacing w:after="60"/>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Climate Council, </w:t>
      </w:r>
      <w:r w:rsidRPr="00F83DBF">
        <w:rPr>
          <w:rFonts w:ascii="Times New Roman" w:hAnsi="Times New Roman" w:cs="Times New Roman"/>
          <w:i/>
          <w:iCs/>
          <w:sz w:val="18"/>
          <w:szCs w:val="18"/>
        </w:rPr>
        <w:t xml:space="preserve">The Facts about Bushfires and Climate Change </w:t>
      </w:r>
      <w:r w:rsidRPr="00F83DBF">
        <w:rPr>
          <w:rFonts w:ascii="Times New Roman" w:hAnsi="Times New Roman" w:cs="Times New Roman"/>
          <w:sz w:val="18"/>
          <w:szCs w:val="18"/>
        </w:rPr>
        <w:t>(Web Page, 13 November 2019) &lt;https://www.climatecouncil.org.au/not-normal-climate-change-bushfire-web/#:~:text=Climate%20change%20is%20exacerbating%20catastrophic,%3B%20The%20Australia%20Institute%202007.&gt;</w:t>
      </w:r>
    </w:p>
  </w:footnote>
  <w:footnote w:id="11">
    <w:p w14:paraId="7C278DBD" w14:textId="77777777" w:rsidR="00F80DEA" w:rsidRPr="00F83DBF" w:rsidRDefault="00F80DEA" w:rsidP="00F80DEA">
      <w:pPr>
        <w:pStyle w:val="FootnoteText"/>
        <w:spacing w:after="60"/>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bookmarkStart w:id="0" w:name="_Hlk57371969"/>
      <w:r w:rsidRPr="00F83DBF">
        <w:rPr>
          <w:rFonts w:ascii="Times New Roman" w:hAnsi="Times New Roman" w:cs="Times New Roman"/>
          <w:sz w:val="18"/>
          <w:szCs w:val="18"/>
        </w:rPr>
        <w:t xml:space="preserve">National Museum Australia, </w:t>
      </w:r>
      <w:r w:rsidRPr="00F83DBF">
        <w:rPr>
          <w:rFonts w:ascii="Times New Roman" w:hAnsi="Times New Roman" w:cs="Times New Roman"/>
          <w:i/>
          <w:iCs/>
          <w:sz w:val="18"/>
          <w:szCs w:val="18"/>
        </w:rPr>
        <w:t>Black Saturday Bushfires</w:t>
      </w:r>
      <w:r w:rsidRPr="00F83DBF">
        <w:rPr>
          <w:rFonts w:ascii="Times New Roman" w:hAnsi="Times New Roman" w:cs="Times New Roman"/>
          <w:sz w:val="18"/>
          <w:szCs w:val="18"/>
        </w:rPr>
        <w:t xml:space="preserve"> (Web Page) &lt;https://www.nma.gov.au/defining-moments/resources/black-saturday-bushfires#:~:text=The%20Black%20Saturday%20bushfires%20killed,animals%20died%20in%20the%20disaster.&gt;</w:t>
      </w:r>
      <w:bookmarkEnd w:id="0"/>
    </w:p>
  </w:footnote>
  <w:footnote w:id="12">
    <w:p w14:paraId="14757E14" w14:textId="77777777" w:rsidR="00F80DEA" w:rsidRPr="00F83DBF" w:rsidRDefault="00F80DEA" w:rsidP="00F80DEA">
      <w:pPr>
        <w:pStyle w:val="FootnoteText"/>
        <w:spacing w:after="60"/>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eastAsia="Arial" w:hAnsi="Times New Roman" w:cs="Times New Roman"/>
          <w:sz w:val="18"/>
          <w:szCs w:val="18"/>
        </w:rPr>
        <w:t xml:space="preserve">Inspector-General for Emergency Management, </w:t>
      </w:r>
      <w:r w:rsidRPr="00F83DBF">
        <w:rPr>
          <w:rFonts w:ascii="Times New Roman" w:eastAsia="Arial" w:hAnsi="Times New Roman" w:cs="Times New Roman"/>
          <w:i/>
          <w:iCs/>
          <w:sz w:val="18"/>
          <w:szCs w:val="18"/>
        </w:rPr>
        <w:t>Phase 1 – Community and sector preparedness for and response to the 2019-20 fire season</w:t>
      </w:r>
      <w:r w:rsidRPr="00F83DBF">
        <w:rPr>
          <w:rFonts w:ascii="Times New Roman" w:eastAsia="Arial" w:hAnsi="Times New Roman" w:cs="Times New Roman"/>
          <w:sz w:val="18"/>
          <w:szCs w:val="18"/>
        </w:rPr>
        <w:t>, (Summary Report, Inquiry into the 2019-20 Victorian Fire Season, October 2020).</w:t>
      </w:r>
    </w:p>
  </w:footnote>
  <w:footnote w:id="13">
    <w:p w14:paraId="7A7286D3" w14:textId="77777777" w:rsidR="00F80DEA" w:rsidRPr="00F83DBF" w:rsidRDefault="00F80DEA" w:rsidP="00F80DEA">
      <w:pPr>
        <w:pStyle w:val="FootnoteText"/>
        <w:spacing w:after="60"/>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Consumer Affairs Victoria, </w:t>
      </w:r>
      <w:r w:rsidRPr="00F83DBF">
        <w:rPr>
          <w:rFonts w:ascii="Times New Roman" w:hAnsi="Times New Roman" w:cs="Times New Roman"/>
          <w:i/>
          <w:iCs/>
          <w:sz w:val="18"/>
          <w:szCs w:val="18"/>
        </w:rPr>
        <w:t xml:space="preserve">Renting – disaster advice </w:t>
      </w:r>
      <w:r w:rsidRPr="00F83DBF">
        <w:rPr>
          <w:rFonts w:ascii="Times New Roman" w:hAnsi="Times New Roman" w:cs="Times New Roman"/>
          <w:sz w:val="18"/>
          <w:szCs w:val="18"/>
        </w:rPr>
        <w:t>(Web Page) &lt;https://www.consumer.vic.gov.au/resources-and-tools/advice-in-a-disaster/renting&gt;</w:t>
      </w:r>
    </w:p>
  </w:footnote>
  <w:footnote w:id="14">
    <w:p w14:paraId="16AB4A63" w14:textId="77777777" w:rsidR="00F80DEA" w:rsidRPr="00F83DBF" w:rsidRDefault="00F80DEA" w:rsidP="00F80DEA">
      <w:pPr>
        <w:spacing w:after="60" w:line="240" w:lineRule="auto"/>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eastAsia="Arial" w:hAnsi="Times New Roman" w:cs="Times New Roman"/>
          <w:sz w:val="18"/>
          <w:szCs w:val="18"/>
        </w:rPr>
        <w:t>Real Estate Institute of Victoria, ‘Bushfires may intensify housing shortage’ (Media Release, 2 January 2020) &lt;https://reiv.com.au/policy-resources/latest-news/bushfires-may-intensify-housing-shortage&gt;.</w:t>
      </w:r>
    </w:p>
  </w:footnote>
  <w:footnote w:id="15">
    <w:p w14:paraId="445163A6" w14:textId="77777777" w:rsidR="00F80DEA" w:rsidRPr="00F83DBF" w:rsidRDefault="00F80DEA" w:rsidP="00F80DEA">
      <w:pPr>
        <w:spacing w:after="60" w:line="240" w:lineRule="auto"/>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eastAsia="Arial" w:hAnsi="Times New Roman" w:cs="Times New Roman"/>
          <w:sz w:val="18"/>
          <w:szCs w:val="18"/>
        </w:rPr>
        <w:t>Real Estate Institute of Victoria, ‘Bushfires may intensify housing shortage’ (Media Release, 2 January 2020) &lt;https://reiv.com.au/policy-resources/latest-news/bushfires-may-intensify-housing-shortage&gt;.</w:t>
      </w:r>
    </w:p>
  </w:footnote>
  <w:footnote w:id="16">
    <w:p w14:paraId="0168AD2D" w14:textId="77777777" w:rsidR="00F80DEA" w:rsidRPr="00F83DBF" w:rsidRDefault="00F80DEA" w:rsidP="00F80DEA">
      <w:pPr>
        <w:pStyle w:val="FootnoteText"/>
        <w:spacing w:after="60"/>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AHURI, ‘Bushfires likely to increase the cost of living in regional Australia’ (Brief, 10 March 2020) &lt;https://www.ahuri.edu.au/research/ahuri-briefs/Bushfires-likely-to-increase-the-cost-of-living&gt;.</w:t>
      </w:r>
    </w:p>
  </w:footnote>
  <w:footnote w:id="17">
    <w:p w14:paraId="27C850F8" w14:textId="77777777" w:rsidR="00F80DEA" w:rsidRPr="00F83DBF" w:rsidRDefault="00F80DEA" w:rsidP="00F80DEA">
      <w:pPr>
        <w:spacing w:after="60" w:line="240" w:lineRule="auto"/>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eastAsia="Arial" w:hAnsi="Times New Roman" w:cs="Times New Roman"/>
          <w:sz w:val="18"/>
          <w:szCs w:val="18"/>
        </w:rPr>
        <w:t xml:space="preserve">Ibid. </w:t>
      </w:r>
    </w:p>
  </w:footnote>
  <w:footnote w:id="18">
    <w:p w14:paraId="4AD707B8" w14:textId="77777777" w:rsidR="00F80DEA" w:rsidRPr="00F83DBF" w:rsidRDefault="00F80DEA" w:rsidP="00F80DEA">
      <w:pPr>
        <w:spacing w:after="60" w:line="240" w:lineRule="auto"/>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eastAsia="Arial" w:hAnsi="Times New Roman" w:cs="Times New Roman"/>
          <w:sz w:val="18"/>
          <w:szCs w:val="18"/>
        </w:rPr>
        <w:t xml:space="preserve">Ibid. </w:t>
      </w:r>
    </w:p>
  </w:footnote>
  <w:footnote w:id="19">
    <w:p w14:paraId="36500A14" w14:textId="77777777" w:rsidR="00F80DEA" w:rsidRPr="00F83DBF" w:rsidRDefault="00F80DEA" w:rsidP="00F80DEA">
      <w:pPr>
        <w:spacing w:after="60" w:line="240" w:lineRule="auto"/>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r w:rsidRPr="00F83DBF">
        <w:rPr>
          <w:rFonts w:ascii="Times New Roman" w:eastAsia="Arial" w:hAnsi="Times New Roman" w:cs="Times New Roman"/>
          <w:sz w:val="18"/>
          <w:szCs w:val="18"/>
        </w:rPr>
        <w:t xml:space="preserve">Ibid. </w:t>
      </w:r>
    </w:p>
  </w:footnote>
  <w:footnote w:id="20">
    <w:p w14:paraId="379F7689" w14:textId="77777777" w:rsidR="00F80DEA" w:rsidRPr="00F83DBF" w:rsidRDefault="00F80DEA" w:rsidP="00F80DEA">
      <w:pPr>
        <w:pStyle w:val="FootnoteText"/>
        <w:spacing w:after="60"/>
        <w:rPr>
          <w:rFonts w:ascii="Times New Roman" w:hAnsi="Times New Roman" w:cs="Times New Roman"/>
          <w:sz w:val="18"/>
          <w:szCs w:val="18"/>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Bushfire Legal Help, </w:t>
      </w:r>
      <w:r w:rsidRPr="00F83DBF">
        <w:rPr>
          <w:rFonts w:ascii="Times New Roman" w:hAnsi="Times New Roman" w:cs="Times New Roman"/>
          <w:i/>
          <w:iCs/>
          <w:sz w:val="18"/>
          <w:szCs w:val="18"/>
        </w:rPr>
        <w:t>Legal Assistance and Community Recovery after the 2009 Victorian Bushfires</w:t>
      </w:r>
      <w:r w:rsidRPr="00F83DBF">
        <w:rPr>
          <w:rFonts w:ascii="Times New Roman" w:hAnsi="Times New Roman" w:cs="Times New Roman"/>
          <w:sz w:val="18"/>
          <w:szCs w:val="18"/>
        </w:rPr>
        <w:t>, (Report, 2010) 1.</w:t>
      </w:r>
    </w:p>
  </w:footnote>
  <w:footnote w:id="21">
    <w:p w14:paraId="64FFC493" w14:textId="38D94F70" w:rsidR="00770719" w:rsidRPr="00F83DBF" w:rsidRDefault="00770719">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5" w:history="1">
        <w:r w:rsidRPr="00F83DBF">
          <w:rPr>
            <w:rStyle w:val="Hyperlink"/>
            <w:rFonts w:ascii="Times New Roman" w:hAnsi="Times New Roman" w:cs="Times New Roman"/>
            <w:sz w:val="18"/>
            <w:szCs w:val="18"/>
          </w:rPr>
          <w:t>Submission: Bushfire Royal Commission and insurance affordability - Consumer Action Law Centre</w:t>
        </w:r>
      </w:hyperlink>
    </w:p>
  </w:footnote>
  <w:footnote w:id="22">
    <w:p w14:paraId="19AB4DC3" w14:textId="0D8DF4AC" w:rsidR="007812E2" w:rsidRPr="00F83DBF" w:rsidRDefault="007812E2">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6" w:history="1">
        <w:r w:rsidRPr="00F83DBF">
          <w:rPr>
            <w:rStyle w:val="Hyperlink"/>
            <w:rFonts w:ascii="Times New Roman" w:hAnsi="Times New Roman" w:cs="Times New Roman"/>
            <w:sz w:val="18"/>
            <w:szCs w:val="18"/>
          </w:rPr>
          <w:t>CLIMATE CHANGE ACT 2017 (austlii.edu.au)</w:t>
        </w:r>
      </w:hyperlink>
    </w:p>
  </w:footnote>
  <w:footnote w:id="23">
    <w:p w14:paraId="65291EF5" w14:textId="0CE66728" w:rsidR="00226AE8" w:rsidRPr="00F83DBF" w:rsidRDefault="00226AE8">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7" w:history="1">
        <w:r w:rsidR="00B40EEB" w:rsidRPr="00F83DBF">
          <w:rPr>
            <w:rStyle w:val="Hyperlink"/>
            <w:rFonts w:ascii="Times New Roman" w:hAnsi="Times New Roman" w:cs="Times New Roman"/>
            <w:sz w:val="18"/>
            <w:szCs w:val="18"/>
          </w:rPr>
          <w:t>Built-Environment-Climate-Change-Adaptation-Action-Plan-2022-2026.pdf (planning.vic.gov.au)</w:t>
        </w:r>
      </w:hyperlink>
    </w:p>
  </w:footnote>
  <w:footnote w:id="24">
    <w:p w14:paraId="0AC12CD7" w14:textId="6F04EE31" w:rsidR="003D4E7F" w:rsidRPr="00F83DBF" w:rsidRDefault="003D4E7F">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8" w:history="1">
        <w:r w:rsidRPr="00F83DBF">
          <w:rPr>
            <w:rStyle w:val="Hyperlink"/>
            <w:rFonts w:ascii="Times New Roman" w:hAnsi="Times New Roman" w:cs="Times New Roman"/>
            <w:sz w:val="18"/>
            <w:szCs w:val="18"/>
          </w:rPr>
          <w:t>ENVIRONMENT PROTECTION ACT 2017 (austlii.edu.au)</w:t>
        </w:r>
      </w:hyperlink>
    </w:p>
  </w:footnote>
  <w:footnote w:id="25">
    <w:p w14:paraId="1A448083" w14:textId="3C4B550E" w:rsidR="00F35BBC" w:rsidRPr="00F83DBF" w:rsidRDefault="00F35BBC">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9" w:history="1">
        <w:r w:rsidRPr="00F83DBF">
          <w:rPr>
            <w:rStyle w:val="Hyperlink"/>
            <w:rFonts w:ascii="Times New Roman" w:hAnsi="Times New Roman" w:cs="Times New Roman"/>
            <w:sz w:val="18"/>
            <w:szCs w:val="18"/>
          </w:rPr>
          <w:t>RESIDENTIAL TENANCIES ACT 1997 (austlii.edu.au)</w:t>
        </w:r>
      </w:hyperlink>
    </w:p>
  </w:footnote>
  <w:footnote w:id="26">
    <w:p w14:paraId="4C3A7D1F" w14:textId="0DF66612" w:rsidR="00C27050" w:rsidRPr="00F83DBF" w:rsidRDefault="00C27050">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0" w:history="1">
        <w:r w:rsidRPr="00F83DBF">
          <w:rPr>
            <w:rStyle w:val="Hyperlink"/>
            <w:rFonts w:ascii="Times New Roman" w:hAnsi="Times New Roman" w:cs="Times New Roman"/>
            <w:sz w:val="18"/>
            <w:szCs w:val="18"/>
          </w:rPr>
          <w:t>Greens call for mandatory air conditioning in Victorian rental properties (eliteagent.com)</w:t>
        </w:r>
      </w:hyperlink>
    </w:p>
  </w:footnote>
  <w:footnote w:id="27">
    <w:p w14:paraId="69E45580" w14:textId="3283C685" w:rsidR="00326755" w:rsidRPr="00F83DBF" w:rsidRDefault="00326755">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1" w:history="1">
        <w:r w:rsidRPr="00F83DBF">
          <w:rPr>
            <w:rStyle w:val="Hyperlink"/>
            <w:rFonts w:ascii="Times New Roman" w:hAnsi="Times New Roman" w:cs="Times New Roman"/>
            <w:sz w:val="18"/>
            <w:szCs w:val="18"/>
          </w:rPr>
          <w:t>Solar rebates for rental properties | Solar Victoria</w:t>
        </w:r>
      </w:hyperlink>
    </w:p>
  </w:footnote>
  <w:footnote w:id="28">
    <w:p w14:paraId="7CAA48F7" w14:textId="5B3A7C9A" w:rsidR="006D4586" w:rsidRPr="00F83DBF" w:rsidRDefault="006D4586">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2" w:history="1">
        <w:r w:rsidRPr="00F83DBF">
          <w:rPr>
            <w:rStyle w:val="Hyperlink"/>
            <w:rFonts w:ascii="Times New Roman" w:hAnsi="Times New Roman" w:cs="Times New Roman"/>
            <w:sz w:val="18"/>
            <w:szCs w:val="18"/>
          </w:rPr>
          <w:t>Renting in Victoria Snapshot 2021.pdf (rentingcommissioner.vic.gov.au)</w:t>
        </w:r>
      </w:hyperlink>
      <w:r w:rsidRPr="00F83DBF">
        <w:rPr>
          <w:rFonts w:ascii="Times New Roman" w:hAnsi="Times New Roman" w:cs="Times New Roman"/>
          <w:sz w:val="18"/>
          <w:szCs w:val="18"/>
        </w:rPr>
        <w:t>, page 8.</w:t>
      </w:r>
    </w:p>
  </w:footnote>
  <w:footnote w:id="29">
    <w:p w14:paraId="6AFB637D" w14:textId="5684614D" w:rsidR="007F0D78" w:rsidRPr="00F83DBF" w:rsidRDefault="007F0D78">
      <w:pPr>
        <w:pStyle w:val="FootnoteText"/>
        <w:rPr>
          <w:rFonts w:ascii="Times New Roman" w:hAnsi="Times New Roman" w:cs="Times New Roman"/>
          <w:sz w:val="18"/>
          <w:szCs w:val="18"/>
          <w:lang w:val="en-AU"/>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3" w:history="1">
        <w:r w:rsidRPr="00F83DBF">
          <w:rPr>
            <w:rStyle w:val="Hyperlink"/>
            <w:rFonts w:ascii="Times New Roman" w:hAnsi="Times New Roman" w:cs="Times New Roman"/>
            <w:sz w:val="18"/>
            <w:szCs w:val="18"/>
            <w:lang w:val="en-AU"/>
          </w:rPr>
          <w:t xml:space="preserve">CoreLogic Investor </w:t>
        </w:r>
      </w:hyperlink>
      <w:hyperlink r:id="rId14" w:history="1">
        <w:r w:rsidRPr="00F83DBF">
          <w:rPr>
            <w:rStyle w:val="Hyperlink"/>
            <w:rFonts w:ascii="Times New Roman" w:hAnsi="Times New Roman" w:cs="Times New Roman"/>
            <w:sz w:val="18"/>
            <w:szCs w:val="18"/>
            <w:lang w:val="en-AU"/>
          </w:rPr>
          <w:t>Report_June</w:t>
        </w:r>
      </w:hyperlink>
      <w:hyperlink r:id="rId15" w:history="1">
        <w:r w:rsidRPr="00F83DBF">
          <w:rPr>
            <w:rStyle w:val="Hyperlink"/>
            <w:rFonts w:ascii="Times New Roman" w:hAnsi="Times New Roman" w:cs="Times New Roman"/>
            <w:sz w:val="18"/>
            <w:szCs w:val="18"/>
            <w:lang w:val="en-AU"/>
          </w:rPr>
          <w:t xml:space="preserve"> 2016.pdf</w:t>
        </w:r>
      </w:hyperlink>
    </w:p>
  </w:footnote>
  <w:footnote w:id="30">
    <w:p w14:paraId="097B2237" w14:textId="48BB8075" w:rsidR="00AE0E22" w:rsidRPr="00F83DBF" w:rsidRDefault="00AE0E22">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6" w:history="1">
        <w:r w:rsidRPr="00F83DBF">
          <w:rPr>
            <w:rStyle w:val="Hyperlink"/>
            <w:rFonts w:ascii="Times New Roman" w:hAnsi="Times New Roman" w:cs="Times New Roman"/>
            <w:sz w:val="18"/>
            <w:szCs w:val="18"/>
          </w:rPr>
          <w:t>Strata renters: have your say on renewable energy | Tenants' Union</w:t>
        </w:r>
      </w:hyperlink>
    </w:p>
  </w:footnote>
  <w:footnote w:id="31">
    <w:p w14:paraId="40F74B00" w14:textId="6BDAEA98" w:rsidR="00C97C8C" w:rsidRPr="00F83DBF" w:rsidRDefault="00C97C8C">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7" w:history="1">
        <w:r w:rsidRPr="00F83DBF">
          <w:rPr>
            <w:rStyle w:val="Hyperlink"/>
            <w:rFonts w:ascii="Times New Roman" w:hAnsi="Times New Roman" w:cs="Times New Roman"/>
            <w:sz w:val="18"/>
            <w:szCs w:val="18"/>
          </w:rPr>
          <w:t>The environmental sustainability of Australia’s private rental housing stock (ahuri.edu.au)</w:t>
        </w:r>
      </w:hyperlink>
      <w:r w:rsidRPr="00F83DBF">
        <w:rPr>
          <w:rFonts w:ascii="Times New Roman" w:hAnsi="Times New Roman" w:cs="Times New Roman"/>
          <w:sz w:val="18"/>
          <w:szCs w:val="18"/>
        </w:rPr>
        <w:t>, page 29.</w:t>
      </w:r>
    </w:p>
  </w:footnote>
  <w:footnote w:id="32">
    <w:p w14:paraId="338FE156" w14:textId="28DF238F" w:rsidR="00795EC5" w:rsidRPr="00F83DBF" w:rsidRDefault="00795EC5">
      <w:pPr>
        <w:pStyle w:val="FootnoteText"/>
        <w:rPr>
          <w:rFonts w:ascii="Times New Roman" w:hAnsi="Times New Roman" w:cs="Times New Roman"/>
          <w:sz w:val="18"/>
          <w:szCs w:val="18"/>
          <w:lang w:val="en-US"/>
        </w:rPr>
      </w:pPr>
      <w:r w:rsidRPr="00F83DBF">
        <w:rPr>
          <w:rStyle w:val="FootnoteReference"/>
          <w:rFonts w:ascii="Times New Roman" w:hAnsi="Times New Roman" w:cs="Times New Roman"/>
          <w:sz w:val="18"/>
          <w:szCs w:val="18"/>
        </w:rPr>
        <w:footnoteRef/>
      </w:r>
      <w:r w:rsidRPr="00F83DBF">
        <w:rPr>
          <w:rFonts w:ascii="Times New Roman" w:hAnsi="Times New Roman" w:cs="Times New Roman"/>
          <w:sz w:val="18"/>
          <w:szCs w:val="18"/>
        </w:rPr>
        <w:t xml:space="preserve"> </w:t>
      </w:r>
      <w:hyperlink r:id="rId18" w:history="1">
        <w:r w:rsidRPr="00F83DBF">
          <w:rPr>
            <w:rStyle w:val="Hyperlink"/>
            <w:rFonts w:ascii="Times New Roman" w:hAnsi="Times New Roman" w:cs="Times New Roman"/>
            <w:sz w:val="18"/>
            <w:szCs w:val="18"/>
          </w:rPr>
          <w:t>The environmental sustainability of Australia’s private rental housing stock (ahuri.edu.au)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B3248"/>
    <w:multiLevelType w:val="hybridMultilevel"/>
    <w:tmpl w:val="2E0846E4"/>
    <w:lvl w:ilvl="0" w:tplc="E6E22A0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62872"/>
    <w:multiLevelType w:val="hybridMultilevel"/>
    <w:tmpl w:val="A2342DCA"/>
    <w:lvl w:ilvl="0" w:tplc="E6E22A04">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43F3B"/>
    <w:multiLevelType w:val="hybridMultilevel"/>
    <w:tmpl w:val="147E9794"/>
    <w:lvl w:ilvl="0" w:tplc="6EE4A1D2">
      <w:start w:val="1"/>
      <w:numFmt w:val="bullet"/>
      <w:lvlText w:val="•"/>
      <w:lvlJc w:val="left"/>
      <w:pPr>
        <w:tabs>
          <w:tab w:val="num" w:pos="720"/>
        </w:tabs>
        <w:ind w:left="720" w:hanging="360"/>
      </w:pPr>
      <w:rPr>
        <w:rFonts w:ascii="Arial" w:hAnsi="Arial" w:hint="default"/>
      </w:rPr>
    </w:lvl>
    <w:lvl w:ilvl="1" w:tplc="93B63986" w:tentative="1">
      <w:start w:val="1"/>
      <w:numFmt w:val="bullet"/>
      <w:lvlText w:val="•"/>
      <w:lvlJc w:val="left"/>
      <w:pPr>
        <w:tabs>
          <w:tab w:val="num" w:pos="1440"/>
        </w:tabs>
        <w:ind w:left="1440" w:hanging="360"/>
      </w:pPr>
      <w:rPr>
        <w:rFonts w:ascii="Arial" w:hAnsi="Arial" w:hint="default"/>
      </w:rPr>
    </w:lvl>
    <w:lvl w:ilvl="2" w:tplc="192AE0E2" w:tentative="1">
      <w:start w:val="1"/>
      <w:numFmt w:val="bullet"/>
      <w:lvlText w:val="•"/>
      <w:lvlJc w:val="left"/>
      <w:pPr>
        <w:tabs>
          <w:tab w:val="num" w:pos="2160"/>
        </w:tabs>
        <w:ind w:left="2160" w:hanging="360"/>
      </w:pPr>
      <w:rPr>
        <w:rFonts w:ascii="Arial" w:hAnsi="Arial" w:hint="default"/>
      </w:rPr>
    </w:lvl>
    <w:lvl w:ilvl="3" w:tplc="FE7A5C8A" w:tentative="1">
      <w:start w:val="1"/>
      <w:numFmt w:val="bullet"/>
      <w:lvlText w:val="•"/>
      <w:lvlJc w:val="left"/>
      <w:pPr>
        <w:tabs>
          <w:tab w:val="num" w:pos="2880"/>
        </w:tabs>
        <w:ind w:left="2880" w:hanging="360"/>
      </w:pPr>
      <w:rPr>
        <w:rFonts w:ascii="Arial" w:hAnsi="Arial" w:hint="default"/>
      </w:rPr>
    </w:lvl>
    <w:lvl w:ilvl="4" w:tplc="AA5AD33C" w:tentative="1">
      <w:start w:val="1"/>
      <w:numFmt w:val="bullet"/>
      <w:lvlText w:val="•"/>
      <w:lvlJc w:val="left"/>
      <w:pPr>
        <w:tabs>
          <w:tab w:val="num" w:pos="3600"/>
        </w:tabs>
        <w:ind w:left="3600" w:hanging="360"/>
      </w:pPr>
      <w:rPr>
        <w:rFonts w:ascii="Arial" w:hAnsi="Arial" w:hint="default"/>
      </w:rPr>
    </w:lvl>
    <w:lvl w:ilvl="5" w:tplc="31C6D1B6" w:tentative="1">
      <w:start w:val="1"/>
      <w:numFmt w:val="bullet"/>
      <w:lvlText w:val="•"/>
      <w:lvlJc w:val="left"/>
      <w:pPr>
        <w:tabs>
          <w:tab w:val="num" w:pos="4320"/>
        </w:tabs>
        <w:ind w:left="4320" w:hanging="360"/>
      </w:pPr>
      <w:rPr>
        <w:rFonts w:ascii="Arial" w:hAnsi="Arial" w:hint="default"/>
      </w:rPr>
    </w:lvl>
    <w:lvl w:ilvl="6" w:tplc="DD6AE28A" w:tentative="1">
      <w:start w:val="1"/>
      <w:numFmt w:val="bullet"/>
      <w:lvlText w:val="•"/>
      <w:lvlJc w:val="left"/>
      <w:pPr>
        <w:tabs>
          <w:tab w:val="num" w:pos="5040"/>
        </w:tabs>
        <w:ind w:left="5040" w:hanging="360"/>
      </w:pPr>
      <w:rPr>
        <w:rFonts w:ascii="Arial" w:hAnsi="Arial" w:hint="default"/>
      </w:rPr>
    </w:lvl>
    <w:lvl w:ilvl="7" w:tplc="701684AE" w:tentative="1">
      <w:start w:val="1"/>
      <w:numFmt w:val="bullet"/>
      <w:lvlText w:val="•"/>
      <w:lvlJc w:val="left"/>
      <w:pPr>
        <w:tabs>
          <w:tab w:val="num" w:pos="5760"/>
        </w:tabs>
        <w:ind w:left="5760" w:hanging="360"/>
      </w:pPr>
      <w:rPr>
        <w:rFonts w:ascii="Arial" w:hAnsi="Arial" w:hint="default"/>
      </w:rPr>
    </w:lvl>
    <w:lvl w:ilvl="8" w:tplc="7CA431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396808"/>
    <w:multiLevelType w:val="hybridMultilevel"/>
    <w:tmpl w:val="6DFE3A80"/>
    <w:lvl w:ilvl="0" w:tplc="26E6CBBC">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A24F8"/>
    <w:multiLevelType w:val="hybridMultilevel"/>
    <w:tmpl w:val="A6DC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D571D"/>
    <w:multiLevelType w:val="hybridMultilevel"/>
    <w:tmpl w:val="9258C5B4"/>
    <w:lvl w:ilvl="0" w:tplc="26CE2A06">
      <w:start w:val="1"/>
      <w:numFmt w:val="bullet"/>
      <w:lvlText w:val="›"/>
      <w:lvlJc w:val="left"/>
      <w:pPr>
        <w:tabs>
          <w:tab w:val="num" w:pos="720"/>
        </w:tabs>
        <w:ind w:left="720" w:hanging="360"/>
      </w:pPr>
      <w:rPr>
        <w:rFonts w:ascii="Calibri Light" w:hAnsi="Calibri Light" w:hint="default"/>
      </w:rPr>
    </w:lvl>
    <w:lvl w:ilvl="1" w:tplc="71C40958" w:tentative="1">
      <w:start w:val="1"/>
      <w:numFmt w:val="bullet"/>
      <w:lvlText w:val="›"/>
      <w:lvlJc w:val="left"/>
      <w:pPr>
        <w:tabs>
          <w:tab w:val="num" w:pos="1440"/>
        </w:tabs>
        <w:ind w:left="1440" w:hanging="360"/>
      </w:pPr>
      <w:rPr>
        <w:rFonts w:ascii="Calibri Light" w:hAnsi="Calibri Light" w:hint="default"/>
      </w:rPr>
    </w:lvl>
    <w:lvl w:ilvl="2" w:tplc="C120A23E" w:tentative="1">
      <w:start w:val="1"/>
      <w:numFmt w:val="bullet"/>
      <w:lvlText w:val="›"/>
      <w:lvlJc w:val="left"/>
      <w:pPr>
        <w:tabs>
          <w:tab w:val="num" w:pos="2160"/>
        </w:tabs>
        <w:ind w:left="2160" w:hanging="360"/>
      </w:pPr>
      <w:rPr>
        <w:rFonts w:ascii="Calibri Light" w:hAnsi="Calibri Light" w:hint="default"/>
      </w:rPr>
    </w:lvl>
    <w:lvl w:ilvl="3" w:tplc="D11CA53A" w:tentative="1">
      <w:start w:val="1"/>
      <w:numFmt w:val="bullet"/>
      <w:lvlText w:val="›"/>
      <w:lvlJc w:val="left"/>
      <w:pPr>
        <w:tabs>
          <w:tab w:val="num" w:pos="2880"/>
        </w:tabs>
        <w:ind w:left="2880" w:hanging="360"/>
      </w:pPr>
      <w:rPr>
        <w:rFonts w:ascii="Calibri Light" w:hAnsi="Calibri Light" w:hint="default"/>
      </w:rPr>
    </w:lvl>
    <w:lvl w:ilvl="4" w:tplc="4ACE1950" w:tentative="1">
      <w:start w:val="1"/>
      <w:numFmt w:val="bullet"/>
      <w:lvlText w:val="›"/>
      <w:lvlJc w:val="left"/>
      <w:pPr>
        <w:tabs>
          <w:tab w:val="num" w:pos="3600"/>
        </w:tabs>
        <w:ind w:left="3600" w:hanging="360"/>
      </w:pPr>
      <w:rPr>
        <w:rFonts w:ascii="Calibri Light" w:hAnsi="Calibri Light" w:hint="default"/>
      </w:rPr>
    </w:lvl>
    <w:lvl w:ilvl="5" w:tplc="56601D12" w:tentative="1">
      <w:start w:val="1"/>
      <w:numFmt w:val="bullet"/>
      <w:lvlText w:val="›"/>
      <w:lvlJc w:val="left"/>
      <w:pPr>
        <w:tabs>
          <w:tab w:val="num" w:pos="4320"/>
        </w:tabs>
        <w:ind w:left="4320" w:hanging="360"/>
      </w:pPr>
      <w:rPr>
        <w:rFonts w:ascii="Calibri Light" w:hAnsi="Calibri Light" w:hint="default"/>
      </w:rPr>
    </w:lvl>
    <w:lvl w:ilvl="6" w:tplc="C4265F2A" w:tentative="1">
      <w:start w:val="1"/>
      <w:numFmt w:val="bullet"/>
      <w:lvlText w:val="›"/>
      <w:lvlJc w:val="left"/>
      <w:pPr>
        <w:tabs>
          <w:tab w:val="num" w:pos="5040"/>
        </w:tabs>
        <w:ind w:left="5040" w:hanging="360"/>
      </w:pPr>
      <w:rPr>
        <w:rFonts w:ascii="Calibri Light" w:hAnsi="Calibri Light" w:hint="default"/>
      </w:rPr>
    </w:lvl>
    <w:lvl w:ilvl="7" w:tplc="635AED78" w:tentative="1">
      <w:start w:val="1"/>
      <w:numFmt w:val="bullet"/>
      <w:lvlText w:val="›"/>
      <w:lvlJc w:val="left"/>
      <w:pPr>
        <w:tabs>
          <w:tab w:val="num" w:pos="5760"/>
        </w:tabs>
        <w:ind w:left="5760" w:hanging="360"/>
      </w:pPr>
      <w:rPr>
        <w:rFonts w:ascii="Calibri Light" w:hAnsi="Calibri Light" w:hint="default"/>
      </w:rPr>
    </w:lvl>
    <w:lvl w:ilvl="8" w:tplc="D7BA8680" w:tentative="1">
      <w:start w:val="1"/>
      <w:numFmt w:val="bullet"/>
      <w:lvlText w:val="›"/>
      <w:lvlJc w:val="left"/>
      <w:pPr>
        <w:tabs>
          <w:tab w:val="num" w:pos="6480"/>
        </w:tabs>
        <w:ind w:left="6480" w:hanging="360"/>
      </w:pPr>
      <w:rPr>
        <w:rFonts w:ascii="Calibri Light" w:hAnsi="Calibri Light" w:hint="default"/>
      </w:rPr>
    </w:lvl>
  </w:abstractNum>
  <w:abstractNum w:abstractNumId="13"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23CA6"/>
    <w:multiLevelType w:val="hybridMultilevel"/>
    <w:tmpl w:val="D92C0672"/>
    <w:lvl w:ilvl="0" w:tplc="BFCEE712">
      <w:start w:val="1"/>
      <w:numFmt w:val="bullet"/>
      <w:lvlText w:val=""/>
      <w:lvlJc w:val="left"/>
      <w:pPr>
        <w:tabs>
          <w:tab w:val="num" w:pos="720"/>
        </w:tabs>
        <w:ind w:left="720" w:hanging="360"/>
      </w:pPr>
      <w:rPr>
        <w:rFonts w:ascii="Symbol" w:hAnsi="Symbol" w:hint="default"/>
      </w:rPr>
    </w:lvl>
    <w:lvl w:ilvl="1" w:tplc="60421750" w:tentative="1">
      <w:start w:val="1"/>
      <w:numFmt w:val="bullet"/>
      <w:lvlText w:val=""/>
      <w:lvlJc w:val="left"/>
      <w:pPr>
        <w:tabs>
          <w:tab w:val="num" w:pos="1440"/>
        </w:tabs>
        <w:ind w:left="1440" w:hanging="360"/>
      </w:pPr>
      <w:rPr>
        <w:rFonts w:ascii="Symbol" w:hAnsi="Symbol" w:hint="default"/>
      </w:rPr>
    </w:lvl>
    <w:lvl w:ilvl="2" w:tplc="BF4C3C9E" w:tentative="1">
      <w:start w:val="1"/>
      <w:numFmt w:val="bullet"/>
      <w:lvlText w:val=""/>
      <w:lvlJc w:val="left"/>
      <w:pPr>
        <w:tabs>
          <w:tab w:val="num" w:pos="2160"/>
        </w:tabs>
        <w:ind w:left="2160" w:hanging="360"/>
      </w:pPr>
      <w:rPr>
        <w:rFonts w:ascii="Symbol" w:hAnsi="Symbol" w:hint="default"/>
      </w:rPr>
    </w:lvl>
    <w:lvl w:ilvl="3" w:tplc="FD684BE6" w:tentative="1">
      <w:start w:val="1"/>
      <w:numFmt w:val="bullet"/>
      <w:lvlText w:val=""/>
      <w:lvlJc w:val="left"/>
      <w:pPr>
        <w:tabs>
          <w:tab w:val="num" w:pos="2880"/>
        </w:tabs>
        <w:ind w:left="2880" w:hanging="360"/>
      </w:pPr>
      <w:rPr>
        <w:rFonts w:ascii="Symbol" w:hAnsi="Symbol" w:hint="default"/>
      </w:rPr>
    </w:lvl>
    <w:lvl w:ilvl="4" w:tplc="36B663B0" w:tentative="1">
      <w:start w:val="1"/>
      <w:numFmt w:val="bullet"/>
      <w:lvlText w:val=""/>
      <w:lvlJc w:val="left"/>
      <w:pPr>
        <w:tabs>
          <w:tab w:val="num" w:pos="3600"/>
        </w:tabs>
        <w:ind w:left="3600" w:hanging="360"/>
      </w:pPr>
      <w:rPr>
        <w:rFonts w:ascii="Symbol" w:hAnsi="Symbol" w:hint="default"/>
      </w:rPr>
    </w:lvl>
    <w:lvl w:ilvl="5" w:tplc="ECF65B18" w:tentative="1">
      <w:start w:val="1"/>
      <w:numFmt w:val="bullet"/>
      <w:lvlText w:val=""/>
      <w:lvlJc w:val="left"/>
      <w:pPr>
        <w:tabs>
          <w:tab w:val="num" w:pos="4320"/>
        </w:tabs>
        <w:ind w:left="4320" w:hanging="360"/>
      </w:pPr>
      <w:rPr>
        <w:rFonts w:ascii="Symbol" w:hAnsi="Symbol" w:hint="default"/>
      </w:rPr>
    </w:lvl>
    <w:lvl w:ilvl="6" w:tplc="0074A926" w:tentative="1">
      <w:start w:val="1"/>
      <w:numFmt w:val="bullet"/>
      <w:lvlText w:val=""/>
      <w:lvlJc w:val="left"/>
      <w:pPr>
        <w:tabs>
          <w:tab w:val="num" w:pos="5040"/>
        </w:tabs>
        <w:ind w:left="5040" w:hanging="360"/>
      </w:pPr>
      <w:rPr>
        <w:rFonts w:ascii="Symbol" w:hAnsi="Symbol" w:hint="default"/>
      </w:rPr>
    </w:lvl>
    <w:lvl w:ilvl="7" w:tplc="B7F00A32" w:tentative="1">
      <w:start w:val="1"/>
      <w:numFmt w:val="bullet"/>
      <w:lvlText w:val=""/>
      <w:lvlJc w:val="left"/>
      <w:pPr>
        <w:tabs>
          <w:tab w:val="num" w:pos="5760"/>
        </w:tabs>
        <w:ind w:left="5760" w:hanging="360"/>
      </w:pPr>
      <w:rPr>
        <w:rFonts w:ascii="Symbol" w:hAnsi="Symbol" w:hint="default"/>
      </w:rPr>
    </w:lvl>
    <w:lvl w:ilvl="8" w:tplc="82D0005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41C0C4A"/>
    <w:multiLevelType w:val="hybridMultilevel"/>
    <w:tmpl w:val="B532CF3C"/>
    <w:lvl w:ilvl="0" w:tplc="CD0CFBC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FC33A3"/>
    <w:multiLevelType w:val="hybridMultilevel"/>
    <w:tmpl w:val="73029908"/>
    <w:lvl w:ilvl="0" w:tplc="2F64911A">
      <w:start w:val="1"/>
      <w:numFmt w:val="bullet"/>
      <w:lvlText w:val="›"/>
      <w:lvlJc w:val="left"/>
      <w:pPr>
        <w:tabs>
          <w:tab w:val="num" w:pos="720"/>
        </w:tabs>
        <w:ind w:left="720" w:hanging="360"/>
      </w:pPr>
      <w:rPr>
        <w:rFonts w:ascii="Calibri Light" w:hAnsi="Calibri Light" w:hint="default"/>
      </w:rPr>
    </w:lvl>
    <w:lvl w:ilvl="1" w:tplc="F9F4CC66">
      <w:numFmt w:val="bullet"/>
      <w:lvlText w:val="›"/>
      <w:lvlJc w:val="left"/>
      <w:pPr>
        <w:tabs>
          <w:tab w:val="num" w:pos="1440"/>
        </w:tabs>
        <w:ind w:left="1440" w:hanging="360"/>
      </w:pPr>
      <w:rPr>
        <w:rFonts w:ascii="Calibri Light" w:hAnsi="Calibri Light" w:hint="default"/>
      </w:rPr>
    </w:lvl>
    <w:lvl w:ilvl="2" w:tplc="1AD6D3B0" w:tentative="1">
      <w:start w:val="1"/>
      <w:numFmt w:val="bullet"/>
      <w:lvlText w:val="›"/>
      <w:lvlJc w:val="left"/>
      <w:pPr>
        <w:tabs>
          <w:tab w:val="num" w:pos="2160"/>
        </w:tabs>
        <w:ind w:left="2160" w:hanging="360"/>
      </w:pPr>
      <w:rPr>
        <w:rFonts w:ascii="Calibri Light" w:hAnsi="Calibri Light" w:hint="default"/>
      </w:rPr>
    </w:lvl>
    <w:lvl w:ilvl="3" w:tplc="90A8EDC2" w:tentative="1">
      <w:start w:val="1"/>
      <w:numFmt w:val="bullet"/>
      <w:lvlText w:val="›"/>
      <w:lvlJc w:val="left"/>
      <w:pPr>
        <w:tabs>
          <w:tab w:val="num" w:pos="2880"/>
        </w:tabs>
        <w:ind w:left="2880" w:hanging="360"/>
      </w:pPr>
      <w:rPr>
        <w:rFonts w:ascii="Calibri Light" w:hAnsi="Calibri Light" w:hint="default"/>
      </w:rPr>
    </w:lvl>
    <w:lvl w:ilvl="4" w:tplc="E53A70F6" w:tentative="1">
      <w:start w:val="1"/>
      <w:numFmt w:val="bullet"/>
      <w:lvlText w:val="›"/>
      <w:lvlJc w:val="left"/>
      <w:pPr>
        <w:tabs>
          <w:tab w:val="num" w:pos="3600"/>
        </w:tabs>
        <w:ind w:left="3600" w:hanging="360"/>
      </w:pPr>
      <w:rPr>
        <w:rFonts w:ascii="Calibri Light" w:hAnsi="Calibri Light" w:hint="default"/>
      </w:rPr>
    </w:lvl>
    <w:lvl w:ilvl="5" w:tplc="2C7845CE" w:tentative="1">
      <w:start w:val="1"/>
      <w:numFmt w:val="bullet"/>
      <w:lvlText w:val="›"/>
      <w:lvlJc w:val="left"/>
      <w:pPr>
        <w:tabs>
          <w:tab w:val="num" w:pos="4320"/>
        </w:tabs>
        <w:ind w:left="4320" w:hanging="360"/>
      </w:pPr>
      <w:rPr>
        <w:rFonts w:ascii="Calibri Light" w:hAnsi="Calibri Light" w:hint="default"/>
      </w:rPr>
    </w:lvl>
    <w:lvl w:ilvl="6" w:tplc="817C0892" w:tentative="1">
      <w:start w:val="1"/>
      <w:numFmt w:val="bullet"/>
      <w:lvlText w:val="›"/>
      <w:lvlJc w:val="left"/>
      <w:pPr>
        <w:tabs>
          <w:tab w:val="num" w:pos="5040"/>
        </w:tabs>
        <w:ind w:left="5040" w:hanging="360"/>
      </w:pPr>
      <w:rPr>
        <w:rFonts w:ascii="Calibri Light" w:hAnsi="Calibri Light" w:hint="default"/>
      </w:rPr>
    </w:lvl>
    <w:lvl w:ilvl="7" w:tplc="24040418" w:tentative="1">
      <w:start w:val="1"/>
      <w:numFmt w:val="bullet"/>
      <w:lvlText w:val="›"/>
      <w:lvlJc w:val="left"/>
      <w:pPr>
        <w:tabs>
          <w:tab w:val="num" w:pos="5760"/>
        </w:tabs>
        <w:ind w:left="5760" w:hanging="360"/>
      </w:pPr>
      <w:rPr>
        <w:rFonts w:ascii="Calibri Light" w:hAnsi="Calibri Light" w:hint="default"/>
      </w:rPr>
    </w:lvl>
    <w:lvl w:ilvl="8" w:tplc="50DA49A6" w:tentative="1">
      <w:start w:val="1"/>
      <w:numFmt w:val="bullet"/>
      <w:lvlText w:val="›"/>
      <w:lvlJc w:val="left"/>
      <w:pPr>
        <w:tabs>
          <w:tab w:val="num" w:pos="6480"/>
        </w:tabs>
        <w:ind w:left="6480" w:hanging="360"/>
      </w:pPr>
      <w:rPr>
        <w:rFonts w:ascii="Calibri Light" w:hAnsi="Calibri Light" w:hint="default"/>
      </w:rPr>
    </w:lvl>
  </w:abstractNum>
  <w:abstractNum w:abstractNumId="19" w15:restartNumberingAfterBreak="0">
    <w:nsid w:val="72794C7E"/>
    <w:multiLevelType w:val="hybridMultilevel"/>
    <w:tmpl w:val="72A6E444"/>
    <w:lvl w:ilvl="0" w:tplc="6D3C0B58">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F23BB"/>
    <w:multiLevelType w:val="hybridMultilevel"/>
    <w:tmpl w:val="CDC49316"/>
    <w:lvl w:ilvl="0" w:tplc="1D3C0D56">
      <w:start w:val="1"/>
      <w:numFmt w:val="bullet"/>
      <w:lvlText w:val="›"/>
      <w:lvlJc w:val="left"/>
      <w:pPr>
        <w:tabs>
          <w:tab w:val="num" w:pos="720"/>
        </w:tabs>
        <w:ind w:left="720" w:hanging="360"/>
      </w:pPr>
      <w:rPr>
        <w:rFonts w:ascii="Calibri Light" w:hAnsi="Calibri Light" w:hint="default"/>
      </w:rPr>
    </w:lvl>
    <w:lvl w:ilvl="1" w:tplc="E654DC4C" w:tentative="1">
      <w:start w:val="1"/>
      <w:numFmt w:val="bullet"/>
      <w:lvlText w:val="›"/>
      <w:lvlJc w:val="left"/>
      <w:pPr>
        <w:tabs>
          <w:tab w:val="num" w:pos="1440"/>
        </w:tabs>
        <w:ind w:left="1440" w:hanging="360"/>
      </w:pPr>
      <w:rPr>
        <w:rFonts w:ascii="Calibri Light" w:hAnsi="Calibri Light" w:hint="default"/>
      </w:rPr>
    </w:lvl>
    <w:lvl w:ilvl="2" w:tplc="DA101E0E" w:tentative="1">
      <w:start w:val="1"/>
      <w:numFmt w:val="bullet"/>
      <w:lvlText w:val="›"/>
      <w:lvlJc w:val="left"/>
      <w:pPr>
        <w:tabs>
          <w:tab w:val="num" w:pos="2160"/>
        </w:tabs>
        <w:ind w:left="2160" w:hanging="360"/>
      </w:pPr>
      <w:rPr>
        <w:rFonts w:ascii="Calibri Light" w:hAnsi="Calibri Light" w:hint="default"/>
      </w:rPr>
    </w:lvl>
    <w:lvl w:ilvl="3" w:tplc="4784EADE" w:tentative="1">
      <w:start w:val="1"/>
      <w:numFmt w:val="bullet"/>
      <w:lvlText w:val="›"/>
      <w:lvlJc w:val="left"/>
      <w:pPr>
        <w:tabs>
          <w:tab w:val="num" w:pos="2880"/>
        </w:tabs>
        <w:ind w:left="2880" w:hanging="360"/>
      </w:pPr>
      <w:rPr>
        <w:rFonts w:ascii="Calibri Light" w:hAnsi="Calibri Light" w:hint="default"/>
      </w:rPr>
    </w:lvl>
    <w:lvl w:ilvl="4" w:tplc="FCA4B5CE" w:tentative="1">
      <w:start w:val="1"/>
      <w:numFmt w:val="bullet"/>
      <w:lvlText w:val="›"/>
      <w:lvlJc w:val="left"/>
      <w:pPr>
        <w:tabs>
          <w:tab w:val="num" w:pos="3600"/>
        </w:tabs>
        <w:ind w:left="3600" w:hanging="360"/>
      </w:pPr>
      <w:rPr>
        <w:rFonts w:ascii="Calibri Light" w:hAnsi="Calibri Light" w:hint="default"/>
      </w:rPr>
    </w:lvl>
    <w:lvl w:ilvl="5" w:tplc="55167E70" w:tentative="1">
      <w:start w:val="1"/>
      <w:numFmt w:val="bullet"/>
      <w:lvlText w:val="›"/>
      <w:lvlJc w:val="left"/>
      <w:pPr>
        <w:tabs>
          <w:tab w:val="num" w:pos="4320"/>
        </w:tabs>
        <w:ind w:left="4320" w:hanging="360"/>
      </w:pPr>
      <w:rPr>
        <w:rFonts w:ascii="Calibri Light" w:hAnsi="Calibri Light" w:hint="default"/>
      </w:rPr>
    </w:lvl>
    <w:lvl w:ilvl="6" w:tplc="1ED8C5A0" w:tentative="1">
      <w:start w:val="1"/>
      <w:numFmt w:val="bullet"/>
      <w:lvlText w:val="›"/>
      <w:lvlJc w:val="left"/>
      <w:pPr>
        <w:tabs>
          <w:tab w:val="num" w:pos="5040"/>
        </w:tabs>
        <w:ind w:left="5040" w:hanging="360"/>
      </w:pPr>
      <w:rPr>
        <w:rFonts w:ascii="Calibri Light" w:hAnsi="Calibri Light" w:hint="default"/>
      </w:rPr>
    </w:lvl>
    <w:lvl w:ilvl="7" w:tplc="0476861A" w:tentative="1">
      <w:start w:val="1"/>
      <w:numFmt w:val="bullet"/>
      <w:lvlText w:val="›"/>
      <w:lvlJc w:val="left"/>
      <w:pPr>
        <w:tabs>
          <w:tab w:val="num" w:pos="5760"/>
        </w:tabs>
        <w:ind w:left="5760" w:hanging="360"/>
      </w:pPr>
      <w:rPr>
        <w:rFonts w:ascii="Calibri Light" w:hAnsi="Calibri Light" w:hint="default"/>
      </w:rPr>
    </w:lvl>
    <w:lvl w:ilvl="8" w:tplc="1108D3BE" w:tentative="1">
      <w:start w:val="1"/>
      <w:numFmt w:val="bullet"/>
      <w:lvlText w:val="›"/>
      <w:lvlJc w:val="left"/>
      <w:pPr>
        <w:tabs>
          <w:tab w:val="num" w:pos="6480"/>
        </w:tabs>
        <w:ind w:left="6480" w:hanging="360"/>
      </w:pPr>
      <w:rPr>
        <w:rFonts w:ascii="Calibri Light" w:hAnsi="Calibri Light" w:hint="default"/>
      </w:rPr>
    </w:lvl>
  </w:abstractNum>
  <w:abstractNum w:abstractNumId="21" w15:restartNumberingAfterBreak="0">
    <w:nsid w:val="7E487262"/>
    <w:multiLevelType w:val="hybridMultilevel"/>
    <w:tmpl w:val="BA8AD060"/>
    <w:lvl w:ilvl="0" w:tplc="70C83BDC">
      <w:start w:val="1"/>
      <w:numFmt w:val="bullet"/>
      <w:lvlText w:val="•"/>
      <w:lvlJc w:val="left"/>
      <w:pPr>
        <w:tabs>
          <w:tab w:val="num" w:pos="720"/>
        </w:tabs>
        <w:ind w:left="720" w:hanging="360"/>
      </w:pPr>
      <w:rPr>
        <w:rFonts w:ascii="Arial" w:hAnsi="Arial" w:hint="default"/>
      </w:rPr>
    </w:lvl>
    <w:lvl w:ilvl="1" w:tplc="B1C678AA" w:tentative="1">
      <w:start w:val="1"/>
      <w:numFmt w:val="bullet"/>
      <w:lvlText w:val="•"/>
      <w:lvlJc w:val="left"/>
      <w:pPr>
        <w:tabs>
          <w:tab w:val="num" w:pos="1440"/>
        </w:tabs>
        <w:ind w:left="1440" w:hanging="360"/>
      </w:pPr>
      <w:rPr>
        <w:rFonts w:ascii="Arial" w:hAnsi="Arial" w:hint="default"/>
      </w:rPr>
    </w:lvl>
    <w:lvl w:ilvl="2" w:tplc="8822FC58" w:tentative="1">
      <w:start w:val="1"/>
      <w:numFmt w:val="bullet"/>
      <w:lvlText w:val="•"/>
      <w:lvlJc w:val="left"/>
      <w:pPr>
        <w:tabs>
          <w:tab w:val="num" w:pos="2160"/>
        </w:tabs>
        <w:ind w:left="2160" w:hanging="360"/>
      </w:pPr>
      <w:rPr>
        <w:rFonts w:ascii="Arial" w:hAnsi="Arial" w:hint="default"/>
      </w:rPr>
    </w:lvl>
    <w:lvl w:ilvl="3" w:tplc="4A74BD04" w:tentative="1">
      <w:start w:val="1"/>
      <w:numFmt w:val="bullet"/>
      <w:lvlText w:val="•"/>
      <w:lvlJc w:val="left"/>
      <w:pPr>
        <w:tabs>
          <w:tab w:val="num" w:pos="2880"/>
        </w:tabs>
        <w:ind w:left="2880" w:hanging="360"/>
      </w:pPr>
      <w:rPr>
        <w:rFonts w:ascii="Arial" w:hAnsi="Arial" w:hint="default"/>
      </w:rPr>
    </w:lvl>
    <w:lvl w:ilvl="4" w:tplc="EF8EB88C" w:tentative="1">
      <w:start w:val="1"/>
      <w:numFmt w:val="bullet"/>
      <w:lvlText w:val="•"/>
      <w:lvlJc w:val="left"/>
      <w:pPr>
        <w:tabs>
          <w:tab w:val="num" w:pos="3600"/>
        </w:tabs>
        <w:ind w:left="3600" w:hanging="360"/>
      </w:pPr>
      <w:rPr>
        <w:rFonts w:ascii="Arial" w:hAnsi="Arial" w:hint="default"/>
      </w:rPr>
    </w:lvl>
    <w:lvl w:ilvl="5" w:tplc="58CE4182" w:tentative="1">
      <w:start w:val="1"/>
      <w:numFmt w:val="bullet"/>
      <w:lvlText w:val="•"/>
      <w:lvlJc w:val="left"/>
      <w:pPr>
        <w:tabs>
          <w:tab w:val="num" w:pos="4320"/>
        </w:tabs>
        <w:ind w:left="4320" w:hanging="360"/>
      </w:pPr>
      <w:rPr>
        <w:rFonts w:ascii="Arial" w:hAnsi="Arial" w:hint="default"/>
      </w:rPr>
    </w:lvl>
    <w:lvl w:ilvl="6" w:tplc="754EAB98" w:tentative="1">
      <w:start w:val="1"/>
      <w:numFmt w:val="bullet"/>
      <w:lvlText w:val="•"/>
      <w:lvlJc w:val="left"/>
      <w:pPr>
        <w:tabs>
          <w:tab w:val="num" w:pos="5040"/>
        </w:tabs>
        <w:ind w:left="5040" w:hanging="360"/>
      </w:pPr>
      <w:rPr>
        <w:rFonts w:ascii="Arial" w:hAnsi="Arial" w:hint="default"/>
      </w:rPr>
    </w:lvl>
    <w:lvl w:ilvl="7" w:tplc="96363818" w:tentative="1">
      <w:start w:val="1"/>
      <w:numFmt w:val="bullet"/>
      <w:lvlText w:val="•"/>
      <w:lvlJc w:val="left"/>
      <w:pPr>
        <w:tabs>
          <w:tab w:val="num" w:pos="5760"/>
        </w:tabs>
        <w:ind w:left="5760" w:hanging="360"/>
      </w:pPr>
      <w:rPr>
        <w:rFonts w:ascii="Arial" w:hAnsi="Arial" w:hint="default"/>
      </w:rPr>
    </w:lvl>
    <w:lvl w:ilvl="8" w:tplc="4908249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3"/>
  </w:num>
  <w:num w:numId="3">
    <w:abstractNumId w:val="15"/>
  </w:num>
  <w:num w:numId="4">
    <w:abstractNumId w:val="7"/>
  </w:num>
  <w:num w:numId="5">
    <w:abstractNumId w:val="6"/>
  </w:num>
  <w:num w:numId="6">
    <w:abstractNumId w:val="14"/>
  </w:num>
  <w:num w:numId="7">
    <w:abstractNumId w:val="11"/>
  </w:num>
  <w:num w:numId="8">
    <w:abstractNumId w:val="9"/>
  </w:num>
  <w:num w:numId="9">
    <w:abstractNumId w:val="1"/>
  </w:num>
  <w:num w:numId="10">
    <w:abstractNumId w:val="0"/>
  </w:num>
  <w:num w:numId="11">
    <w:abstractNumId w:val="10"/>
  </w:num>
  <w:num w:numId="12">
    <w:abstractNumId w:val="2"/>
  </w:num>
  <w:num w:numId="13">
    <w:abstractNumId w:val="21"/>
  </w:num>
  <w:num w:numId="14">
    <w:abstractNumId w:val="5"/>
  </w:num>
  <w:num w:numId="15">
    <w:abstractNumId w:val="17"/>
  </w:num>
  <w:num w:numId="16">
    <w:abstractNumId w:val="8"/>
  </w:num>
  <w:num w:numId="17">
    <w:abstractNumId w:val="19"/>
  </w:num>
  <w:num w:numId="18">
    <w:abstractNumId w:val="16"/>
  </w:num>
  <w:num w:numId="19">
    <w:abstractNumId w:val="4"/>
  </w:num>
  <w:num w:numId="20">
    <w:abstractNumId w:val="12"/>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02EDE"/>
    <w:rsid w:val="000203C3"/>
    <w:rsid w:val="000361F3"/>
    <w:rsid w:val="00064ECF"/>
    <w:rsid w:val="0008247F"/>
    <w:rsid w:val="000827A0"/>
    <w:rsid w:val="00097933"/>
    <w:rsid w:val="000A13A6"/>
    <w:rsid w:val="000A2223"/>
    <w:rsid w:val="000A3FF9"/>
    <w:rsid w:val="000A5C3A"/>
    <w:rsid w:val="000B15BE"/>
    <w:rsid w:val="000C086D"/>
    <w:rsid w:val="000C2E43"/>
    <w:rsid w:val="000C3D2A"/>
    <w:rsid w:val="000D0FDC"/>
    <w:rsid w:val="000D4764"/>
    <w:rsid w:val="000E163E"/>
    <w:rsid w:val="000E3CD4"/>
    <w:rsid w:val="000E4F8A"/>
    <w:rsid w:val="000F3F59"/>
    <w:rsid w:val="00102848"/>
    <w:rsid w:val="00105CEE"/>
    <w:rsid w:val="00112A46"/>
    <w:rsid w:val="00116108"/>
    <w:rsid w:val="00116B7E"/>
    <w:rsid w:val="00117F9B"/>
    <w:rsid w:val="00123934"/>
    <w:rsid w:val="00123D64"/>
    <w:rsid w:val="00125E4A"/>
    <w:rsid w:val="00134BFA"/>
    <w:rsid w:val="00146C1D"/>
    <w:rsid w:val="0016647B"/>
    <w:rsid w:val="00167895"/>
    <w:rsid w:val="001710F2"/>
    <w:rsid w:val="001836C2"/>
    <w:rsid w:val="00184837"/>
    <w:rsid w:val="00187078"/>
    <w:rsid w:val="0019054D"/>
    <w:rsid w:val="001915CC"/>
    <w:rsid w:val="001A0647"/>
    <w:rsid w:val="001A292F"/>
    <w:rsid w:val="001B6ED2"/>
    <w:rsid w:val="001B73A6"/>
    <w:rsid w:val="001B775B"/>
    <w:rsid w:val="001C295F"/>
    <w:rsid w:val="001C29AF"/>
    <w:rsid w:val="001C3E8A"/>
    <w:rsid w:val="001D688A"/>
    <w:rsid w:val="001E5717"/>
    <w:rsid w:val="001E5DAE"/>
    <w:rsid w:val="00226AE8"/>
    <w:rsid w:val="002476DF"/>
    <w:rsid w:val="00250722"/>
    <w:rsid w:val="00255861"/>
    <w:rsid w:val="00267288"/>
    <w:rsid w:val="00270B7E"/>
    <w:rsid w:val="0027758A"/>
    <w:rsid w:val="002801E5"/>
    <w:rsid w:val="002A1385"/>
    <w:rsid w:val="002A4183"/>
    <w:rsid w:val="002B0DF0"/>
    <w:rsid w:val="002C14A1"/>
    <w:rsid w:val="002D5DF7"/>
    <w:rsid w:val="002D66E4"/>
    <w:rsid w:val="002D756E"/>
    <w:rsid w:val="002E186F"/>
    <w:rsid w:val="002E38D5"/>
    <w:rsid w:val="002F5464"/>
    <w:rsid w:val="002F6B73"/>
    <w:rsid w:val="00306663"/>
    <w:rsid w:val="00306BEF"/>
    <w:rsid w:val="003124B8"/>
    <w:rsid w:val="003147E7"/>
    <w:rsid w:val="00322C35"/>
    <w:rsid w:val="00326755"/>
    <w:rsid w:val="00336000"/>
    <w:rsid w:val="00337FDE"/>
    <w:rsid w:val="0034178A"/>
    <w:rsid w:val="0034575C"/>
    <w:rsid w:val="003545B6"/>
    <w:rsid w:val="0036088E"/>
    <w:rsid w:val="00360CFD"/>
    <w:rsid w:val="003963ED"/>
    <w:rsid w:val="003966D5"/>
    <w:rsid w:val="003A64B5"/>
    <w:rsid w:val="003A69FC"/>
    <w:rsid w:val="003A6C48"/>
    <w:rsid w:val="003C37DD"/>
    <w:rsid w:val="003D43E7"/>
    <w:rsid w:val="003D4E7F"/>
    <w:rsid w:val="003D5A46"/>
    <w:rsid w:val="003E12F5"/>
    <w:rsid w:val="003E6BCB"/>
    <w:rsid w:val="003E742C"/>
    <w:rsid w:val="003E76D3"/>
    <w:rsid w:val="003F3335"/>
    <w:rsid w:val="003F3E8B"/>
    <w:rsid w:val="004174A0"/>
    <w:rsid w:val="004304A7"/>
    <w:rsid w:val="004350E1"/>
    <w:rsid w:val="004357E4"/>
    <w:rsid w:val="0044112A"/>
    <w:rsid w:val="004507DC"/>
    <w:rsid w:val="00454648"/>
    <w:rsid w:val="00455DAE"/>
    <w:rsid w:val="00457947"/>
    <w:rsid w:val="004771A6"/>
    <w:rsid w:val="0049028B"/>
    <w:rsid w:val="004931C7"/>
    <w:rsid w:val="004C5BF2"/>
    <w:rsid w:val="004F36AE"/>
    <w:rsid w:val="00516D74"/>
    <w:rsid w:val="00524B24"/>
    <w:rsid w:val="00536FFF"/>
    <w:rsid w:val="00537C44"/>
    <w:rsid w:val="0054561F"/>
    <w:rsid w:val="00545BC5"/>
    <w:rsid w:val="00545FC3"/>
    <w:rsid w:val="00551871"/>
    <w:rsid w:val="00553845"/>
    <w:rsid w:val="00561044"/>
    <w:rsid w:val="0056133E"/>
    <w:rsid w:val="005646FF"/>
    <w:rsid w:val="00574133"/>
    <w:rsid w:val="00576713"/>
    <w:rsid w:val="00584991"/>
    <w:rsid w:val="00585B18"/>
    <w:rsid w:val="00587B9F"/>
    <w:rsid w:val="00593646"/>
    <w:rsid w:val="00594999"/>
    <w:rsid w:val="0059591F"/>
    <w:rsid w:val="005A07DD"/>
    <w:rsid w:val="005A1898"/>
    <w:rsid w:val="005B22C2"/>
    <w:rsid w:val="005F79DC"/>
    <w:rsid w:val="00607270"/>
    <w:rsid w:val="00611B51"/>
    <w:rsid w:val="006254C7"/>
    <w:rsid w:val="0065457E"/>
    <w:rsid w:val="006673A3"/>
    <w:rsid w:val="00671FD6"/>
    <w:rsid w:val="00673150"/>
    <w:rsid w:val="00677302"/>
    <w:rsid w:val="00686589"/>
    <w:rsid w:val="00690E59"/>
    <w:rsid w:val="006949DA"/>
    <w:rsid w:val="00697D23"/>
    <w:rsid w:val="006A15D6"/>
    <w:rsid w:val="006A27FA"/>
    <w:rsid w:val="006A7434"/>
    <w:rsid w:val="006B62E7"/>
    <w:rsid w:val="006C0017"/>
    <w:rsid w:val="006C21A1"/>
    <w:rsid w:val="006C2516"/>
    <w:rsid w:val="006C7EBC"/>
    <w:rsid w:val="006D09CA"/>
    <w:rsid w:val="006D29FA"/>
    <w:rsid w:val="006D4586"/>
    <w:rsid w:val="006D56FB"/>
    <w:rsid w:val="006D5BEA"/>
    <w:rsid w:val="006E130A"/>
    <w:rsid w:val="006E23F0"/>
    <w:rsid w:val="006E29F4"/>
    <w:rsid w:val="006E3A69"/>
    <w:rsid w:val="006F07C1"/>
    <w:rsid w:val="006F7BD2"/>
    <w:rsid w:val="00706BC9"/>
    <w:rsid w:val="00712F36"/>
    <w:rsid w:val="00713BDB"/>
    <w:rsid w:val="0071698E"/>
    <w:rsid w:val="0072045D"/>
    <w:rsid w:val="00726383"/>
    <w:rsid w:val="00727F6E"/>
    <w:rsid w:val="007309A5"/>
    <w:rsid w:val="007568C3"/>
    <w:rsid w:val="00756FB8"/>
    <w:rsid w:val="00770719"/>
    <w:rsid w:val="00780596"/>
    <w:rsid w:val="007808A0"/>
    <w:rsid w:val="007812E2"/>
    <w:rsid w:val="00781660"/>
    <w:rsid w:val="007901EC"/>
    <w:rsid w:val="0079172A"/>
    <w:rsid w:val="0079237A"/>
    <w:rsid w:val="00795EC5"/>
    <w:rsid w:val="007A4AC4"/>
    <w:rsid w:val="007B75D5"/>
    <w:rsid w:val="007C2B7D"/>
    <w:rsid w:val="007E3E26"/>
    <w:rsid w:val="007F0D78"/>
    <w:rsid w:val="007F4631"/>
    <w:rsid w:val="007F4735"/>
    <w:rsid w:val="007F6017"/>
    <w:rsid w:val="007F626C"/>
    <w:rsid w:val="007F6CFA"/>
    <w:rsid w:val="0080301B"/>
    <w:rsid w:val="00811286"/>
    <w:rsid w:val="00820FB1"/>
    <w:rsid w:val="008242C0"/>
    <w:rsid w:val="00833D2D"/>
    <w:rsid w:val="00867B35"/>
    <w:rsid w:val="008800A0"/>
    <w:rsid w:val="00881BDD"/>
    <w:rsid w:val="00894535"/>
    <w:rsid w:val="00894A7B"/>
    <w:rsid w:val="00897238"/>
    <w:rsid w:val="008A0F6B"/>
    <w:rsid w:val="008B7BB3"/>
    <w:rsid w:val="008C197A"/>
    <w:rsid w:val="008D03A6"/>
    <w:rsid w:val="008D0A3A"/>
    <w:rsid w:val="008E3A46"/>
    <w:rsid w:val="008F02E1"/>
    <w:rsid w:val="008F092C"/>
    <w:rsid w:val="008F0F7A"/>
    <w:rsid w:val="008F3045"/>
    <w:rsid w:val="008F4EC3"/>
    <w:rsid w:val="008F639B"/>
    <w:rsid w:val="00910D6A"/>
    <w:rsid w:val="00911659"/>
    <w:rsid w:val="00912AF1"/>
    <w:rsid w:val="009200E5"/>
    <w:rsid w:val="0092607C"/>
    <w:rsid w:val="00927E27"/>
    <w:rsid w:val="00931BCF"/>
    <w:rsid w:val="00935AEB"/>
    <w:rsid w:val="009401F6"/>
    <w:rsid w:val="00945E66"/>
    <w:rsid w:val="009523B8"/>
    <w:rsid w:val="00955E07"/>
    <w:rsid w:val="009663D0"/>
    <w:rsid w:val="0099058A"/>
    <w:rsid w:val="009A2A86"/>
    <w:rsid w:val="009A2C44"/>
    <w:rsid w:val="009A69B9"/>
    <w:rsid w:val="009B24B2"/>
    <w:rsid w:val="009B26B7"/>
    <w:rsid w:val="009B390B"/>
    <w:rsid w:val="009B3ABB"/>
    <w:rsid w:val="009C2911"/>
    <w:rsid w:val="009C6F2F"/>
    <w:rsid w:val="009D607F"/>
    <w:rsid w:val="009E2E88"/>
    <w:rsid w:val="009E7BAC"/>
    <w:rsid w:val="00A0751E"/>
    <w:rsid w:val="00A12F5C"/>
    <w:rsid w:val="00A13425"/>
    <w:rsid w:val="00A15D0C"/>
    <w:rsid w:val="00A21E0B"/>
    <w:rsid w:val="00A260C4"/>
    <w:rsid w:val="00A46A44"/>
    <w:rsid w:val="00A523DC"/>
    <w:rsid w:val="00A607DB"/>
    <w:rsid w:val="00A61231"/>
    <w:rsid w:val="00A666F0"/>
    <w:rsid w:val="00A6714A"/>
    <w:rsid w:val="00A75036"/>
    <w:rsid w:val="00A76DD0"/>
    <w:rsid w:val="00A826DC"/>
    <w:rsid w:val="00A8330A"/>
    <w:rsid w:val="00A901D1"/>
    <w:rsid w:val="00AA1A9A"/>
    <w:rsid w:val="00AA5ECA"/>
    <w:rsid w:val="00AB15A5"/>
    <w:rsid w:val="00AB297D"/>
    <w:rsid w:val="00AB553D"/>
    <w:rsid w:val="00AD14A8"/>
    <w:rsid w:val="00AD184E"/>
    <w:rsid w:val="00AE0E22"/>
    <w:rsid w:val="00AF73D7"/>
    <w:rsid w:val="00AF7E47"/>
    <w:rsid w:val="00B05355"/>
    <w:rsid w:val="00B10878"/>
    <w:rsid w:val="00B113A1"/>
    <w:rsid w:val="00B22DED"/>
    <w:rsid w:val="00B40EEB"/>
    <w:rsid w:val="00B5425C"/>
    <w:rsid w:val="00B62A12"/>
    <w:rsid w:val="00B67738"/>
    <w:rsid w:val="00B714FD"/>
    <w:rsid w:val="00B72136"/>
    <w:rsid w:val="00B84CDD"/>
    <w:rsid w:val="00B85F55"/>
    <w:rsid w:val="00B90238"/>
    <w:rsid w:val="00B91695"/>
    <w:rsid w:val="00B96405"/>
    <w:rsid w:val="00BA60B4"/>
    <w:rsid w:val="00BB5607"/>
    <w:rsid w:val="00BC38D2"/>
    <w:rsid w:val="00BC626A"/>
    <w:rsid w:val="00BD1868"/>
    <w:rsid w:val="00BD2BC8"/>
    <w:rsid w:val="00BE030F"/>
    <w:rsid w:val="00BE359E"/>
    <w:rsid w:val="00BE7618"/>
    <w:rsid w:val="00BF0D97"/>
    <w:rsid w:val="00BF447F"/>
    <w:rsid w:val="00BF74CB"/>
    <w:rsid w:val="00C0111F"/>
    <w:rsid w:val="00C012B2"/>
    <w:rsid w:val="00C02520"/>
    <w:rsid w:val="00C02D3F"/>
    <w:rsid w:val="00C17D5D"/>
    <w:rsid w:val="00C20CF6"/>
    <w:rsid w:val="00C22F27"/>
    <w:rsid w:val="00C26EB7"/>
    <w:rsid w:val="00C27050"/>
    <w:rsid w:val="00C27EBB"/>
    <w:rsid w:val="00C40FBE"/>
    <w:rsid w:val="00C42353"/>
    <w:rsid w:val="00C51EA9"/>
    <w:rsid w:val="00C53B5C"/>
    <w:rsid w:val="00C63548"/>
    <w:rsid w:val="00C70596"/>
    <w:rsid w:val="00C761DC"/>
    <w:rsid w:val="00C80D00"/>
    <w:rsid w:val="00C817C1"/>
    <w:rsid w:val="00C86936"/>
    <w:rsid w:val="00C87AED"/>
    <w:rsid w:val="00C93F10"/>
    <w:rsid w:val="00C97C8C"/>
    <w:rsid w:val="00CA291F"/>
    <w:rsid w:val="00CB1E2F"/>
    <w:rsid w:val="00CB6D35"/>
    <w:rsid w:val="00CC2A85"/>
    <w:rsid w:val="00CD2CD8"/>
    <w:rsid w:val="00CD30B4"/>
    <w:rsid w:val="00CD46AD"/>
    <w:rsid w:val="00CE298E"/>
    <w:rsid w:val="00CF2FF4"/>
    <w:rsid w:val="00CF39F3"/>
    <w:rsid w:val="00CF57D3"/>
    <w:rsid w:val="00CF60F6"/>
    <w:rsid w:val="00D00088"/>
    <w:rsid w:val="00D03B75"/>
    <w:rsid w:val="00D10B58"/>
    <w:rsid w:val="00D13375"/>
    <w:rsid w:val="00D25E43"/>
    <w:rsid w:val="00D34537"/>
    <w:rsid w:val="00D35469"/>
    <w:rsid w:val="00D3605F"/>
    <w:rsid w:val="00D36710"/>
    <w:rsid w:val="00D543C7"/>
    <w:rsid w:val="00D55F95"/>
    <w:rsid w:val="00D6430D"/>
    <w:rsid w:val="00D720C2"/>
    <w:rsid w:val="00D74432"/>
    <w:rsid w:val="00D77E13"/>
    <w:rsid w:val="00D851D8"/>
    <w:rsid w:val="00D9006D"/>
    <w:rsid w:val="00DA4A35"/>
    <w:rsid w:val="00DA4CCD"/>
    <w:rsid w:val="00DC25EC"/>
    <w:rsid w:val="00DD2054"/>
    <w:rsid w:val="00DF4B84"/>
    <w:rsid w:val="00E008E7"/>
    <w:rsid w:val="00E01AF8"/>
    <w:rsid w:val="00E03093"/>
    <w:rsid w:val="00E0526F"/>
    <w:rsid w:val="00E22D17"/>
    <w:rsid w:val="00E407A1"/>
    <w:rsid w:val="00E5286A"/>
    <w:rsid w:val="00E5617D"/>
    <w:rsid w:val="00E63C12"/>
    <w:rsid w:val="00E6460A"/>
    <w:rsid w:val="00E91011"/>
    <w:rsid w:val="00E927AB"/>
    <w:rsid w:val="00E95082"/>
    <w:rsid w:val="00EA37E8"/>
    <w:rsid w:val="00EA4260"/>
    <w:rsid w:val="00EB1AF1"/>
    <w:rsid w:val="00EB3B9C"/>
    <w:rsid w:val="00EB45E3"/>
    <w:rsid w:val="00EB7A11"/>
    <w:rsid w:val="00ED46D7"/>
    <w:rsid w:val="00ED6DA3"/>
    <w:rsid w:val="00EE099B"/>
    <w:rsid w:val="00EE77E0"/>
    <w:rsid w:val="00EF6547"/>
    <w:rsid w:val="00F07CB7"/>
    <w:rsid w:val="00F12705"/>
    <w:rsid w:val="00F23F43"/>
    <w:rsid w:val="00F247DF"/>
    <w:rsid w:val="00F261DD"/>
    <w:rsid w:val="00F35BBC"/>
    <w:rsid w:val="00F6257A"/>
    <w:rsid w:val="00F765F0"/>
    <w:rsid w:val="00F80469"/>
    <w:rsid w:val="00F80DEA"/>
    <w:rsid w:val="00F836D5"/>
    <w:rsid w:val="00F83DBF"/>
    <w:rsid w:val="00FA7570"/>
    <w:rsid w:val="00FB5130"/>
    <w:rsid w:val="00FC0827"/>
    <w:rsid w:val="00FC1290"/>
    <w:rsid w:val="00FC422A"/>
    <w:rsid w:val="00FC4452"/>
    <w:rsid w:val="00FD245D"/>
    <w:rsid w:val="00FE48B5"/>
    <w:rsid w:val="00FF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paragraph" w:customStyle="1" w:styleId="ExcludedfromToC3">
    <w:name w:val="Excluded from ToC 3"/>
    <w:basedOn w:val="Normal"/>
    <w:qFormat/>
    <w:rsid w:val="0036088E"/>
    <w:pPr>
      <w:spacing w:before="180" w:after="180" w:line="276" w:lineRule="auto"/>
      <w:ind w:right="134"/>
    </w:pPr>
    <w:rPr>
      <w:rFonts w:ascii="Source Sans Pro SemiBold" w:hAnsi="Source Sans Pro SemiBold"/>
      <w:color w:val="000000" w:themeColor="text1"/>
      <w:sz w:val="26"/>
      <w:szCs w:val="26"/>
      <w:lang w:val="en-AU"/>
    </w:rPr>
  </w:style>
  <w:style w:type="paragraph" w:customStyle="1" w:styleId="paragraph">
    <w:name w:val="paragraph"/>
    <w:basedOn w:val="Normal"/>
    <w:rsid w:val="007309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309A5"/>
  </w:style>
  <w:style w:type="character" w:customStyle="1" w:styleId="eop">
    <w:name w:val="eop"/>
    <w:basedOn w:val="DefaultParagraphFont"/>
    <w:rsid w:val="007309A5"/>
  </w:style>
  <w:style w:type="paragraph" w:styleId="NormalWeb">
    <w:name w:val="Normal (Web)"/>
    <w:basedOn w:val="Normal"/>
    <w:uiPriority w:val="99"/>
    <w:semiHidden/>
    <w:unhideWhenUsed/>
    <w:rsid w:val="00E910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E91011"/>
    <w:rPr>
      <w:color w:val="605E5C"/>
      <w:shd w:val="clear" w:color="auto" w:fill="E1DFDD"/>
    </w:rPr>
  </w:style>
  <w:style w:type="character" w:styleId="FollowedHyperlink">
    <w:name w:val="FollowedHyperlink"/>
    <w:basedOn w:val="DefaultParagraphFont"/>
    <w:uiPriority w:val="99"/>
    <w:semiHidden/>
    <w:unhideWhenUsed/>
    <w:rsid w:val="000203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248004991">
      <w:bodyDiv w:val="1"/>
      <w:marLeft w:val="0"/>
      <w:marRight w:val="0"/>
      <w:marTop w:val="0"/>
      <w:marBottom w:val="0"/>
      <w:divBdr>
        <w:top w:val="none" w:sz="0" w:space="0" w:color="auto"/>
        <w:left w:val="none" w:sz="0" w:space="0" w:color="auto"/>
        <w:bottom w:val="none" w:sz="0" w:space="0" w:color="auto"/>
        <w:right w:val="none" w:sz="0" w:space="0" w:color="auto"/>
      </w:divBdr>
    </w:div>
    <w:div w:id="1337686533">
      <w:bodyDiv w:val="1"/>
      <w:marLeft w:val="0"/>
      <w:marRight w:val="0"/>
      <w:marTop w:val="0"/>
      <w:marBottom w:val="0"/>
      <w:divBdr>
        <w:top w:val="none" w:sz="0" w:space="0" w:color="auto"/>
        <w:left w:val="none" w:sz="0" w:space="0" w:color="auto"/>
        <w:bottom w:val="none" w:sz="0" w:space="0" w:color="auto"/>
        <w:right w:val="none" w:sz="0" w:space="0" w:color="auto"/>
      </w:divBdr>
      <w:divsChild>
        <w:div w:id="1288589437">
          <w:marLeft w:val="360"/>
          <w:marRight w:val="0"/>
          <w:marTop w:val="200"/>
          <w:marBottom w:val="0"/>
          <w:divBdr>
            <w:top w:val="none" w:sz="0" w:space="0" w:color="auto"/>
            <w:left w:val="none" w:sz="0" w:space="0" w:color="auto"/>
            <w:bottom w:val="none" w:sz="0" w:space="0" w:color="auto"/>
            <w:right w:val="none" w:sz="0" w:space="0" w:color="auto"/>
          </w:divBdr>
        </w:div>
        <w:div w:id="1462846796">
          <w:marLeft w:val="1080"/>
          <w:marRight w:val="0"/>
          <w:marTop w:val="100"/>
          <w:marBottom w:val="0"/>
          <w:divBdr>
            <w:top w:val="none" w:sz="0" w:space="0" w:color="auto"/>
            <w:left w:val="none" w:sz="0" w:space="0" w:color="auto"/>
            <w:bottom w:val="none" w:sz="0" w:space="0" w:color="auto"/>
            <w:right w:val="none" w:sz="0" w:space="0" w:color="auto"/>
          </w:divBdr>
        </w:div>
        <w:div w:id="603656084">
          <w:marLeft w:val="1080"/>
          <w:marRight w:val="0"/>
          <w:marTop w:val="100"/>
          <w:marBottom w:val="0"/>
          <w:divBdr>
            <w:top w:val="none" w:sz="0" w:space="0" w:color="auto"/>
            <w:left w:val="none" w:sz="0" w:space="0" w:color="auto"/>
            <w:bottom w:val="none" w:sz="0" w:space="0" w:color="auto"/>
            <w:right w:val="none" w:sz="0" w:space="0" w:color="auto"/>
          </w:divBdr>
        </w:div>
        <w:div w:id="1014498260">
          <w:marLeft w:val="1080"/>
          <w:marRight w:val="0"/>
          <w:marTop w:val="100"/>
          <w:marBottom w:val="0"/>
          <w:divBdr>
            <w:top w:val="none" w:sz="0" w:space="0" w:color="auto"/>
            <w:left w:val="none" w:sz="0" w:space="0" w:color="auto"/>
            <w:bottom w:val="none" w:sz="0" w:space="0" w:color="auto"/>
            <w:right w:val="none" w:sz="0" w:space="0" w:color="auto"/>
          </w:divBdr>
        </w:div>
        <w:div w:id="2044211082">
          <w:marLeft w:val="1080"/>
          <w:marRight w:val="0"/>
          <w:marTop w:val="100"/>
          <w:marBottom w:val="0"/>
          <w:divBdr>
            <w:top w:val="none" w:sz="0" w:space="0" w:color="auto"/>
            <w:left w:val="none" w:sz="0" w:space="0" w:color="auto"/>
            <w:bottom w:val="none" w:sz="0" w:space="0" w:color="auto"/>
            <w:right w:val="none" w:sz="0" w:space="0" w:color="auto"/>
          </w:divBdr>
        </w:div>
        <w:div w:id="1021779248">
          <w:marLeft w:val="360"/>
          <w:marRight w:val="0"/>
          <w:marTop w:val="200"/>
          <w:marBottom w:val="0"/>
          <w:divBdr>
            <w:top w:val="none" w:sz="0" w:space="0" w:color="auto"/>
            <w:left w:val="none" w:sz="0" w:space="0" w:color="auto"/>
            <w:bottom w:val="none" w:sz="0" w:space="0" w:color="auto"/>
            <w:right w:val="none" w:sz="0" w:space="0" w:color="auto"/>
          </w:divBdr>
        </w:div>
        <w:div w:id="1761639558">
          <w:marLeft w:val="360"/>
          <w:marRight w:val="0"/>
          <w:marTop w:val="200"/>
          <w:marBottom w:val="0"/>
          <w:divBdr>
            <w:top w:val="none" w:sz="0" w:space="0" w:color="auto"/>
            <w:left w:val="none" w:sz="0" w:space="0" w:color="auto"/>
            <w:bottom w:val="none" w:sz="0" w:space="0" w:color="auto"/>
            <w:right w:val="none" w:sz="0" w:space="0" w:color="auto"/>
          </w:divBdr>
        </w:div>
        <w:div w:id="1516504940">
          <w:marLeft w:val="360"/>
          <w:marRight w:val="0"/>
          <w:marTop w:val="200"/>
          <w:marBottom w:val="0"/>
          <w:divBdr>
            <w:top w:val="none" w:sz="0" w:space="0" w:color="auto"/>
            <w:left w:val="none" w:sz="0" w:space="0" w:color="auto"/>
            <w:bottom w:val="none" w:sz="0" w:space="0" w:color="auto"/>
            <w:right w:val="none" w:sz="0" w:space="0" w:color="auto"/>
          </w:divBdr>
        </w:div>
        <w:div w:id="1604917387">
          <w:marLeft w:val="360"/>
          <w:marRight w:val="0"/>
          <w:marTop w:val="200"/>
          <w:marBottom w:val="0"/>
          <w:divBdr>
            <w:top w:val="none" w:sz="0" w:space="0" w:color="auto"/>
            <w:left w:val="none" w:sz="0" w:space="0" w:color="auto"/>
            <w:bottom w:val="none" w:sz="0" w:space="0" w:color="auto"/>
            <w:right w:val="none" w:sz="0" w:space="0" w:color="auto"/>
          </w:divBdr>
        </w:div>
        <w:div w:id="1028677587">
          <w:marLeft w:val="360"/>
          <w:marRight w:val="0"/>
          <w:marTop w:val="200"/>
          <w:marBottom w:val="0"/>
          <w:divBdr>
            <w:top w:val="none" w:sz="0" w:space="0" w:color="auto"/>
            <w:left w:val="none" w:sz="0" w:space="0" w:color="auto"/>
            <w:bottom w:val="none" w:sz="0" w:space="0" w:color="auto"/>
            <w:right w:val="none" w:sz="0" w:space="0" w:color="auto"/>
          </w:divBdr>
        </w:div>
        <w:div w:id="1214579724">
          <w:marLeft w:val="360"/>
          <w:marRight w:val="0"/>
          <w:marTop w:val="200"/>
          <w:marBottom w:val="0"/>
          <w:divBdr>
            <w:top w:val="none" w:sz="0" w:space="0" w:color="auto"/>
            <w:left w:val="none" w:sz="0" w:space="0" w:color="auto"/>
            <w:bottom w:val="none" w:sz="0" w:space="0" w:color="auto"/>
            <w:right w:val="none" w:sz="0" w:space="0" w:color="auto"/>
          </w:divBdr>
        </w:div>
      </w:divsChild>
    </w:div>
    <w:div w:id="1767992441">
      <w:bodyDiv w:val="1"/>
      <w:marLeft w:val="0"/>
      <w:marRight w:val="0"/>
      <w:marTop w:val="0"/>
      <w:marBottom w:val="0"/>
      <w:divBdr>
        <w:top w:val="none" w:sz="0" w:space="0" w:color="auto"/>
        <w:left w:val="none" w:sz="0" w:space="0" w:color="auto"/>
        <w:bottom w:val="none" w:sz="0" w:space="0" w:color="auto"/>
        <w:right w:val="none" w:sz="0" w:space="0" w:color="auto"/>
      </w:divBdr>
      <w:divsChild>
        <w:div w:id="2140150843">
          <w:marLeft w:val="360"/>
          <w:marRight w:val="0"/>
          <w:marTop w:val="200"/>
          <w:marBottom w:val="0"/>
          <w:divBdr>
            <w:top w:val="none" w:sz="0" w:space="0" w:color="auto"/>
            <w:left w:val="none" w:sz="0" w:space="0" w:color="auto"/>
            <w:bottom w:val="none" w:sz="0" w:space="0" w:color="auto"/>
            <w:right w:val="none" w:sz="0" w:space="0" w:color="auto"/>
          </w:divBdr>
        </w:div>
        <w:div w:id="627784455">
          <w:marLeft w:val="360"/>
          <w:marRight w:val="0"/>
          <w:marTop w:val="200"/>
          <w:marBottom w:val="0"/>
          <w:divBdr>
            <w:top w:val="none" w:sz="0" w:space="0" w:color="auto"/>
            <w:left w:val="none" w:sz="0" w:space="0" w:color="auto"/>
            <w:bottom w:val="none" w:sz="0" w:space="0" w:color="auto"/>
            <w:right w:val="none" w:sz="0" w:space="0" w:color="auto"/>
          </w:divBdr>
        </w:div>
        <w:div w:id="1276526269">
          <w:marLeft w:val="360"/>
          <w:marRight w:val="0"/>
          <w:marTop w:val="200"/>
          <w:marBottom w:val="0"/>
          <w:divBdr>
            <w:top w:val="none" w:sz="0" w:space="0" w:color="auto"/>
            <w:left w:val="none" w:sz="0" w:space="0" w:color="auto"/>
            <w:bottom w:val="none" w:sz="0" w:space="0" w:color="auto"/>
            <w:right w:val="none" w:sz="0" w:space="0" w:color="auto"/>
          </w:divBdr>
        </w:div>
      </w:divsChild>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 w:id="1910965108">
      <w:bodyDiv w:val="1"/>
      <w:marLeft w:val="0"/>
      <w:marRight w:val="0"/>
      <w:marTop w:val="0"/>
      <w:marBottom w:val="0"/>
      <w:divBdr>
        <w:top w:val="none" w:sz="0" w:space="0" w:color="auto"/>
        <w:left w:val="none" w:sz="0" w:space="0" w:color="auto"/>
        <w:bottom w:val="none" w:sz="0" w:space="0" w:color="auto"/>
        <w:right w:val="none" w:sz="0" w:space="0" w:color="auto"/>
      </w:divBdr>
      <w:divsChild>
        <w:div w:id="1788740034">
          <w:marLeft w:val="547"/>
          <w:marRight w:val="0"/>
          <w:marTop w:val="0"/>
          <w:marBottom w:val="0"/>
          <w:divBdr>
            <w:top w:val="none" w:sz="0" w:space="0" w:color="auto"/>
            <w:left w:val="none" w:sz="0" w:space="0" w:color="auto"/>
            <w:bottom w:val="none" w:sz="0" w:space="0" w:color="auto"/>
            <w:right w:val="none" w:sz="0" w:space="0" w:color="auto"/>
          </w:divBdr>
        </w:div>
        <w:div w:id="1666857530">
          <w:marLeft w:val="547"/>
          <w:marRight w:val="0"/>
          <w:marTop w:val="0"/>
          <w:marBottom w:val="0"/>
          <w:divBdr>
            <w:top w:val="none" w:sz="0" w:space="0" w:color="auto"/>
            <w:left w:val="none" w:sz="0" w:space="0" w:color="auto"/>
            <w:bottom w:val="none" w:sz="0" w:space="0" w:color="auto"/>
            <w:right w:val="none" w:sz="0" w:space="0" w:color="auto"/>
          </w:divBdr>
        </w:div>
        <w:div w:id="1401824604">
          <w:marLeft w:val="547"/>
          <w:marRight w:val="0"/>
          <w:marTop w:val="0"/>
          <w:marBottom w:val="0"/>
          <w:divBdr>
            <w:top w:val="none" w:sz="0" w:space="0" w:color="auto"/>
            <w:left w:val="none" w:sz="0" w:space="0" w:color="auto"/>
            <w:bottom w:val="none" w:sz="0" w:space="0" w:color="auto"/>
            <w:right w:val="none" w:sz="0" w:space="0" w:color="auto"/>
          </w:divBdr>
        </w:div>
        <w:div w:id="140734194">
          <w:marLeft w:val="547"/>
          <w:marRight w:val="0"/>
          <w:marTop w:val="0"/>
          <w:marBottom w:val="0"/>
          <w:divBdr>
            <w:top w:val="none" w:sz="0" w:space="0" w:color="auto"/>
            <w:left w:val="none" w:sz="0" w:space="0" w:color="auto"/>
            <w:bottom w:val="none" w:sz="0" w:space="0" w:color="auto"/>
            <w:right w:val="none" w:sz="0" w:space="0" w:color="auto"/>
          </w:divBdr>
        </w:div>
        <w:div w:id="873737042">
          <w:marLeft w:val="547"/>
          <w:marRight w:val="0"/>
          <w:marTop w:val="0"/>
          <w:marBottom w:val="0"/>
          <w:divBdr>
            <w:top w:val="none" w:sz="0" w:space="0" w:color="auto"/>
            <w:left w:val="none" w:sz="0" w:space="0" w:color="auto"/>
            <w:bottom w:val="none" w:sz="0" w:space="0" w:color="auto"/>
            <w:right w:val="none" w:sz="0" w:space="0" w:color="auto"/>
          </w:divBdr>
        </w:div>
      </w:divsChild>
    </w:div>
    <w:div w:id="2105374240">
      <w:bodyDiv w:val="1"/>
      <w:marLeft w:val="0"/>
      <w:marRight w:val="0"/>
      <w:marTop w:val="0"/>
      <w:marBottom w:val="0"/>
      <w:divBdr>
        <w:top w:val="none" w:sz="0" w:space="0" w:color="auto"/>
        <w:left w:val="none" w:sz="0" w:space="0" w:color="auto"/>
        <w:bottom w:val="none" w:sz="0" w:space="0" w:color="auto"/>
        <w:right w:val="none" w:sz="0" w:space="0" w:color="auto"/>
      </w:divBdr>
      <w:divsChild>
        <w:div w:id="1735003672">
          <w:marLeft w:val="360"/>
          <w:marRight w:val="0"/>
          <w:marTop w:val="200"/>
          <w:marBottom w:val="0"/>
          <w:divBdr>
            <w:top w:val="none" w:sz="0" w:space="0" w:color="auto"/>
            <w:left w:val="none" w:sz="0" w:space="0" w:color="auto"/>
            <w:bottom w:val="none" w:sz="0" w:space="0" w:color="auto"/>
            <w:right w:val="none" w:sz="0" w:space="0" w:color="auto"/>
          </w:divBdr>
        </w:div>
        <w:div w:id="1704868202">
          <w:marLeft w:val="360"/>
          <w:marRight w:val="0"/>
          <w:marTop w:val="200"/>
          <w:marBottom w:val="0"/>
          <w:divBdr>
            <w:top w:val="none" w:sz="0" w:space="0" w:color="auto"/>
            <w:left w:val="none" w:sz="0" w:space="0" w:color="auto"/>
            <w:bottom w:val="none" w:sz="0" w:space="0" w:color="auto"/>
            <w:right w:val="none" w:sz="0" w:space="0" w:color="auto"/>
          </w:divBdr>
        </w:div>
        <w:div w:id="10087984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classic.austlii.edu.au/au/legis/vic/consol_act/epa2017284/" TargetMode="External"/><Relationship Id="rId13" Type="http://schemas.openxmlformats.org/officeDocument/2006/relationships/hyperlink" Target="https://www.corelogic.com.au/resources/pdf/reports/CoreLogic%20Investor%20Report_June%202016.pdf" TargetMode="External"/><Relationship Id="rId18" Type="http://schemas.openxmlformats.org/officeDocument/2006/relationships/hyperlink" Target="https://www.ahuri.edu.au/sites/default/files/migration/documents/AHURI_Final_Report_No159_The_environmental_sustainability_of_Australias_private_rental_housing_stock.pdf" TargetMode="External"/><Relationship Id="rId3" Type="http://schemas.openxmlformats.org/officeDocument/2006/relationships/hyperlink" Target="https://vcoss.org.au/climate-change-environment/2021/06/feelingtheheat/" TargetMode="External"/><Relationship Id="rId7" Type="http://schemas.openxmlformats.org/officeDocument/2006/relationships/hyperlink" Target="https://www.planning.vic.gov.au/__data/assets/pdf_file/0037/557389/Built-Environment-Climate-Change-Adaptation-Action-Plan-2022-2026.pdf" TargetMode="External"/><Relationship Id="rId12" Type="http://schemas.openxmlformats.org/officeDocument/2006/relationships/hyperlink" Target="https://files.rentingcommissioner.vic.gov.au/2021-11/Renting%20in%20Victoria%20Snapshot%202021.pdf" TargetMode="External"/><Relationship Id="rId17" Type="http://schemas.openxmlformats.org/officeDocument/2006/relationships/hyperlink" Target="https://www.ahuri.edu.au/sites/default/files/migration/documents/AHURI_Final_Report_No159_The_environmental_sustainability_of_Australias_private_rental_housing_stock.pdf" TargetMode="External"/><Relationship Id="rId2" Type="http://schemas.openxmlformats.org/officeDocument/2006/relationships/hyperlink" Target="https://www.malleefamilycare.org.au/getattachment/bd126a6c-0558-4318-8845-ff8e8b984309/Public-Housing-Report.aspx" TargetMode="External"/><Relationship Id="rId16" Type="http://schemas.openxmlformats.org/officeDocument/2006/relationships/hyperlink" Target="https://www.tenants.org.au/news/strata-renters-have-your-say-renewable-energy" TargetMode="External"/><Relationship Id="rId1" Type="http://schemas.openxmlformats.org/officeDocument/2006/relationships/hyperlink" Target="https://www.pc.gov.au/research/ongoing/report-on-government-services/2021/housing-and-homelessness" TargetMode="External"/><Relationship Id="rId6" Type="http://schemas.openxmlformats.org/officeDocument/2006/relationships/hyperlink" Target="http://classic.austlii.edu.au/au/legis/vic/consol_act/cca2017109/" TargetMode="External"/><Relationship Id="rId11" Type="http://schemas.openxmlformats.org/officeDocument/2006/relationships/hyperlink" Target="https://www.solar.vic.gov.au/solar-rebates-rental-properties" TargetMode="External"/><Relationship Id="rId5" Type="http://schemas.openxmlformats.org/officeDocument/2006/relationships/hyperlink" Target="https://consumeraction.org.au/bushfire-royal-commission/" TargetMode="External"/><Relationship Id="rId15" Type="http://schemas.openxmlformats.org/officeDocument/2006/relationships/hyperlink" Target="https://www.corelogic.com.au/resources/pdf/reports/CoreLogic%20Investor%20Report_June%202016.pdf" TargetMode="External"/><Relationship Id="rId10" Type="http://schemas.openxmlformats.org/officeDocument/2006/relationships/hyperlink" Target="https://eliteagent.com/greens-call-for-air-conditioning-in-victorian-rental-properties/" TargetMode="External"/><Relationship Id="rId4" Type="http://schemas.openxmlformats.org/officeDocument/2006/relationships/hyperlink" Target="https://www.malleefamilycare.org.au/getattachment/bd126a6c-0558-4318-8845-ff8e8b984309/Public-Housing-Report.aspx" TargetMode="External"/><Relationship Id="rId9" Type="http://schemas.openxmlformats.org/officeDocument/2006/relationships/hyperlink" Target="http://www5.austlii.edu.au/au/legis/vic/consol_act/rta1997207/" TargetMode="External"/><Relationship Id="rId14" Type="http://schemas.openxmlformats.org/officeDocument/2006/relationships/hyperlink" Target="https://www.corelogic.com.au/resources/pdf/reports/CoreLogic%20Investor%20Report_June%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2b135-6138-40c2-9a98-fe92b2081f2f">
      <Terms xmlns="http://schemas.microsoft.com/office/infopath/2007/PartnerControls"/>
    </lcf76f155ced4ddcb4097134ff3c332f>
    <TaxCatchAll xmlns="d2dc0eb8-0a41-4d18-a5ca-caf86d0c71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2B4F276D97B8459AEAED1F6C9E4C9C" ma:contentTypeVersion="16" ma:contentTypeDescription="Create a new document." ma:contentTypeScope="" ma:versionID="d87f089dd7eb9ca3b5637c95dfbe841d">
  <xsd:schema xmlns:xsd="http://www.w3.org/2001/XMLSchema" xmlns:xs="http://www.w3.org/2001/XMLSchema" xmlns:p="http://schemas.microsoft.com/office/2006/metadata/properties" xmlns:ns2="d2dc0eb8-0a41-4d18-a5ca-caf86d0c71f4" xmlns:ns3="7312b135-6138-40c2-9a98-fe92b2081f2f" targetNamespace="http://schemas.microsoft.com/office/2006/metadata/properties" ma:root="true" ma:fieldsID="2d2b710362b4a2605a6513a0089e84ba" ns2:_="" ns3:_="">
    <xsd:import namespace="d2dc0eb8-0a41-4d18-a5ca-caf86d0c71f4"/>
    <xsd:import namespace="7312b135-6138-40c2-9a98-fe92b2081f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c0eb8-0a41-4d18-a5ca-caf86d0c71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495d55-3900-4e63-8815-fa5715e76c92}" ma:internalName="TaxCatchAll" ma:showField="CatchAllData" ma:web="d2dc0eb8-0a41-4d18-a5ca-caf86d0c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2b135-6138-40c2-9a98-fe92b2081f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c1f8a8-dead-44a1-a2ca-5d99ce2877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29526-9A77-4ED3-90EB-7E37EFBCBCC5}">
  <ds:schemaRefs>
    <ds:schemaRef ds:uri="http://schemas.microsoft.com/office/2006/metadata/properties"/>
    <ds:schemaRef ds:uri="http://schemas.microsoft.com/office/infopath/2007/PartnerControls"/>
    <ds:schemaRef ds:uri="7312b135-6138-40c2-9a98-fe92b2081f2f"/>
    <ds:schemaRef ds:uri="d2dc0eb8-0a41-4d18-a5ca-caf86d0c71f4"/>
  </ds:schemaRefs>
</ds:datastoreItem>
</file>

<file path=customXml/itemProps2.xml><?xml version="1.0" encoding="utf-8"?>
<ds:datastoreItem xmlns:ds="http://schemas.openxmlformats.org/officeDocument/2006/customXml" ds:itemID="{A2CFFFD2-313B-4150-8E0B-D6E3C7BADC01}">
  <ds:schemaRefs>
    <ds:schemaRef ds:uri="http://schemas.openxmlformats.org/officeDocument/2006/bibliography"/>
  </ds:schemaRefs>
</ds:datastoreItem>
</file>

<file path=customXml/itemProps3.xml><?xml version="1.0" encoding="utf-8"?>
<ds:datastoreItem xmlns:ds="http://schemas.openxmlformats.org/officeDocument/2006/customXml" ds:itemID="{FA5CE23C-318B-4BB9-B180-F5675D740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c0eb8-0a41-4d18-a5ca-caf86d0c71f4"/>
    <ds:schemaRef ds:uri="7312b135-6138-40c2-9a98-fe92b2081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34A76-765F-4E3C-AF96-AF37C2628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3</cp:revision>
  <cp:lastPrinted>2022-04-07T10:53:00Z</cp:lastPrinted>
  <dcterms:created xsi:type="dcterms:W3CDTF">2022-09-22T17:09:00Z</dcterms:created>
  <dcterms:modified xsi:type="dcterms:W3CDTF">2022-10-14T09:12:00Z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0x010100282B4F276D97B8459AEAED1F6C9E4C9C</vt:lpwstr>
  </property>
</Properties>
</file>