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59" w:rsidRDefault="00CE3859" w:rsidP="00793A45">
      <w:pPr>
        <w:tabs>
          <w:tab w:val="right" w:pos="9000"/>
        </w:tabs>
        <w:spacing w:line="240" w:lineRule="auto"/>
        <w:ind w:left="5760"/>
        <w:jc w:val="right"/>
        <w:rPr>
          <w:rFonts w:cs="Arial"/>
          <w:lang w:val="fr-CH"/>
        </w:rPr>
      </w:pPr>
    </w:p>
    <w:p w:rsidR="00CE3859" w:rsidRDefault="00CE3859" w:rsidP="00793A45">
      <w:pPr>
        <w:tabs>
          <w:tab w:val="right" w:pos="9000"/>
        </w:tabs>
        <w:spacing w:line="240" w:lineRule="auto"/>
        <w:ind w:left="5760"/>
        <w:jc w:val="right"/>
        <w:rPr>
          <w:rFonts w:cs="Arial"/>
          <w:lang w:val="fr-CH"/>
        </w:rPr>
      </w:pPr>
    </w:p>
    <w:p w:rsidR="0034295D" w:rsidRPr="00CE3859" w:rsidRDefault="0034295D" w:rsidP="00793A45">
      <w:pPr>
        <w:tabs>
          <w:tab w:val="right" w:pos="9000"/>
        </w:tabs>
        <w:spacing w:line="240" w:lineRule="auto"/>
        <w:ind w:left="5760"/>
        <w:jc w:val="right"/>
        <w:rPr>
          <w:rFonts w:cs="Arial"/>
          <w:lang w:val="fr-CH"/>
        </w:rPr>
      </w:pPr>
      <w:r w:rsidRPr="00CE3859">
        <w:rPr>
          <w:rFonts w:cs="Arial"/>
          <w:lang w:val="fr-CH"/>
        </w:rPr>
        <w:t xml:space="preserve">Berne, le </w:t>
      </w:r>
      <w:r w:rsidR="00EA7D33">
        <w:rPr>
          <w:rFonts w:cs="Arial"/>
          <w:lang w:val="fr-CH"/>
        </w:rPr>
        <w:t>7</w:t>
      </w:r>
      <w:r w:rsidRPr="00CE3859">
        <w:rPr>
          <w:rFonts w:cs="Arial"/>
          <w:lang w:val="fr-CH"/>
        </w:rPr>
        <w:t xml:space="preserve"> </w:t>
      </w:r>
      <w:r w:rsidR="008C0D7D">
        <w:rPr>
          <w:rFonts w:cs="Arial"/>
          <w:lang w:val="fr-CH"/>
        </w:rPr>
        <w:t>septembre</w:t>
      </w:r>
      <w:r w:rsidRPr="00CE3859">
        <w:rPr>
          <w:rFonts w:cs="Arial"/>
          <w:lang w:val="fr-CH"/>
        </w:rPr>
        <w:t xml:space="preserve"> 2022</w:t>
      </w:r>
    </w:p>
    <w:p w:rsidR="0034295D" w:rsidRPr="00CE3859" w:rsidRDefault="0034295D" w:rsidP="00D54DEB">
      <w:pPr>
        <w:tabs>
          <w:tab w:val="right" w:pos="9000"/>
        </w:tabs>
        <w:spacing w:line="240" w:lineRule="auto"/>
        <w:jc w:val="both"/>
        <w:rPr>
          <w:rFonts w:cs="Arial"/>
          <w:lang w:val="fr-CH"/>
        </w:rPr>
      </w:pPr>
      <w:bookmarkStart w:id="0" w:name="_GoBack"/>
      <w:bookmarkEnd w:id="0"/>
    </w:p>
    <w:p w:rsidR="0034295D" w:rsidRPr="001052BC" w:rsidRDefault="00AA70CD" w:rsidP="00D54DEB">
      <w:pPr>
        <w:autoSpaceDE w:val="0"/>
        <w:autoSpaceDN w:val="0"/>
        <w:adjustRightInd w:val="0"/>
        <w:spacing w:line="240" w:lineRule="auto"/>
        <w:jc w:val="both"/>
        <w:rPr>
          <w:rFonts w:eastAsiaTheme="minorHAnsi" w:cs="Arial"/>
          <w:b/>
          <w:lang w:val="fr-CH" w:eastAsia="en-US"/>
        </w:rPr>
      </w:pPr>
      <w:r w:rsidRPr="001052BC">
        <w:rPr>
          <w:rFonts w:eastAsiaTheme="minorHAnsi" w:cs="Arial"/>
          <w:b/>
          <w:lang w:val="fr-CH" w:eastAsia="en-US"/>
        </w:rPr>
        <w:t>Réponse</w:t>
      </w:r>
      <w:r w:rsidR="00CE3859" w:rsidRPr="001052BC">
        <w:rPr>
          <w:rFonts w:eastAsiaTheme="minorHAnsi" w:cs="Arial"/>
          <w:b/>
          <w:lang w:val="fr-CH" w:eastAsia="en-US"/>
        </w:rPr>
        <w:t>s</w:t>
      </w:r>
      <w:r w:rsidRPr="001052BC">
        <w:rPr>
          <w:rFonts w:eastAsiaTheme="minorHAnsi" w:cs="Arial"/>
          <w:b/>
          <w:lang w:val="fr-CH" w:eastAsia="en-US"/>
        </w:rPr>
        <w:t xml:space="preserve"> de la Suisse à l’appel à contribution</w:t>
      </w:r>
      <w:r w:rsidR="004554D6" w:rsidRPr="001052BC">
        <w:rPr>
          <w:rFonts w:eastAsiaTheme="minorHAnsi" w:cs="Arial"/>
          <w:b/>
          <w:lang w:val="fr-CH" w:eastAsia="en-US"/>
        </w:rPr>
        <w:t>s</w:t>
      </w:r>
      <w:r w:rsidRPr="001052BC">
        <w:rPr>
          <w:rFonts w:eastAsiaTheme="minorHAnsi" w:cs="Arial"/>
          <w:b/>
          <w:lang w:val="fr-CH" w:eastAsia="en-US"/>
        </w:rPr>
        <w:t xml:space="preserve"> </w:t>
      </w:r>
      <w:r w:rsidR="00D54DEB" w:rsidRPr="001052BC">
        <w:rPr>
          <w:rFonts w:eastAsiaTheme="minorHAnsi" w:cs="Arial"/>
          <w:b/>
          <w:lang w:val="fr-CH" w:eastAsia="en-US"/>
        </w:rPr>
        <w:t xml:space="preserve">du Rapporteur spécial </w:t>
      </w:r>
      <w:r w:rsidR="00EA7D33" w:rsidRPr="001052BC">
        <w:rPr>
          <w:rFonts w:eastAsiaTheme="minorHAnsi" w:cs="Arial"/>
          <w:b/>
          <w:lang w:val="fr-CH" w:eastAsia="en-US"/>
        </w:rPr>
        <w:t xml:space="preserve">sur le logement convenable en tant qu’élément du droit à un niveau de vie suffisant, ainsi que sur le droit à la non-discrimination à cet égard </w:t>
      </w:r>
      <w:r w:rsidR="00EA7D33" w:rsidRPr="00E64E87">
        <w:rPr>
          <w:rFonts w:eastAsiaTheme="minorHAnsi" w:cs="Arial"/>
          <w:lang w:val="fr-CH" w:eastAsia="en-US"/>
        </w:rPr>
        <w:t>–</w:t>
      </w:r>
      <w:r w:rsidR="00EA7D33" w:rsidRPr="001052BC">
        <w:rPr>
          <w:rFonts w:eastAsiaTheme="minorHAnsi" w:cs="Arial"/>
          <w:b/>
          <w:lang w:val="fr-CH" w:eastAsia="en-US"/>
        </w:rPr>
        <w:t xml:space="preserve"> « Le droit à un logement</w:t>
      </w:r>
      <w:r w:rsidR="007E7932" w:rsidRPr="001052BC">
        <w:rPr>
          <w:rFonts w:eastAsiaTheme="minorHAnsi" w:cs="Arial"/>
          <w:b/>
          <w:lang w:val="fr-CH" w:eastAsia="en-US"/>
        </w:rPr>
        <w:t xml:space="preserve"> adéquat et le changement climatique »</w:t>
      </w:r>
    </w:p>
    <w:p w:rsidR="0034295D" w:rsidRPr="00CE3859" w:rsidRDefault="0034295D" w:rsidP="00793A45">
      <w:pPr>
        <w:pBdr>
          <w:bottom w:val="single" w:sz="4" w:space="0" w:color="auto"/>
        </w:pBdr>
        <w:spacing w:line="240" w:lineRule="auto"/>
        <w:jc w:val="both"/>
        <w:rPr>
          <w:rFonts w:cs="Arial"/>
          <w:b/>
          <w:bCs/>
          <w:color w:val="000000" w:themeColor="text1"/>
          <w:lang w:val="fr-CH"/>
        </w:rPr>
      </w:pPr>
    </w:p>
    <w:p w:rsidR="00493491" w:rsidRDefault="00493491" w:rsidP="00793A45">
      <w:pPr>
        <w:spacing w:line="240" w:lineRule="auto"/>
        <w:jc w:val="both"/>
        <w:rPr>
          <w:rFonts w:cs="Arial"/>
          <w:b/>
          <w:lang w:val="fr-CH"/>
        </w:rPr>
      </w:pPr>
    </w:p>
    <w:p w:rsidR="00940EF4" w:rsidRPr="00A932FE" w:rsidRDefault="00940EF4" w:rsidP="00940EF4">
      <w:pPr>
        <w:spacing w:after="160" w:line="259" w:lineRule="auto"/>
        <w:rPr>
          <w:rFonts w:eastAsia="Arial"/>
          <w:b/>
          <w:i/>
          <w:lang w:val="fr-CH"/>
        </w:rPr>
      </w:pPr>
      <w:r w:rsidRPr="00940EF4">
        <w:rPr>
          <w:rFonts w:eastAsia="Arial"/>
          <w:b/>
          <w:i/>
          <w:lang w:val="fr-CH"/>
        </w:rPr>
        <w:t>Impact du logement sur le changement climatique</w:t>
      </w:r>
    </w:p>
    <w:p w:rsidR="00940EF4" w:rsidRPr="00940EF4" w:rsidRDefault="00940EF4" w:rsidP="00940EF4">
      <w:pPr>
        <w:pStyle w:val="ListParagraph"/>
        <w:numPr>
          <w:ilvl w:val="0"/>
          <w:numId w:val="26"/>
        </w:numPr>
        <w:spacing w:after="160" w:line="259" w:lineRule="auto"/>
        <w:jc w:val="both"/>
        <w:rPr>
          <w:b/>
          <w:lang w:val="fr-CH"/>
        </w:rPr>
      </w:pPr>
      <w:r w:rsidRPr="00940EF4">
        <w:rPr>
          <w:rFonts w:eastAsia="Arial"/>
          <w:b/>
          <w:lang w:val="fr-CH"/>
        </w:rPr>
        <w:t xml:space="preserve">Comment le secteur du logement dans les zones rurales et urbaines contribue-t-il au changement climatique? </w:t>
      </w:r>
    </w:p>
    <w:p w:rsidR="00940EF4" w:rsidRPr="00940EF4" w:rsidRDefault="00940EF4" w:rsidP="00940EF4">
      <w:pPr>
        <w:jc w:val="both"/>
        <w:rPr>
          <w:lang w:val="fr-CH"/>
        </w:rPr>
      </w:pPr>
      <w:r w:rsidRPr="00940EF4">
        <w:rPr>
          <w:rFonts w:eastAsia="Arial"/>
          <w:lang w:val="fr-CH"/>
        </w:rPr>
        <w:t>En 2021, l'énergie consommée par les ménages suisses a représenté 30,3 % de la consommation énergétique totale de la Suisse</w:t>
      </w:r>
      <w:r w:rsidRPr="00AC58E1">
        <w:rPr>
          <w:rStyle w:val="FootnoteReference"/>
          <w:rFonts w:eastAsia="Arial"/>
        </w:rPr>
        <w:footnoteReference w:id="1"/>
      </w:r>
      <w:r w:rsidRPr="00940EF4">
        <w:rPr>
          <w:rFonts w:eastAsia="Arial"/>
          <w:lang w:val="fr-CH"/>
        </w:rPr>
        <w:t xml:space="preserve"> et une part de 64 % était consacrée au chauffage des logements. Même si les énergies renouvelables ne couvrent qu’à peine 30 % des besoins énergétiques du chauffage domestique, elles progressent cependant dans ce domaine, puisqu’en 2000 leur part dans le chauffage domestique atteignait à peine 17 %.</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 xml:space="preserve">Le passage aux sources de chaleur renouvelables est subventionné par l’État dans le cadre du Programme Bâtiments. De 2000 à 2020, l’utilisation de la chaleur ambiante pour le chauffage a presque quintuplé (+381 %). L’électricité nécessaire au fonctionnement des pompes à chaleur électriques ne provient toutefois que partiellement (à raison de 60 %) de sources renouvelables. </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 xml:space="preserve">Le Programme Bâtiments encourage en outre une meilleure isolation des bâtiments, ce qui permettra de réduire à l’avenir la consommation d’énergie pour le chauffage. Au total, la consommation d’énergie destinée au chauffage a baissé de près de 18 % de 2000 à 2020. </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 xml:space="preserve">La climatisation est encore relativement rare en Suisse dans le secteur résidentiel, de sorte qu’elle ne joue qu’un rôle secondaire, même en termes de consommation d’énergie (moins de 2 % de la consommation des ménages, contre 64 % pour le chauffage des locaux). Cette situation évoluera probablement sous l’effet du changement climatique. Toutefois, le développement prévu de l’énergie solaire (il est projeté de passer de 3 TWh aujourd’hui à 34 TWh en 2050) permettra de disposer de suffisamment d’énergie renouvelable pour la climatisation lors de chaudes journées estivales. </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 xml:space="preserve">Pour la cuisine et l’éclairage, </w:t>
      </w:r>
      <w:r w:rsidR="000418DE">
        <w:rPr>
          <w:rFonts w:eastAsia="Arial"/>
          <w:lang w:val="fr-CH"/>
        </w:rPr>
        <w:t>le</w:t>
      </w:r>
      <w:r w:rsidRPr="00940EF4">
        <w:rPr>
          <w:rFonts w:eastAsia="Arial"/>
          <w:lang w:val="fr-CH"/>
        </w:rPr>
        <w:t xml:space="preserve"> besoin </w:t>
      </w:r>
      <w:r w:rsidR="000418DE">
        <w:rPr>
          <w:rFonts w:eastAsia="Arial"/>
          <w:lang w:val="fr-CH"/>
        </w:rPr>
        <w:t xml:space="preserve">est surtout en </w:t>
      </w:r>
      <w:r w:rsidRPr="00940EF4">
        <w:rPr>
          <w:rFonts w:eastAsia="Arial"/>
          <w:lang w:val="fr-CH"/>
        </w:rPr>
        <w:t>électricité</w:t>
      </w:r>
      <w:r w:rsidR="000418DE">
        <w:rPr>
          <w:rFonts w:eastAsia="Arial"/>
          <w:lang w:val="fr-CH"/>
        </w:rPr>
        <w:t>,</w:t>
      </w:r>
      <w:r w:rsidRPr="00940EF4">
        <w:rPr>
          <w:rFonts w:eastAsia="Arial"/>
          <w:lang w:val="fr-CH"/>
        </w:rPr>
        <w:t xml:space="preserve"> </w:t>
      </w:r>
      <w:r w:rsidR="000418DE">
        <w:rPr>
          <w:rFonts w:eastAsia="Arial"/>
          <w:lang w:val="fr-CH"/>
        </w:rPr>
        <w:t>laquelle</w:t>
      </w:r>
      <w:r w:rsidRPr="00940EF4">
        <w:rPr>
          <w:rFonts w:eastAsia="Arial"/>
          <w:lang w:val="fr-CH"/>
        </w:rPr>
        <w:t>, en Suisse, provient à raison d’environ 76 % de sources renouvelables et d’environ 20 % de l’énergie nucléaire et n’a donc qu’un faible impact climatique.</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Les améliorations susmentionnées en matière de consommation d’énergie destinée au chauffage sont en partie compensées par l’augmentation tendancielle de la surface habitable par personne, due principalement à l’augmentation du nombre de petits ménages. Alors que la surface habitable par habitant était encore de 34 m</w:t>
      </w:r>
      <w:r w:rsidRPr="00940EF4">
        <w:rPr>
          <w:rFonts w:eastAsia="Arial"/>
          <w:vertAlign w:val="superscript"/>
          <w:lang w:val="fr-CH"/>
        </w:rPr>
        <w:t>2</w:t>
      </w:r>
      <w:r w:rsidRPr="00940EF4">
        <w:rPr>
          <w:rFonts w:eastAsia="Arial"/>
          <w:lang w:val="fr-CH"/>
        </w:rPr>
        <w:t xml:space="preserve"> par personne en 1980, ce chiffre atteignait déjà 46 m</w:t>
      </w:r>
      <w:r w:rsidRPr="00940EF4">
        <w:rPr>
          <w:rFonts w:eastAsia="Arial"/>
          <w:vertAlign w:val="superscript"/>
          <w:lang w:val="fr-CH"/>
        </w:rPr>
        <w:t>2</w:t>
      </w:r>
      <w:r w:rsidRPr="00940EF4">
        <w:rPr>
          <w:rFonts w:eastAsia="Arial"/>
          <w:lang w:val="fr-CH"/>
        </w:rPr>
        <w:t xml:space="preserve"> en 2019. </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 xml:space="preserve">Mais la surface habitable par personne n’est pas seule à progresser, le nombre d’habitants s’accroît également en Suisse. La population a ainsi augmenté de 28 % en 30 ans, entre 1990 et 2020. L’Office fédéral de la statistique prévoit que le nombre de ménages privés progressera de 3,8 millions en 2020 à 4,7 millions en 2050 (tandis que la population passera de 8,7 millions à 10,4 millions d’habitants). La construction de nouveaux logements n’est donc pas près de s’interrompre. Cela entraînera des </w:t>
      </w:r>
      <w:r w:rsidRPr="00940EF4">
        <w:rPr>
          <w:rFonts w:eastAsia="Arial"/>
          <w:lang w:val="fr-CH"/>
        </w:rPr>
        <w:lastRenderedPageBreak/>
        <w:t xml:space="preserve">émissions de gaz à effet de serre dues aux activités de construction, notamment à la production de matériaux de construction, et au fonctionnement des bâtiments. Les rénovations énergétiques continueront elles aussi à nécessiter des matériaux dont la production est très énergivore, générant ainsi d’importantes émissions de gaz à effet de serre. </w:t>
      </w:r>
    </w:p>
    <w:p w:rsidR="00940EF4" w:rsidRPr="00940EF4" w:rsidRDefault="00940EF4" w:rsidP="00940EF4">
      <w:pPr>
        <w:jc w:val="both"/>
        <w:rPr>
          <w:lang w:val="fr-CH"/>
        </w:rPr>
      </w:pPr>
    </w:p>
    <w:p w:rsidR="00940EF4" w:rsidRPr="00940EF4" w:rsidRDefault="00940EF4" w:rsidP="00940EF4">
      <w:pPr>
        <w:jc w:val="both"/>
        <w:rPr>
          <w:rFonts w:eastAsia="Arial"/>
          <w:lang w:val="fr-CH"/>
        </w:rPr>
      </w:pPr>
      <w:r w:rsidRPr="00940EF4">
        <w:rPr>
          <w:rFonts w:eastAsia="Arial"/>
          <w:lang w:val="fr-CH"/>
        </w:rPr>
        <w:t xml:space="preserve">En revanche, l’accroissement des activités de construction n'entraînera pas de déforestations, puisque le défrichage des forêts est interdit par la loi depuis 1991. En conséquence, les nouveaux projets qui ne s’inscrivent pas dans la densification souhaitée des zones déjà bâties seront réalisés sur des terres cultivables. </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 xml:space="preserve">La Confédération s’efforce de canaliser l’accroissement des activités de construction dans les territoires urbanisés existants. Depuis sa révision en 2014, la loi sur l’aménagement du territoire prévoit de nouvelles mesures contre le mitage. Toutefois, le nombre de bâtiments en dehors des zones à bâtir continue d’augmenter. </w:t>
      </w:r>
    </w:p>
    <w:p w:rsidR="00940EF4" w:rsidRPr="00940EF4" w:rsidRDefault="00940EF4" w:rsidP="00940EF4">
      <w:pPr>
        <w:jc w:val="both"/>
        <w:rPr>
          <w:lang w:val="fr-CH"/>
        </w:rPr>
      </w:pPr>
    </w:p>
    <w:p w:rsidR="00940EF4" w:rsidRPr="00940EF4" w:rsidRDefault="00940EF4" w:rsidP="00940EF4">
      <w:pPr>
        <w:jc w:val="both"/>
        <w:rPr>
          <w:rFonts w:eastAsia="Arial"/>
          <w:lang w:val="fr-CH"/>
        </w:rPr>
      </w:pPr>
      <w:r w:rsidRPr="00940EF4">
        <w:rPr>
          <w:rFonts w:eastAsia="Arial"/>
          <w:lang w:val="fr-CH"/>
        </w:rPr>
        <w:t xml:space="preserve">L’attention accrue portée au logement par suite de la pandémie de COVID-19 et les facilités de télétravail pourraient inciter une part plus importante de la population à s’installer dans les régions périphériques moins chères. Ce phénomène peut aussi entraîner davantage de mouvements pendulaires néfastes pour le climat, même si cela semble à première vue contre-intuitif. </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En règle générale, on peut dire qu’habiter à la campagne est plus nocif pour le climat que vivre en ville. Les trajets sont plus longs et plus souvent effectués en voiture, et la consommation moyenne de surface habitable par personne est plus élevée.</w:t>
      </w:r>
    </w:p>
    <w:p w:rsidR="00940EF4" w:rsidRPr="00940EF4" w:rsidRDefault="00940EF4" w:rsidP="00940EF4">
      <w:pPr>
        <w:jc w:val="both"/>
        <w:rPr>
          <w:b/>
          <w:lang w:val="fr-CH"/>
        </w:rPr>
      </w:pPr>
    </w:p>
    <w:p w:rsidR="00940EF4" w:rsidRPr="00A932FE" w:rsidRDefault="00940EF4" w:rsidP="00940EF4">
      <w:pPr>
        <w:pStyle w:val="ListParagraph"/>
        <w:numPr>
          <w:ilvl w:val="0"/>
          <w:numId w:val="26"/>
        </w:numPr>
        <w:spacing w:line="260" w:lineRule="atLeast"/>
        <w:jc w:val="both"/>
        <w:rPr>
          <w:rFonts w:eastAsia="Arial"/>
          <w:b/>
        </w:rPr>
      </w:pPr>
      <w:r w:rsidRPr="00940EF4">
        <w:rPr>
          <w:rFonts w:eastAsia="Arial"/>
          <w:b/>
          <w:lang w:val="fr-CH"/>
        </w:rPr>
        <w:t xml:space="preserve">Quelles mesures sont mises en œuvre dans les zones rurales et urbaines pour réduire et éliminer les impacts négatifs du secteur du logement sur le climat ? </w:t>
      </w:r>
      <w:proofErr w:type="spellStart"/>
      <w:r w:rsidRPr="00A932FE">
        <w:rPr>
          <w:rFonts w:eastAsia="Arial"/>
          <w:b/>
        </w:rPr>
        <w:t>Quel</w:t>
      </w:r>
      <w:proofErr w:type="spellEnd"/>
      <w:r w:rsidRPr="00A932FE">
        <w:rPr>
          <w:rFonts w:eastAsia="Arial"/>
          <w:b/>
        </w:rPr>
        <w:t xml:space="preserve"> a </w:t>
      </w:r>
      <w:proofErr w:type="spellStart"/>
      <w:r w:rsidRPr="00A932FE">
        <w:rPr>
          <w:rFonts w:eastAsia="Arial"/>
          <w:b/>
        </w:rPr>
        <w:t>été</w:t>
      </w:r>
      <w:proofErr w:type="spellEnd"/>
      <w:r w:rsidRPr="00A932FE">
        <w:rPr>
          <w:rFonts w:eastAsia="Arial"/>
          <w:b/>
        </w:rPr>
        <w:t xml:space="preserve"> le </w:t>
      </w:r>
      <w:proofErr w:type="spellStart"/>
      <w:r w:rsidRPr="00A932FE">
        <w:rPr>
          <w:rFonts w:eastAsia="Arial"/>
          <w:b/>
        </w:rPr>
        <w:t>succès</w:t>
      </w:r>
      <w:proofErr w:type="spellEnd"/>
      <w:r w:rsidRPr="00A932FE">
        <w:rPr>
          <w:rFonts w:eastAsia="Arial"/>
          <w:b/>
        </w:rPr>
        <w:t xml:space="preserve"> de </w:t>
      </w:r>
      <w:proofErr w:type="spellStart"/>
      <w:r w:rsidRPr="00A932FE">
        <w:rPr>
          <w:rFonts w:eastAsia="Arial"/>
          <w:b/>
        </w:rPr>
        <w:t>ces</w:t>
      </w:r>
      <w:proofErr w:type="spellEnd"/>
      <w:r w:rsidRPr="00A932FE">
        <w:rPr>
          <w:rFonts w:eastAsia="Arial"/>
          <w:b/>
        </w:rPr>
        <w:t xml:space="preserve"> </w:t>
      </w:r>
      <w:proofErr w:type="spellStart"/>
      <w:proofErr w:type="gramStart"/>
      <w:r w:rsidRPr="00A932FE">
        <w:rPr>
          <w:rFonts w:eastAsia="Arial"/>
          <w:b/>
        </w:rPr>
        <w:t>programmes</w:t>
      </w:r>
      <w:proofErr w:type="spellEnd"/>
      <w:r w:rsidRPr="00A932FE">
        <w:rPr>
          <w:rFonts w:eastAsia="Arial"/>
          <w:b/>
        </w:rPr>
        <w:t> ?</w:t>
      </w:r>
      <w:proofErr w:type="gramEnd"/>
    </w:p>
    <w:p w:rsidR="00940EF4" w:rsidRPr="00F503F8" w:rsidRDefault="00940EF4" w:rsidP="00940EF4">
      <w:pPr>
        <w:jc w:val="both"/>
        <w:rPr>
          <w:i/>
        </w:rPr>
      </w:pPr>
    </w:p>
    <w:p w:rsidR="00940EF4" w:rsidRPr="00940EF4" w:rsidRDefault="00940EF4" w:rsidP="00940EF4">
      <w:pPr>
        <w:jc w:val="both"/>
        <w:rPr>
          <w:lang w:val="fr-CH"/>
        </w:rPr>
      </w:pPr>
      <w:r w:rsidRPr="00940EF4">
        <w:rPr>
          <w:rFonts w:eastAsia="Arial"/>
          <w:lang w:val="fr-CH"/>
        </w:rPr>
        <w:t xml:space="preserve">Comme mentionné plus haut, c’est le chauffage domestique qui a l’impact climatique le plus important. Le Programme Bâtiments de la Confédération et des cantons intervient à ce niveau. Il soutient financièrement la rénovation de l’enveloppe des bâtiments, le remplacement des systèmes de chauffage par des alternatives respectueuses du climat et les nouvelles constructions énergétiquement efficaces. De 2010 à 2020, 2,3 milliards de francs de subventions ont été versés dans le cadre de ce programme. </w:t>
      </w:r>
    </w:p>
    <w:p w:rsidR="00940EF4" w:rsidRPr="00940EF4" w:rsidRDefault="00940EF4" w:rsidP="00940EF4">
      <w:pPr>
        <w:jc w:val="both"/>
        <w:rPr>
          <w:lang w:val="fr-CH"/>
        </w:rPr>
      </w:pPr>
    </w:p>
    <w:p w:rsidR="00940EF4" w:rsidRPr="00940EF4" w:rsidRDefault="00940EF4" w:rsidP="00940EF4">
      <w:pPr>
        <w:pStyle w:val="ListParagraph"/>
        <w:numPr>
          <w:ilvl w:val="0"/>
          <w:numId w:val="26"/>
        </w:numPr>
        <w:spacing w:line="260" w:lineRule="atLeast"/>
        <w:jc w:val="both"/>
        <w:rPr>
          <w:rFonts w:eastAsia="Arial"/>
          <w:b/>
          <w:lang w:val="fr-CH"/>
        </w:rPr>
      </w:pPr>
      <w:r w:rsidRPr="00940EF4">
        <w:rPr>
          <w:rFonts w:eastAsia="Arial"/>
          <w:b/>
          <w:lang w:val="fr-CH"/>
        </w:rPr>
        <w:t>Quels sont les principaux obstacles à la réduction et à l’’élimination des impacts négatifs du secteur du logement sur le climat ?</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Pour atténuer l’impact climatique du secteur du logement, il existe plusieurs leviers. D’une part, il est possible d’atténuer les effets du chauffage en isolant les bâtiments et en remplaçant les énergies fossiles par d’autres sources d’énergie de chauffage. Cette mesure est déjà encouragée par l’État, mais les progrès sont trop lents malgré les subventions : actuellement, seul un bâtiment sur cent est rénové chaque année. Le manque de pressions politiques et les capacités limitées de l’industrie du bâtiment peuvent constituer un frein.</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En outre, il est difficile d’appliquer de manière conséquente les prescriptions en matière d’aménagement du territoire. En raison des prix élevés de l’immobilier, il y a de fortes pressions politiques en faveur d’un assouplissement de ce cadre juridique.</w:t>
      </w:r>
    </w:p>
    <w:p w:rsidR="00940EF4" w:rsidRPr="00940EF4" w:rsidRDefault="00940EF4" w:rsidP="00940EF4">
      <w:pPr>
        <w:jc w:val="both"/>
        <w:rPr>
          <w:lang w:val="fr-CH"/>
        </w:rPr>
      </w:pPr>
    </w:p>
    <w:p w:rsidR="00940EF4" w:rsidRPr="00940EF4" w:rsidRDefault="00940EF4" w:rsidP="00940EF4">
      <w:pPr>
        <w:jc w:val="both"/>
        <w:rPr>
          <w:lang w:val="fr-CH"/>
        </w:rPr>
      </w:pPr>
      <w:r w:rsidRPr="00940EF4">
        <w:rPr>
          <w:rFonts w:eastAsia="Arial"/>
          <w:lang w:val="fr-CH"/>
        </w:rPr>
        <w:t xml:space="preserve">L’impact environnemental du secteur du logement dépend en grande partie de la surface habitable. L’augmentation de la surface habitable par personne va de pair avec un accroissement de la consommation d’énergie pour le chauffage, la climatisation et l’éclairage, ainsi que de la consommation de sol. Aucun levier politiquement acceptable n’a été trouvé jusqu’ici pour mettre un terme à l’augmentation constante de la surface habitable par personne. </w:t>
      </w:r>
    </w:p>
    <w:p w:rsidR="00A01506" w:rsidRPr="0034295D" w:rsidRDefault="00A01506" w:rsidP="0034295D">
      <w:pPr>
        <w:spacing w:line="240" w:lineRule="auto"/>
        <w:jc w:val="both"/>
        <w:rPr>
          <w:rFonts w:cs="Arial"/>
          <w:lang w:val="fr-CH"/>
        </w:rPr>
      </w:pPr>
    </w:p>
    <w:sectPr w:rsidR="00A01506" w:rsidRPr="0034295D">
      <w:headerReference w:type="default" r:id="rId8"/>
      <w:footerReference w:type="default" r:id="rId9"/>
      <w:headerReference w:type="first" r:id="rId10"/>
      <w:pgSz w:w="11907" w:h="16840" w:code="9"/>
      <w:pgMar w:top="340" w:right="1134" w:bottom="719" w:left="1701" w:header="680" w:footer="2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72" w:rsidRDefault="00D11872">
      <w:pPr>
        <w:spacing w:line="240" w:lineRule="auto"/>
      </w:pPr>
      <w:r>
        <w:separator/>
      </w:r>
    </w:p>
  </w:endnote>
  <w:endnote w:type="continuationSeparator" w:id="0">
    <w:p w:rsidR="00D11872" w:rsidRDefault="00D11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Layout w:type="fixed"/>
      <w:tblLook w:val="01E0" w:firstRow="1" w:lastRow="1" w:firstColumn="1" w:lastColumn="1" w:noHBand="0" w:noVBand="0"/>
    </w:tblPr>
    <w:tblGrid>
      <w:gridCol w:w="9485"/>
      <w:gridCol w:w="409"/>
    </w:tblGrid>
    <w:tr w:rsidR="00A01506">
      <w:trPr>
        <w:cantSplit/>
      </w:trPr>
      <w:tc>
        <w:tcPr>
          <w:tcW w:w="9894" w:type="dxa"/>
          <w:gridSpan w:val="2"/>
          <w:vAlign w:val="bottom"/>
        </w:tcPr>
        <w:p w:rsidR="00A01506" w:rsidRDefault="000E5F81">
          <w:pPr>
            <w:pStyle w:val="Seite"/>
          </w:pPr>
          <w:r>
            <w:fldChar w:fldCharType="begin"/>
          </w:r>
          <w:r>
            <w:instrText xml:space="preserve"> PAGE  </w:instrText>
          </w:r>
          <w:r>
            <w:fldChar w:fldCharType="separate"/>
          </w:r>
          <w:r w:rsidR="008C0D7D">
            <w:rPr>
              <w:noProof/>
            </w:rPr>
            <w:t>2</w:t>
          </w:r>
          <w:r>
            <w:rPr>
              <w:noProof/>
            </w:rPr>
            <w:fldChar w:fldCharType="end"/>
          </w:r>
          <w:r>
            <w:t>/</w:t>
          </w:r>
          <w:r>
            <w:fldChar w:fldCharType="begin"/>
          </w:r>
          <w:r>
            <w:instrText xml:space="preserve"> NUMPAGES  </w:instrText>
          </w:r>
          <w:r>
            <w:fldChar w:fldCharType="separate"/>
          </w:r>
          <w:r w:rsidR="008C0D7D">
            <w:rPr>
              <w:noProof/>
            </w:rPr>
            <w:t>2</w:t>
          </w:r>
          <w:r>
            <w:rPr>
              <w:noProof/>
            </w:rPr>
            <w:fldChar w:fldCharType="end"/>
          </w:r>
        </w:p>
      </w:tc>
    </w:tr>
    <w:tr w:rsidR="00A01506">
      <w:trPr>
        <w:gridAfter w:val="1"/>
        <w:wAfter w:w="409" w:type="dxa"/>
        <w:cantSplit/>
        <w:trHeight w:hRule="exact" w:val="595"/>
      </w:trPr>
      <w:tc>
        <w:tcPr>
          <w:tcW w:w="9485" w:type="dxa"/>
          <w:vAlign w:val="bottom"/>
        </w:tcPr>
        <w:p w:rsidR="00A01506" w:rsidRDefault="00A01506">
          <w:pPr>
            <w:pStyle w:val="Pfad"/>
            <w:rPr>
              <w:sz w:val="15"/>
              <w:szCs w:val="15"/>
            </w:rPr>
          </w:pPr>
        </w:p>
      </w:tc>
    </w:tr>
  </w:tbl>
  <w:p w:rsidR="00A01506" w:rsidRDefault="00A01506">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72" w:rsidRDefault="00D11872">
      <w:pPr>
        <w:spacing w:line="240" w:lineRule="auto"/>
      </w:pPr>
      <w:r>
        <w:separator/>
      </w:r>
    </w:p>
  </w:footnote>
  <w:footnote w:type="continuationSeparator" w:id="0">
    <w:p w:rsidR="00D11872" w:rsidRDefault="00D11872">
      <w:pPr>
        <w:spacing w:line="240" w:lineRule="auto"/>
      </w:pPr>
      <w:r>
        <w:continuationSeparator/>
      </w:r>
    </w:p>
  </w:footnote>
  <w:footnote w:id="1">
    <w:p w:rsidR="00940EF4" w:rsidRPr="000418DE" w:rsidRDefault="00940EF4" w:rsidP="00940EF4">
      <w:pPr>
        <w:pStyle w:val="FootnoteText"/>
        <w:rPr>
          <w:sz w:val="16"/>
          <w:szCs w:val="16"/>
          <w:lang w:val="fr-CH"/>
        </w:rPr>
      </w:pPr>
      <w:r w:rsidRPr="000418DE">
        <w:rPr>
          <w:rStyle w:val="FootnoteReference"/>
          <w:rFonts w:eastAsia="Arial"/>
          <w:sz w:val="16"/>
          <w:szCs w:val="16"/>
        </w:rPr>
        <w:footnoteRef/>
      </w:r>
      <w:r w:rsidRPr="000418DE">
        <w:rPr>
          <w:rFonts w:eastAsia="Arial"/>
          <w:sz w:val="16"/>
          <w:szCs w:val="16"/>
          <w:lang w:val="fr-CH"/>
        </w:rPr>
        <w:t xml:space="preserve"> Pendant la même période, la part des transports était de 31,8 %, celle de l’industrie de 19,3 % et celle des services de 17,3 %. Voir à ce sujet Office fédéral de l’énergie, Statistique globale suisse de l’énergie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A01506">
      <w:trPr>
        <w:cantSplit/>
        <w:trHeight w:hRule="exact" w:val="20"/>
      </w:trPr>
      <w:tc>
        <w:tcPr>
          <w:tcW w:w="4848" w:type="dxa"/>
        </w:tcPr>
        <w:p w:rsidR="00A01506" w:rsidRDefault="00A01506">
          <w:pPr>
            <w:pStyle w:val="Logo"/>
          </w:pPr>
        </w:p>
      </w:tc>
      <w:tc>
        <w:tcPr>
          <w:tcW w:w="4961" w:type="dxa"/>
        </w:tcPr>
        <w:p w:rsidR="00A01506" w:rsidRDefault="00A01506">
          <w:pPr>
            <w:pStyle w:val="Header"/>
          </w:pPr>
        </w:p>
      </w:tc>
    </w:tr>
  </w:tbl>
  <w:p w:rsidR="00A01506" w:rsidRDefault="00A01506">
    <w:pPr>
      <w:pStyle w:val="Header"/>
    </w:pPr>
  </w:p>
  <w:p w:rsidR="00A01506" w:rsidRDefault="00A01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A01506" w:rsidRPr="008C0D7D">
      <w:trPr>
        <w:cantSplit/>
        <w:trHeight w:hRule="exact" w:val="1840"/>
      </w:trPr>
      <w:tc>
        <w:tcPr>
          <w:tcW w:w="4848" w:type="dxa"/>
        </w:tcPr>
        <w:p w:rsidR="00A01506" w:rsidRDefault="000E5F81">
          <w:pPr>
            <w:pStyle w:val="Logo"/>
          </w:pPr>
          <w:r>
            <w:drawing>
              <wp:inline distT="0" distB="0" distL="0" distR="0">
                <wp:extent cx="2009775" cy="876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09775" cy="876300"/>
                        </a:xfrm>
                        <a:prstGeom prst="rect">
                          <a:avLst/>
                        </a:prstGeom>
                        <a:noFill/>
                        <a:ln w="9525">
                          <a:noFill/>
                          <a:miter lim="800000"/>
                          <a:headEnd/>
                          <a:tailEnd/>
                        </a:ln>
                      </pic:spPr>
                    </pic:pic>
                  </a:graphicData>
                </a:graphic>
              </wp:inline>
            </w:drawing>
          </w:r>
        </w:p>
      </w:tc>
      <w:tc>
        <w:tcPr>
          <w:tcW w:w="4961" w:type="dxa"/>
        </w:tcPr>
        <w:p w:rsidR="00A01506" w:rsidRDefault="000E5F81">
          <w:pPr>
            <w:pStyle w:val="KopfDept"/>
            <w:rPr>
              <w:lang w:val="fr-CH"/>
            </w:rPr>
          </w:pPr>
          <w:r>
            <w:rPr>
              <w:lang w:val="fr-FR"/>
            </w:rPr>
            <w:t>Département fédéral des affaires étrangères DFAE</w:t>
          </w:r>
        </w:p>
        <w:p w:rsidR="00CA73AC" w:rsidRPr="00340917" w:rsidRDefault="00CA73AC" w:rsidP="0034295D">
          <w:pPr>
            <w:pStyle w:val="Header"/>
            <w:spacing w:line="200" w:lineRule="exact"/>
            <w:rPr>
              <w:sz w:val="15"/>
              <w:szCs w:val="15"/>
              <w:lang w:val="fr-CH"/>
            </w:rPr>
          </w:pPr>
        </w:p>
      </w:tc>
    </w:tr>
  </w:tbl>
  <w:p w:rsidR="00A01506" w:rsidRDefault="00A01506">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B"/>
      </v:shape>
    </w:pict>
  </w:numPicBullet>
  <w:abstractNum w:abstractNumId="0" w15:restartNumberingAfterBreak="0">
    <w:nsid w:val="02477F72"/>
    <w:multiLevelType w:val="hybridMultilevel"/>
    <w:tmpl w:val="79BA73EA"/>
    <w:lvl w:ilvl="0" w:tplc="3342C8E8">
      <w:start w:val="1"/>
      <w:numFmt w:val="decimal"/>
      <w:lvlText w:val="%1."/>
      <w:lvlJc w:val="left"/>
      <w:pPr>
        <w:ind w:left="9072" w:hanging="360"/>
      </w:pPr>
      <w:rPr>
        <w:b w:val="0"/>
      </w:rPr>
    </w:lvl>
    <w:lvl w:ilvl="1" w:tplc="08070019">
      <w:start w:val="1"/>
      <w:numFmt w:val="lowerLetter"/>
      <w:lvlText w:val="%2."/>
      <w:lvlJc w:val="left"/>
      <w:pPr>
        <w:ind w:left="9792" w:hanging="360"/>
      </w:pPr>
    </w:lvl>
    <w:lvl w:ilvl="2" w:tplc="0807001B">
      <w:start w:val="1"/>
      <w:numFmt w:val="lowerRoman"/>
      <w:lvlText w:val="%3."/>
      <w:lvlJc w:val="right"/>
      <w:pPr>
        <w:ind w:left="10512" w:hanging="180"/>
      </w:pPr>
    </w:lvl>
    <w:lvl w:ilvl="3" w:tplc="0807000F">
      <w:start w:val="1"/>
      <w:numFmt w:val="decimal"/>
      <w:lvlText w:val="%4."/>
      <w:lvlJc w:val="left"/>
      <w:pPr>
        <w:ind w:left="11232" w:hanging="360"/>
      </w:pPr>
    </w:lvl>
    <w:lvl w:ilvl="4" w:tplc="08070019">
      <w:start w:val="1"/>
      <w:numFmt w:val="lowerLetter"/>
      <w:lvlText w:val="%5."/>
      <w:lvlJc w:val="left"/>
      <w:pPr>
        <w:ind w:left="11952" w:hanging="360"/>
      </w:pPr>
    </w:lvl>
    <w:lvl w:ilvl="5" w:tplc="0807001B">
      <w:start w:val="1"/>
      <w:numFmt w:val="lowerRoman"/>
      <w:lvlText w:val="%6."/>
      <w:lvlJc w:val="right"/>
      <w:pPr>
        <w:ind w:left="12672" w:hanging="180"/>
      </w:pPr>
    </w:lvl>
    <w:lvl w:ilvl="6" w:tplc="0807000F">
      <w:start w:val="1"/>
      <w:numFmt w:val="decimal"/>
      <w:lvlText w:val="%7."/>
      <w:lvlJc w:val="left"/>
      <w:pPr>
        <w:ind w:left="13392" w:hanging="360"/>
      </w:pPr>
    </w:lvl>
    <w:lvl w:ilvl="7" w:tplc="08070019">
      <w:start w:val="1"/>
      <w:numFmt w:val="lowerLetter"/>
      <w:lvlText w:val="%8."/>
      <w:lvlJc w:val="left"/>
      <w:pPr>
        <w:ind w:left="14112" w:hanging="360"/>
      </w:pPr>
    </w:lvl>
    <w:lvl w:ilvl="8" w:tplc="0807001B">
      <w:start w:val="1"/>
      <w:numFmt w:val="lowerRoman"/>
      <w:lvlText w:val="%9."/>
      <w:lvlJc w:val="right"/>
      <w:pPr>
        <w:ind w:left="14832" w:hanging="180"/>
      </w:pPr>
    </w:lvl>
  </w:abstractNum>
  <w:abstractNum w:abstractNumId="1" w15:restartNumberingAfterBreak="0">
    <w:nsid w:val="054D0356"/>
    <w:multiLevelType w:val="hybridMultilevel"/>
    <w:tmpl w:val="8AB48A68"/>
    <w:lvl w:ilvl="0" w:tplc="C11E2988">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2019EC"/>
    <w:multiLevelType w:val="hybridMultilevel"/>
    <w:tmpl w:val="7E82C48E"/>
    <w:lvl w:ilvl="0" w:tplc="63A045C6">
      <w:start w:val="11"/>
      <w:numFmt w:val="decimal"/>
      <w:lvlText w:val="%1."/>
      <w:lvlJc w:val="left"/>
      <w:pPr>
        <w:ind w:left="360" w:hanging="360"/>
      </w:pPr>
      <w:rPr>
        <w:rFonts w:hint="default"/>
      </w:rPr>
    </w:lvl>
    <w:lvl w:ilvl="1" w:tplc="08070019" w:tentative="1">
      <w:start w:val="1"/>
      <w:numFmt w:val="lowerLetter"/>
      <w:lvlText w:val="%2."/>
      <w:lvlJc w:val="left"/>
      <w:pPr>
        <w:ind w:left="372" w:hanging="360"/>
      </w:pPr>
    </w:lvl>
    <w:lvl w:ilvl="2" w:tplc="0807001B" w:tentative="1">
      <w:start w:val="1"/>
      <w:numFmt w:val="lowerRoman"/>
      <w:lvlText w:val="%3."/>
      <w:lvlJc w:val="right"/>
      <w:pPr>
        <w:ind w:left="1092" w:hanging="180"/>
      </w:pPr>
    </w:lvl>
    <w:lvl w:ilvl="3" w:tplc="0807000F" w:tentative="1">
      <w:start w:val="1"/>
      <w:numFmt w:val="decimal"/>
      <w:lvlText w:val="%4."/>
      <w:lvlJc w:val="left"/>
      <w:pPr>
        <w:ind w:left="1812" w:hanging="360"/>
      </w:pPr>
    </w:lvl>
    <w:lvl w:ilvl="4" w:tplc="08070019" w:tentative="1">
      <w:start w:val="1"/>
      <w:numFmt w:val="lowerLetter"/>
      <w:lvlText w:val="%5."/>
      <w:lvlJc w:val="left"/>
      <w:pPr>
        <w:ind w:left="2532" w:hanging="360"/>
      </w:pPr>
    </w:lvl>
    <w:lvl w:ilvl="5" w:tplc="0807001B" w:tentative="1">
      <w:start w:val="1"/>
      <w:numFmt w:val="lowerRoman"/>
      <w:lvlText w:val="%6."/>
      <w:lvlJc w:val="right"/>
      <w:pPr>
        <w:ind w:left="3252" w:hanging="180"/>
      </w:pPr>
    </w:lvl>
    <w:lvl w:ilvl="6" w:tplc="0807000F" w:tentative="1">
      <w:start w:val="1"/>
      <w:numFmt w:val="decimal"/>
      <w:lvlText w:val="%7."/>
      <w:lvlJc w:val="left"/>
      <w:pPr>
        <w:ind w:left="3972" w:hanging="360"/>
      </w:pPr>
    </w:lvl>
    <w:lvl w:ilvl="7" w:tplc="08070019" w:tentative="1">
      <w:start w:val="1"/>
      <w:numFmt w:val="lowerLetter"/>
      <w:lvlText w:val="%8."/>
      <w:lvlJc w:val="left"/>
      <w:pPr>
        <w:ind w:left="4692" w:hanging="360"/>
      </w:pPr>
    </w:lvl>
    <w:lvl w:ilvl="8" w:tplc="0807001B" w:tentative="1">
      <w:start w:val="1"/>
      <w:numFmt w:val="lowerRoman"/>
      <w:lvlText w:val="%9."/>
      <w:lvlJc w:val="right"/>
      <w:pPr>
        <w:ind w:left="5412" w:hanging="180"/>
      </w:pPr>
    </w:lvl>
  </w:abstractNum>
  <w:abstractNum w:abstractNumId="3" w15:restartNumberingAfterBreak="0">
    <w:nsid w:val="0A017898"/>
    <w:multiLevelType w:val="hybridMultilevel"/>
    <w:tmpl w:val="65141EB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1548E9"/>
    <w:multiLevelType w:val="hybridMultilevel"/>
    <w:tmpl w:val="A740EA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AA07CC"/>
    <w:multiLevelType w:val="hybridMultilevel"/>
    <w:tmpl w:val="808281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9F90E9F"/>
    <w:multiLevelType w:val="multilevel"/>
    <w:tmpl w:val="61B23DDA"/>
    <w:lvl w:ilvl="0">
      <w:start w:val="1"/>
      <w:numFmt w:val="decimal"/>
      <w:lvlText w:val="%1."/>
      <w:lvlJc w:val="left"/>
      <w:pPr>
        <w:tabs>
          <w:tab w:val="num" w:pos="720"/>
        </w:tabs>
        <w:ind w:left="360" w:hanging="360"/>
      </w:pPr>
    </w:lvl>
    <w:lvl w:ilvl="1">
      <w:start w:val="1"/>
      <w:numFmt w:val="decimal"/>
      <w:pStyle w:val="Heading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7" w15:restartNumberingAfterBreak="0">
    <w:nsid w:val="1B9022BD"/>
    <w:multiLevelType w:val="multilevel"/>
    <w:tmpl w:val="D2269FA6"/>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pStyle w:val="Heading4"/>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8" w15:restartNumberingAfterBreak="0">
    <w:nsid w:val="242B4A25"/>
    <w:multiLevelType w:val="hybridMultilevel"/>
    <w:tmpl w:val="175224F0"/>
    <w:lvl w:ilvl="0" w:tplc="71487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B19FB"/>
    <w:multiLevelType w:val="hybridMultilevel"/>
    <w:tmpl w:val="DA3E1EF4"/>
    <w:lvl w:ilvl="0" w:tplc="6BBCA7BC">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393"/>
        </w:tabs>
        <w:ind w:left="393" w:hanging="360"/>
      </w:pPr>
      <w:rPr>
        <w:rFonts w:ascii="Courier New" w:hAnsi="Courier New" w:cs="Courier New" w:hint="default"/>
      </w:rPr>
    </w:lvl>
    <w:lvl w:ilvl="2" w:tplc="08070005" w:tentative="1">
      <w:start w:val="1"/>
      <w:numFmt w:val="bullet"/>
      <w:lvlText w:val=""/>
      <w:lvlJc w:val="left"/>
      <w:pPr>
        <w:tabs>
          <w:tab w:val="num" w:pos="1113"/>
        </w:tabs>
        <w:ind w:left="1113" w:hanging="360"/>
      </w:pPr>
      <w:rPr>
        <w:rFonts w:ascii="Wingdings" w:hAnsi="Wingdings" w:hint="default"/>
      </w:rPr>
    </w:lvl>
    <w:lvl w:ilvl="3" w:tplc="08070001" w:tentative="1">
      <w:start w:val="1"/>
      <w:numFmt w:val="bullet"/>
      <w:lvlText w:val=""/>
      <w:lvlJc w:val="left"/>
      <w:pPr>
        <w:tabs>
          <w:tab w:val="num" w:pos="1833"/>
        </w:tabs>
        <w:ind w:left="1833" w:hanging="360"/>
      </w:pPr>
      <w:rPr>
        <w:rFonts w:ascii="Symbol" w:hAnsi="Symbol" w:hint="default"/>
      </w:rPr>
    </w:lvl>
    <w:lvl w:ilvl="4" w:tplc="08070003" w:tentative="1">
      <w:start w:val="1"/>
      <w:numFmt w:val="bullet"/>
      <w:lvlText w:val="o"/>
      <w:lvlJc w:val="left"/>
      <w:pPr>
        <w:tabs>
          <w:tab w:val="num" w:pos="2553"/>
        </w:tabs>
        <w:ind w:left="2553" w:hanging="360"/>
      </w:pPr>
      <w:rPr>
        <w:rFonts w:ascii="Courier New" w:hAnsi="Courier New" w:cs="Courier New" w:hint="default"/>
      </w:rPr>
    </w:lvl>
    <w:lvl w:ilvl="5" w:tplc="08070005" w:tentative="1">
      <w:start w:val="1"/>
      <w:numFmt w:val="bullet"/>
      <w:lvlText w:val=""/>
      <w:lvlJc w:val="left"/>
      <w:pPr>
        <w:tabs>
          <w:tab w:val="num" w:pos="3273"/>
        </w:tabs>
        <w:ind w:left="3273" w:hanging="360"/>
      </w:pPr>
      <w:rPr>
        <w:rFonts w:ascii="Wingdings" w:hAnsi="Wingdings" w:hint="default"/>
      </w:rPr>
    </w:lvl>
    <w:lvl w:ilvl="6" w:tplc="08070001" w:tentative="1">
      <w:start w:val="1"/>
      <w:numFmt w:val="bullet"/>
      <w:lvlText w:val=""/>
      <w:lvlJc w:val="left"/>
      <w:pPr>
        <w:tabs>
          <w:tab w:val="num" w:pos="3993"/>
        </w:tabs>
        <w:ind w:left="3993" w:hanging="360"/>
      </w:pPr>
      <w:rPr>
        <w:rFonts w:ascii="Symbol" w:hAnsi="Symbol" w:hint="default"/>
      </w:rPr>
    </w:lvl>
    <w:lvl w:ilvl="7" w:tplc="08070003" w:tentative="1">
      <w:start w:val="1"/>
      <w:numFmt w:val="bullet"/>
      <w:lvlText w:val="o"/>
      <w:lvlJc w:val="left"/>
      <w:pPr>
        <w:tabs>
          <w:tab w:val="num" w:pos="4713"/>
        </w:tabs>
        <w:ind w:left="4713" w:hanging="360"/>
      </w:pPr>
      <w:rPr>
        <w:rFonts w:ascii="Courier New" w:hAnsi="Courier New" w:cs="Courier New" w:hint="default"/>
      </w:rPr>
    </w:lvl>
    <w:lvl w:ilvl="8" w:tplc="08070005" w:tentative="1">
      <w:start w:val="1"/>
      <w:numFmt w:val="bullet"/>
      <w:lvlText w:val=""/>
      <w:lvlJc w:val="left"/>
      <w:pPr>
        <w:tabs>
          <w:tab w:val="num" w:pos="5433"/>
        </w:tabs>
        <w:ind w:left="5433" w:hanging="360"/>
      </w:pPr>
      <w:rPr>
        <w:rFonts w:ascii="Wingdings" w:hAnsi="Wingdings" w:hint="default"/>
      </w:rPr>
    </w:lvl>
  </w:abstractNum>
  <w:abstractNum w:abstractNumId="10" w15:restartNumberingAfterBreak="0">
    <w:nsid w:val="2C5F7145"/>
    <w:multiLevelType w:val="hybridMultilevel"/>
    <w:tmpl w:val="BB7AC19E"/>
    <w:lvl w:ilvl="0" w:tplc="75301C5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37BB8"/>
    <w:multiLevelType w:val="hybridMultilevel"/>
    <w:tmpl w:val="F13641C2"/>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2" w15:restartNumberingAfterBreak="0">
    <w:nsid w:val="338F34E8"/>
    <w:multiLevelType w:val="hybridMultilevel"/>
    <w:tmpl w:val="B914AC9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CE3DD9"/>
    <w:multiLevelType w:val="hybridMultilevel"/>
    <w:tmpl w:val="AB6A792C"/>
    <w:lvl w:ilvl="0" w:tplc="A116428E">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40566"/>
    <w:multiLevelType w:val="hybridMultilevel"/>
    <w:tmpl w:val="44026072"/>
    <w:lvl w:ilvl="0" w:tplc="0807000F">
      <w:start w:val="1"/>
      <w:numFmt w:val="decimal"/>
      <w:lvlText w:val="%1."/>
      <w:lvlJc w:val="left"/>
      <w:pPr>
        <w:ind w:left="1069"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0">
    <w:nsid w:val="3C9A1BCB"/>
    <w:multiLevelType w:val="hybridMultilevel"/>
    <w:tmpl w:val="6A6E9672"/>
    <w:lvl w:ilvl="0" w:tplc="F4F884F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FB50FF8"/>
    <w:multiLevelType w:val="hybridMultilevel"/>
    <w:tmpl w:val="94A400D0"/>
    <w:lvl w:ilvl="0" w:tplc="88ACB0B6">
      <w:start w:val="1"/>
      <w:numFmt w:val="decimal"/>
      <w:lvlText w:val="%1."/>
      <w:lvlJc w:val="left"/>
      <w:pPr>
        <w:ind w:left="720" w:hanging="360"/>
      </w:pPr>
      <w:rPr>
        <w:b w:val="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7" w15:restartNumberingAfterBreak="0">
    <w:nsid w:val="52817229"/>
    <w:multiLevelType w:val="hybridMultilevel"/>
    <w:tmpl w:val="BD8C3A3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8" w15:restartNumberingAfterBreak="0">
    <w:nsid w:val="55CB117A"/>
    <w:multiLevelType w:val="hybridMultilevel"/>
    <w:tmpl w:val="60423004"/>
    <w:lvl w:ilvl="0" w:tplc="0409000F">
      <w:start w:val="1"/>
      <w:numFmt w:val="decimal"/>
      <w:lvlText w:val="%1."/>
      <w:lvlJc w:val="left"/>
      <w:pPr>
        <w:tabs>
          <w:tab w:val="num" w:pos="720"/>
        </w:tabs>
        <w:ind w:left="72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F63120"/>
    <w:multiLevelType w:val="hybridMultilevel"/>
    <w:tmpl w:val="F5E26ABA"/>
    <w:lvl w:ilvl="0" w:tplc="C06A36A6">
      <w:start w:val="1"/>
      <w:numFmt w:val="decimal"/>
      <w:lvlText w:val="%1."/>
      <w:lvlJc w:val="left"/>
      <w:pPr>
        <w:ind w:left="720" w:hanging="360"/>
      </w:pPr>
      <w:rPr>
        <w:b w:val="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0" w15:restartNumberingAfterBreak="0">
    <w:nsid w:val="64F025EA"/>
    <w:multiLevelType w:val="hybridMultilevel"/>
    <w:tmpl w:val="6902FC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0204556"/>
    <w:multiLevelType w:val="multilevel"/>
    <w:tmpl w:val="62665A2C"/>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22" w15:restartNumberingAfterBreak="0">
    <w:nsid w:val="71772C43"/>
    <w:multiLevelType w:val="hybridMultilevel"/>
    <w:tmpl w:val="1C2622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E765C6"/>
    <w:multiLevelType w:val="hybridMultilevel"/>
    <w:tmpl w:val="60423004"/>
    <w:lvl w:ilvl="0" w:tplc="0409000F">
      <w:start w:val="1"/>
      <w:numFmt w:val="decimal"/>
      <w:lvlText w:val="%1."/>
      <w:lvlJc w:val="left"/>
      <w:pPr>
        <w:tabs>
          <w:tab w:val="num" w:pos="360"/>
        </w:tabs>
        <w:ind w:left="360" w:hanging="360"/>
      </w:pPr>
      <w:rPr>
        <w:rFont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5B1E20"/>
    <w:multiLevelType w:val="hybridMultilevel"/>
    <w:tmpl w:val="B4FCC154"/>
    <w:lvl w:ilvl="0" w:tplc="6BBCA7BC">
      <w:numFmt w:val="bullet"/>
      <w:lvlText w:val="-"/>
      <w:lvlJc w:val="left"/>
      <w:pPr>
        <w:tabs>
          <w:tab w:val="num" w:pos="1080"/>
        </w:tabs>
        <w:ind w:left="1080" w:hanging="360"/>
      </w:pPr>
      <w:rPr>
        <w:rFonts w:ascii="Arial" w:eastAsia="Times New Roman" w:hAnsi="Arial" w:cs="Arial" w:hint="default"/>
      </w:rPr>
    </w:lvl>
    <w:lvl w:ilvl="1" w:tplc="08070003" w:tentative="1">
      <w:start w:val="1"/>
      <w:numFmt w:val="bullet"/>
      <w:lvlText w:val="o"/>
      <w:lvlJc w:val="left"/>
      <w:pPr>
        <w:tabs>
          <w:tab w:val="num" w:pos="753"/>
        </w:tabs>
        <w:ind w:left="753" w:hanging="360"/>
      </w:pPr>
      <w:rPr>
        <w:rFonts w:ascii="Courier New" w:hAnsi="Courier New" w:cs="Courier New" w:hint="default"/>
      </w:rPr>
    </w:lvl>
    <w:lvl w:ilvl="2" w:tplc="08070005" w:tentative="1">
      <w:start w:val="1"/>
      <w:numFmt w:val="bullet"/>
      <w:lvlText w:val=""/>
      <w:lvlJc w:val="left"/>
      <w:pPr>
        <w:tabs>
          <w:tab w:val="num" w:pos="1473"/>
        </w:tabs>
        <w:ind w:left="1473" w:hanging="360"/>
      </w:pPr>
      <w:rPr>
        <w:rFonts w:ascii="Wingdings" w:hAnsi="Wingdings" w:hint="default"/>
      </w:rPr>
    </w:lvl>
    <w:lvl w:ilvl="3" w:tplc="08070001" w:tentative="1">
      <w:start w:val="1"/>
      <w:numFmt w:val="bullet"/>
      <w:lvlText w:val=""/>
      <w:lvlJc w:val="left"/>
      <w:pPr>
        <w:tabs>
          <w:tab w:val="num" w:pos="2193"/>
        </w:tabs>
        <w:ind w:left="2193" w:hanging="360"/>
      </w:pPr>
      <w:rPr>
        <w:rFonts w:ascii="Symbol" w:hAnsi="Symbol" w:hint="default"/>
      </w:rPr>
    </w:lvl>
    <w:lvl w:ilvl="4" w:tplc="08070003" w:tentative="1">
      <w:start w:val="1"/>
      <w:numFmt w:val="bullet"/>
      <w:lvlText w:val="o"/>
      <w:lvlJc w:val="left"/>
      <w:pPr>
        <w:tabs>
          <w:tab w:val="num" w:pos="2913"/>
        </w:tabs>
        <w:ind w:left="2913" w:hanging="360"/>
      </w:pPr>
      <w:rPr>
        <w:rFonts w:ascii="Courier New" w:hAnsi="Courier New" w:cs="Courier New" w:hint="default"/>
      </w:rPr>
    </w:lvl>
    <w:lvl w:ilvl="5" w:tplc="08070005" w:tentative="1">
      <w:start w:val="1"/>
      <w:numFmt w:val="bullet"/>
      <w:lvlText w:val=""/>
      <w:lvlJc w:val="left"/>
      <w:pPr>
        <w:tabs>
          <w:tab w:val="num" w:pos="3633"/>
        </w:tabs>
        <w:ind w:left="3633" w:hanging="360"/>
      </w:pPr>
      <w:rPr>
        <w:rFonts w:ascii="Wingdings" w:hAnsi="Wingdings" w:hint="default"/>
      </w:rPr>
    </w:lvl>
    <w:lvl w:ilvl="6" w:tplc="08070001" w:tentative="1">
      <w:start w:val="1"/>
      <w:numFmt w:val="bullet"/>
      <w:lvlText w:val=""/>
      <w:lvlJc w:val="left"/>
      <w:pPr>
        <w:tabs>
          <w:tab w:val="num" w:pos="4353"/>
        </w:tabs>
        <w:ind w:left="4353" w:hanging="360"/>
      </w:pPr>
      <w:rPr>
        <w:rFonts w:ascii="Symbol" w:hAnsi="Symbol" w:hint="default"/>
      </w:rPr>
    </w:lvl>
    <w:lvl w:ilvl="7" w:tplc="08070003" w:tentative="1">
      <w:start w:val="1"/>
      <w:numFmt w:val="bullet"/>
      <w:lvlText w:val="o"/>
      <w:lvlJc w:val="left"/>
      <w:pPr>
        <w:tabs>
          <w:tab w:val="num" w:pos="5073"/>
        </w:tabs>
        <w:ind w:left="5073" w:hanging="360"/>
      </w:pPr>
      <w:rPr>
        <w:rFonts w:ascii="Courier New" w:hAnsi="Courier New" w:cs="Courier New" w:hint="default"/>
      </w:rPr>
    </w:lvl>
    <w:lvl w:ilvl="8" w:tplc="08070005" w:tentative="1">
      <w:start w:val="1"/>
      <w:numFmt w:val="bullet"/>
      <w:lvlText w:val=""/>
      <w:lvlJc w:val="left"/>
      <w:pPr>
        <w:tabs>
          <w:tab w:val="num" w:pos="5793"/>
        </w:tabs>
        <w:ind w:left="5793" w:hanging="360"/>
      </w:pPr>
      <w:rPr>
        <w:rFonts w:ascii="Wingdings" w:hAnsi="Wingdings" w:hint="default"/>
      </w:rPr>
    </w:lvl>
  </w:abstractNum>
  <w:num w:numId="1">
    <w:abstractNumId w:val="1"/>
  </w:num>
  <w:num w:numId="2">
    <w:abstractNumId w:val="6"/>
  </w:num>
  <w:num w:numId="3">
    <w:abstractNumId w:val="21"/>
  </w:num>
  <w:num w:numId="4">
    <w:abstractNumId w:val="7"/>
  </w:num>
  <w:num w:numId="5">
    <w:abstractNumId w:val="13"/>
  </w:num>
  <w:num w:numId="6">
    <w:abstractNumId w:val="18"/>
  </w:num>
  <w:num w:numId="7">
    <w:abstractNumId w:val="24"/>
  </w:num>
  <w:num w:numId="8">
    <w:abstractNumId w:val="9"/>
  </w:num>
  <w:num w:numId="9">
    <w:abstractNumId w:val="10"/>
  </w:num>
  <w:num w:numId="10">
    <w:abstractNumId w:val="23"/>
  </w:num>
  <w:num w:numId="11">
    <w:abstractNumId w:val="22"/>
  </w:num>
  <w:num w:numId="12">
    <w:abstractNumId w:val="8"/>
  </w:num>
  <w:num w:numId="13">
    <w:abstractNumId w:val="4"/>
  </w:num>
  <w:num w:numId="14">
    <w:abstractNumId w:val="20"/>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5"/>
  </w:num>
  <w:num w:numId="23">
    <w:abstractNumId w:val="12"/>
  </w:num>
  <w:num w:numId="24">
    <w:abstractNumId w:val="5"/>
  </w:num>
  <w:num w:numId="25">
    <w:abstractNumId w:val="17"/>
  </w:num>
  <w:num w:numId="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B7"/>
    <w:rsid w:val="00020308"/>
    <w:rsid w:val="000418DE"/>
    <w:rsid w:val="000D6F10"/>
    <w:rsid w:val="000D714D"/>
    <w:rsid w:val="000E5F81"/>
    <w:rsid w:val="001052BC"/>
    <w:rsid w:val="00112D2B"/>
    <w:rsid w:val="001246D1"/>
    <w:rsid w:val="0015091D"/>
    <w:rsid w:val="001513C5"/>
    <w:rsid w:val="001670DC"/>
    <w:rsid w:val="0017025D"/>
    <w:rsid w:val="002052D1"/>
    <w:rsid w:val="00261F4C"/>
    <w:rsid w:val="002758E6"/>
    <w:rsid w:val="00281294"/>
    <w:rsid w:val="00340917"/>
    <w:rsid w:val="0034295D"/>
    <w:rsid w:val="00350E0F"/>
    <w:rsid w:val="003816CF"/>
    <w:rsid w:val="004322C4"/>
    <w:rsid w:val="00434421"/>
    <w:rsid w:val="004554D6"/>
    <w:rsid w:val="00487D09"/>
    <w:rsid w:val="00493491"/>
    <w:rsid w:val="0049684B"/>
    <w:rsid w:val="004D7DAF"/>
    <w:rsid w:val="005203D9"/>
    <w:rsid w:val="005B0408"/>
    <w:rsid w:val="005C3871"/>
    <w:rsid w:val="00635264"/>
    <w:rsid w:val="00642DD3"/>
    <w:rsid w:val="0065074E"/>
    <w:rsid w:val="00652564"/>
    <w:rsid w:val="006B154D"/>
    <w:rsid w:val="006C1BA6"/>
    <w:rsid w:val="00793A45"/>
    <w:rsid w:val="007C2AF3"/>
    <w:rsid w:val="007C40E4"/>
    <w:rsid w:val="007E7932"/>
    <w:rsid w:val="0083175F"/>
    <w:rsid w:val="00875D41"/>
    <w:rsid w:val="00891E76"/>
    <w:rsid w:val="008C0D7D"/>
    <w:rsid w:val="008E41B7"/>
    <w:rsid w:val="0092343F"/>
    <w:rsid w:val="00940EF4"/>
    <w:rsid w:val="00A01506"/>
    <w:rsid w:val="00A261C4"/>
    <w:rsid w:val="00AA23DD"/>
    <w:rsid w:val="00AA70CD"/>
    <w:rsid w:val="00AB016A"/>
    <w:rsid w:val="00AC12CE"/>
    <w:rsid w:val="00B56BD5"/>
    <w:rsid w:val="00B731D6"/>
    <w:rsid w:val="00B92E79"/>
    <w:rsid w:val="00BF32BA"/>
    <w:rsid w:val="00C1497C"/>
    <w:rsid w:val="00C353A3"/>
    <w:rsid w:val="00CA73AC"/>
    <w:rsid w:val="00CE3859"/>
    <w:rsid w:val="00D11872"/>
    <w:rsid w:val="00D54DEB"/>
    <w:rsid w:val="00DF02CB"/>
    <w:rsid w:val="00E100A5"/>
    <w:rsid w:val="00E64E87"/>
    <w:rsid w:val="00E67AA3"/>
    <w:rsid w:val="00E87D51"/>
    <w:rsid w:val="00EA7D33"/>
    <w:rsid w:val="00F05FD4"/>
    <w:rsid w:val="00F10290"/>
    <w:rsid w:val="00F13BE1"/>
    <w:rsid w:val="00F66A0C"/>
    <w:rsid w:val="00F7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6979E"/>
  <w15:docId w15:val="{7C60BB16-84C7-4B8C-8D50-EC012E69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pPr>
    <w:rPr>
      <w:rFonts w:ascii="Arial" w:hAnsi="Arial"/>
      <w:lang w:val="de-CH" w:eastAsia="de-CH"/>
    </w:rPr>
  </w:style>
  <w:style w:type="paragraph" w:styleId="Heading1">
    <w:name w:val="heading 1"/>
    <w:basedOn w:val="Normal"/>
    <w:next w:val="Normal"/>
    <w:qFormat/>
    <w:pPr>
      <w:keepNext/>
      <w:numPr>
        <w:numId w:val="1"/>
      </w:numPr>
      <w:spacing w:before="240" w:after="60"/>
      <w:ind w:left="0" w:firstLine="0"/>
      <w:outlineLvl w:val="0"/>
    </w:pPr>
    <w:rPr>
      <w:rFonts w:cs="Arial"/>
      <w:b/>
      <w:bCs/>
      <w:kern w:val="32"/>
      <w:sz w:val="32"/>
      <w:szCs w:val="32"/>
    </w:rPr>
  </w:style>
  <w:style w:type="paragraph" w:styleId="Heading2">
    <w:name w:val="heading 2"/>
    <w:basedOn w:val="Normal"/>
    <w:next w:val="Normal"/>
    <w:qFormat/>
    <w:pPr>
      <w:keepNext/>
      <w:numPr>
        <w:ilvl w:val="1"/>
        <w:numId w:val="2"/>
      </w:numPr>
      <w:tabs>
        <w:tab w:val="clear" w:pos="1440"/>
        <w:tab w:val="num" w:pos="720"/>
      </w:tabs>
      <w:spacing w:before="240" w:after="60"/>
      <w:ind w:left="0" w:firstLine="0"/>
      <w:outlineLvl w:val="1"/>
    </w:pPr>
    <w:rPr>
      <w:rFonts w:cs="Arial"/>
      <w:b/>
      <w:bCs/>
      <w:iCs/>
      <w:sz w:val="28"/>
      <w:szCs w:val="28"/>
    </w:rPr>
  </w:style>
  <w:style w:type="paragraph" w:styleId="Heading3">
    <w:name w:val="heading 3"/>
    <w:basedOn w:val="Normal"/>
    <w:next w:val="Normal"/>
    <w:qFormat/>
    <w:pPr>
      <w:keepNext/>
      <w:numPr>
        <w:ilvl w:val="2"/>
        <w:numId w:val="3"/>
      </w:numPr>
      <w:tabs>
        <w:tab w:val="clear" w:pos="2157"/>
        <w:tab w:val="num" w:pos="720"/>
      </w:tabs>
      <w:spacing w:before="240" w:after="60"/>
      <w:ind w:left="0" w:firstLine="0"/>
      <w:outlineLvl w:val="2"/>
    </w:pPr>
    <w:rPr>
      <w:rFonts w:cs="Arial"/>
      <w:b/>
      <w:bCs/>
      <w:sz w:val="24"/>
    </w:rPr>
  </w:style>
  <w:style w:type="paragraph" w:styleId="Heading4">
    <w:name w:val="heading 4"/>
    <w:basedOn w:val="Normal"/>
    <w:next w:val="Normal"/>
    <w:qFormat/>
    <w:pPr>
      <w:keepNext/>
      <w:numPr>
        <w:ilvl w:val="3"/>
        <w:numId w:val="4"/>
      </w:numPr>
      <w:tabs>
        <w:tab w:val="clear" w:pos="2874"/>
        <w:tab w:val="num" w:pos="1440"/>
      </w:tabs>
      <w:spacing w:before="240" w:after="60"/>
      <w:ind w:left="0" w:firstLine="0"/>
      <w:outlineLvl w:val="3"/>
    </w:pPr>
    <w:rPr>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pPr>
      <w:spacing w:before="120" w:after="120"/>
    </w:pPr>
    <w:rPr>
      <w:b/>
      <w:sz w:val="32"/>
    </w:rPr>
  </w:style>
  <w:style w:type="paragraph" w:customStyle="1" w:styleId="Title2">
    <w:name w:val="Title 2"/>
    <w:basedOn w:val="Normal"/>
    <w:pPr>
      <w:spacing w:before="120" w:after="120"/>
    </w:pPr>
    <w:rPr>
      <w:b/>
      <w:sz w:val="28"/>
    </w:rPr>
  </w:style>
  <w:style w:type="paragraph" w:customStyle="1" w:styleId="Title3">
    <w:name w:val="Title 3"/>
    <w:basedOn w:val="Normal"/>
    <w:pPr>
      <w:spacing w:before="120" w:after="120"/>
    </w:pPr>
    <w:rPr>
      <w:b/>
      <w:sz w:val="24"/>
    </w:rPr>
  </w:style>
  <w:style w:type="paragraph" w:customStyle="1" w:styleId="Title4">
    <w:name w:val="Title 4"/>
    <w:basedOn w:val="Normal"/>
    <w:pPr>
      <w:spacing w:before="120" w:after="120"/>
    </w:pPr>
    <w:rPr>
      <w:b/>
      <w:sz w:val="22"/>
    </w:rPr>
  </w:style>
  <w:style w:type="paragraph" w:styleId="TOC1">
    <w:name w:val="toc 1"/>
    <w:basedOn w:val="Normal"/>
    <w:next w:val="Normal"/>
    <w:pPr>
      <w:spacing w:before="120" w:after="120"/>
    </w:pPr>
    <w:rPr>
      <w:sz w:val="22"/>
    </w:rPr>
  </w:style>
  <w:style w:type="paragraph" w:styleId="TOC2">
    <w:name w:val="toc 2"/>
    <w:basedOn w:val="Normal"/>
    <w:next w:val="Normal"/>
    <w:pPr>
      <w:spacing w:before="60"/>
      <w:ind w:left="238"/>
    </w:pPr>
    <w:rPr>
      <w:sz w:val="22"/>
    </w:rPr>
  </w:style>
  <w:style w:type="paragraph" w:styleId="TOC3">
    <w:name w:val="toc 3"/>
    <w:basedOn w:val="Normal"/>
    <w:next w:val="Normal"/>
    <w:pPr>
      <w:ind w:left="480"/>
    </w:pPr>
    <w:rPr>
      <w:sz w:val="22"/>
    </w:rPr>
  </w:style>
  <w:style w:type="paragraph" w:styleId="TOC4">
    <w:name w:val="toc 4"/>
    <w:basedOn w:val="Normal"/>
    <w:next w:val="Normal"/>
    <w:pPr>
      <w:ind w:left="720"/>
    </w:pPr>
    <w:rPr>
      <w:sz w:val="22"/>
    </w:rPr>
  </w:style>
  <w:style w:type="paragraph" w:customStyle="1" w:styleId="Normal-klein">
    <w:name w:val="Normal-klein"/>
    <w:basedOn w:val="Normal"/>
    <w:rPr>
      <w:sz w:val="18"/>
    </w:rPr>
  </w:style>
  <w:style w:type="paragraph" w:styleId="Header">
    <w:name w:val="header"/>
    <w:basedOn w:val="Normal"/>
    <w:pPr>
      <w:tabs>
        <w:tab w:val="center" w:pos="4536"/>
        <w:tab w:val="right" w:pos="9072"/>
      </w:tabs>
    </w:pPr>
    <w:rPr>
      <w:sz w:val="18"/>
    </w:rPr>
  </w:style>
  <w:style w:type="paragraph" w:styleId="Footer">
    <w:name w:val="footer"/>
    <w:basedOn w:val="Normal"/>
    <w:pPr>
      <w:tabs>
        <w:tab w:val="center" w:pos="4536"/>
        <w:tab w:val="right" w:pos="9072"/>
      </w:tabs>
    </w:pPr>
    <w:rPr>
      <w:sz w:val="18"/>
    </w:rPr>
  </w:style>
  <w:style w:type="paragraph" w:customStyle="1" w:styleId="Carattere1">
    <w:name w:val="Carattere1"/>
    <w:basedOn w:val="Normal"/>
    <w:pPr>
      <w:spacing w:after="160" w:line="240" w:lineRule="exact"/>
    </w:pPr>
    <w:rPr>
      <w:rFonts w:cs="Arial"/>
    </w:rPr>
  </w:style>
  <w:style w:type="paragraph" w:customStyle="1" w:styleId="KopfDept">
    <w:name w:val="KopfDept"/>
    <w:basedOn w:val="Header"/>
    <w:next w:val="Normal"/>
    <w:pPr>
      <w:tabs>
        <w:tab w:val="clear" w:pos="4536"/>
        <w:tab w:val="clear" w:pos="9072"/>
      </w:tabs>
      <w:suppressAutoHyphens/>
      <w:spacing w:after="100" w:line="200" w:lineRule="exact"/>
      <w:contextualSpacing/>
    </w:pPr>
    <w:rPr>
      <w:noProof/>
      <w:sz w:val="15"/>
    </w:rPr>
  </w:style>
  <w:style w:type="paragraph" w:customStyle="1" w:styleId="Logo">
    <w:name w:val="Logo"/>
    <w:rPr>
      <w:rFonts w:ascii="Arial" w:hAnsi="Arial"/>
      <w:noProof/>
      <w:sz w:val="15"/>
      <w:lang w:val="de-CH" w:eastAsia="de-CH"/>
    </w:rPr>
  </w:style>
  <w:style w:type="paragraph" w:customStyle="1" w:styleId="Ref">
    <w:name w:val="Ref"/>
    <w:basedOn w:val="Normal"/>
    <w:next w:val="Normal"/>
    <w:pPr>
      <w:spacing w:line="200" w:lineRule="exact"/>
    </w:pPr>
    <w:rPr>
      <w:sz w:val="15"/>
    </w:rPr>
  </w:style>
  <w:style w:type="paragraph" w:customStyle="1" w:styleId="Form">
    <w:name w:val="Form"/>
    <w:basedOn w:val="Normal"/>
    <w:rPr>
      <w:sz w:val="15"/>
    </w:rPr>
  </w:style>
  <w:style w:type="paragraph" w:styleId="Title">
    <w:name w:val="Title"/>
    <w:basedOn w:val="Normal"/>
    <w:next w:val="Normal"/>
    <w:link w:val="TitleChar"/>
    <w:qFormat/>
    <w:pPr>
      <w:spacing w:line="480" w:lineRule="exact"/>
      <w:outlineLvl w:val="0"/>
    </w:pPr>
    <w:rPr>
      <w:rFonts w:cs="Arial"/>
      <w:b/>
      <w:bCs/>
      <w:kern w:val="28"/>
      <w:sz w:val="42"/>
      <w:szCs w:val="32"/>
    </w:rPr>
  </w:style>
  <w:style w:type="paragraph" w:customStyle="1" w:styleId="Pfad">
    <w:name w:val="Pfad"/>
    <w:next w:val="Footer"/>
    <w:pPr>
      <w:spacing w:line="160" w:lineRule="exact"/>
    </w:pPr>
    <w:rPr>
      <w:rFonts w:ascii="Arial" w:hAnsi="Arial"/>
      <w:noProof/>
      <w:sz w:val="12"/>
      <w:szCs w:val="12"/>
      <w:lang w:val="de-CH" w:eastAsia="de-CH"/>
    </w:rPr>
  </w:style>
  <w:style w:type="paragraph" w:customStyle="1" w:styleId="Linie1">
    <w:name w:val="Linie1"/>
    <w:basedOn w:val="Normal"/>
    <w:next w:val="Normal"/>
    <w:pPr>
      <w:pBdr>
        <w:top w:val="single" w:sz="2" w:space="1" w:color="auto"/>
      </w:pBdr>
      <w:spacing w:before="270" w:line="160" w:lineRule="exact"/>
      <w:ind w:left="28" w:right="28"/>
    </w:pPr>
  </w:style>
  <w:style w:type="paragraph" w:customStyle="1" w:styleId="Seite">
    <w:name w:val="Seite"/>
    <w:basedOn w:val="Normal"/>
    <w:pPr>
      <w:suppressAutoHyphens/>
      <w:spacing w:line="200" w:lineRule="exact"/>
      <w:jc w:val="right"/>
    </w:pPr>
    <w:rPr>
      <w:sz w:val="14"/>
      <w:szCs w:val="14"/>
    </w:rPr>
  </w:style>
  <w:style w:type="paragraph" w:customStyle="1" w:styleId="Linie2">
    <w:name w:val="Linie2"/>
    <w:basedOn w:val="Normal"/>
    <w:next w:val="Normal"/>
    <w:pPr>
      <w:pBdr>
        <w:bottom w:val="single" w:sz="2" w:space="1" w:color="auto"/>
      </w:pBdr>
      <w:spacing w:before="90" w:after="340"/>
    </w:pPr>
  </w:style>
  <w:style w:type="paragraph" w:customStyle="1" w:styleId="Platzhalter">
    <w:name w:val="Platzhalter"/>
    <w:basedOn w:val="Normal"/>
    <w:pPr>
      <w:spacing w:line="240" w:lineRule="auto"/>
    </w:pPr>
    <w:rPr>
      <w:sz w:val="2"/>
      <w:szCs w:val="2"/>
    </w:rPr>
  </w:style>
  <w:style w:type="paragraph" w:customStyle="1" w:styleId="ZchnZchn1CharZchnZchn">
    <w:name w:val="Zchn Zchn1 Char Zchn Zchn"/>
    <w:basedOn w:val="Normal"/>
    <w:pPr>
      <w:spacing w:after="160" w:line="240" w:lineRule="exact"/>
    </w:pPr>
  </w:style>
  <w:style w:type="table" w:styleId="TableGrid">
    <w:name w:val="Table Grid"/>
    <w:basedOn w:val="TableNormal"/>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style>
  <w:style w:type="character" w:styleId="FootnoteReference">
    <w:name w:val="footnote reference"/>
    <w:basedOn w:val="DefaultParagraphFont"/>
    <w:uiPriority w:val="99"/>
    <w:semiHidden/>
    <w:rPr>
      <w:vertAlign w:val="superscript"/>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12, Char Char Char"/>
    <w:basedOn w:val="Normal"/>
    <w:pPr>
      <w:spacing w:after="160" w:line="240" w:lineRule="exact"/>
    </w:pPr>
    <w:rPr>
      <w:rFonts w:cs="Arial"/>
      <w:lang w:val="en-US" w:eastAsia="en-US"/>
    </w:rPr>
  </w:style>
  <w:style w:type="paragraph" w:customStyle="1" w:styleId="Listenabsatz">
    <w:name w:val="Listenabsatz"/>
    <w:basedOn w:val="Normal"/>
    <w:qFormat/>
    <w:pPr>
      <w:spacing w:after="200" w:line="276" w:lineRule="auto"/>
      <w:ind w:left="720"/>
      <w:contextualSpacing/>
    </w:pPr>
    <w:rPr>
      <w:rFonts w:ascii="Calibri" w:eastAsia="Calibri" w:hAnsi="Calibri"/>
      <w:sz w:val="22"/>
      <w:szCs w:val="22"/>
      <w:lang w:val="fr-CH" w:eastAsia="en-US"/>
    </w:rPr>
  </w:style>
  <w:style w:type="paragraph" w:styleId="BalloonText">
    <w:name w:val="Balloon Text"/>
    <w:basedOn w:val="Normal"/>
    <w:semiHidden/>
    <w:rPr>
      <w:rFonts w:ascii="Tahoma" w:hAnsi="Tahoma" w:cs="Tahoma"/>
      <w:sz w:val="16"/>
      <w:szCs w:val="16"/>
    </w:rPr>
  </w:style>
  <w:style w:type="paragraph" w:customStyle="1" w:styleId="CarCar1">
    <w:name w:val="Car Car1"/>
    <w:basedOn w:val="Normal"/>
    <w:pPr>
      <w:spacing w:after="160" w:line="240" w:lineRule="exact"/>
    </w:pPr>
    <w:rPr>
      <w:lang w:val="en-US" w:eastAsia="en-US"/>
    </w:rPr>
  </w:style>
  <w:style w:type="character" w:customStyle="1" w:styleId="generictemplatetitlenoleftmenunew">
    <w:name w:val="generictemplatetitlenoleftmenunew"/>
    <w:basedOn w:val="DefaultParagraphFont"/>
  </w:style>
  <w:style w:type="paragraph" w:customStyle="1" w:styleId="ZchnZchn">
    <w:name w:val="Zchn Zchn"/>
    <w:basedOn w:val="Normal"/>
    <w:pPr>
      <w:spacing w:after="160" w:line="240" w:lineRule="exact"/>
    </w:pP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u w:val="single"/>
    </w:rPr>
  </w:style>
  <w:style w:type="paragraph" w:customStyle="1" w:styleId="Char">
    <w:name w:val="Char"/>
    <w:basedOn w:val="Normal"/>
    <w:pPr>
      <w:spacing w:after="160" w:line="240" w:lineRule="exact"/>
    </w:pPr>
    <w:rPr>
      <w:rFonts w:cs="Arial"/>
      <w:lang w:val="en-US" w:eastAsia="en-US"/>
    </w:rPr>
  </w:style>
  <w:style w:type="character" w:customStyle="1" w:styleId="TitleChar">
    <w:name w:val="Title Char"/>
    <w:basedOn w:val="DefaultParagraphFont"/>
    <w:link w:val="Title"/>
    <w:rsid w:val="00F10290"/>
    <w:rPr>
      <w:rFonts w:ascii="Arial" w:hAnsi="Arial" w:cs="Arial"/>
      <w:b/>
      <w:bCs/>
      <w:kern w:val="28"/>
      <w:sz w:val="42"/>
      <w:szCs w:val="32"/>
      <w:lang w:val="de-CH" w:eastAsia="de-CH"/>
    </w:rPr>
  </w:style>
  <w:style w:type="character" w:customStyle="1" w:styleId="FootnoteTextChar">
    <w:name w:val="Footnote Text Char"/>
    <w:basedOn w:val="DefaultParagraphFont"/>
    <w:link w:val="FootnoteText"/>
    <w:uiPriority w:val="99"/>
    <w:semiHidden/>
    <w:rsid w:val="00940EF4"/>
    <w:rPr>
      <w:rFonts w:ascii="Arial" w:hAnsi="Arial"/>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220688">
      <w:bodyDiv w:val="1"/>
      <w:marLeft w:val="0"/>
      <w:marRight w:val="0"/>
      <w:marTop w:val="0"/>
      <w:marBottom w:val="0"/>
      <w:divBdr>
        <w:top w:val="none" w:sz="0" w:space="0" w:color="auto"/>
        <w:left w:val="none" w:sz="0" w:space="0" w:color="auto"/>
        <w:bottom w:val="none" w:sz="0" w:space="0" w:color="auto"/>
        <w:right w:val="none" w:sz="0" w:space="0" w:color="auto"/>
      </w:divBdr>
    </w:div>
    <w:div w:id="982733489">
      <w:bodyDiv w:val="1"/>
      <w:marLeft w:val="0"/>
      <w:marRight w:val="0"/>
      <w:marTop w:val="0"/>
      <w:marBottom w:val="0"/>
      <w:divBdr>
        <w:top w:val="none" w:sz="0" w:space="0" w:color="auto"/>
        <w:left w:val="none" w:sz="0" w:space="0" w:color="auto"/>
        <w:bottom w:val="none" w:sz="0" w:space="0" w:color="auto"/>
        <w:right w:val="none" w:sz="0" w:space="0" w:color="auto"/>
      </w:divBdr>
    </w:div>
    <w:div w:id="1347712093">
      <w:bodyDiv w:val="1"/>
      <w:marLeft w:val="0"/>
      <w:marRight w:val="0"/>
      <w:marTop w:val="0"/>
      <w:marBottom w:val="0"/>
      <w:divBdr>
        <w:top w:val="none" w:sz="0" w:space="0" w:color="auto"/>
        <w:left w:val="none" w:sz="0" w:space="0" w:color="auto"/>
        <w:bottom w:val="none" w:sz="0" w:space="0" w:color="auto"/>
        <w:right w:val="none" w:sz="0" w:space="0" w:color="auto"/>
      </w:divBdr>
    </w:div>
    <w:div w:id="157222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8353-21ED-4173-A536-197A7726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6004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Aktennotiz</vt:lpstr>
    </vt:vector>
  </TitlesOfParts>
  <Company>EDA</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Aktennotiz</dc:title>
  <dc:creator>Weber Bartoloni Patricia EDA WBP</dc:creator>
  <cp:lastModifiedBy>Restrepo Barman Gaël EDA RGA</cp:lastModifiedBy>
  <cp:revision>21</cp:revision>
  <cp:lastPrinted>2022-04-29T08:58:00Z</cp:lastPrinted>
  <dcterms:created xsi:type="dcterms:W3CDTF">2022-04-29T08:58:00Z</dcterms:created>
  <dcterms:modified xsi:type="dcterms:W3CDTF">2022-09-07T12:34:00Z</dcterms:modified>
</cp:coreProperties>
</file>