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392A" w14:textId="77777777" w:rsidR="008A3DDD" w:rsidRPr="0026588C" w:rsidRDefault="008A3DDD" w:rsidP="008A3DDD">
      <w:pPr>
        <w:spacing w:after="120" w:line="720" w:lineRule="auto"/>
        <w:jc w:val="center"/>
        <w:rPr>
          <w:b/>
          <w:noProof/>
          <w:sz w:val="22"/>
          <w:szCs w:val="22"/>
          <w:lang w:val="en-US" w:eastAsia="da-DK"/>
        </w:rPr>
      </w:pPr>
      <w:r w:rsidRPr="00185ECE">
        <w:rPr>
          <w:noProof/>
          <w:lang w:val="da-DK" w:eastAsia="da-DK"/>
        </w:rPr>
        <w:drawing>
          <wp:inline distT="0" distB="0" distL="0" distR="0" wp14:anchorId="46C4EBE5" wp14:editId="0B9A7A00">
            <wp:extent cx="1407381" cy="670334"/>
            <wp:effectExtent l="0" t="0" r="2540" b="0"/>
            <wp:docPr id="2051" name="Picture 1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12" descr="image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2258" cy="672657"/>
                    </a:xfrm>
                    <a:prstGeom prst="rect">
                      <a:avLst/>
                    </a:prstGeom>
                    <a:noFill/>
                    <a:ln>
                      <a:noFill/>
                    </a:ln>
                  </pic:spPr>
                </pic:pic>
              </a:graphicData>
            </a:graphic>
          </wp:inline>
        </w:drawing>
      </w:r>
      <w:r w:rsidRPr="000F0C3B">
        <w:rPr>
          <w:b/>
          <w:noProof/>
          <w:sz w:val="22"/>
          <w:szCs w:val="22"/>
          <w:lang w:val="en-US" w:eastAsia="da-DK"/>
        </w:rPr>
        <w:t xml:space="preserve">             </w:t>
      </w:r>
    </w:p>
    <w:p w14:paraId="3E8DE63C" w14:textId="77777777" w:rsidR="008A3DDD" w:rsidRDefault="008A3DDD" w:rsidP="008A3DDD">
      <w:pPr>
        <w:jc w:val="both"/>
        <w:rPr>
          <w:b/>
          <w:sz w:val="22"/>
          <w:szCs w:val="22"/>
          <w:lang w:val="en-US"/>
        </w:rPr>
      </w:pPr>
    </w:p>
    <w:p w14:paraId="6133BD3F" w14:textId="7B417F41" w:rsidR="000F5F42" w:rsidRDefault="000F5F42" w:rsidP="000F5F42">
      <w:pPr>
        <w:jc w:val="center"/>
        <w:rPr>
          <w:rFonts w:ascii="Garamond" w:eastAsia="Garamond" w:hAnsi="Garamond" w:cs="Garamond"/>
          <w:b/>
          <w:sz w:val="36"/>
          <w:szCs w:val="36"/>
        </w:rPr>
      </w:pPr>
      <w:r>
        <w:rPr>
          <w:rFonts w:ascii="Garamond" w:eastAsia="Garamond" w:hAnsi="Garamond" w:cs="Garamond"/>
          <w:b/>
          <w:sz w:val="36"/>
          <w:szCs w:val="36"/>
        </w:rPr>
        <w:t>Submission to the United Nations Special Rapporteur on I</w:t>
      </w:r>
      <w:r w:rsidRPr="00D90980">
        <w:rPr>
          <w:rFonts w:ascii="Garamond" w:eastAsia="Garamond" w:hAnsi="Garamond" w:cs="Garamond"/>
          <w:b/>
          <w:sz w:val="36"/>
          <w:szCs w:val="36"/>
        </w:rPr>
        <w:t xml:space="preserve">ndependence of </w:t>
      </w:r>
      <w:r>
        <w:rPr>
          <w:rFonts w:ascii="Garamond" w:eastAsia="Garamond" w:hAnsi="Garamond" w:cs="Garamond"/>
          <w:b/>
          <w:sz w:val="36"/>
          <w:szCs w:val="36"/>
        </w:rPr>
        <w:t>J</w:t>
      </w:r>
      <w:r w:rsidRPr="00D90980">
        <w:rPr>
          <w:rFonts w:ascii="Garamond" w:eastAsia="Garamond" w:hAnsi="Garamond" w:cs="Garamond"/>
          <w:b/>
          <w:sz w:val="36"/>
          <w:szCs w:val="36"/>
        </w:rPr>
        <w:t xml:space="preserve">udges and </w:t>
      </w:r>
      <w:r>
        <w:rPr>
          <w:rFonts w:ascii="Garamond" w:eastAsia="Garamond" w:hAnsi="Garamond" w:cs="Garamond"/>
          <w:b/>
          <w:sz w:val="36"/>
          <w:szCs w:val="36"/>
        </w:rPr>
        <w:t>L</w:t>
      </w:r>
      <w:r w:rsidRPr="00D90980">
        <w:rPr>
          <w:rFonts w:ascii="Garamond" w:eastAsia="Garamond" w:hAnsi="Garamond" w:cs="Garamond"/>
          <w:b/>
          <w:sz w:val="36"/>
          <w:szCs w:val="36"/>
        </w:rPr>
        <w:t xml:space="preserve">awyers for </w:t>
      </w:r>
      <w:r>
        <w:rPr>
          <w:rFonts w:ascii="Garamond" w:eastAsia="Garamond" w:hAnsi="Garamond" w:cs="Garamond"/>
          <w:b/>
          <w:sz w:val="36"/>
          <w:szCs w:val="36"/>
        </w:rPr>
        <w:t>her</w:t>
      </w:r>
      <w:r w:rsidRPr="00D90980">
        <w:rPr>
          <w:rFonts w:ascii="Garamond" w:eastAsia="Garamond" w:hAnsi="Garamond" w:cs="Garamond"/>
          <w:b/>
          <w:sz w:val="36"/>
          <w:szCs w:val="36"/>
        </w:rPr>
        <w:t xml:space="preserve"> next thematic report on safeguarding the independence of judicial systems in the face of contemporary challenges to democracy</w:t>
      </w:r>
    </w:p>
    <w:p w14:paraId="18F00C15" w14:textId="77777777" w:rsidR="000F5F42" w:rsidRDefault="000F5F42" w:rsidP="000F5F42">
      <w:pPr>
        <w:jc w:val="center"/>
        <w:rPr>
          <w:rFonts w:ascii="Garamond" w:eastAsia="Garamond" w:hAnsi="Garamond" w:cs="Garamond"/>
          <w:b/>
          <w:sz w:val="36"/>
          <w:szCs w:val="36"/>
        </w:rPr>
      </w:pPr>
      <w:r>
        <w:rPr>
          <w:rFonts w:ascii="Garamond" w:eastAsia="Garamond" w:hAnsi="Garamond" w:cs="Garamond"/>
          <w:b/>
          <w:sz w:val="36"/>
          <w:szCs w:val="36"/>
        </w:rPr>
        <w:t xml:space="preserve">concerning the role of judges and lawyers in facilitating systematic torture in Egypt </w:t>
      </w:r>
    </w:p>
    <w:p w14:paraId="4C0C2E36" w14:textId="77777777" w:rsidR="000F5F42" w:rsidRDefault="000F5F42" w:rsidP="000F5F42">
      <w:pPr>
        <w:jc w:val="center"/>
      </w:pPr>
    </w:p>
    <w:p w14:paraId="0A55AA62" w14:textId="77777777" w:rsidR="000F5F42" w:rsidRDefault="000F5F42" w:rsidP="000F5F42">
      <w:pPr>
        <w:jc w:val="center"/>
      </w:pPr>
    </w:p>
    <w:p w14:paraId="13762023" w14:textId="77777777" w:rsidR="000F5F42" w:rsidRDefault="000F5F42" w:rsidP="000F5F42">
      <w:pPr>
        <w:jc w:val="center"/>
      </w:pPr>
    </w:p>
    <w:p w14:paraId="35BB8A79" w14:textId="77777777" w:rsidR="000F5F42" w:rsidRDefault="000F5F42" w:rsidP="000F5F42">
      <w:pPr>
        <w:jc w:val="center"/>
        <w:rPr>
          <w:rFonts w:ascii="Garamond" w:eastAsia="Garamond" w:hAnsi="Garamond" w:cs="Garamond"/>
          <w:b/>
          <w:sz w:val="28"/>
          <w:szCs w:val="28"/>
        </w:rPr>
      </w:pPr>
      <w:r>
        <w:rPr>
          <w:rFonts w:ascii="Garamond" w:eastAsia="Garamond" w:hAnsi="Garamond" w:cs="Garamond"/>
          <w:b/>
          <w:sz w:val="28"/>
          <w:szCs w:val="28"/>
        </w:rPr>
        <w:t>Submitted 31 January 2024</w:t>
      </w:r>
    </w:p>
    <w:p w14:paraId="0CD23AFF" w14:textId="76BC20CA" w:rsidR="000F5F42" w:rsidRDefault="000F5F42" w:rsidP="000F5F42">
      <w:pPr>
        <w:jc w:val="center"/>
        <w:rPr>
          <w:rFonts w:ascii="Garamond" w:hAnsi="Garamond"/>
          <w:b/>
          <w:sz w:val="36"/>
          <w:szCs w:val="36"/>
          <w:lang w:val="en-US"/>
        </w:rPr>
      </w:pPr>
    </w:p>
    <w:p w14:paraId="41B49395" w14:textId="77777777" w:rsidR="00C373F7" w:rsidRDefault="00C373F7" w:rsidP="00C373F7">
      <w:pPr>
        <w:jc w:val="center"/>
        <w:rPr>
          <w:rFonts w:ascii="Garamond" w:hAnsi="Garamond"/>
          <w:b/>
          <w:sz w:val="36"/>
          <w:szCs w:val="36"/>
          <w:lang w:val="en-US"/>
        </w:rPr>
      </w:pPr>
    </w:p>
    <w:p w14:paraId="44F88B8C" w14:textId="77777777" w:rsidR="00C373F7" w:rsidRDefault="00C373F7" w:rsidP="00C373F7">
      <w:pPr>
        <w:jc w:val="center"/>
        <w:rPr>
          <w:rFonts w:ascii="Garamond" w:hAnsi="Garamond"/>
          <w:b/>
          <w:sz w:val="36"/>
          <w:szCs w:val="36"/>
          <w:lang w:val="en-US"/>
        </w:rPr>
      </w:pPr>
    </w:p>
    <w:p w14:paraId="5948ADB2" w14:textId="77777777" w:rsidR="00C373F7" w:rsidRDefault="00C373F7" w:rsidP="00C373F7">
      <w:pPr>
        <w:jc w:val="center"/>
        <w:rPr>
          <w:rFonts w:ascii="Garamond" w:hAnsi="Garamond"/>
          <w:b/>
          <w:sz w:val="36"/>
          <w:szCs w:val="36"/>
          <w:lang w:val="en-US"/>
        </w:rPr>
      </w:pPr>
    </w:p>
    <w:p w14:paraId="4124403A" w14:textId="7FC3DDD6" w:rsidR="00C373F7" w:rsidRPr="00C373F7" w:rsidRDefault="00C373F7" w:rsidP="00C373F7">
      <w:pPr>
        <w:jc w:val="center"/>
        <w:rPr>
          <w:rFonts w:ascii="Garamond" w:hAnsi="Garamond"/>
          <w:b/>
          <w:sz w:val="36"/>
          <w:szCs w:val="36"/>
          <w:lang w:val="en-US"/>
        </w:rPr>
      </w:pPr>
    </w:p>
    <w:p w14:paraId="6F66809D" w14:textId="77777777" w:rsidR="008A3DDD" w:rsidRPr="0039705C" w:rsidRDefault="008A3DDD" w:rsidP="008A3DDD">
      <w:pPr>
        <w:jc w:val="center"/>
        <w:rPr>
          <w:rFonts w:ascii="Garamond" w:hAnsi="Garamond"/>
          <w:sz w:val="22"/>
          <w:szCs w:val="22"/>
          <w:lang w:val="en-US"/>
        </w:rPr>
      </w:pPr>
    </w:p>
    <w:p w14:paraId="4A60F627" w14:textId="77777777" w:rsidR="008A3DDD" w:rsidRPr="0039705C" w:rsidRDefault="008A3DDD" w:rsidP="008A3DDD">
      <w:pPr>
        <w:jc w:val="center"/>
        <w:rPr>
          <w:rFonts w:ascii="Garamond" w:hAnsi="Garamond"/>
          <w:sz w:val="22"/>
          <w:szCs w:val="22"/>
          <w:lang w:val="en-US"/>
        </w:rPr>
      </w:pPr>
    </w:p>
    <w:p w14:paraId="04D01E66" w14:textId="77777777" w:rsidR="008A3DDD" w:rsidRDefault="008A3DDD" w:rsidP="008A3DDD">
      <w:pPr>
        <w:jc w:val="center"/>
        <w:rPr>
          <w:rFonts w:ascii="Garamond" w:hAnsi="Garamond"/>
          <w:sz w:val="22"/>
          <w:szCs w:val="22"/>
          <w:lang w:val="en-US"/>
        </w:rPr>
      </w:pPr>
    </w:p>
    <w:p w14:paraId="164337FC" w14:textId="77777777" w:rsidR="00C373F7" w:rsidRDefault="00C373F7" w:rsidP="00C373F7">
      <w:pPr>
        <w:rPr>
          <w:rFonts w:ascii="Garamond" w:hAnsi="Garamond"/>
          <w:sz w:val="22"/>
          <w:szCs w:val="22"/>
          <w:lang w:val="en-US"/>
        </w:rPr>
      </w:pPr>
    </w:p>
    <w:p w14:paraId="7351B2A5" w14:textId="77777777" w:rsidR="008A3DDD" w:rsidRPr="0039705C" w:rsidRDefault="008A3DDD" w:rsidP="008A3DDD">
      <w:pPr>
        <w:jc w:val="center"/>
        <w:rPr>
          <w:rFonts w:ascii="Garamond" w:hAnsi="Garamond"/>
          <w:b/>
          <w:sz w:val="28"/>
          <w:szCs w:val="28"/>
          <w:lang w:val="en-US"/>
        </w:rPr>
      </w:pPr>
    </w:p>
    <w:p w14:paraId="203F5157" w14:textId="77777777" w:rsidR="008A3DDD" w:rsidRPr="0039705C" w:rsidRDefault="008A3DDD" w:rsidP="008A3DDD">
      <w:pPr>
        <w:jc w:val="center"/>
        <w:rPr>
          <w:rFonts w:ascii="Garamond" w:hAnsi="Garamond"/>
          <w:b/>
          <w:sz w:val="28"/>
          <w:szCs w:val="28"/>
          <w:lang w:val="en-US"/>
        </w:rPr>
      </w:pPr>
    </w:p>
    <w:p w14:paraId="38203193" w14:textId="77777777" w:rsidR="008A3DDD" w:rsidRPr="0039705C" w:rsidRDefault="008A3DDD" w:rsidP="008A3DDD">
      <w:pPr>
        <w:jc w:val="center"/>
        <w:rPr>
          <w:rFonts w:ascii="Garamond" w:hAnsi="Garamond"/>
          <w:b/>
          <w:sz w:val="28"/>
          <w:szCs w:val="28"/>
          <w:lang w:val="en-US"/>
        </w:rPr>
      </w:pPr>
    </w:p>
    <w:p w14:paraId="461AAC5E" w14:textId="77777777" w:rsidR="008A3DDD" w:rsidRPr="0039705C" w:rsidRDefault="008A3DDD" w:rsidP="008A3DDD">
      <w:pPr>
        <w:jc w:val="center"/>
        <w:rPr>
          <w:rFonts w:ascii="Garamond" w:hAnsi="Garamond"/>
          <w:b/>
          <w:sz w:val="28"/>
          <w:szCs w:val="28"/>
          <w:lang w:val="en-US"/>
        </w:rPr>
      </w:pPr>
    </w:p>
    <w:p w14:paraId="0853756F" w14:textId="77777777" w:rsidR="008A3DDD" w:rsidRPr="0039705C" w:rsidRDefault="008A3DDD" w:rsidP="008A3DDD">
      <w:pPr>
        <w:jc w:val="center"/>
        <w:rPr>
          <w:rFonts w:ascii="Garamond" w:hAnsi="Garamond"/>
          <w:b/>
          <w:sz w:val="28"/>
          <w:szCs w:val="28"/>
          <w:lang w:val="en-US"/>
        </w:rPr>
      </w:pPr>
    </w:p>
    <w:p w14:paraId="04CCCA4A" w14:textId="77777777" w:rsidR="008A3DDD" w:rsidRPr="0039705C" w:rsidRDefault="008A3DDD" w:rsidP="008A3DDD">
      <w:pPr>
        <w:jc w:val="center"/>
        <w:rPr>
          <w:rFonts w:ascii="Garamond" w:hAnsi="Garamond"/>
          <w:b/>
          <w:sz w:val="28"/>
          <w:szCs w:val="28"/>
          <w:lang w:val="en-US"/>
        </w:rPr>
      </w:pPr>
    </w:p>
    <w:p w14:paraId="3F793DBE" w14:textId="77777777" w:rsidR="008A3DDD" w:rsidRPr="0039705C" w:rsidRDefault="008A3DDD" w:rsidP="008A3DDD">
      <w:pPr>
        <w:jc w:val="center"/>
        <w:rPr>
          <w:rFonts w:ascii="Garamond" w:hAnsi="Garamond"/>
          <w:b/>
          <w:sz w:val="28"/>
          <w:szCs w:val="28"/>
          <w:lang w:val="en-US"/>
        </w:rPr>
      </w:pPr>
    </w:p>
    <w:p w14:paraId="29427918" w14:textId="77777777" w:rsidR="008A3DDD" w:rsidRPr="0039705C" w:rsidRDefault="008A3DDD" w:rsidP="008A3DDD">
      <w:pPr>
        <w:jc w:val="center"/>
        <w:rPr>
          <w:rFonts w:ascii="Garamond" w:hAnsi="Garamond"/>
          <w:b/>
          <w:sz w:val="28"/>
          <w:szCs w:val="28"/>
          <w:lang w:val="en-US"/>
        </w:rPr>
      </w:pPr>
    </w:p>
    <w:p w14:paraId="762C43BD" w14:textId="77777777" w:rsidR="008A3DDD" w:rsidRPr="0039705C" w:rsidRDefault="008A3DDD" w:rsidP="008A3DDD">
      <w:pPr>
        <w:jc w:val="center"/>
        <w:rPr>
          <w:rFonts w:ascii="Garamond" w:hAnsi="Garamond"/>
          <w:b/>
          <w:sz w:val="28"/>
          <w:szCs w:val="28"/>
          <w:lang w:val="en-US"/>
        </w:rPr>
      </w:pPr>
    </w:p>
    <w:p w14:paraId="1B2FA871" w14:textId="77777777" w:rsidR="008A3DDD" w:rsidRPr="0039705C" w:rsidRDefault="008A3DDD" w:rsidP="008A3DDD">
      <w:pPr>
        <w:jc w:val="center"/>
        <w:rPr>
          <w:rFonts w:ascii="Garamond" w:hAnsi="Garamond"/>
          <w:b/>
          <w:sz w:val="28"/>
          <w:szCs w:val="28"/>
          <w:lang w:val="en-US"/>
        </w:rPr>
      </w:pPr>
    </w:p>
    <w:p w14:paraId="0E5DB76B" w14:textId="77777777" w:rsidR="008A3DDD" w:rsidRPr="0039705C" w:rsidRDefault="008A3DDD" w:rsidP="008A3DDD">
      <w:pPr>
        <w:jc w:val="center"/>
        <w:rPr>
          <w:rFonts w:ascii="Garamond" w:hAnsi="Garamond"/>
          <w:b/>
          <w:sz w:val="28"/>
          <w:szCs w:val="28"/>
          <w:lang w:val="en-US"/>
        </w:rPr>
      </w:pPr>
    </w:p>
    <w:p w14:paraId="3C523879" w14:textId="77777777" w:rsidR="008A3DDD" w:rsidRPr="0039705C" w:rsidRDefault="008A3DDD" w:rsidP="008A3DDD">
      <w:pPr>
        <w:jc w:val="center"/>
        <w:rPr>
          <w:rFonts w:ascii="Garamond" w:hAnsi="Garamond"/>
          <w:b/>
          <w:sz w:val="28"/>
          <w:szCs w:val="28"/>
          <w:lang w:val="en-US"/>
        </w:rPr>
      </w:pPr>
    </w:p>
    <w:p w14:paraId="394D4111" w14:textId="77777777" w:rsidR="008A3DDD" w:rsidRPr="0039705C" w:rsidRDefault="008A3DDD" w:rsidP="008A3DDD">
      <w:pPr>
        <w:jc w:val="center"/>
        <w:rPr>
          <w:rFonts w:ascii="Garamond" w:hAnsi="Garamond"/>
          <w:b/>
          <w:sz w:val="28"/>
          <w:szCs w:val="28"/>
          <w:lang w:val="en-US"/>
        </w:rPr>
      </w:pPr>
    </w:p>
    <w:p w14:paraId="6DB795C6" w14:textId="77777777" w:rsidR="0039705C" w:rsidRPr="0039705C" w:rsidRDefault="0039705C" w:rsidP="008A3DDD">
      <w:pPr>
        <w:jc w:val="center"/>
        <w:rPr>
          <w:rFonts w:ascii="Garamond" w:hAnsi="Garamond"/>
          <w:b/>
          <w:sz w:val="28"/>
          <w:szCs w:val="28"/>
          <w:lang w:val="en-US"/>
        </w:rPr>
      </w:pPr>
    </w:p>
    <w:p w14:paraId="63C5EB1C" w14:textId="77777777" w:rsidR="008A3DDD" w:rsidRPr="0039705C" w:rsidRDefault="008A3DDD" w:rsidP="008A3DDD">
      <w:pPr>
        <w:jc w:val="center"/>
        <w:rPr>
          <w:rFonts w:ascii="Garamond" w:hAnsi="Garamond"/>
          <w:b/>
          <w:sz w:val="28"/>
          <w:szCs w:val="28"/>
          <w:lang w:val="en-US"/>
        </w:rPr>
      </w:pPr>
    </w:p>
    <w:p w14:paraId="3AD98B61" w14:textId="77777777" w:rsidR="008A3DDD" w:rsidRPr="0039705C" w:rsidRDefault="008A3DDD" w:rsidP="008A3DDD">
      <w:pPr>
        <w:jc w:val="center"/>
        <w:rPr>
          <w:rFonts w:ascii="Garamond" w:hAnsi="Garamond"/>
          <w:b/>
          <w:sz w:val="28"/>
          <w:szCs w:val="28"/>
          <w:lang w:val="en-US"/>
        </w:rPr>
      </w:pPr>
      <w:r w:rsidRPr="0039705C">
        <w:rPr>
          <w:rFonts w:ascii="Garamond" w:hAnsi="Garamond"/>
          <w:b/>
          <w:sz w:val="28"/>
          <w:szCs w:val="28"/>
          <w:lang w:val="en-US"/>
        </w:rPr>
        <w:t xml:space="preserve"> </w:t>
      </w:r>
    </w:p>
    <w:p w14:paraId="1BFDEE6B" w14:textId="2ED5225E" w:rsidR="008A3DDD" w:rsidRDefault="008A3DDD" w:rsidP="008A3DDD">
      <w:pPr>
        <w:rPr>
          <w:rFonts w:ascii="Garamond" w:hAnsi="Garamond"/>
          <w:b/>
          <w:sz w:val="28"/>
          <w:szCs w:val="28"/>
          <w:u w:val="single"/>
        </w:rPr>
      </w:pPr>
    </w:p>
    <w:p w14:paraId="12948278" w14:textId="77777777" w:rsidR="0039705C" w:rsidRPr="0039705C" w:rsidRDefault="0039705C" w:rsidP="008A3DDD">
      <w:pPr>
        <w:rPr>
          <w:rFonts w:ascii="Garamond" w:hAnsi="Garamond"/>
          <w:b/>
          <w:sz w:val="28"/>
          <w:szCs w:val="28"/>
          <w:u w:val="single"/>
        </w:rPr>
      </w:pPr>
    </w:p>
    <w:p w14:paraId="138DD37E" w14:textId="3756CDE6" w:rsidR="00AB5B6F" w:rsidRPr="0039705C" w:rsidRDefault="00AB5B6F" w:rsidP="008A3DDD">
      <w:pPr>
        <w:rPr>
          <w:rFonts w:ascii="Garamond" w:hAnsi="Garamond"/>
          <w:sz w:val="24"/>
          <w:szCs w:val="24"/>
          <w:lang w:eastAsia="en-GB"/>
        </w:rPr>
      </w:pPr>
    </w:p>
    <w:p w14:paraId="42F74637" w14:textId="79096A75" w:rsidR="009F00AF" w:rsidRPr="0039705C" w:rsidRDefault="00DB0B9D" w:rsidP="009F00AF">
      <w:pPr>
        <w:pStyle w:val="BodyA"/>
        <w:outlineLvl w:val="0"/>
        <w:rPr>
          <w:rFonts w:ascii="Garamond" w:eastAsia="Times New Roman" w:hAnsi="Garamond" w:cs="Times New Roman"/>
          <w:bCs/>
          <w:color w:val="auto"/>
          <w:sz w:val="32"/>
          <w:szCs w:val="32"/>
          <w:bdr w:val="none" w:sz="0" w:space="0" w:color="auto"/>
          <w:lang w:val="en-GB" w:eastAsia="en-US"/>
          <w14:textOutline w14:w="0" w14:cap="rnd" w14:cmpd="sng" w14:algn="ctr">
            <w14:noFill/>
            <w14:prstDash w14:val="solid"/>
            <w14:bevel/>
          </w14:textOutline>
        </w:rPr>
      </w:pPr>
      <w:r w:rsidRPr="0039705C">
        <w:rPr>
          <w:rFonts w:ascii="Garamond" w:eastAsia="Times New Roman" w:hAnsi="Garamond" w:cs="Times New Roman"/>
          <w:b/>
          <w:color w:val="auto"/>
          <w:sz w:val="32"/>
          <w:szCs w:val="32"/>
          <w:u w:val="single"/>
          <w:bdr w:val="none" w:sz="0" w:space="0" w:color="auto"/>
          <w:lang w:val="en-GB" w:eastAsia="en-US"/>
          <w14:textOutline w14:w="0" w14:cap="rnd" w14:cmpd="sng" w14:algn="ctr">
            <w14:noFill/>
            <w14:prstDash w14:val="solid"/>
            <w14:bevel/>
          </w14:textOutline>
        </w:rPr>
        <w:t xml:space="preserve">About the </w:t>
      </w:r>
      <w:r w:rsidR="00D020CE" w:rsidRPr="0039705C">
        <w:rPr>
          <w:rFonts w:ascii="Garamond" w:eastAsia="Times New Roman" w:hAnsi="Garamond" w:cs="Times New Roman"/>
          <w:b/>
          <w:color w:val="auto"/>
          <w:sz w:val="32"/>
          <w:szCs w:val="32"/>
          <w:u w:val="single"/>
          <w:bdr w:val="none" w:sz="0" w:space="0" w:color="auto"/>
          <w:lang w:val="en-GB" w:eastAsia="en-US"/>
          <w14:textOutline w14:w="0" w14:cap="rnd" w14:cmpd="sng" w14:algn="ctr">
            <w14:noFill/>
            <w14:prstDash w14:val="solid"/>
            <w14:bevel/>
          </w14:textOutline>
        </w:rPr>
        <w:t>S</w:t>
      </w:r>
      <w:r w:rsidRPr="0039705C">
        <w:rPr>
          <w:rFonts w:ascii="Garamond" w:eastAsia="Times New Roman" w:hAnsi="Garamond" w:cs="Times New Roman"/>
          <w:b/>
          <w:color w:val="auto"/>
          <w:sz w:val="32"/>
          <w:szCs w:val="32"/>
          <w:u w:val="single"/>
          <w:bdr w:val="none" w:sz="0" w:space="0" w:color="auto"/>
          <w:lang w:val="en-GB" w:eastAsia="en-US"/>
          <w14:textOutline w14:w="0" w14:cap="rnd" w14:cmpd="sng" w14:algn="ctr">
            <w14:noFill/>
            <w14:prstDash w14:val="solid"/>
            <w14:bevel/>
          </w14:textOutline>
        </w:rPr>
        <w:t xml:space="preserve">ubmitting </w:t>
      </w:r>
      <w:r w:rsidR="00D020CE" w:rsidRPr="0039705C">
        <w:rPr>
          <w:rFonts w:ascii="Garamond" w:eastAsia="Times New Roman" w:hAnsi="Garamond" w:cs="Times New Roman"/>
          <w:b/>
          <w:color w:val="auto"/>
          <w:sz w:val="32"/>
          <w:szCs w:val="32"/>
          <w:u w:val="single"/>
          <w:bdr w:val="none" w:sz="0" w:space="0" w:color="auto"/>
          <w:lang w:val="en-GB" w:eastAsia="en-US"/>
          <w14:textOutline w14:w="0" w14:cap="rnd" w14:cmpd="sng" w14:algn="ctr">
            <w14:noFill/>
            <w14:prstDash w14:val="solid"/>
            <w14:bevel/>
          </w14:textOutline>
        </w:rPr>
        <w:t>O</w:t>
      </w:r>
      <w:r w:rsidRPr="0039705C">
        <w:rPr>
          <w:rFonts w:ascii="Garamond" w:eastAsia="Times New Roman" w:hAnsi="Garamond" w:cs="Times New Roman"/>
          <w:b/>
          <w:color w:val="auto"/>
          <w:sz w:val="32"/>
          <w:szCs w:val="32"/>
          <w:u w:val="single"/>
          <w:bdr w:val="none" w:sz="0" w:space="0" w:color="auto"/>
          <w:lang w:val="en-GB" w:eastAsia="en-US"/>
          <w14:textOutline w14:w="0" w14:cap="rnd" w14:cmpd="sng" w14:algn="ctr">
            <w14:noFill/>
            <w14:prstDash w14:val="solid"/>
            <w14:bevel/>
          </w14:textOutline>
        </w:rPr>
        <w:t>rganization</w:t>
      </w:r>
    </w:p>
    <w:p w14:paraId="6BFE7B8D" w14:textId="1CD6B813" w:rsidR="00DB0B9D" w:rsidRPr="0039705C" w:rsidRDefault="00DB0B9D" w:rsidP="009F00AF">
      <w:pPr>
        <w:pStyle w:val="BodyA"/>
        <w:outlineLvl w:val="0"/>
        <w:rPr>
          <w:rFonts w:ascii="Garamond" w:eastAsia="Times New Roman" w:hAnsi="Garamond" w:cs="Times New Roman"/>
          <w:bCs/>
          <w:color w:val="auto"/>
          <w:bdr w:val="none" w:sz="0" w:space="0" w:color="auto"/>
          <w:lang w:val="en-GB" w:eastAsia="en-US"/>
          <w14:textOutline w14:w="0" w14:cap="rnd" w14:cmpd="sng" w14:algn="ctr">
            <w14:noFill/>
            <w14:prstDash w14:val="solid"/>
            <w14:bevel/>
          </w14:textOutline>
        </w:rPr>
      </w:pPr>
    </w:p>
    <w:p w14:paraId="5FACFE8E" w14:textId="66515F40" w:rsidR="00DB0B9D" w:rsidRPr="0039705C" w:rsidRDefault="00DB0B9D" w:rsidP="00DB0B9D">
      <w:pPr>
        <w:shd w:val="clear" w:color="auto" w:fill="FFFFFF"/>
        <w:spacing w:after="384"/>
        <w:textAlignment w:val="baseline"/>
        <w:rPr>
          <w:rFonts w:ascii="Garamond" w:hAnsi="Garamond" w:cstheme="majorBidi"/>
          <w:color w:val="000000"/>
          <w:sz w:val="24"/>
          <w:szCs w:val="24"/>
          <w:lang w:val="en-US" w:eastAsia="da-DK"/>
        </w:rPr>
      </w:pPr>
      <w:r w:rsidRPr="0039705C">
        <w:rPr>
          <w:rFonts w:ascii="Garamond" w:hAnsi="Garamond" w:cstheme="majorBidi"/>
          <w:color w:val="000000"/>
          <w:sz w:val="24"/>
          <w:szCs w:val="24"/>
          <w:lang w:val="en-US" w:eastAsia="da-DK"/>
        </w:rPr>
        <w:t xml:space="preserve">DIGNITY is an independent human rights and development organization. Our vision is a world free of torture and </w:t>
      </w:r>
      <w:r w:rsidR="00C470EC" w:rsidRPr="0039705C">
        <w:rPr>
          <w:rFonts w:ascii="Garamond" w:hAnsi="Garamond" w:cstheme="majorBidi"/>
          <w:color w:val="000000"/>
          <w:sz w:val="24"/>
          <w:szCs w:val="24"/>
          <w:lang w:val="en-US" w:eastAsia="da-DK"/>
        </w:rPr>
        <w:t xml:space="preserve">other </w:t>
      </w:r>
      <w:r w:rsidRPr="0039705C">
        <w:rPr>
          <w:rFonts w:ascii="Garamond" w:hAnsi="Garamond" w:cstheme="majorBidi"/>
          <w:color w:val="000000"/>
          <w:sz w:val="24"/>
          <w:szCs w:val="24"/>
          <w:lang w:val="en-US" w:eastAsia="da-DK"/>
        </w:rPr>
        <w:t xml:space="preserve">cruel, inhuman, </w:t>
      </w:r>
      <w:r w:rsidR="00C470EC" w:rsidRPr="0039705C">
        <w:rPr>
          <w:rFonts w:ascii="Garamond" w:hAnsi="Garamond" w:cstheme="majorBidi"/>
          <w:color w:val="000000"/>
          <w:sz w:val="24"/>
          <w:szCs w:val="24"/>
          <w:lang w:val="en-US" w:eastAsia="da-DK"/>
        </w:rPr>
        <w:t xml:space="preserve">or </w:t>
      </w:r>
      <w:r w:rsidRPr="0039705C">
        <w:rPr>
          <w:rFonts w:ascii="Garamond" w:hAnsi="Garamond" w:cstheme="majorBidi"/>
          <w:color w:val="000000"/>
          <w:sz w:val="24"/>
          <w:szCs w:val="24"/>
          <w:lang w:val="en-US" w:eastAsia="da-DK"/>
        </w:rPr>
        <w:t>degrading treatment.</w:t>
      </w:r>
    </w:p>
    <w:p w14:paraId="0AAE84F3" w14:textId="6437E3CF" w:rsidR="00DB0B9D" w:rsidRPr="0039705C" w:rsidRDefault="00DB0B9D" w:rsidP="00DB0B9D">
      <w:pPr>
        <w:shd w:val="clear" w:color="auto" w:fill="FFFFFF"/>
        <w:spacing w:after="384"/>
        <w:textAlignment w:val="baseline"/>
        <w:rPr>
          <w:rFonts w:ascii="Garamond" w:hAnsi="Garamond" w:cstheme="majorBidi"/>
          <w:color w:val="000000"/>
          <w:sz w:val="24"/>
          <w:szCs w:val="24"/>
          <w:lang w:val="en-US" w:eastAsia="da-DK"/>
        </w:rPr>
      </w:pPr>
      <w:r w:rsidRPr="0039705C">
        <w:rPr>
          <w:rFonts w:ascii="Garamond" w:hAnsi="Garamond" w:cstheme="majorBidi"/>
          <w:color w:val="000000"/>
          <w:sz w:val="24"/>
          <w:szCs w:val="24"/>
          <w:lang w:val="en-US" w:eastAsia="da-DK"/>
        </w:rPr>
        <w:t xml:space="preserve">Founded in 1982, DIGNITY is one of the world’s first anti-torture NGOs and specialized treatment </w:t>
      </w:r>
      <w:r w:rsidRPr="0039705C">
        <w:rPr>
          <w:rFonts w:ascii="Garamond" w:hAnsi="Garamond" w:cstheme="majorBidi"/>
          <w:color w:val="000000"/>
          <w:sz w:val="24"/>
          <w:szCs w:val="24"/>
          <w:lang w:eastAsia="da-DK"/>
        </w:rPr>
        <w:t>centres</w:t>
      </w:r>
      <w:r w:rsidRPr="0039705C">
        <w:rPr>
          <w:rFonts w:ascii="Garamond" w:hAnsi="Garamond" w:cstheme="majorBidi"/>
          <w:color w:val="000000"/>
          <w:sz w:val="24"/>
          <w:szCs w:val="24"/>
          <w:lang w:val="en-US" w:eastAsia="da-DK"/>
        </w:rPr>
        <w:t xml:space="preserve"> for torture survivors. For 40 years, DIGNITY has been a leading civil society force in the global fight against torture</w:t>
      </w:r>
      <w:r w:rsidR="008C7A2D" w:rsidRPr="0039705C">
        <w:rPr>
          <w:rFonts w:ascii="Garamond" w:hAnsi="Garamond" w:cstheme="majorBidi"/>
          <w:color w:val="000000"/>
          <w:sz w:val="24"/>
          <w:szCs w:val="24"/>
          <w:lang w:val="en-US" w:eastAsia="da-DK"/>
        </w:rPr>
        <w:t xml:space="preserve"> and today our programming spans the health, legal and political sectors. </w:t>
      </w:r>
    </w:p>
    <w:p w14:paraId="642F1F50" w14:textId="6E3BB6D7" w:rsidR="00DB0B9D" w:rsidRPr="0039705C" w:rsidRDefault="00DB0B9D" w:rsidP="00DB0B9D">
      <w:pPr>
        <w:shd w:val="clear" w:color="auto" w:fill="FFFFFF"/>
        <w:spacing w:after="384"/>
        <w:textAlignment w:val="baseline"/>
        <w:rPr>
          <w:rFonts w:ascii="Garamond" w:hAnsi="Garamond" w:cstheme="majorBidi"/>
          <w:color w:val="000000"/>
          <w:sz w:val="24"/>
          <w:szCs w:val="24"/>
          <w:lang w:val="en-US" w:eastAsia="da-DK"/>
        </w:rPr>
      </w:pPr>
      <w:r w:rsidRPr="0039705C">
        <w:rPr>
          <w:rFonts w:ascii="Garamond" w:hAnsi="Garamond" w:cstheme="majorBidi"/>
          <w:color w:val="000000"/>
          <w:sz w:val="24"/>
          <w:szCs w:val="24"/>
          <w:lang w:val="en-US" w:eastAsia="da-DK"/>
        </w:rPr>
        <w:t>DIGNITY is headquartered in Copenhagen</w:t>
      </w:r>
      <w:r w:rsidR="008C7A2D" w:rsidRPr="0039705C">
        <w:rPr>
          <w:rFonts w:ascii="Garamond" w:hAnsi="Garamond" w:cstheme="majorBidi"/>
          <w:color w:val="000000"/>
          <w:sz w:val="24"/>
          <w:szCs w:val="24"/>
          <w:lang w:val="en-US" w:eastAsia="da-DK"/>
        </w:rPr>
        <w:t>,</w:t>
      </w:r>
      <w:r w:rsidR="003959D3" w:rsidRPr="0039705C">
        <w:rPr>
          <w:rFonts w:ascii="Garamond" w:hAnsi="Garamond" w:cstheme="majorBidi"/>
          <w:color w:val="000000"/>
          <w:sz w:val="24"/>
          <w:szCs w:val="24"/>
          <w:lang w:val="en-US" w:eastAsia="da-DK"/>
        </w:rPr>
        <w:t xml:space="preserve"> Denmark,</w:t>
      </w:r>
      <w:r w:rsidR="008C7A2D" w:rsidRPr="0039705C">
        <w:rPr>
          <w:rFonts w:ascii="Garamond" w:hAnsi="Garamond" w:cstheme="majorBidi"/>
          <w:color w:val="000000"/>
          <w:sz w:val="24"/>
          <w:szCs w:val="24"/>
          <w:lang w:val="en-US" w:eastAsia="da-DK"/>
        </w:rPr>
        <w:t xml:space="preserve"> has country offices i</w:t>
      </w:r>
      <w:r w:rsidR="009D555E" w:rsidRPr="0039705C">
        <w:rPr>
          <w:rFonts w:ascii="Garamond" w:hAnsi="Garamond" w:cstheme="majorBidi"/>
          <w:color w:val="000000"/>
          <w:sz w:val="24"/>
          <w:szCs w:val="24"/>
          <w:lang w:val="en-US" w:eastAsia="da-DK"/>
        </w:rPr>
        <w:t>n</w:t>
      </w:r>
      <w:r w:rsidR="008C7A2D" w:rsidRPr="0039705C">
        <w:rPr>
          <w:rFonts w:ascii="Garamond" w:hAnsi="Garamond" w:cstheme="majorBidi"/>
          <w:color w:val="000000"/>
          <w:sz w:val="24"/>
          <w:szCs w:val="24"/>
          <w:lang w:val="en-US" w:eastAsia="da-DK"/>
        </w:rPr>
        <w:t xml:space="preserve"> Jordan and Tunisia,</w:t>
      </w:r>
      <w:r w:rsidRPr="0039705C">
        <w:rPr>
          <w:rFonts w:ascii="Garamond" w:hAnsi="Garamond" w:cstheme="majorBidi"/>
          <w:color w:val="000000"/>
          <w:sz w:val="24"/>
          <w:szCs w:val="24"/>
          <w:lang w:val="en-US" w:eastAsia="da-DK"/>
        </w:rPr>
        <w:t xml:space="preserve"> and currently employs around 140 staff globally. We have active partnerships with more than 30 local and international NGOs and research institutions around the world.</w:t>
      </w:r>
    </w:p>
    <w:p w14:paraId="7ED13360" w14:textId="2D9BF28F" w:rsidR="00DB0B9D" w:rsidRPr="0039705C" w:rsidRDefault="00DB0B9D" w:rsidP="00DB0B9D">
      <w:pPr>
        <w:shd w:val="clear" w:color="auto" w:fill="FFFFFF"/>
        <w:textAlignment w:val="baseline"/>
        <w:rPr>
          <w:rFonts w:ascii="Garamond" w:hAnsi="Garamond" w:cstheme="majorBidi"/>
          <w:color w:val="000000"/>
          <w:sz w:val="24"/>
          <w:szCs w:val="24"/>
          <w:lang w:val="en-US" w:eastAsia="da-DK"/>
        </w:rPr>
      </w:pPr>
      <w:r w:rsidRPr="0039705C">
        <w:rPr>
          <w:rFonts w:ascii="Garamond" w:hAnsi="Garamond" w:cstheme="majorBidi"/>
          <w:color w:val="000000"/>
          <w:sz w:val="24"/>
          <w:szCs w:val="24"/>
          <w:lang w:val="en-US" w:eastAsia="da-DK"/>
        </w:rPr>
        <w:t xml:space="preserve">DIGNITY operates in </w:t>
      </w:r>
      <w:r w:rsidR="003959D3" w:rsidRPr="0039705C">
        <w:rPr>
          <w:rFonts w:ascii="Garamond" w:hAnsi="Garamond" w:cstheme="majorBidi"/>
          <w:color w:val="000000"/>
          <w:sz w:val="24"/>
          <w:szCs w:val="24"/>
          <w:lang w:val="en-US" w:eastAsia="da-DK"/>
        </w:rPr>
        <w:t xml:space="preserve">more than </w:t>
      </w:r>
      <w:r w:rsidRPr="0039705C">
        <w:rPr>
          <w:rFonts w:ascii="Garamond" w:hAnsi="Garamond" w:cstheme="majorBidi"/>
          <w:color w:val="000000"/>
          <w:sz w:val="24"/>
          <w:szCs w:val="24"/>
          <w:lang w:val="en-US" w:eastAsia="da-DK"/>
        </w:rPr>
        <w:t xml:space="preserve">20 countries in Africa, </w:t>
      </w:r>
      <w:r w:rsidR="0019408B" w:rsidRPr="0039705C">
        <w:rPr>
          <w:rFonts w:ascii="Garamond" w:hAnsi="Garamond" w:cstheme="majorBidi"/>
          <w:color w:val="000000"/>
          <w:sz w:val="24"/>
          <w:szCs w:val="24"/>
          <w:lang w:val="en-US" w:eastAsia="da-DK"/>
        </w:rPr>
        <w:t xml:space="preserve">the </w:t>
      </w:r>
      <w:r w:rsidRPr="0039705C">
        <w:rPr>
          <w:rFonts w:ascii="Garamond" w:hAnsi="Garamond" w:cstheme="majorBidi"/>
          <w:color w:val="000000"/>
          <w:sz w:val="24"/>
          <w:szCs w:val="24"/>
          <w:lang w:val="en-US" w:eastAsia="da-DK"/>
        </w:rPr>
        <w:t>Middle East, Asia, Eastern Europe, and Central America, where we work in close partnerships with human rights defenders, civil society organizations and, where possible, government authorities.</w:t>
      </w:r>
      <w:r w:rsidR="001C151C" w:rsidRPr="0039705C">
        <w:rPr>
          <w:rFonts w:ascii="Garamond" w:hAnsi="Garamond" w:cstheme="majorBidi"/>
          <w:color w:val="000000"/>
          <w:sz w:val="24"/>
          <w:szCs w:val="24"/>
          <w:lang w:val="en-US" w:eastAsia="da-DK"/>
        </w:rPr>
        <w:t xml:space="preserve"> DIGNITY is a </w:t>
      </w:r>
      <w:r w:rsidR="001C151C" w:rsidRPr="0039705C">
        <w:rPr>
          <w:rFonts w:ascii="Garamond" w:hAnsi="Garamond"/>
          <w:sz w:val="24"/>
          <w:szCs w:val="24"/>
        </w:rPr>
        <w:t>member of the World Health Organization’s Violence Prevention Alliance and the UN Sub-Committee on Prevention of Torture</w:t>
      </w:r>
      <w:r w:rsidR="00C37628" w:rsidRPr="0039705C">
        <w:rPr>
          <w:rFonts w:ascii="Garamond" w:hAnsi="Garamond"/>
          <w:sz w:val="24"/>
          <w:szCs w:val="24"/>
        </w:rPr>
        <w:t>.</w:t>
      </w:r>
    </w:p>
    <w:p w14:paraId="025D1D0C" w14:textId="77777777" w:rsidR="00630C7B" w:rsidRPr="0039705C" w:rsidRDefault="00630C7B" w:rsidP="00DB0B9D">
      <w:pPr>
        <w:shd w:val="clear" w:color="auto" w:fill="FFFFFF"/>
        <w:textAlignment w:val="baseline"/>
        <w:rPr>
          <w:rFonts w:ascii="Garamond" w:hAnsi="Garamond" w:cstheme="majorBidi"/>
          <w:color w:val="000000"/>
          <w:sz w:val="24"/>
          <w:szCs w:val="24"/>
          <w:lang w:val="en-US" w:eastAsia="da-DK"/>
        </w:rPr>
      </w:pPr>
    </w:p>
    <w:p w14:paraId="46DD864E" w14:textId="062DF532" w:rsidR="00DB0B9D" w:rsidRPr="0039705C" w:rsidRDefault="00DB0B9D" w:rsidP="009F00AF">
      <w:pPr>
        <w:pStyle w:val="BodyA"/>
        <w:outlineLvl w:val="0"/>
        <w:rPr>
          <w:rStyle w:val="None"/>
          <w:rFonts w:ascii="Garamond" w:hAnsi="Garamond" w:cs="Times New Roman"/>
          <w:b/>
          <w:bCs/>
        </w:rPr>
      </w:pPr>
    </w:p>
    <w:p w14:paraId="2C242574" w14:textId="77777777" w:rsidR="00630C7B" w:rsidRPr="0039705C" w:rsidRDefault="00630C7B" w:rsidP="009F00AF">
      <w:pPr>
        <w:pStyle w:val="BodyA"/>
        <w:outlineLvl w:val="0"/>
        <w:rPr>
          <w:rStyle w:val="None"/>
          <w:rFonts w:ascii="Garamond" w:hAnsi="Garamond" w:cs="Times New Roman"/>
          <w:b/>
          <w:bCs/>
        </w:rPr>
      </w:pPr>
    </w:p>
    <w:p w14:paraId="3EBA6194" w14:textId="63CB0564" w:rsidR="00630C7B" w:rsidRPr="0039705C" w:rsidRDefault="00630C7B" w:rsidP="00630C7B">
      <w:pPr>
        <w:pStyle w:val="Heading1"/>
        <w:ind w:left="0"/>
        <w:jc w:val="left"/>
        <w:rPr>
          <w:rFonts w:ascii="Garamond" w:hAnsi="Garamond" w:cstheme="majorBidi"/>
          <w:sz w:val="32"/>
          <w:szCs w:val="32"/>
          <w:u w:val="single"/>
        </w:rPr>
      </w:pPr>
      <w:bookmarkStart w:id="0" w:name="_Toc48734680"/>
    </w:p>
    <w:p w14:paraId="5FF4A0BC" w14:textId="77777777" w:rsidR="0039705C" w:rsidRPr="0039705C" w:rsidRDefault="0039705C" w:rsidP="0039705C">
      <w:pPr>
        <w:rPr>
          <w:rFonts w:ascii="Garamond" w:hAnsi="Garamond"/>
        </w:rPr>
      </w:pPr>
    </w:p>
    <w:p w14:paraId="610375E8" w14:textId="77777777" w:rsidR="0039705C" w:rsidRPr="0039705C" w:rsidRDefault="0039705C" w:rsidP="0039705C">
      <w:pPr>
        <w:rPr>
          <w:rFonts w:ascii="Garamond" w:hAnsi="Garamond"/>
        </w:rPr>
      </w:pPr>
    </w:p>
    <w:p w14:paraId="11F50DE9" w14:textId="77777777" w:rsidR="0039705C" w:rsidRPr="0039705C" w:rsidRDefault="0039705C" w:rsidP="0039705C">
      <w:pPr>
        <w:rPr>
          <w:rFonts w:ascii="Garamond" w:hAnsi="Garamond"/>
        </w:rPr>
      </w:pPr>
    </w:p>
    <w:p w14:paraId="43CF3210" w14:textId="77777777" w:rsidR="0039705C" w:rsidRPr="0039705C" w:rsidRDefault="0039705C" w:rsidP="0039705C">
      <w:pPr>
        <w:rPr>
          <w:rFonts w:ascii="Garamond" w:hAnsi="Garamond"/>
        </w:rPr>
      </w:pPr>
    </w:p>
    <w:p w14:paraId="372EE278" w14:textId="77777777" w:rsidR="0039705C" w:rsidRPr="0039705C" w:rsidRDefault="0039705C" w:rsidP="0039705C">
      <w:pPr>
        <w:rPr>
          <w:rFonts w:ascii="Garamond" w:hAnsi="Garamond"/>
        </w:rPr>
      </w:pPr>
    </w:p>
    <w:p w14:paraId="14CF6712" w14:textId="77777777" w:rsidR="0039705C" w:rsidRPr="0039705C" w:rsidRDefault="0039705C" w:rsidP="0039705C">
      <w:pPr>
        <w:rPr>
          <w:rFonts w:ascii="Garamond" w:hAnsi="Garamond"/>
        </w:rPr>
      </w:pPr>
    </w:p>
    <w:p w14:paraId="0B49EE7C" w14:textId="77777777" w:rsidR="0039705C" w:rsidRPr="0039705C" w:rsidRDefault="0039705C" w:rsidP="0039705C">
      <w:pPr>
        <w:rPr>
          <w:rFonts w:ascii="Garamond" w:hAnsi="Garamond"/>
        </w:rPr>
      </w:pPr>
    </w:p>
    <w:p w14:paraId="203A51F9" w14:textId="77777777" w:rsidR="0039705C" w:rsidRPr="0039705C" w:rsidRDefault="0039705C" w:rsidP="0039705C">
      <w:pPr>
        <w:rPr>
          <w:rFonts w:ascii="Garamond" w:hAnsi="Garamond"/>
        </w:rPr>
      </w:pPr>
    </w:p>
    <w:p w14:paraId="33D18D95" w14:textId="77777777" w:rsidR="0039705C" w:rsidRPr="0039705C" w:rsidRDefault="0039705C" w:rsidP="0039705C">
      <w:pPr>
        <w:rPr>
          <w:rFonts w:ascii="Garamond" w:hAnsi="Garamond"/>
        </w:rPr>
      </w:pPr>
    </w:p>
    <w:p w14:paraId="46BE0FF9" w14:textId="77777777" w:rsidR="0039705C" w:rsidRPr="0039705C" w:rsidRDefault="0039705C" w:rsidP="0039705C">
      <w:pPr>
        <w:rPr>
          <w:rFonts w:ascii="Garamond" w:hAnsi="Garamond"/>
        </w:rPr>
      </w:pPr>
    </w:p>
    <w:p w14:paraId="7CAEF4B5" w14:textId="77777777" w:rsidR="0039705C" w:rsidRPr="0039705C" w:rsidRDefault="0039705C" w:rsidP="0039705C">
      <w:pPr>
        <w:rPr>
          <w:rFonts w:ascii="Garamond" w:hAnsi="Garamond"/>
        </w:rPr>
      </w:pPr>
    </w:p>
    <w:p w14:paraId="0919DD2B" w14:textId="77777777" w:rsidR="0039705C" w:rsidRPr="0039705C" w:rsidRDefault="0039705C" w:rsidP="0039705C">
      <w:pPr>
        <w:rPr>
          <w:rFonts w:ascii="Garamond" w:hAnsi="Garamond"/>
        </w:rPr>
      </w:pPr>
    </w:p>
    <w:p w14:paraId="691A2554" w14:textId="77777777" w:rsidR="0039705C" w:rsidRPr="0039705C" w:rsidRDefault="0039705C" w:rsidP="0039705C">
      <w:pPr>
        <w:rPr>
          <w:rFonts w:ascii="Garamond" w:hAnsi="Garamond"/>
        </w:rPr>
      </w:pPr>
    </w:p>
    <w:p w14:paraId="2C735C52" w14:textId="77777777" w:rsidR="0039705C" w:rsidRPr="0039705C" w:rsidRDefault="0039705C" w:rsidP="0039705C">
      <w:pPr>
        <w:rPr>
          <w:rFonts w:ascii="Garamond" w:hAnsi="Garamond"/>
        </w:rPr>
      </w:pPr>
    </w:p>
    <w:p w14:paraId="61CD1E1E" w14:textId="77777777" w:rsidR="0039705C" w:rsidRPr="0039705C" w:rsidRDefault="0039705C" w:rsidP="0039705C">
      <w:pPr>
        <w:rPr>
          <w:rFonts w:ascii="Garamond" w:hAnsi="Garamond"/>
        </w:rPr>
      </w:pPr>
    </w:p>
    <w:p w14:paraId="22DD5A9D" w14:textId="77777777" w:rsidR="0039705C" w:rsidRPr="0039705C" w:rsidRDefault="0039705C" w:rsidP="0039705C">
      <w:pPr>
        <w:rPr>
          <w:rFonts w:ascii="Garamond" w:hAnsi="Garamond"/>
        </w:rPr>
      </w:pPr>
    </w:p>
    <w:p w14:paraId="4B25B81D" w14:textId="77777777" w:rsidR="0039705C" w:rsidRPr="0039705C" w:rsidRDefault="0039705C" w:rsidP="0039705C">
      <w:pPr>
        <w:rPr>
          <w:rFonts w:ascii="Garamond" w:hAnsi="Garamond"/>
        </w:rPr>
      </w:pPr>
    </w:p>
    <w:p w14:paraId="1DDA4675" w14:textId="77777777" w:rsidR="0039705C" w:rsidRPr="0039705C" w:rsidRDefault="0039705C" w:rsidP="0039705C">
      <w:pPr>
        <w:rPr>
          <w:rFonts w:ascii="Garamond" w:hAnsi="Garamond"/>
        </w:rPr>
      </w:pPr>
    </w:p>
    <w:p w14:paraId="4326F209" w14:textId="77777777" w:rsidR="0039705C" w:rsidRPr="0039705C" w:rsidRDefault="0039705C" w:rsidP="0039705C">
      <w:pPr>
        <w:rPr>
          <w:rFonts w:ascii="Garamond" w:hAnsi="Garamond"/>
        </w:rPr>
      </w:pPr>
    </w:p>
    <w:p w14:paraId="14CCD88B" w14:textId="77777777" w:rsidR="0039705C" w:rsidRPr="0039705C" w:rsidRDefault="0039705C" w:rsidP="0039705C">
      <w:pPr>
        <w:rPr>
          <w:rFonts w:ascii="Garamond" w:hAnsi="Garamond"/>
        </w:rPr>
      </w:pPr>
    </w:p>
    <w:p w14:paraId="296CDCFC" w14:textId="77777777" w:rsidR="0039705C" w:rsidRPr="0039705C" w:rsidRDefault="0039705C" w:rsidP="0039705C">
      <w:pPr>
        <w:rPr>
          <w:rFonts w:ascii="Garamond" w:hAnsi="Garamond"/>
        </w:rPr>
      </w:pPr>
    </w:p>
    <w:p w14:paraId="0436803E" w14:textId="77777777" w:rsidR="0039705C" w:rsidRPr="0039705C" w:rsidRDefault="0039705C" w:rsidP="0039705C">
      <w:pPr>
        <w:rPr>
          <w:rFonts w:ascii="Garamond" w:hAnsi="Garamond"/>
        </w:rPr>
      </w:pPr>
    </w:p>
    <w:p w14:paraId="402B41A1" w14:textId="77777777" w:rsidR="0039705C" w:rsidRPr="0039705C" w:rsidRDefault="0039705C" w:rsidP="0039705C">
      <w:pPr>
        <w:rPr>
          <w:rFonts w:ascii="Garamond" w:hAnsi="Garamond"/>
        </w:rPr>
      </w:pPr>
    </w:p>
    <w:p w14:paraId="461591FD" w14:textId="77777777" w:rsidR="0039705C" w:rsidRPr="0039705C" w:rsidRDefault="0039705C" w:rsidP="0039705C">
      <w:pPr>
        <w:rPr>
          <w:rFonts w:ascii="Garamond" w:hAnsi="Garamond"/>
        </w:rPr>
      </w:pPr>
    </w:p>
    <w:p w14:paraId="25D07B36" w14:textId="77777777" w:rsidR="0039705C" w:rsidRPr="0039705C" w:rsidRDefault="0039705C" w:rsidP="0039705C">
      <w:pPr>
        <w:rPr>
          <w:rFonts w:ascii="Garamond" w:hAnsi="Garamond"/>
        </w:rPr>
      </w:pPr>
    </w:p>
    <w:p w14:paraId="6AAF8053" w14:textId="77777777" w:rsidR="0039705C" w:rsidRPr="0039705C" w:rsidRDefault="0039705C" w:rsidP="0039705C">
      <w:pPr>
        <w:rPr>
          <w:rFonts w:ascii="Garamond" w:hAnsi="Garamond"/>
        </w:rPr>
      </w:pPr>
    </w:p>
    <w:p w14:paraId="7E9AB1F4" w14:textId="77777777" w:rsidR="00630C7B" w:rsidRPr="0039705C" w:rsidRDefault="00630C7B" w:rsidP="00630C7B">
      <w:pPr>
        <w:rPr>
          <w:rFonts w:ascii="Garamond" w:hAnsi="Garamond"/>
        </w:rPr>
      </w:pPr>
    </w:p>
    <w:p w14:paraId="003379F8" w14:textId="6FA4A5BF" w:rsidR="00630C7B" w:rsidRPr="0039705C" w:rsidRDefault="00630C7B" w:rsidP="00630C7B">
      <w:pPr>
        <w:pStyle w:val="Heading1"/>
        <w:ind w:left="0"/>
        <w:jc w:val="left"/>
        <w:rPr>
          <w:rFonts w:ascii="Garamond" w:hAnsi="Garamond" w:cstheme="majorBidi"/>
          <w:sz w:val="32"/>
          <w:szCs w:val="32"/>
          <w:u w:val="single"/>
        </w:rPr>
      </w:pPr>
    </w:p>
    <w:p w14:paraId="639696E2" w14:textId="77777777" w:rsidR="00630C7B" w:rsidRPr="0039705C" w:rsidRDefault="00630C7B" w:rsidP="00630C7B">
      <w:pPr>
        <w:rPr>
          <w:rFonts w:ascii="Garamond" w:hAnsi="Garamond"/>
        </w:rPr>
      </w:pPr>
    </w:p>
    <w:bookmarkEnd w:id="0"/>
    <w:p w14:paraId="29D8CEEE" w14:textId="6F723F2E" w:rsidR="00F35C9A" w:rsidRPr="0039705C" w:rsidRDefault="00F35C9A" w:rsidP="0039705C">
      <w:pPr>
        <w:shd w:val="clear" w:color="auto" w:fill="FFFFFF"/>
        <w:spacing w:line="259" w:lineRule="auto"/>
        <w:outlineLvl w:val="2"/>
        <w:rPr>
          <w:rFonts w:ascii="Garamond" w:hAnsi="Garamond" w:cstheme="majorBidi"/>
          <w:sz w:val="24"/>
          <w:szCs w:val="24"/>
        </w:rPr>
      </w:pPr>
    </w:p>
    <w:p w14:paraId="3B703C1C" w14:textId="77777777" w:rsidR="0039705C" w:rsidRDefault="0039705C" w:rsidP="0039705C">
      <w:pPr>
        <w:shd w:val="clear" w:color="auto" w:fill="FFFFFF"/>
        <w:spacing w:line="259" w:lineRule="auto"/>
        <w:outlineLvl w:val="2"/>
        <w:rPr>
          <w:rFonts w:ascii="Garamond" w:hAnsi="Garamond" w:cstheme="majorBidi"/>
          <w:sz w:val="24"/>
          <w:szCs w:val="24"/>
        </w:rPr>
      </w:pPr>
    </w:p>
    <w:p w14:paraId="3E470C3E" w14:textId="77777777" w:rsidR="0039705C" w:rsidRDefault="0039705C" w:rsidP="0039705C">
      <w:pPr>
        <w:shd w:val="clear" w:color="auto" w:fill="FFFFFF"/>
        <w:spacing w:line="259" w:lineRule="auto"/>
        <w:outlineLvl w:val="2"/>
        <w:rPr>
          <w:rFonts w:ascii="Garamond" w:hAnsi="Garamond" w:cstheme="majorBidi"/>
          <w:sz w:val="24"/>
          <w:szCs w:val="24"/>
        </w:rPr>
      </w:pPr>
    </w:p>
    <w:p w14:paraId="08B50660" w14:textId="77777777" w:rsidR="0039705C" w:rsidRDefault="0039705C" w:rsidP="0039705C">
      <w:pPr>
        <w:shd w:val="clear" w:color="auto" w:fill="FFFFFF"/>
        <w:spacing w:line="259" w:lineRule="auto"/>
        <w:outlineLvl w:val="2"/>
        <w:rPr>
          <w:rFonts w:ascii="Garamond" w:hAnsi="Garamond" w:cstheme="majorBidi"/>
          <w:sz w:val="24"/>
          <w:szCs w:val="24"/>
        </w:rPr>
      </w:pPr>
    </w:p>
    <w:p w14:paraId="4B8D0724" w14:textId="25377C25" w:rsidR="007C4075" w:rsidRPr="007C4075" w:rsidRDefault="007C4075" w:rsidP="00C51FD2">
      <w:pPr>
        <w:pStyle w:val="ListParagraph"/>
        <w:numPr>
          <w:ilvl w:val="0"/>
          <w:numId w:val="15"/>
        </w:numPr>
        <w:spacing w:before="100" w:beforeAutospacing="1" w:after="100" w:afterAutospacing="1"/>
        <w:contextualSpacing w:val="0"/>
        <w:rPr>
          <w:rFonts w:ascii="Garamond" w:hAnsi="Garamond"/>
          <w:b/>
          <w:bCs/>
          <w:sz w:val="32"/>
          <w:szCs w:val="32"/>
          <w:u w:val="single"/>
          <w:lang w:val="en-US" w:eastAsia="da-DK"/>
        </w:rPr>
      </w:pPr>
      <w:r>
        <w:rPr>
          <w:rFonts w:ascii="Garamond" w:hAnsi="Garamond"/>
          <w:b/>
          <w:bCs/>
          <w:sz w:val="32"/>
          <w:szCs w:val="32"/>
          <w:u w:val="single"/>
          <w:lang w:val="en-US" w:eastAsia="da-DK"/>
        </w:rPr>
        <w:t>Introduction</w:t>
      </w:r>
    </w:p>
    <w:p w14:paraId="4C2AC3FA" w14:textId="00D5ABEB" w:rsidR="00C71D80" w:rsidRPr="00C51FD2" w:rsidRDefault="00421128" w:rsidP="00C51FD2">
      <w:pPr>
        <w:pStyle w:val="ListParagraph"/>
        <w:numPr>
          <w:ilvl w:val="0"/>
          <w:numId w:val="16"/>
        </w:numPr>
        <w:spacing w:before="120" w:after="120"/>
        <w:ind w:left="357" w:hanging="357"/>
        <w:contextualSpacing w:val="0"/>
        <w:rPr>
          <w:rFonts w:ascii="Garamond" w:hAnsi="Garamond"/>
          <w:sz w:val="24"/>
          <w:szCs w:val="24"/>
          <w:lang w:val="en-US" w:eastAsia="da-DK"/>
        </w:rPr>
      </w:pPr>
      <w:r w:rsidRPr="00C51FD2">
        <w:rPr>
          <w:rFonts w:ascii="Garamond" w:hAnsi="Garamond"/>
          <w:sz w:val="24"/>
          <w:szCs w:val="24"/>
          <w:lang w:val="en-US" w:eastAsia="da-DK"/>
        </w:rPr>
        <w:t>The following submission is intended to provide information regarding the context</w:t>
      </w:r>
      <w:r w:rsidR="00E91F69" w:rsidRPr="00C51FD2">
        <w:rPr>
          <w:rFonts w:ascii="Garamond" w:hAnsi="Garamond"/>
          <w:sz w:val="24"/>
          <w:szCs w:val="24"/>
          <w:lang w:val="en-US" w:eastAsia="da-DK"/>
        </w:rPr>
        <w:t xml:space="preserve"> in Egypt</w:t>
      </w:r>
      <w:r w:rsidRPr="00C51FD2">
        <w:rPr>
          <w:rFonts w:ascii="Garamond" w:hAnsi="Garamond"/>
          <w:sz w:val="24"/>
          <w:szCs w:val="24"/>
          <w:lang w:val="en-US" w:eastAsia="da-DK"/>
        </w:rPr>
        <w:t xml:space="preserve"> </w:t>
      </w:r>
      <w:r w:rsidR="00C71D80" w:rsidRPr="00C51FD2">
        <w:rPr>
          <w:rFonts w:ascii="Garamond" w:hAnsi="Garamond"/>
          <w:sz w:val="24"/>
          <w:szCs w:val="24"/>
          <w:lang w:val="en-US" w:eastAsia="da-DK"/>
        </w:rPr>
        <w:t>where</w:t>
      </w:r>
      <w:r w:rsidR="00901E3E">
        <w:rPr>
          <w:rFonts w:ascii="Garamond" w:hAnsi="Garamond"/>
          <w:sz w:val="24"/>
          <w:szCs w:val="24"/>
          <w:lang w:val="en-US" w:eastAsia="da-DK"/>
        </w:rPr>
        <w:t xml:space="preserve"> democratic voices are systematically subjected to torture and other cruel, inhuman, or degrading treatment only made possible by </w:t>
      </w:r>
      <w:r w:rsidRPr="00C51FD2">
        <w:rPr>
          <w:rFonts w:ascii="Garamond" w:hAnsi="Garamond"/>
          <w:sz w:val="24"/>
          <w:szCs w:val="24"/>
          <w:lang w:val="en-US" w:eastAsia="da-DK"/>
        </w:rPr>
        <w:t>pervasive impunity</w:t>
      </w:r>
      <w:r w:rsidR="00901E3E">
        <w:rPr>
          <w:rFonts w:ascii="Garamond" w:hAnsi="Garamond"/>
          <w:sz w:val="24"/>
          <w:szCs w:val="24"/>
          <w:lang w:val="en-US" w:eastAsia="da-DK"/>
        </w:rPr>
        <w:t xml:space="preserve"> facilitated by Egypt’s prosecutors and judges</w:t>
      </w:r>
      <w:r w:rsidRPr="00C51FD2">
        <w:rPr>
          <w:rFonts w:ascii="Garamond" w:hAnsi="Garamond"/>
          <w:sz w:val="24"/>
          <w:szCs w:val="24"/>
          <w:lang w:val="en-US" w:eastAsia="da-DK"/>
        </w:rPr>
        <w:t xml:space="preserve">. </w:t>
      </w:r>
    </w:p>
    <w:p w14:paraId="4559CBCD" w14:textId="1D1B6ED9" w:rsidR="007C4075" w:rsidRPr="007C4075" w:rsidRDefault="007C4075" w:rsidP="00C51FD2">
      <w:pPr>
        <w:pStyle w:val="ListParagraph"/>
        <w:numPr>
          <w:ilvl w:val="0"/>
          <w:numId w:val="15"/>
        </w:numPr>
        <w:spacing w:before="120" w:after="120"/>
        <w:contextualSpacing w:val="0"/>
        <w:rPr>
          <w:rFonts w:ascii="Garamond" w:hAnsi="Garamond"/>
          <w:b/>
          <w:bCs/>
          <w:sz w:val="32"/>
          <w:szCs w:val="32"/>
          <w:u w:val="single"/>
          <w:lang w:val="en-US" w:eastAsia="da-DK"/>
        </w:rPr>
      </w:pPr>
      <w:r>
        <w:rPr>
          <w:rFonts w:ascii="Garamond" w:hAnsi="Garamond"/>
          <w:b/>
          <w:bCs/>
          <w:sz w:val="32"/>
          <w:szCs w:val="32"/>
          <w:u w:val="single"/>
          <w:lang w:val="en-US" w:eastAsia="da-DK"/>
        </w:rPr>
        <w:t>Systematic Torture and Ill-Treatment in Egypt is Facilitated by Overlapping and Reinforcing Structures of Impunity</w:t>
      </w:r>
    </w:p>
    <w:p w14:paraId="66340F6A" w14:textId="1F928CF3" w:rsidR="00C92F22" w:rsidRPr="00C51FD2" w:rsidRDefault="007C4075" w:rsidP="00C51FD2">
      <w:pPr>
        <w:pStyle w:val="ListParagraph"/>
        <w:numPr>
          <w:ilvl w:val="0"/>
          <w:numId w:val="16"/>
        </w:numPr>
        <w:spacing w:before="120" w:after="120"/>
        <w:contextualSpacing w:val="0"/>
        <w:rPr>
          <w:rFonts w:ascii="Garamond" w:hAnsi="Garamond"/>
          <w:sz w:val="24"/>
          <w:szCs w:val="24"/>
          <w:lang w:val="en-US"/>
        </w:rPr>
      </w:pPr>
      <w:r w:rsidRPr="00C51FD2">
        <w:rPr>
          <w:rFonts w:ascii="Garamond" w:hAnsi="Garamond"/>
          <w:sz w:val="24"/>
          <w:szCs w:val="24"/>
          <w:lang w:val="en-US" w:eastAsia="da-DK"/>
        </w:rPr>
        <w:t xml:space="preserve">Put plainly, </w:t>
      </w:r>
      <w:r w:rsidR="00C92F22" w:rsidRPr="00C51FD2">
        <w:rPr>
          <w:rFonts w:ascii="Garamond" w:hAnsi="Garamond"/>
          <w:sz w:val="24"/>
          <w:szCs w:val="24"/>
          <w:lang w:val="en-US"/>
        </w:rPr>
        <w:t>Egyptian legislation, judicial corruption and overall institutional capture by authoritarians work in concert to ensure a decade-long practice of politically motivated arbitrary arrests, enforced disappearances, torture</w:t>
      </w:r>
      <w:r w:rsidR="00835EDA" w:rsidRPr="00C51FD2">
        <w:rPr>
          <w:rFonts w:ascii="Garamond" w:hAnsi="Garamond"/>
          <w:sz w:val="24"/>
          <w:szCs w:val="24"/>
          <w:lang w:val="en-US"/>
        </w:rPr>
        <w:t>,</w:t>
      </w:r>
      <w:r w:rsidR="00C92F22" w:rsidRPr="00C51FD2">
        <w:rPr>
          <w:rFonts w:ascii="Garamond" w:hAnsi="Garamond"/>
          <w:sz w:val="24"/>
          <w:szCs w:val="24"/>
          <w:lang w:val="en-US"/>
        </w:rPr>
        <w:t xml:space="preserve"> imprisonment</w:t>
      </w:r>
      <w:r w:rsidRPr="00C51FD2">
        <w:rPr>
          <w:rFonts w:ascii="Garamond" w:hAnsi="Garamond"/>
          <w:sz w:val="24"/>
          <w:szCs w:val="24"/>
          <w:lang w:val="en-US"/>
        </w:rPr>
        <w:t xml:space="preserve"> under squalid conditions</w:t>
      </w:r>
      <w:r w:rsidR="00835EDA" w:rsidRPr="00C51FD2">
        <w:rPr>
          <w:rFonts w:ascii="Garamond" w:hAnsi="Garamond"/>
          <w:sz w:val="24"/>
          <w:szCs w:val="24"/>
          <w:lang w:val="en-US"/>
        </w:rPr>
        <w:t>, and other ill-treatment</w:t>
      </w:r>
      <w:r w:rsidR="0039705C" w:rsidRPr="00C51FD2">
        <w:rPr>
          <w:rFonts w:ascii="Garamond" w:hAnsi="Garamond"/>
          <w:sz w:val="24"/>
          <w:szCs w:val="24"/>
          <w:lang w:val="en-US"/>
        </w:rPr>
        <w:t>.</w:t>
      </w:r>
      <w:r w:rsidR="00901E3E">
        <w:rPr>
          <w:rFonts w:ascii="Garamond" w:hAnsi="Garamond"/>
          <w:sz w:val="24"/>
          <w:szCs w:val="24"/>
          <w:lang w:val="en-US"/>
        </w:rPr>
        <w:t xml:space="preserve"> The goal of which is to silence democratic opposition. </w:t>
      </w:r>
    </w:p>
    <w:p w14:paraId="1D25B380" w14:textId="77777777" w:rsidR="00C51FD2" w:rsidRDefault="00835EDA" w:rsidP="00C51FD2">
      <w:pPr>
        <w:pStyle w:val="ListParagraph"/>
        <w:numPr>
          <w:ilvl w:val="0"/>
          <w:numId w:val="16"/>
        </w:numPr>
        <w:spacing w:before="120" w:after="120" w:line="259" w:lineRule="auto"/>
        <w:contextualSpacing w:val="0"/>
        <w:rPr>
          <w:rFonts w:ascii="Garamond" w:hAnsi="Garamond"/>
          <w:sz w:val="24"/>
          <w:szCs w:val="24"/>
          <w:lang w:val="en-US"/>
        </w:rPr>
      </w:pPr>
      <w:r w:rsidRPr="00C51FD2">
        <w:rPr>
          <w:rFonts w:ascii="Garamond" w:hAnsi="Garamond"/>
          <w:sz w:val="24"/>
          <w:szCs w:val="24"/>
          <w:lang w:val="en-US"/>
        </w:rPr>
        <w:t>Comprehensive statistics and data regarding the breadth and pervasiveness of torture in Egypt are impossible to obtain, owing to the Egyptian authorities’ refusal to collect and publish disaggregated data. However, Egypt holds the dubious distinction of being the only country to have been the subject of two Article 20 inquiries by the Committee against Torture following receipt by the Committee of reliable information indicating that torture was being systematically practiced in the country. Both concluded, in 1996 and 2017, that the practice of torture was widespread and systematic</w:t>
      </w:r>
      <w:r w:rsidRPr="00A4677C">
        <w:rPr>
          <w:rFonts w:ascii="Garamond" w:hAnsi="Garamond"/>
          <w:sz w:val="24"/>
          <w:szCs w:val="24"/>
          <w:lang w:val="en-US"/>
        </w:rPr>
        <w:t>.</w:t>
      </w:r>
      <w:r w:rsidRPr="00A4677C">
        <w:rPr>
          <w:rStyle w:val="FootnoteReference"/>
          <w:rFonts w:ascii="Garamond" w:hAnsi="Garamond"/>
          <w:sz w:val="24"/>
          <w:szCs w:val="24"/>
          <w:lang w:val="en-US"/>
        </w:rPr>
        <w:footnoteReference w:id="1"/>
      </w:r>
      <w:r w:rsidRPr="00C51FD2">
        <w:rPr>
          <w:rFonts w:ascii="Garamond" w:hAnsi="Garamond"/>
          <w:sz w:val="24"/>
          <w:szCs w:val="24"/>
          <w:lang w:val="en-US"/>
        </w:rPr>
        <w:t xml:space="preserve"> </w:t>
      </w:r>
    </w:p>
    <w:p w14:paraId="41139A8E" w14:textId="4E2DAA46" w:rsidR="00FA6617" w:rsidRPr="00FA6617" w:rsidRDefault="00FA6617" w:rsidP="00FA6617">
      <w:pPr>
        <w:numPr>
          <w:ilvl w:val="0"/>
          <w:numId w:val="16"/>
        </w:numPr>
        <w:pBdr>
          <w:top w:val="nil"/>
          <w:left w:val="nil"/>
          <w:bottom w:val="nil"/>
          <w:right w:val="nil"/>
          <w:between w:val="nil"/>
        </w:pBdr>
        <w:spacing w:before="200" w:after="200"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Such breadth and impunity evince a deeply intertwined system of complicity between the political authorities and different arms of the criminal justice system, including the police, prosecutors, </w:t>
      </w:r>
      <w:r w:rsidR="00901E3E">
        <w:rPr>
          <w:rFonts w:ascii="Garamond" w:eastAsia="Garamond" w:hAnsi="Garamond" w:cs="Garamond"/>
          <w:color w:val="000000"/>
          <w:sz w:val="24"/>
          <w:szCs w:val="24"/>
        </w:rPr>
        <w:t>and judges</w:t>
      </w:r>
      <w:r>
        <w:rPr>
          <w:rFonts w:ascii="Garamond" w:eastAsia="Garamond" w:hAnsi="Garamond" w:cs="Garamond"/>
          <w:color w:val="000000"/>
          <w:sz w:val="24"/>
          <w:szCs w:val="24"/>
        </w:rPr>
        <w:t xml:space="preserve">. This situation has been enabled by </w:t>
      </w:r>
      <w:proofErr w:type="gramStart"/>
      <w:r>
        <w:rPr>
          <w:rFonts w:ascii="Garamond" w:eastAsia="Garamond" w:hAnsi="Garamond" w:cs="Garamond"/>
          <w:color w:val="000000"/>
          <w:sz w:val="24"/>
          <w:szCs w:val="24"/>
        </w:rPr>
        <w:t>long periods</w:t>
      </w:r>
      <w:proofErr w:type="gramEnd"/>
      <w:r>
        <w:rPr>
          <w:rFonts w:ascii="Garamond" w:eastAsia="Garamond" w:hAnsi="Garamond" w:cs="Garamond"/>
          <w:color w:val="000000"/>
          <w:sz w:val="24"/>
          <w:szCs w:val="24"/>
        </w:rPr>
        <w:t xml:space="preserve"> of state of emergency and anti-terrorism frameworks. Despite a clear prohibition on all forms of torture in Egypt’s 2014 constitution, </w:t>
      </w:r>
      <w:r w:rsidR="00D8797B">
        <w:rPr>
          <w:rFonts w:ascii="Garamond" w:eastAsia="Garamond" w:hAnsi="Garamond" w:cs="Garamond"/>
          <w:color w:val="000000"/>
          <w:sz w:val="24"/>
          <w:szCs w:val="24"/>
        </w:rPr>
        <w:t>trials,</w:t>
      </w:r>
      <w:r>
        <w:rPr>
          <w:rFonts w:ascii="Garamond" w:eastAsia="Garamond" w:hAnsi="Garamond" w:cs="Garamond"/>
          <w:color w:val="000000"/>
          <w:sz w:val="24"/>
          <w:szCs w:val="24"/>
        </w:rPr>
        <w:t xml:space="preserve"> and convictions of security officials for torture or deaths in custody are extremely rare.</w:t>
      </w:r>
      <w:r>
        <w:rPr>
          <w:rFonts w:ascii="Garamond" w:eastAsia="Garamond" w:hAnsi="Garamond" w:cs="Garamond"/>
          <w:color w:val="000000"/>
          <w:sz w:val="24"/>
          <w:szCs w:val="24"/>
          <w:vertAlign w:val="superscript"/>
        </w:rPr>
        <w:footnoteReference w:id="2"/>
      </w:r>
      <w:r>
        <w:rPr>
          <w:rFonts w:ascii="Garamond" w:eastAsia="Garamond" w:hAnsi="Garamond" w:cs="Garamond"/>
          <w:color w:val="000000"/>
          <w:sz w:val="24"/>
          <w:szCs w:val="24"/>
        </w:rPr>
        <w:t xml:space="preserve"> Claims of torture are virtually never investigated, procedural hurdles prevent victims bring bringing cases or appealing prosecutors’ decisions,</w:t>
      </w:r>
      <w:r>
        <w:rPr>
          <w:rFonts w:ascii="Garamond" w:eastAsia="Garamond" w:hAnsi="Garamond" w:cs="Garamond"/>
          <w:color w:val="000000"/>
          <w:sz w:val="24"/>
          <w:szCs w:val="24"/>
          <w:vertAlign w:val="superscript"/>
        </w:rPr>
        <w:footnoteReference w:id="3"/>
      </w:r>
      <w:r>
        <w:rPr>
          <w:rFonts w:ascii="Garamond" w:eastAsia="Garamond" w:hAnsi="Garamond" w:cs="Garamond"/>
          <w:color w:val="000000"/>
          <w:sz w:val="24"/>
          <w:szCs w:val="24"/>
        </w:rPr>
        <w:t xml:space="preserve"> and the judiciary has increasingly lost its independence. In the words of th</w:t>
      </w:r>
      <w:r>
        <w:rPr>
          <w:rFonts w:ascii="Garamond" w:eastAsia="Garamond" w:hAnsi="Garamond" w:cs="Garamond"/>
          <w:color w:val="000000"/>
          <w:sz w:val="24"/>
          <w:szCs w:val="24"/>
        </w:rPr>
        <w:t>e</w:t>
      </w:r>
      <w:r>
        <w:rPr>
          <w:rFonts w:ascii="Garamond" w:eastAsia="Garamond" w:hAnsi="Garamond" w:cs="Garamond"/>
          <w:color w:val="000000"/>
          <w:sz w:val="24"/>
          <w:szCs w:val="24"/>
        </w:rPr>
        <w:t xml:space="preserve"> Committee</w:t>
      </w:r>
      <w:r>
        <w:rPr>
          <w:rFonts w:ascii="Garamond" w:eastAsia="Garamond" w:hAnsi="Garamond" w:cs="Garamond"/>
          <w:color w:val="000000"/>
          <w:sz w:val="24"/>
          <w:szCs w:val="24"/>
        </w:rPr>
        <w:t xml:space="preserve"> against Torture</w:t>
      </w:r>
      <w:r>
        <w:rPr>
          <w:rFonts w:ascii="Garamond" w:eastAsia="Garamond" w:hAnsi="Garamond" w:cs="Garamond"/>
          <w:color w:val="000000"/>
          <w:sz w:val="24"/>
          <w:szCs w:val="24"/>
        </w:rPr>
        <w:t>: “prosecutors, judges and prison officials also facilitate torture by failing to curb practices of torture, arbitrary detention and ill-treatment or to act on complaints.”</w:t>
      </w:r>
      <w:r>
        <w:rPr>
          <w:rFonts w:ascii="Garamond" w:eastAsia="Garamond" w:hAnsi="Garamond" w:cs="Garamond"/>
          <w:color w:val="000000"/>
          <w:sz w:val="24"/>
          <w:szCs w:val="24"/>
          <w:vertAlign w:val="superscript"/>
        </w:rPr>
        <w:footnoteReference w:id="4"/>
      </w:r>
      <w:r>
        <w:rPr>
          <w:rFonts w:ascii="Garamond" w:eastAsia="Garamond" w:hAnsi="Garamond" w:cs="Garamond"/>
          <w:color w:val="000000"/>
          <w:sz w:val="24"/>
          <w:szCs w:val="24"/>
        </w:rPr>
        <w:t xml:space="preserve"> </w:t>
      </w:r>
    </w:p>
    <w:p w14:paraId="197818AE" w14:textId="089D7F34" w:rsidR="003739C1" w:rsidRPr="00C51FD2" w:rsidRDefault="00835EDA" w:rsidP="00C51FD2">
      <w:pPr>
        <w:pStyle w:val="ListParagraph"/>
        <w:numPr>
          <w:ilvl w:val="0"/>
          <w:numId w:val="16"/>
        </w:numPr>
        <w:spacing w:before="120" w:line="259" w:lineRule="auto"/>
        <w:ind w:left="357" w:hanging="357"/>
        <w:contextualSpacing w:val="0"/>
        <w:rPr>
          <w:rFonts w:ascii="Garamond" w:hAnsi="Garamond"/>
          <w:sz w:val="24"/>
          <w:szCs w:val="24"/>
          <w:lang w:val="en-US"/>
        </w:rPr>
      </w:pPr>
      <w:r w:rsidRPr="00C51FD2">
        <w:rPr>
          <w:rFonts w:ascii="Garamond" w:hAnsi="Garamond"/>
          <w:sz w:val="24"/>
          <w:szCs w:val="24"/>
          <w:lang w:val="en-US"/>
        </w:rPr>
        <w:lastRenderedPageBreak/>
        <w:t>More recently, i</w:t>
      </w:r>
      <w:r w:rsidR="009A46D8" w:rsidRPr="00C51FD2">
        <w:rPr>
          <w:rFonts w:ascii="Garamond" w:hAnsi="Garamond" w:cstheme="minorHAnsi"/>
          <w:sz w:val="24"/>
          <w:szCs w:val="24"/>
        </w:rPr>
        <w:t xml:space="preserve">n February 2023, the Human Rights Committee, expressed </w:t>
      </w:r>
      <w:r w:rsidR="003739C1" w:rsidRPr="00C51FD2">
        <w:rPr>
          <w:rFonts w:ascii="Garamond" w:hAnsi="Garamond" w:cstheme="minorHAnsi"/>
          <w:sz w:val="24"/>
          <w:szCs w:val="24"/>
        </w:rPr>
        <w:t xml:space="preserve">deep </w:t>
      </w:r>
      <w:r w:rsidR="009A46D8" w:rsidRPr="00C51FD2">
        <w:rPr>
          <w:rFonts w:ascii="Garamond" w:hAnsi="Garamond" w:cstheme="minorHAnsi"/>
          <w:sz w:val="24"/>
          <w:szCs w:val="24"/>
        </w:rPr>
        <w:t>concern for</w:t>
      </w:r>
      <w:r w:rsidR="003739C1" w:rsidRPr="00C51FD2">
        <w:rPr>
          <w:rFonts w:ascii="Garamond" w:hAnsi="Garamond" w:cstheme="minorHAnsi"/>
          <w:sz w:val="24"/>
          <w:szCs w:val="24"/>
        </w:rPr>
        <w:t xml:space="preserve"> “</w:t>
      </w:r>
      <w:r w:rsidR="003739C1" w:rsidRPr="00C51FD2">
        <w:rPr>
          <w:rFonts w:ascii="Garamond" w:hAnsi="Garamond"/>
          <w:sz w:val="24"/>
          <w:szCs w:val="24"/>
          <w:lang w:val="en-US"/>
        </w:rPr>
        <w:t>the reportedly systematic use of torture and cruel, inhuman or degrading treatment at the hands of law enforcement personnel</w:t>
      </w:r>
      <w:r w:rsidR="009A46D8" w:rsidRPr="00C51FD2">
        <w:rPr>
          <w:rFonts w:ascii="Garamond" w:hAnsi="Garamond"/>
          <w:sz w:val="24"/>
          <w:szCs w:val="24"/>
          <w:lang w:val="en-US"/>
        </w:rPr>
        <w:t>.</w:t>
      </w:r>
      <w:r w:rsidR="003739C1" w:rsidRPr="00C51FD2">
        <w:rPr>
          <w:rFonts w:ascii="Garamond" w:hAnsi="Garamond"/>
          <w:sz w:val="24"/>
          <w:szCs w:val="24"/>
          <w:lang w:val="en-US"/>
        </w:rPr>
        <w:t>”</w:t>
      </w:r>
      <w:r w:rsidR="009A46D8">
        <w:rPr>
          <w:rStyle w:val="FootnoteReference"/>
          <w:rFonts w:ascii="Garamond" w:hAnsi="Garamond"/>
          <w:sz w:val="24"/>
          <w:szCs w:val="24"/>
          <w:lang w:val="en-US"/>
        </w:rPr>
        <w:footnoteReference w:id="5"/>
      </w:r>
      <w:r w:rsidR="009A46D8" w:rsidRPr="00C51FD2">
        <w:rPr>
          <w:rFonts w:ascii="Garamond" w:hAnsi="Garamond"/>
          <w:sz w:val="24"/>
          <w:szCs w:val="24"/>
          <w:lang w:val="en-US"/>
        </w:rPr>
        <w:t xml:space="preserve"> </w:t>
      </w:r>
      <w:r w:rsidR="00756C5D" w:rsidRPr="00C51FD2">
        <w:rPr>
          <w:rFonts w:ascii="Garamond" w:hAnsi="Garamond"/>
          <w:sz w:val="24"/>
          <w:szCs w:val="24"/>
          <w:lang w:val="en-US"/>
        </w:rPr>
        <w:t>Likewise, t</w:t>
      </w:r>
      <w:r w:rsidR="003739C1" w:rsidRPr="00C51FD2">
        <w:rPr>
          <w:rFonts w:ascii="Garamond" w:hAnsi="Garamond"/>
          <w:sz w:val="24"/>
          <w:szCs w:val="24"/>
          <w:lang w:val="en-US"/>
        </w:rPr>
        <w:t>he Committee was:</w:t>
      </w:r>
    </w:p>
    <w:p w14:paraId="40EAE24E" w14:textId="41456502" w:rsidR="003739C1" w:rsidRPr="003739C1" w:rsidRDefault="003739C1" w:rsidP="00C51FD2">
      <w:pPr>
        <w:spacing w:after="120"/>
        <w:ind w:left="567" w:right="567"/>
        <w:jc w:val="both"/>
        <w:rPr>
          <w:rFonts w:ascii="Garamond" w:hAnsi="Garamond" w:cstheme="minorHAnsi"/>
          <w:sz w:val="24"/>
          <w:szCs w:val="24"/>
        </w:rPr>
      </w:pPr>
      <w:r>
        <w:rPr>
          <w:rFonts w:ascii="Garamond" w:hAnsi="Garamond"/>
          <w:sz w:val="24"/>
          <w:szCs w:val="24"/>
          <w:lang w:val="en-US"/>
        </w:rPr>
        <w:t xml:space="preserve">…equally concerned </w:t>
      </w:r>
      <w:r w:rsidRPr="003739C1">
        <w:rPr>
          <w:rFonts w:ascii="Garamond" w:hAnsi="Garamond"/>
          <w:sz w:val="24"/>
          <w:szCs w:val="24"/>
          <w:lang w:val="en-US"/>
        </w:rPr>
        <w:t>about the general lack of investigations into such practices and punishment of those responsible, reprisals against victims who denounce torture and the lack of reparation for victims, as well as the reported absence of meaningful oversight by the judiciary and public prosecution, including with regard to the use of evidence obtained under torture and the disregarding of medical examinations and complaints of torture</w:t>
      </w:r>
      <w:r>
        <w:rPr>
          <w:rFonts w:ascii="Garamond" w:hAnsi="Garamond"/>
          <w:sz w:val="24"/>
          <w:szCs w:val="24"/>
          <w:lang w:val="en-US"/>
        </w:rPr>
        <w:t>.</w:t>
      </w:r>
      <w:r>
        <w:rPr>
          <w:rStyle w:val="FootnoteReference"/>
          <w:rFonts w:ascii="Garamond" w:hAnsi="Garamond"/>
          <w:sz w:val="24"/>
          <w:szCs w:val="24"/>
          <w:lang w:val="en-US"/>
        </w:rPr>
        <w:footnoteReference w:id="6"/>
      </w:r>
    </w:p>
    <w:p w14:paraId="66401AEA" w14:textId="524D88AE" w:rsidR="00C51FD2" w:rsidRPr="001469C8" w:rsidRDefault="006E0947" w:rsidP="00C51FD2">
      <w:pPr>
        <w:pStyle w:val="ListParagraph"/>
        <w:numPr>
          <w:ilvl w:val="0"/>
          <w:numId w:val="16"/>
        </w:numPr>
        <w:shd w:val="clear" w:color="auto" w:fill="FFFFFF"/>
        <w:spacing w:before="120" w:after="120" w:line="259" w:lineRule="auto"/>
        <w:ind w:left="357" w:hanging="357"/>
        <w:contextualSpacing w:val="0"/>
        <w:outlineLvl w:val="2"/>
        <w:rPr>
          <w:rFonts w:ascii="Garamond" w:hAnsi="Garamond" w:cstheme="minorHAnsi"/>
          <w:sz w:val="24"/>
          <w:szCs w:val="24"/>
        </w:rPr>
      </w:pPr>
      <w:r w:rsidRPr="00C51FD2">
        <w:rPr>
          <w:rFonts w:ascii="Garamond" w:hAnsi="Garamond" w:cstheme="minorHAnsi"/>
          <w:sz w:val="24"/>
          <w:szCs w:val="24"/>
        </w:rPr>
        <w:t xml:space="preserve">Supplanting </w:t>
      </w:r>
      <w:r w:rsidR="001469C8">
        <w:rPr>
          <w:rFonts w:ascii="Garamond" w:hAnsi="Garamond" w:cstheme="minorHAnsi"/>
          <w:sz w:val="24"/>
          <w:szCs w:val="24"/>
        </w:rPr>
        <w:t>a</w:t>
      </w:r>
      <w:r w:rsidRPr="00C51FD2">
        <w:rPr>
          <w:rFonts w:ascii="Garamond" w:hAnsi="Garamond" w:cstheme="minorHAnsi"/>
          <w:sz w:val="24"/>
          <w:szCs w:val="24"/>
        </w:rPr>
        <w:t xml:space="preserve"> statutory permissibility</w:t>
      </w:r>
      <w:r w:rsidR="001469C8">
        <w:rPr>
          <w:rFonts w:ascii="Garamond" w:hAnsi="Garamond" w:cstheme="minorHAnsi"/>
          <w:sz w:val="24"/>
          <w:szCs w:val="24"/>
        </w:rPr>
        <w:t xml:space="preserve"> for</w:t>
      </w:r>
      <w:r w:rsidRPr="00C51FD2">
        <w:rPr>
          <w:rFonts w:ascii="Garamond" w:hAnsi="Garamond" w:cstheme="minorHAnsi"/>
          <w:sz w:val="24"/>
          <w:szCs w:val="24"/>
        </w:rPr>
        <w:t xml:space="preserve"> enforced disappearance</w:t>
      </w:r>
      <w:r w:rsidR="001469C8">
        <w:rPr>
          <w:rStyle w:val="FootnoteReference"/>
          <w:rFonts w:ascii="Garamond" w:hAnsi="Garamond" w:cstheme="minorHAnsi"/>
          <w:sz w:val="24"/>
          <w:szCs w:val="24"/>
        </w:rPr>
        <w:footnoteReference w:id="7"/>
      </w:r>
      <w:r w:rsidRPr="00C51FD2">
        <w:rPr>
          <w:rFonts w:ascii="Garamond" w:hAnsi="Garamond" w:cstheme="minorHAnsi"/>
          <w:sz w:val="24"/>
          <w:szCs w:val="24"/>
        </w:rPr>
        <w:t xml:space="preserve"> </w:t>
      </w:r>
      <w:r w:rsidR="003162BB" w:rsidRPr="00C51FD2">
        <w:rPr>
          <w:rFonts w:ascii="Garamond" w:hAnsi="Garamond" w:cstheme="minorHAnsi"/>
          <w:sz w:val="24"/>
          <w:szCs w:val="24"/>
        </w:rPr>
        <w:t xml:space="preserve">is an assemblage of other laws and judicial, prosecutorial, and law enforcement practices. For example, </w:t>
      </w:r>
      <w:r w:rsidR="0068792E" w:rsidRPr="00C51FD2">
        <w:rPr>
          <w:rFonts w:ascii="Garamond" w:hAnsi="Garamond" w:cstheme="minorHAnsi"/>
          <w:sz w:val="24"/>
          <w:szCs w:val="24"/>
        </w:rPr>
        <w:t>Egyptian prosecutors are empowered to visit prisons unannounced and conduct investigations</w:t>
      </w:r>
      <w:r w:rsidR="007506AD" w:rsidRPr="00C51FD2">
        <w:rPr>
          <w:rFonts w:ascii="Garamond" w:hAnsi="Garamond" w:cstheme="minorHAnsi"/>
          <w:sz w:val="24"/>
          <w:szCs w:val="24"/>
        </w:rPr>
        <w:t>;</w:t>
      </w:r>
      <w:r w:rsidR="00D245CA" w:rsidRPr="00C51FD2">
        <w:rPr>
          <w:rFonts w:ascii="Garamond" w:hAnsi="Garamond" w:cstheme="minorHAnsi"/>
          <w:sz w:val="24"/>
          <w:szCs w:val="24"/>
        </w:rPr>
        <w:t xml:space="preserve"> </w:t>
      </w:r>
      <w:r w:rsidR="007506AD" w:rsidRPr="00C51FD2">
        <w:rPr>
          <w:rFonts w:ascii="Garamond" w:hAnsi="Garamond" w:cstheme="minorHAnsi"/>
          <w:sz w:val="24"/>
          <w:szCs w:val="24"/>
        </w:rPr>
        <w:t>h</w:t>
      </w:r>
      <w:r w:rsidR="00D245CA" w:rsidRPr="00C51FD2">
        <w:rPr>
          <w:rFonts w:ascii="Garamond" w:hAnsi="Garamond" w:cstheme="minorHAnsi"/>
          <w:sz w:val="24"/>
          <w:szCs w:val="24"/>
        </w:rPr>
        <w:t>owever, these</w:t>
      </w:r>
      <w:r w:rsidR="0068792E" w:rsidRPr="00C51FD2">
        <w:rPr>
          <w:rFonts w:ascii="Garamond" w:hAnsi="Garamond" w:cstheme="minorHAnsi"/>
          <w:sz w:val="24"/>
          <w:szCs w:val="24"/>
        </w:rPr>
        <w:t xml:space="preserve"> powers</w:t>
      </w:r>
      <w:r w:rsidR="00D245CA" w:rsidRPr="00C51FD2">
        <w:rPr>
          <w:rFonts w:ascii="Garamond" w:hAnsi="Garamond" w:cstheme="minorHAnsi"/>
          <w:sz w:val="24"/>
          <w:szCs w:val="24"/>
        </w:rPr>
        <w:t xml:space="preserve"> </w:t>
      </w:r>
      <w:r w:rsidR="0068792E" w:rsidRPr="00C51FD2">
        <w:rPr>
          <w:rFonts w:ascii="Garamond" w:hAnsi="Garamond" w:cstheme="minorHAnsi"/>
          <w:sz w:val="24"/>
          <w:szCs w:val="24"/>
        </w:rPr>
        <w:t>are not effectively exercise</w:t>
      </w:r>
      <w:r w:rsidR="00FE7834" w:rsidRPr="00C51FD2">
        <w:rPr>
          <w:rFonts w:ascii="Garamond" w:hAnsi="Garamond" w:cstheme="minorHAnsi"/>
          <w:sz w:val="24"/>
          <w:szCs w:val="24"/>
        </w:rPr>
        <w:t>d.</w:t>
      </w:r>
      <w:r w:rsidR="00FE7834">
        <w:rPr>
          <w:rStyle w:val="FootnoteReference"/>
          <w:rFonts w:ascii="Garamond" w:hAnsi="Garamond" w:cstheme="minorHAnsi"/>
          <w:sz w:val="24"/>
          <w:szCs w:val="24"/>
        </w:rPr>
        <w:footnoteReference w:id="8"/>
      </w:r>
      <w:r w:rsidR="0068792E" w:rsidRPr="00C51FD2">
        <w:rPr>
          <w:rFonts w:ascii="Garamond" w:hAnsi="Garamond" w:cstheme="minorHAnsi"/>
          <w:sz w:val="24"/>
          <w:szCs w:val="24"/>
        </w:rPr>
        <w:t xml:space="preserve"> </w:t>
      </w:r>
      <w:r w:rsidR="00D245CA" w:rsidRPr="00C51FD2">
        <w:rPr>
          <w:rFonts w:ascii="Garamond" w:hAnsi="Garamond" w:cstheme="minorHAnsi"/>
          <w:sz w:val="24"/>
          <w:szCs w:val="24"/>
        </w:rPr>
        <w:t>In fact, d</w:t>
      </w:r>
      <w:r w:rsidR="0068792E" w:rsidRPr="00C51FD2">
        <w:rPr>
          <w:rFonts w:ascii="Garamond" w:hAnsi="Garamond" w:cstheme="minorHAnsi"/>
          <w:sz w:val="24"/>
          <w:szCs w:val="24"/>
        </w:rPr>
        <w:t>irect complaints</w:t>
      </w:r>
      <w:r w:rsidR="00D245CA" w:rsidRPr="00C51FD2">
        <w:rPr>
          <w:rFonts w:ascii="Garamond" w:hAnsi="Garamond" w:cstheme="minorHAnsi"/>
          <w:sz w:val="24"/>
          <w:szCs w:val="24"/>
        </w:rPr>
        <w:t xml:space="preserve"> from imprisoned persons</w:t>
      </w:r>
      <w:r w:rsidR="0068792E" w:rsidRPr="00C51FD2">
        <w:rPr>
          <w:rFonts w:ascii="Garamond" w:hAnsi="Garamond" w:cstheme="minorHAnsi"/>
          <w:sz w:val="24"/>
          <w:szCs w:val="24"/>
        </w:rPr>
        <w:t xml:space="preserve"> to prosecutors </w:t>
      </w:r>
      <w:r w:rsidR="00D245CA" w:rsidRPr="00C51FD2">
        <w:rPr>
          <w:rFonts w:ascii="Garamond" w:hAnsi="Garamond" w:cstheme="minorHAnsi"/>
          <w:sz w:val="24"/>
          <w:szCs w:val="24"/>
        </w:rPr>
        <w:t>about allegations of torture other ill-treatment largely</w:t>
      </w:r>
      <w:r w:rsidR="0068792E" w:rsidRPr="00C51FD2">
        <w:rPr>
          <w:rFonts w:ascii="Garamond" w:hAnsi="Garamond" w:cstheme="minorHAnsi"/>
          <w:sz w:val="24"/>
          <w:szCs w:val="24"/>
        </w:rPr>
        <w:t xml:space="preserve"> go unheeded.</w:t>
      </w:r>
      <w:r w:rsidR="00FE7834">
        <w:rPr>
          <w:rStyle w:val="FootnoteReference"/>
          <w:rFonts w:ascii="Garamond" w:hAnsi="Garamond" w:cstheme="minorHAnsi"/>
          <w:sz w:val="24"/>
          <w:szCs w:val="24"/>
        </w:rPr>
        <w:footnoteReference w:id="9"/>
      </w:r>
      <w:r w:rsidR="0068792E" w:rsidRPr="00C51FD2">
        <w:rPr>
          <w:rFonts w:ascii="Garamond" w:hAnsi="Garamond" w:cstheme="minorHAnsi"/>
          <w:sz w:val="24"/>
          <w:szCs w:val="24"/>
        </w:rPr>
        <w:t xml:space="preserve"> </w:t>
      </w:r>
      <w:r w:rsidR="00D245CA" w:rsidRPr="00C51FD2">
        <w:rPr>
          <w:rFonts w:ascii="Garamond" w:hAnsi="Garamond" w:cstheme="minorHAnsi"/>
          <w:sz w:val="24"/>
          <w:szCs w:val="24"/>
        </w:rPr>
        <w:t>Moreover, even if a</w:t>
      </w:r>
      <w:r w:rsidR="007506AD" w:rsidRPr="00C51FD2">
        <w:rPr>
          <w:rFonts w:ascii="Garamond" w:hAnsi="Garamond" w:cstheme="minorHAnsi"/>
          <w:sz w:val="24"/>
          <w:szCs w:val="24"/>
        </w:rPr>
        <w:t>n</w:t>
      </w:r>
      <w:r w:rsidR="00D245CA" w:rsidRPr="00C51FD2">
        <w:rPr>
          <w:rFonts w:ascii="Garamond" w:hAnsi="Garamond" w:cstheme="minorHAnsi"/>
          <w:sz w:val="24"/>
          <w:szCs w:val="24"/>
        </w:rPr>
        <w:t xml:space="preserve"> investigation </w:t>
      </w:r>
      <w:r w:rsidR="007506AD" w:rsidRPr="00C51FD2">
        <w:rPr>
          <w:rFonts w:ascii="Garamond" w:hAnsi="Garamond" w:cstheme="minorHAnsi"/>
          <w:sz w:val="24"/>
          <w:szCs w:val="24"/>
        </w:rPr>
        <w:t>i</w:t>
      </w:r>
      <w:r w:rsidR="00D245CA" w:rsidRPr="00C51FD2">
        <w:rPr>
          <w:rFonts w:ascii="Garamond" w:hAnsi="Garamond" w:cstheme="minorHAnsi"/>
          <w:sz w:val="24"/>
          <w:szCs w:val="24"/>
        </w:rPr>
        <w:t>s made and a prosecutor pursue</w:t>
      </w:r>
      <w:r w:rsidR="00E223D3" w:rsidRPr="00C51FD2">
        <w:rPr>
          <w:rFonts w:ascii="Garamond" w:hAnsi="Garamond" w:cstheme="minorHAnsi"/>
          <w:sz w:val="24"/>
          <w:szCs w:val="24"/>
        </w:rPr>
        <w:t>s</w:t>
      </w:r>
      <w:r w:rsidR="00D245CA" w:rsidRPr="00C51FD2">
        <w:rPr>
          <w:rFonts w:ascii="Garamond" w:hAnsi="Garamond" w:cstheme="minorHAnsi"/>
          <w:sz w:val="24"/>
          <w:szCs w:val="24"/>
        </w:rPr>
        <w:t xml:space="preserve"> a case, court decisions are occasionally not implemented by the Ministry of Interior, specifically the police and prison administration.</w:t>
      </w:r>
      <w:r w:rsidR="00D245CA" w:rsidRPr="00D245CA">
        <w:rPr>
          <w:rStyle w:val="FootnoteReference"/>
          <w:rFonts w:ascii="Garamond" w:hAnsi="Garamond" w:cstheme="minorHAnsi"/>
          <w:sz w:val="24"/>
          <w:szCs w:val="24"/>
        </w:rPr>
        <w:footnoteReference w:id="10"/>
      </w:r>
      <w:r w:rsidR="00D245CA" w:rsidRPr="00C51FD2">
        <w:rPr>
          <w:rFonts w:ascii="Garamond" w:hAnsi="Garamond" w:cstheme="majorBidi"/>
          <w:sz w:val="24"/>
          <w:szCs w:val="24"/>
        </w:rPr>
        <w:t xml:space="preserve"> </w:t>
      </w:r>
    </w:p>
    <w:p w14:paraId="3C3DDE03" w14:textId="77777777" w:rsidR="001469C8" w:rsidRDefault="001469C8" w:rsidP="001469C8">
      <w:pPr>
        <w:pStyle w:val="ListParagraph"/>
        <w:numPr>
          <w:ilvl w:val="0"/>
          <w:numId w:val="16"/>
        </w:numPr>
        <w:shd w:val="clear" w:color="auto" w:fill="FFFFFF"/>
        <w:spacing w:before="120" w:after="120" w:line="259" w:lineRule="auto"/>
        <w:ind w:left="357" w:hanging="357"/>
        <w:contextualSpacing w:val="0"/>
        <w:outlineLvl w:val="2"/>
        <w:rPr>
          <w:rFonts w:ascii="Garamond" w:hAnsi="Garamond" w:cstheme="minorHAnsi"/>
          <w:sz w:val="24"/>
          <w:szCs w:val="24"/>
        </w:rPr>
      </w:pPr>
      <w:r w:rsidRPr="00C51FD2">
        <w:rPr>
          <w:rFonts w:ascii="Garamond" w:hAnsi="Garamond" w:cstheme="minorHAnsi"/>
          <w:sz w:val="24"/>
          <w:szCs w:val="24"/>
        </w:rPr>
        <w:t xml:space="preserve">From a judicial standpoint, judges overwhelmingly defer to the testimony and prerogatives of law enforcement. Courts heavily rely on the doctrine of </w:t>
      </w:r>
      <w:r w:rsidRPr="00C51FD2">
        <w:rPr>
          <w:rFonts w:ascii="Garamond" w:hAnsi="Garamond" w:cstheme="minorHAnsi"/>
          <w:i/>
          <w:iCs/>
          <w:sz w:val="24"/>
          <w:szCs w:val="24"/>
        </w:rPr>
        <w:t>in flagrante delicto</w:t>
      </w:r>
      <w:r w:rsidRPr="00C51FD2">
        <w:rPr>
          <w:rFonts w:ascii="Garamond" w:hAnsi="Garamond" w:cstheme="minorHAnsi"/>
          <w:sz w:val="24"/>
          <w:szCs w:val="24"/>
        </w:rPr>
        <w:t xml:space="preserve"> to provide leeway for procedural irregularities such as not ensuring the presence of a lawyer during interrogation. In the representative case (9115/2016), the Court explained that calling in a lawyer may “take time, and evidence may be lost due to the procedures” mandated by the law – which in this case served as an overriding justification to overlook the absence of a lawyer. In some cases, especially if the accused has a political background or related to issues of national security, judges arbitrarily convict the accused persons even when they reported that their confession were made under torture.</w:t>
      </w:r>
      <w:r>
        <w:rPr>
          <w:rStyle w:val="FootnoteReference"/>
          <w:rFonts w:ascii="Garamond" w:hAnsi="Garamond" w:cstheme="minorHAnsi"/>
          <w:sz w:val="24"/>
          <w:szCs w:val="24"/>
        </w:rPr>
        <w:footnoteReference w:id="11"/>
      </w:r>
      <w:r w:rsidRPr="00C51FD2">
        <w:rPr>
          <w:rFonts w:ascii="Garamond" w:hAnsi="Garamond" w:cstheme="minorHAnsi"/>
          <w:sz w:val="24"/>
          <w:szCs w:val="24"/>
        </w:rPr>
        <w:t xml:space="preserve"> </w:t>
      </w:r>
    </w:p>
    <w:p w14:paraId="2C7AFE3F" w14:textId="77777777" w:rsidR="001469C8" w:rsidRDefault="001469C8" w:rsidP="001469C8">
      <w:pPr>
        <w:pStyle w:val="ListParagraph"/>
        <w:numPr>
          <w:ilvl w:val="0"/>
          <w:numId w:val="16"/>
        </w:numPr>
        <w:shd w:val="clear" w:color="auto" w:fill="FFFFFF"/>
        <w:spacing w:before="120" w:after="120" w:line="259" w:lineRule="auto"/>
        <w:ind w:left="357" w:hanging="357"/>
        <w:contextualSpacing w:val="0"/>
        <w:outlineLvl w:val="2"/>
        <w:rPr>
          <w:rFonts w:ascii="Garamond" w:hAnsi="Garamond" w:cstheme="minorHAnsi"/>
          <w:sz w:val="24"/>
          <w:szCs w:val="24"/>
        </w:rPr>
      </w:pPr>
      <w:r w:rsidRPr="00C51FD2">
        <w:rPr>
          <w:rFonts w:ascii="Garamond" w:hAnsi="Garamond" w:cstheme="minorHAnsi"/>
          <w:sz w:val="24"/>
          <w:szCs w:val="24"/>
        </w:rPr>
        <w:t>Indeed, it is customary for judges and prosecutors to ignore allegations of torture during periods of enforced disappearance, before trial, or during trial sessions, despite the defendants’ assertions and descriptions to them of the method of torture used, especially in cases involving torture by National Security agents.</w:t>
      </w:r>
      <w:r>
        <w:rPr>
          <w:rStyle w:val="FootnoteReference"/>
          <w:rFonts w:ascii="Garamond" w:hAnsi="Garamond" w:cstheme="minorHAnsi"/>
          <w:sz w:val="24"/>
          <w:szCs w:val="24"/>
        </w:rPr>
        <w:footnoteReference w:id="12"/>
      </w:r>
      <w:r w:rsidRPr="00C51FD2">
        <w:rPr>
          <w:rFonts w:ascii="Garamond" w:hAnsi="Garamond" w:cstheme="minorHAnsi"/>
          <w:sz w:val="24"/>
          <w:szCs w:val="24"/>
        </w:rPr>
        <w:t xml:space="preserve"> Judges and prosecutors do not explain to defendants or their lawyers why they do not take their torture claims seriously and take action.</w:t>
      </w:r>
    </w:p>
    <w:p w14:paraId="39C7ACD3" w14:textId="6BF40963" w:rsidR="001469C8" w:rsidRPr="001469C8" w:rsidRDefault="001469C8" w:rsidP="001469C8">
      <w:pPr>
        <w:pStyle w:val="ListParagraph"/>
        <w:numPr>
          <w:ilvl w:val="0"/>
          <w:numId w:val="16"/>
        </w:numPr>
        <w:shd w:val="clear" w:color="auto" w:fill="FFFFFF"/>
        <w:spacing w:before="120" w:after="120" w:line="259" w:lineRule="auto"/>
        <w:ind w:left="357" w:hanging="357"/>
        <w:contextualSpacing w:val="0"/>
        <w:outlineLvl w:val="2"/>
        <w:rPr>
          <w:rFonts w:ascii="Garamond" w:hAnsi="Garamond" w:cstheme="minorHAnsi"/>
          <w:sz w:val="24"/>
          <w:szCs w:val="24"/>
        </w:rPr>
      </w:pPr>
      <w:r w:rsidRPr="00C51FD2">
        <w:rPr>
          <w:rFonts w:ascii="Garamond" w:hAnsi="Garamond"/>
          <w:sz w:val="24"/>
          <w:szCs w:val="24"/>
        </w:rPr>
        <w:t xml:space="preserve">At trial, there are countless instances where courts overlook overt prosecutorial irregularities, including: periods of enforced disappearance; contradictions of witness statements; absence of evidence to prove the elements of the alleged crime; arresting </w:t>
      </w:r>
      <w:r w:rsidRPr="00C51FD2">
        <w:rPr>
          <w:rFonts w:ascii="Garamond" w:hAnsi="Garamond"/>
          <w:sz w:val="24"/>
          <w:szCs w:val="24"/>
        </w:rPr>
        <w:lastRenderedPageBreak/>
        <w:t xml:space="preserve">officers’ lack of recognition of defendants; the invalidity of the arrest due to the absence of a case of </w:t>
      </w:r>
      <w:r w:rsidRPr="00C51FD2">
        <w:rPr>
          <w:rFonts w:ascii="Garamond" w:hAnsi="Garamond"/>
          <w:i/>
          <w:iCs/>
          <w:sz w:val="24"/>
          <w:szCs w:val="24"/>
        </w:rPr>
        <w:t>flagrante delicto;</w:t>
      </w:r>
      <w:r w:rsidRPr="00C51FD2">
        <w:rPr>
          <w:rFonts w:ascii="Garamond" w:hAnsi="Garamond"/>
          <w:sz w:val="24"/>
          <w:szCs w:val="24"/>
        </w:rPr>
        <w:t xml:space="preserve"> the invalidity of the arrest report for dealing with the accused in a collective manner; the anonymity of sources and broadness of accusations in the seizure and investigation reports; the arbitrariness of the arrest; illegality of investigations and unknown sources of evidence received during trial; and proven torture violations.</w:t>
      </w:r>
    </w:p>
    <w:p w14:paraId="61869CA9" w14:textId="77777777" w:rsidR="001469C8" w:rsidRDefault="001469C8" w:rsidP="001469C8">
      <w:pPr>
        <w:numPr>
          <w:ilvl w:val="0"/>
          <w:numId w:val="16"/>
        </w:numPr>
        <w:pBdr>
          <w:top w:val="nil"/>
          <w:left w:val="nil"/>
          <w:bottom w:val="nil"/>
          <w:right w:val="nil"/>
          <w:between w:val="nil"/>
        </w:pBdr>
        <w:spacing w:before="200" w:after="200" w:line="259" w:lineRule="auto"/>
        <w:ind w:right="95"/>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In most cases, judges and prosecutors complicitly turn a blind eye towards obvious signs of torture and do not explain to defendants or their lawyers why torture claims are not properly documented and investigated. Detainees who are subjected to torture—and especially those who are disappeared—are routinely denied access to a lawyer when they are presented before the prosecution for the first time. Even when counsel is present, prosecutors frequently deny the accused’s right to report any ill-treatment to which they may have been subjected. </w:t>
      </w:r>
    </w:p>
    <w:p w14:paraId="0434E407" w14:textId="77777777" w:rsidR="001469C8" w:rsidRDefault="001469C8" w:rsidP="001469C8">
      <w:pPr>
        <w:numPr>
          <w:ilvl w:val="0"/>
          <w:numId w:val="16"/>
        </w:numPr>
        <w:pBdr>
          <w:top w:val="nil"/>
          <w:left w:val="nil"/>
          <w:bottom w:val="nil"/>
          <w:right w:val="nil"/>
          <w:between w:val="nil"/>
        </w:pBdr>
        <w:spacing w:before="200" w:after="200" w:line="259" w:lineRule="auto"/>
        <w:ind w:right="95"/>
        <w:jc w:val="both"/>
        <w:rPr>
          <w:rFonts w:ascii="Garamond" w:eastAsia="Garamond" w:hAnsi="Garamond" w:cs="Garamond"/>
          <w:color w:val="000000"/>
          <w:sz w:val="24"/>
          <w:szCs w:val="24"/>
        </w:rPr>
      </w:pPr>
      <w:r>
        <w:rPr>
          <w:rFonts w:ascii="Garamond" w:eastAsia="Garamond" w:hAnsi="Garamond" w:cs="Garamond"/>
          <w:color w:val="000000"/>
          <w:sz w:val="24"/>
          <w:szCs w:val="24"/>
        </w:rPr>
        <w:t>Instead, forced confessions are central to criminal justice processes, in particular in cases where national security actors are involved, and Egypt’s prosecutors collaborating hand-in-glove with the security actors—laying charges on what is clearly torture-tainted evidence, and overlooking and covering up flawed and violent methods.</w:t>
      </w:r>
      <w:r>
        <w:rPr>
          <w:rFonts w:ascii="Garamond" w:eastAsia="Garamond" w:hAnsi="Garamond" w:cs="Garamond"/>
          <w:color w:val="000000"/>
          <w:sz w:val="24"/>
          <w:szCs w:val="24"/>
          <w:vertAlign w:val="superscript"/>
        </w:rPr>
        <w:footnoteReference w:id="13"/>
      </w:r>
    </w:p>
    <w:p w14:paraId="7C1C91D8" w14:textId="77777777" w:rsidR="001469C8" w:rsidRDefault="001469C8" w:rsidP="001469C8">
      <w:pPr>
        <w:numPr>
          <w:ilvl w:val="0"/>
          <w:numId w:val="16"/>
        </w:numPr>
        <w:pBdr>
          <w:top w:val="nil"/>
          <w:left w:val="nil"/>
          <w:bottom w:val="nil"/>
          <w:right w:val="nil"/>
          <w:between w:val="nil"/>
        </w:pBdr>
        <w:spacing w:before="200" w:after="200" w:line="259" w:lineRule="auto"/>
        <w:ind w:right="95"/>
        <w:jc w:val="both"/>
        <w:rPr>
          <w:rFonts w:ascii="Garamond" w:eastAsia="Garamond" w:hAnsi="Garamond" w:cs="Garamond"/>
          <w:color w:val="000000"/>
          <w:sz w:val="24"/>
          <w:szCs w:val="24"/>
        </w:rPr>
      </w:pPr>
      <w:r>
        <w:rPr>
          <w:rFonts w:ascii="Garamond" w:eastAsia="Garamond" w:hAnsi="Garamond" w:cs="Garamond"/>
          <w:color w:val="000000"/>
          <w:sz w:val="24"/>
          <w:szCs w:val="24"/>
        </w:rPr>
        <w:t>According to a monitoring analysis of cases from 2019, a total of 212 defendants (belonging to 31 separate cases) were subjected to various forms of torture and other forms of ill-treatment.</w:t>
      </w:r>
      <w:r>
        <w:rPr>
          <w:rFonts w:ascii="Garamond" w:eastAsia="Garamond" w:hAnsi="Garamond" w:cs="Garamond"/>
          <w:color w:val="000000"/>
          <w:sz w:val="24"/>
          <w:szCs w:val="24"/>
          <w:vertAlign w:val="superscript"/>
        </w:rPr>
        <w:footnoteReference w:id="14"/>
      </w:r>
      <w:r>
        <w:rPr>
          <w:rFonts w:ascii="Garamond" w:eastAsia="Garamond" w:hAnsi="Garamond" w:cs="Garamond"/>
          <w:color w:val="000000"/>
          <w:sz w:val="24"/>
          <w:szCs w:val="24"/>
        </w:rPr>
        <w:t xml:space="preserve"> From the 212 accused, the prosecution referred only 88 defendants to forensic medicine following allegations of torture and failed to act on 124 requests for referral to forensic medicine.</w:t>
      </w:r>
      <w:r>
        <w:rPr>
          <w:rFonts w:ascii="Garamond" w:eastAsia="Garamond" w:hAnsi="Garamond" w:cs="Garamond"/>
          <w:color w:val="000000"/>
          <w:sz w:val="24"/>
          <w:szCs w:val="24"/>
          <w:vertAlign w:val="superscript"/>
        </w:rPr>
        <w:footnoteReference w:id="15"/>
      </w:r>
    </w:p>
    <w:p w14:paraId="6F13F93C" w14:textId="0D52B32F" w:rsidR="001469C8" w:rsidRDefault="001469C8" w:rsidP="001469C8">
      <w:pPr>
        <w:numPr>
          <w:ilvl w:val="0"/>
          <w:numId w:val="16"/>
        </w:numPr>
        <w:pBdr>
          <w:top w:val="nil"/>
          <w:left w:val="nil"/>
          <w:bottom w:val="nil"/>
          <w:right w:val="nil"/>
          <w:between w:val="nil"/>
        </w:pBdr>
        <w:spacing w:before="200" w:after="200"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Take as an emblematic example the case of Father Isaiah, a Christian Coptic monk who was sentenced to death </w:t>
      </w:r>
      <w:r w:rsidR="00D8797B">
        <w:rPr>
          <w:rFonts w:ascii="Garamond" w:eastAsia="Garamond" w:hAnsi="Garamond" w:cs="Garamond"/>
          <w:color w:val="000000"/>
          <w:sz w:val="24"/>
          <w:szCs w:val="24"/>
        </w:rPr>
        <w:t>based on</w:t>
      </w:r>
      <w:r>
        <w:rPr>
          <w:rFonts w:ascii="Garamond" w:eastAsia="Garamond" w:hAnsi="Garamond" w:cs="Garamond"/>
          <w:color w:val="000000"/>
          <w:sz w:val="24"/>
          <w:szCs w:val="24"/>
        </w:rPr>
        <w:t xml:space="preserve"> torture-tainted confessions. During his trial, he was refused visits from his lawyer and family. When he argued that his confessions were obtained under torture, the trial judge made derogatory and mocking comments about his name and ignored his requests for further examination.</w:t>
      </w:r>
      <w:r>
        <w:rPr>
          <w:rFonts w:ascii="Garamond" w:eastAsia="Garamond" w:hAnsi="Garamond" w:cs="Garamond"/>
          <w:color w:val="000000"/>
          <w:sz w:val="24"/>
          <w:szCs w:val="24"/>
          <w:vertAlign w:val="superscript"/>
        </w:rPr>
        <w:footnoteReference w:id="16"/>
      </w:r>
      <w:r>
        <w:rPr>
          <w:rFonts w:ascii="Garamond" w:eastAsia="Garamond" w:hAnsi="Garamond" w:cs="Garamond"/>
          <w:color w:val="000000"/>
          <w:sz w:val="24"/>
          <w:szCs w:val="24"/>
        </w:rPr>
        <w:t xml:space="preserve"> He was executed on 9 May 2021.</w:t>
      </w:r>
    </w:p>
    <w:p w14:paraId="6C4D770B" w14:textId="77777777" w:rsidR="001469C8" w:rsidRDefault="001469C8" w:rsidP="001469C8">
      <w:pPr>
        <w:numPr>
          <w:ilvl w:val="0"/>
          <w:numId w:val="16"/>
        </w:numPr>
        <w:pBdr>
          <w:top w:val="nil"/>
          <w:left w:val="nil"/>
          <w:bottom w:val="nil"/>
          <w:right w:val="nil"/>
          <w:between w:val="nil"/>
        </w:pBdr>
        <w:spacing w:before="200" w:after="200" w:line="259" w:lineRule="auto"/>
        <w:jc w:val="both"/>
        <w:rPr>
          <w:rFonts w:ascii="Garamond" w:eastAsia="Garamond" w:hAnsi="Garamond" w:cs="Garamond"/>
          <w:color w:val="000000"/>
          <w:sz w:val="24"/>
          <w:szCs w:val="24"/>
        </w:rPr>
      </w:pPr>
      <w:bookmarkStart w:id="3" w:name="_heading=h.gjdgxs" w:colFirst="0" w:colLast="0"/>
      <w:bookmarkEnd w:id="3"/>
      <w:r>
        <w:rPr>
          <w:rFonts w:ascii="Garamond" w:eastAsia="Garamond" w:hAnsi="Garamond" w:cs="Garamond"/>
          <w:color w:val="000000"/>
          <w:sz w:val="24"/>
          <w:szCs w:val="24"/>
        </w:rPr>
        <w:t>In a similar case, another judge justified his reliance on a tainted confession by simply explaining that its contents conformed ‘with the truth and reality’.</w:t>
      </w:r>
      <w:r>
        <w:rPr>
          <w:rFonts w:ascii="Garamond" w:eastAsia="Garamond" w:hAnsi="Garamond" w:cs="Garamond"/>
          <w:color w:val="000000"/>
          <w:sz w:val="24"/>
          <w:szCs w:val="24"/>
          <w:vertAlign w:val="superscript"/>
        </w:rPr>
        <w:footnoteReference w:id="17"/>
      </w:r>
      <w:r>
        <w:rPr>
          <w:rFonts w:ascii="Garamond" w:eastAsia="Garamond" w:hAnsi="Garamond" w:cs="Garamond"/>
          <w:color w:val="000000"/>
          <w:sz w:val="24"/>
          <w:szCs w:val="24"/>
        </w:rPr>
        <w:t xml:space="preserve"> The Court extended to itself the prerogative to ‘rely on the witness’ statements at any stage of the investigation </w:t>
      </w:r>
      <w:r>
        <w:rPr>
          <w:rFonts w:ascii="Garamond" w:eastAsia="Garamond" w:hAnsi="Garamond" w:cs="Garamond"/>
          <w:color w:val="000000"/>
          <w:sz w:val="24"/>
          <w:szCs w:val="24"/>
        </w:rPr>
        <w:lastRenderedPageBreak/>
        <w:t>and trial without explaining the reason for that’ and that ‘the witness’ contradictions or inconsistencies does not deem the judgment flawed as long as the truth has led to a palatable conclusion that does not involve contradictions’.</w:t>
      </w:r>
      <w:r>
        <w:rPr>
          <w:rFonts w:ascii="Garamond" w:eastAsia="Garamond" w:hAnsi="Garamond" w:cs="Garamond"/>
          <w:color w:val="000000"/>
          <w:sz w:val="24"/>
          <w:szCs w:val="24"/>
          <w:vertAlign w:val="superscript"/>
        </w:rPr>
        <w:footnoteReference w:id="18"/>
      </w:r>
      <w:r>
        <w:rPr>
          <w:rFonts w:ascii="Garamond" w:eastAsia="Garamond" w:hAnsi="Garamond" w:cs="Garamond"/>
          <w:color w:val="000000"/>
          <w:sz w:val="24"/>
          <w:szCs w:val="24"/>
        </w:rPr>
        <w:t xml:space="preserve"> In other words, the Court decided that it was empowered to rule as it sees fit, according to the reality that it perceives, without justification.</w:t>
      </w:r>
    </w:p>
    <w:p w14:paraId="72DCD1C3" w14:textId="7C1A4D93" w:rsidR="001469C8" w:rsidRDefault="001469C8" w:rsidP="001469C8">
      <w:pPr>
        <w:numPr>
          <w:ilvl w:val="0"/>
          <w:numId w:val="16"/>
        </w:numPr>
        <w:pBdr>
          <w:top w:val="nil"/>
          <w:left w:val="nil"/>
          <w:bottom w:val="nil"/>
          <w:right w:val="nil"/>
          <w:between w:val="nil"/>
        </w:pBdr>
        <w:spacing w:line="259" w:lineRule="auto"/>
        <w:ind w:right="95"/>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In another case still, nine of the </w:t>
      </w:r>
      <w:r w:rsidR="00D8797B">
        <w:rPr>
          <w:rFonts w:ascii="Garamond" w:eastAsia="Garamond" w:hAnsi="Garamond" w:cs="Garamond"/>
          <w:color w:val="000000"/>
          <w:sz w:val="24"/>
          <w:szCs w:val="24"/>
        </w:rPr>
        <w:t>sixty-seven</w:t>
      </w:r>
      <w:r>
        <w:rPr>
          <w:rFonts w:ascii="Garamond" w:eastAsia="Garamond" w:hAnsi="Garamond" w:cs="Garamond"/>
          <w:color w:val="000000"/>
          <w:sz w:val="24"/>
          <w:szCs w:val="24"/>
        </w:rPr>
        <w:t xml:space="preserve"> defendants accused of the assassination of Public Prosecutor Hisham Barakat alleged that they were tortured during the investigation phase—including beatings, electrocution and threats against them and their families. The accused informed the prosecution and the court respectively during questioning and during the trial. One of the accused stated: </w:t>
      </w:r>
    </w:p>
    <w:p w14:paraId="1C680DEB" w14:textId="77777777" w:rsidR="001469C8" w:rsidRDefault="001469C8" w:rsidP="001469C8">
      <w:pPr>
        <w:pBdr>
          <w:top w:val="nil"/>
          <w:left w:val="nil"/>
          <w:bottom w:val="nil"/>
          <w:right w:val="nil"/>
          <w:between w:val="nil"/>
        </w:pBdr>
        <w:ind w:left="851" w:right="851"/>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All the accusations made against me were false. I said them when I was psychologically and physically under duress by the State Security officers and threats they </w:t>
      </w:r>
      <w:r>
        <w:rPr>
          <w:rFonts w:ascii="Garamond" w:eastAsia="Garamond" w:hAnsi="Garamond" w:cs="Garamond"/>
          <w:sz w:val="24"/>
          <w:szCs w:val="24"/>
        </w:rPr>
        <w:t>would</w:t>
      </w:r>
      <w:r>
        <w:rPr>
          <w:rFonts w:ascii="Garamond" w:eastAsia="Garamond" w:hAnsi="Garamond" w:cs="Garamond"/>
          <w:color w:val="000000"/>
          <w:sz w:val="24"/>
          <w:szCs w:val="24"/>
        </w:rPr>
        <w:t xml:space="preserve"> harm my mother and sister and father. I was forced to </w:t>
      </w:r>
      <w:r>
        <w:rPr>
          <w:rFonts w:ascii="Garamond" w:eastAsia="Garamond" w:hAnsi="Garamond" w:cs="Garamond"/>
          <w:sz w:val="24"/>
          <w:szCs w:val="24"/>
        </w:rPr>
        <w:t>memorize</w:t>
      </w:r>
      <w:r>
        <w:rPr>
          <w:rFonts w:ascii="Garamond" w:eastAsia="Garamond" w:hAnsi="Garamond" w:cs="Garamond"/>
          <w:color w:val="000000"/>
          <w:sz w:val="24"/>
          <w:szCs w:val="24"/>
        </w:rPr>
        <w:t xml:space="preserve"> statements written on paper and the officer told me I will go to senior people and I need to say the same statements I memorized or I will be returned to them again.</w:t>
      </w:r>
      <w:r>
        <w:rPr>
          <w:rFonts w:ascii="Garamond" w:eastAsia="Garamond" w:hAnsi="Garamond" w:cs="Garamond"/>
          <w:color w:val="000000"/>
          <w:sz w:val="24"/>
          <w:szCs w:val="24"/>
          <w:vertAlign w:val="superscript"/>
        </w:rPr>
        <w:footnoteReference w:id="19"/>
      </w:r>
      <w:r>
        <w:rPr>
          <w:rFonts w:ascii="Garamond" w:eastAsia="Garamond" w:hAnsi="Garamond" w:cs="Garamond"/>
          <w:color w:val="000000"/>
          <w:sz w:val="24"/>
          <w:szCs w:val="24"/>
        </w:rPr>
        <w:t xml:space="preserve"> </w:t>
      </w:r>
    </w:p>
    <w:p w14:paraId="5EEAAF62" w14:textId="77777777" w:rsidR="001469C8" w:rsidRDefault="001469C8" w:rsidP="001469C8">
      <w:pPr>
        <w:numPr>
          <w:ilvl w:val="0"/>
          <w:numId w:val="16"/>
        </w:numPr>
        <w:pBdr>
          <w:top w:val="nil"/>
          <w:left w:val="nil"/>
          <w:bottom w:val="nil"/>
          <w:right w:val="nil"/>
          <w:between w:val="nil"/>
        </w:pBdr>
        <w:spacing w:before="200" w:line="259" w:lineRule="auto"/>
        <w:ind w:right="9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These allegations were not effectively investigated and, in fact, requests were disregarded until too late. Another defendant stated: </w:t>
      </w:r>
    </w:p>
    <w:p w14:paraId="6C573996" w14:textId="5839F957" w:rsidR="001469C8" w:rsidRDefault="001469C8" w:rsidP="001469C8">
      <w:pPr>
        <w:pBdr>
          <w:top w:val="nil"/>
          <w:left w:val="nil"/>
          <w:bottom w:val="nil"/>
          <w:right w:val="nil"/>
          <w:between w:val="nil"/>
        </w:pBdr>
        <w:ind w:left="851" w:right="851"/>
        <w:jc w:val="both"/>
        <w:rPr>
          <w:rFonts w:ascii="Garamond" w:eastAsia="Garamond" w:hAnsi="Garamond" w:cs="Garamond"/>
          <w:color w:val="000000"/>
          <w:sz w:val="24"/>
          <w:szCs w:val="24"/>
        </w:rPr>
      </w:pPr>
      <w:r>
        <w:rPr>
          <w:rFonts w:ascii="Garamond" w:eastAsia="Garamond" w:hAnsi="Garamond" w:cs="Garamond"/>
          <w:color w:val="000000"/>
          <w:sz w:val="24"/>
          <w:szCs w:val="24"/>
        </w:rPr>
        <w:t>I asked the judge to look at the signs of torture on my body, but he ignored it. When I told him I suffered psychological illnesses because of the torture, he responded, ‘Maybe you’re just possessed</w:t>
      </w:r>
      <w:r w:rsidR="00D8797B">
        <w:rPr>
          <w:rFonts w:ascii="Garamond" w:eastAsia="Garamond" w:hAnsi="Garamond" w:cs="Garamond"/>
          <w:color w:val="000000"/>
          <w:sz w:val="24"/>
          <w:szCs w:val="24"/>
        </w:rPr>
        <w:t>.’</w:t>
      </w:r>
      <w:r>
        <w:rPr>
          <w:rFonts w:ascii="Garamond" w:eastAsia="Garamond" w:hAnsi="Garamond" w:cs="Garamond"/>
          <w:color w:val="000000"/>
          <w:sz w:val="24"/>
          <w:szCs w:val="24"/>
        </w:rPr>
        <w:t xml:space="preserve"> 15 accused were executed in February 2019.</w:t>
      </w:r>
      <w:r>
        <w:rPr>
          <w:rFonts w:ascii="Garamond" w:eastAsia="Garamond" w:hAnsi="Garamond" w:cs="Garamond"/>
          <w:color w:val="000000"/>
          <w:sz w:val="24"/>
          <w:szCs w:val="24"/>
          <w:vertAlign w:val="superscript"/>
        </w:rPr>
        <w:footnoteReference w:id="20"/>
      </w:r>
    </w:p>
    <w:p w14:paraId="69491A6A" w14:textId="46C23DB6" w:rsidR="001469C8" w:rsidRDefault="001469C8" w:rsidP="001469C8">
      <w:pPr>
        <w:numPr>
          <w:ilvl w:val="0"/>
          <w:numId w:val="16"/>
        </w:numPr>
        <w:pBdr>
          <w:top w:val="nil"/>
          <w:left w:val="nil"/>
          <w:bottom w:val="nil"/>
          <w:right w:val="nil"/>
          <w:between w:val="nil"/>
        </w:pBdr>
        <w:spacing w:before="200" w:line="259" w:lineRule="auto"/>
        <w:ind w:right="9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Even in the face of well-documented instances of torture-tainted confessions, courts often only provide perfunctory reasoning when dismissing arguments from </w:t>
      </w:r>
      <w:r w:rsidR="00764960">
        <w:rPr>
          <w:rFonts w:ascii="Garamond" w:eastAsia="Garamond" w:hAnsi="Garamond" w:cs="Garamond"/>
          <w:color w:val="000000"/>
          <w:sz w:val="24"/>
          <w:szCs w:val="24"/>
        </w:rPr>
        <w:t>defence</w:t>
      </w:r>
      <w:r>
        <w:rPr>
          <w:rFonts w:ascii="Garamond" w:eastAsia="Garamond" w:hAnsi="Garamond" w:cs="Garamond"/>
          <w:color w:val="000000"/>
          <w:sz w:val="24"/>
          <w:szCs w:val="24"/>
        </w:rPr>
        <w:t xml:space="preserve"> lawyers to exclude such evidence. In one case that came before a military criminal court, the judge dismissed an injury caused from torture, seeing it as inflicted as ‘an incidental matter’ whilst underscoring the court’s power to:</w:t>
      </w:r>
    </w:p>
    <w:p w14:paraId="34873624" w14:textId="77777777" w:rsidR="001469C8" w:rsidRDefault="001469C8" w:rsidP="001469C8">
      <w:pPr>
        <w:ind w:left="851" w:right="851"/>
        <w:jc w:val="both"/>
        <w:rPr>
          <w:rFonts w:ascii="Garamond" w:eastAsia="Garamond" w:hAnsi="Garamond" w:cs="Garamond"/>
          <w:sz w:val="24"/>
          <w:szCs w:val="24"/>
        </w:rPr>
      </w:pPr>
      <w:r>
        <w:rPr>
          <w:rFonts w:ascii="Garamond" w:eastAsia="Garamond" w:hAnsi="Garamond" w:cs="Garamond"/>
          <w:sz w:val="24"/>
          <w:szCs w:val="24"/>
        </w:rPr>
        <w:t xml:space="preserve">…assess the invalidity of the defendant’s claims of being coerced into confession </w:t>
      </w:r>
      <w:r>
        <w:rPr>
          <w:rFonts w:ascii="Garamond" w:eastAsia="Garamond" w:hAnsi="Garamond" w:cs="Garamond"/>
          <w:i/>
          <w:sz w:val="24"/>
          <w:szCs w:val="24"/>
        </w:rPr>
        <w:t>without commenting on the matter</w:t>
      </w:r>
      <w:r>
        <w:rPr>
          <w:rFonts w:ascii="Garamond" w:eastAsia="Garamond" w:hAnsi="Garamond" w:cs="Garamond"/>
          <w:sz w:val="24"/>
          <w:szCs w:val="24"/>
        </w:rPr>
        <w:t>, as long as the court bases its assessment on valid reasons, especially as his confessions were in conformity with the reality and the evidence in the case documents on which the court relied in the reasoning for its ruling.</w:t>
      </w:r>
      <w:r>
        <w:rPr>
          <w:rFonts w:ascii="Garamond" w:eastAsia="Garamond" w:hAnsi="Garamond" w:cs="Garamond"/>
          <w:sz w:val="24"/>
          <w:szCs w:val="24"/>
          <w:vertAlign w:val="superscript"/>
        </w:rPr>
        <w:footnoteReference w:id="21"/>
      </w:r>
      <w:r>
        <w:rPr>
          <w:rFonts w:ascii="Garamond" w:eastAsia="Garamond" w:hAnsi="Garamond" w:cs="Garamond"/>
          <w:sz w:val="24"/>
          <w:szCs w:val="24"/>
        </w:rPr>
        <w:t xml:space="preserve"> </w:t>
      </w:r>
    </w:p>
    <w:p w14:paraId="4234D08E" w14:textId="77777777" w:rsidR="001469C8" w:rsidRDefault="001469C8" w:rsidP="001469C8">
      <w:pPr>
        <w:numPr>
          <w:ilvl w:val="0"/>
          <w:numId w:val="16"/>
        </w:numPr>
        <w:pBdr>
          <w:top w:val="nil"/>
          <w:left w:val="nil"/>
          <w:bottom w:val="nil"/>
          <w:right w:val="nil"/>
          <w:between w:val="nil"/>
        </w:pBdr>
        <w:spacing w:before="200" w:after="200" w:line="259" w:lineRule="auto"/>
        <w:ind w:right="96"/>
        <w:jc w:val="both"/>
        <w:rPr>
          <w:rFonts w:ascii="Garamond" w:eastAsia="Garamond" w:hAnsi="Garamond" w:cs="Garamond"/>
          <w:color w:val="000000"/>
          <w:sz w:val="24"/>
          <w:szCs w:val="24"/>
        </w:rPr>
      </w:pPr>
      <w:r>
        <w:rPr>
          <w:rFonts w:ascii="Garamond" w:eastAsia="Garamond" w:hAnsi="Garamond" w:cs="Garamond"/>
          <w:color w:val="000000"/>
          <w:sz w:val="24"/>
          <w:szCs w:val="24"/>
        </w:rPr>
        <w:t>Prosecutors and judges sometimes respond to defendants’ allegations of torture by documenting the complaint into the case file.</w:t>
      </w:r>
      <w:r>
        <w:rPr>
          <w:rFonts w:ascii="Garamond" w:eastAsia="Garamond" w:hAnsi="Garamond" w:cs="Garamond"/>
          <w:color w:val="000000"/>
          <w:sz w:val="24"/>
          <w:szCs w:val="24"/>
          <w:vertAlign w:val="superscript"/>
        </w:rPr>
        <w:footnoteReference w:id="22"/>
      </w:r>
      <w:r>
        <w:rPr>
          <w:rFonts w:ascii="Garamond" w:eastAsia="Garamond" w:hAnsi="Garamond" w:cs="Garamond"/>
          <w:color w:val="000000"/>
          <w:sz w:val="24"/>
          <w:szCs w:val="24"/>
        </w:rPr>
        <w:t xml:space="preserve"> Often the best victims can hope for is that prosecutors themselves examine the body of an accused person and make an </w:t>
      </w:r>
      <w:r>
        <w:rPr>
          <w:rFonts w:ascii="Garamond" w:eastAsia="Garamond" w:hAnsi="Garamond" w:cs="Garamond"/>
          <w:color w:val="000000"/>
          <w:sz w:val="24"/>
          <w:szCs w:val="24"/>
        </w:rPr>
        <w:lastRenderedPageBreak/>
        <w:t>official notation of traces of scars. On occasion prosecutors and judges refer victims to forensic doctors, but often examinations do not take place despite reminders from defendants’ lawyers in subsequent court sessions.</w:t>
      </w:r>
      <w:r>
        <w:rPr>
          <w:rFonts w:ascii="Garamond" w:eastAsia="Garamond" w:hAnsi="Garamond" w:cs="Garamond"/>
          <w:color w:val="000000"/>
          <w:sz w:val="24"/>
          <w:szCs w:val="24"/>
          <w:vertAlign w:val="superscript"/>
        </w:rPr>
        <w:footnoteReference w:id="23"/>
      </w:r>
      <w:r>
        <w:rPr>
          <w:rFonts w:ascii="Garamond" w:eastAsia="Garamond" w:hAnsi="Garamond" w:cs="Garamond"/>
          <w:color w:val="000000"/>
          <w:sz w:val="24"/>
          <w:szCs w:val="24"/>
        </w:rPr>
        <w:t xml:space="preserve">  When examinations do occur, forensic reports are commonly inconclusive or omitted altogether from case files, or judges issue verdicts and sentences before the examination results are available. </w:t>
      </w:r>
    </w:p>
    <w:p w14:paraId="7F31AA61" w14:textId="77777777" w:rsidR="001469C8" w:rsidRDefault="001469C8" w:rsidP="001469C8">
      <w:pPr>
        <w:numPr>
          <w:ilvl w:val="0"/>
          <w:numId w:val="16"/>
        </w:numPr>
        <w:pBdr>
          <w:top w:val="nil"/>
          <w:left w:val="nil"/>
          <w:bottom w:val="nil"/>
          <w:right w:val="nil"/>
          <w:between w:val="nil"/>
        </w:pBdr>
        <w:ind w:right="95"/>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Moreover, forensic procedures are usually initiated long after the torture incident. For example, in Case 9115/2016 (Criminal Court Southern Giza) a forensic report of the accused was issued on 23 August 2016 concluding that: </w:t>
      </w:r>
    </w:p>
    <w:p w14:paraId="7D91E838" w14:textId="2F62406D" w:rsidR="001469C8" w:rsidRPr="001469C8" w:rsidRDefault="001469C8" w:rsidP="001469C8">
      <w:pPr>
        <w:pStyle w:val="ListParagraph"/>
        <w:shd w:val="clear" w:color="auto" w:fill="FFFFFF"/>
        <w:spacing w:before="120" w:after="120" w:line="259" w:lineRule="auto"/>
        <w:contextualSpacing w:val="0"/>
        <w:outlineLvl w:val="2"/>
        <w:rPr>
          <w:rFonts w:ascii="Garamond" w:hAnsi="Garamond" w:cstheme="minorHAnsi"/>
          <w:sz w:val="24"/>
          <w:szCs w:val="24"/>
        </w:rPr>
      </w:pPr>
      <w:r>
        <w:rPr>
          <w:rFonts w:ascii="Garamond" w:eastAsia="Garamond" w:hAnsi="Garamond" w:cs="Garamond"/>
          <w:color w:val="000000"/>
          <w:sz w:val="24"/>
          <w:szCs w:val="24"/>
        </w:rPr>
        <w:t>There are signs of healing of an injury in the right wrist and left leg. The defendant's condition has changed owing to healing over time. However, in the absence of contemporary medical papers on the date of the incident reported in the prosecutor's memorandum, it is not possible to confirm the nature of the injury, its date and the instrument used to cause it.</w:t>
      </w:r>
    </w:p>
    <w:p w14:paraId="03FB01C5" w14:textId="481BB058" w:rsidR="00084E48" w:rsidRPr="001469C8" w:rsidRDefault="001469C8" w:rsidP="001469C8">
      <w:pPr>
        <w:numPr>
          <w:ilvl w:val="0"/>
          <w:numId w:val="16"/>
        </w:numPr>
        <w:pBdr>
          <w:top w:val="nil"/>
          <w:left w:val="nil"/>
          <w:bottom w:val="nil"/>
          <w:right w:val="nil"/>
          <w:between w:val="nil"/>
        </w:pBdr>
        <w:spacing w:before="200" w:after="200" w:line="259" w:lineRule="auto"/>
        <w:jc w:val="both"/>
        <w:rPr>
          <w:rFonts w:ascii="Garamond" w:eastAsia="Garamond" w:hAnsi="Garamond" w:cs="Garamond"/>
          <w:color w:val="121212"/>
          <w:sz w:val="24"/>
          <w:szCs w:val="24"/>
        </w:rPr>
      </w:pPr>
      <w:r>
        <w:rPr>
          <w:rFonts w:ascii="Garamond" w:eastAsia="Garamond" w:hAnsi="Garamond" w:cs="Garamond"/>
          <w:color w:val="000000"/>
          <w:sz w:val="24"/>
          <w:szCs w:val="24"/>
        </w:rPr>
        <w:t xml:space="preserve">More frequent than allegations of torture being taken seriously, those complaining of ill-treatment are instead subjected to further ill-treatment. Take, for example, the emblematic case of torture and reprisal in </w:t>
      </w:r>
      <w:r>
        <w:rPr>
          <w:rFonts w:ascii="Garamond" w:eastAsia="Garamond" w:hAnsi="Garamond" w:cs="Garamond"/>
          <w:color w:val="000000"/>
          <w:sz w:val="24"/>
          <w:szCs w:val="24"/>
        </w:rPr>
        <w:t>First Salam Police Station.</w:t>
      </w:r>
      <w:r>
        <w:rPr>
          <w:rFonts w:ascii="Garamond" w:eastAsia="Garamond" w:hAnsi="Garamond" w:cs="Garamond"/>
          <w:color w:val="000000"/>
          <w:sz w:val="24"/>
          <w:szCs w:val="24"/>
        </w:rPr>
        <w:t xml:space="preserve"> </w:t>
      </w:r>
      <w:r w:rsidR="002A7962">
        <w:rPr>
          <w:rFonts w:ascii="Garamond" w:eastAsia="Garamond" w:hAnsi="Garamond" w:cs="Garamond"/>
          <w:color w:val="000000"/>
          <w:sz w:val="24"/>
          <w:szCs w:val="24"/>
        </w:rPr>
        <w:t xml:space="preserve">On 24 January 2022, the Guardian published still images (taken from two videos recorded inside </w:t>
      </w:r>
      <w:r>
        <w:rPr>
          <w:rFonts w:ascii="Garamond" w:eastAsia="Garamond" w:hAnsi="Garamond" w:cs="Garamond"/>
          <w:color w:val="000000"/>
          <w:sz w:val="24"/>
          <w:szCs w:val="24"/>
        </w:rPr>
        <w:t xml:space="preserve">the </w:t>
      </w:r>
      <w:r w:rsidR="002A7962">
        <w:rPr>
          <w:rFonts w:ascii="Garamond" w:eastAsia="Garamond" w:hAnsi="Garamond" w:cs="Garamond"/>
          <w:color w:val="000000"/>
          <w:sz w:val="24"/>
          <w:szCs w:val="24"/>
        </w:rPr>
        <w:t>Cairo police station) showing the extent of torture and impunity inside Egypt.</w:t>
      </w:r>
      <w:r w:rsidR="002A7962">
        <w:rPr>
          <w:rFonts w:ascii="Garamond" w:eastAsia="Garamond" w:hAnsi="Garamond" w:cs="Garamond"/>
          <w:color w:val="000000"/>
          <w:sz w:val="24"/>
          <w:szCs w:val="24"/>
          <w:vertAlign w:val="superscript"/>
        </w:rPr>
        <w:footnoteReference w:id="24"/>
      </w:r>
      <w:r w:rsidR="002A7962">
        <w:rPr>
          <w:rFonts w:ascii="Garamond" w:eastAsia="Garamond" w:hAnsi="Garamond" w:cs="Garamond"/>
          <w:color w:val="000000"/>
          <w:sz w:val="24"/>
          <w:szCs w:val="24"/>
        </w:rPr>
        <w:t xml:space="preserve"> In one of the photos, detainees </w:t>
      </w:r>
      <w:r w:rsidR="002A7962">
        <w:rPr>
          <w:rFonts w:ascii="Garamond" w:eastAsia="Garamond" w:hAnsi="Garamond" w:cs="Garamond"/>
          <w:color w:val="121212"/>
          <w:sz w:val="24"/>
          <w:szCs w:val="24"/>
          <w:highlight w:val="white"/>
        </w:rPr>
        <w:t>can be seen naked from the waist up, suspended from a metal grate by their arms, which are fastened behind their backs. One of the videos reportedly depicts “inmates in an overcrowded cell lining up to display injuries they say were inflicted by police officials and investigators, including open wounds on their heads and bruises across their chests and backs.”</w:t>
      </w:r>
      <w:r w:rsidR="002A7962">
        <w:rPr>
          <w:rFonts w:ascii="Garamond" w:eastAsia="Garamond" w:hAnsi="Garamond" w:cs="Garamond"/>
          <w:color w:val="000000"/>
          <w:sz w:val="24"/>
          <w:szCs w:val="24"/>
          <w:vertAlign w:val="superscript"/>
        </w:rPr>
        <w:footnoteReference w:id="25"/>
      </w:r>
      <w:r w:rsidR="002A7962">
        <w:rPr>
          <w:rFonts w:ascii="Garamond" w:eastAsia="Garamond" w:hAnsi="Garamond" w:cs="Garamond"/>
          <w:color w:val="000000"/>
          <w:sz w:val="24"/>
          <w:szCs w:val="24"/>
        </w:rPr>
        <w:t xml:space="preserve"> Such images of violence are corroborated by over a decade of human rights reporting showing widespread and systemic torture occurring in Egypt’s police stations and prisons. After the videos were released online </w:t>
      </w:r>
      <w:r w:rsidR="002A7962">
        <w:rPr>
          <w:rFonts w:ascii="Garamond" w:eastAsia="Garamond" w:hAnsi="Garamond" w:cs="Garamond"/>
          <w:color w:val="121212"/>
          <w:sz w:val="24"/>
          <w:szCs w:val="24"/>
          <w:highlight w:val="white"/>
        </w:rPr>
        <w:t>“Egypt’s public prosecution claimed that the detainees had ‘inflicted injuries on themselves’, using a coin.”</w:t>
      </w:r>
      <w:r w:rsidR="002A7962">
        <w:rPr>
          <w:rFonts w:ascii="Garamond" w:eastAsia="Garamond" w:hAnsi="Garamond" w:cs="Garamond"/>
          <w:color w:val="121212"/>
          <w:sz w:val="24"/>
          <w:szCs w:val="24"/>
          <w:highlight w:val="white"/>
          <w:vertAlign w:val="superscript"/>
        </w:rPr>
        <w:footnoteReference w:id="26"/>
      </w:r>
      <w:r w:rsidR="002A7962">
        <w:rPr>
          <w:rFonts w:ascii="Garamond" w:eastAsia="Garamond" w:hAnsi="Garamond" w:cs="Garamond"/>
          <w:color w:val="121212"/>
          <w:sz w:val="24"/>
          <w:szCs w:val="24"/>
          <w:highlight w:val="white"/>
        </w:rPr>
        <w:t xml:space="preserve"> The torture victims seen in the videos were reportedly charged with belonging to a terrorist group, misusing the internet, spreading false information with the intent to undermine national security, and illegally receiving foreign funds.</w:t>
      </w:r>
      <w:r w:rsidR="002A7962">
        <w:rPr>
          <w:rFonts w:ascii="Garamond" w:eastAsia="Garamond" w:hAnsi="Garamond" w:cs="Garamond"/>
          <w:color w:val="121212"/>
          <w:sz w:val="24"/>
          <w:szCs w:val="24"/>
          <w:highlight w:val="white"/>
          <w:vertAlign w:val="superscript"/>
        </w:rPr>
        <w:footnoteReference w:id="27"/>
      </w:r>
      <w:r w:rsidR="002A7962">
        <w:rPr>
          <w:rFonts w:ascii="Garamond" w:eastAsia="Garamond" w:hAnsi="Garamond" w:cs="Garamond"/>
          <w:color w:val="121212"/>
          <w:sz w:val="24"/>
          <w:szCs w:val="24"/>
        </w:rPr>
        <w:t xml:space="preserve"> In November 2022, Egyptian courts sentenced 8 of these victim/defendants to life imprisonment, one victim/defendant to 13-15 years imprisonment, and one victim/defendant” </w:t>
      </w:r>
      <w:r w:rsidR="002A7962">
        <w:rPr>
          <w:rFonts w:ascii="Garamond" w:eastAsia="Garamond" w:hAnsi="Garamond" w:cs="Garamond"/>
          <w:i/>
          <w:color w:val="121212"/>
          <w:sz w:val="24"/>
          <w:szCs w:val="24"/>
        </w:rPr>
        <w:t xml:space="preserve">in absentia </w:t>
      </w:r>
      <w:r w:rsidR="002A7962">
        <w:rPr>
          <w:rFonts w:ascii="Garamond" w:eastAsia="Garamond" w:hAnsi="Garamond" w:cs="Garamond"/>
          <w:color w:val="121212"/>
          <w:sz w:val="24"/>
          <w:szCs w:val="24"/>
        </w:rPr>
        <w:t>to life imprisonment, and one minor (17-year-old) victim/defendant to five years imprisonment.</w:t>
      </w:r>
    </w:p>
    <w:p w14:paraId="6BE21120" w14:textId="243DE67D" w:rsidR="00C51FD2" w:rsidRPr="00C51FD2" w:rsidRDefault="00C51FD2" w:rsidP="00C51FD2">
      <w:pPr>
        <w:pStyle w:val="ListParagraph"/>
        <w:numPr>
          <w:ilvl w:val="0"/>
          <w:numId w:val="15"/>
        </w:numPr>
        <w:shd w:val="clear" w:color="auto" w:fill="FFFFFF"/>
        <w:spacing w:before="120" w:after="120" w:line="259" w:lineRule="auto"/>
        <w:contextualSpacing w:val="0"/>
        <w:outlineLvl w:val="2"/>
        <w:rPr>
          <w:rFonts w:ascii="Garamond" w:hAnsi="Garamond" w:cstheme="minorHAnsi"/>
          <w:b/>
          <w:bCs/>
          <w:sz w:val="32"/>
          <w:szCs w:val="32"/>
          <w:u w:val="single"/>
        </w:rPr>
      </w:pPr>
      <w:r>
        <w:rPr>
          <w:rFonts w:ascii="Garamond" w:hAnsi="Garamond" w:cstheme="minorHAnsi"/>
          <w:b/>
          <w:bCs/>
          <w:sz w:val="32"/>
          <w:szCs w:val="32"/>
          <w:u w:val="single"/>
        </w:rPr>
        <w:t>Conclusion</w:t>
      </w:r>
    </w:p>
    <w:p w14:paraId="54875D4B" w14:textId="1B9AD0D0" w:rsidR="003162BB" w:rsidRPr="00C51FD2" w:rsidRDefault="002112DF" w:rsidP="00C51FD2">
      <w:pPr>
        <w:pStyle w:val="ListParagraph"/>
        <w:numPr>
          <w:ilvl w:val="0"/>
          <w:numId w:val="16"/>
        </w:numPr>
        <w:shd w:val="clear" w:color="auto" w:fill="FFFFFF"/>
        <w:spacing w:line="259" w:lineRule="auto"/>
        <w:outlineLvl w:val="2"/>
        <w:rPr>
          <w:rFonts w:ascii="Garamond" w:hAnsi="Garamond" w:cstheme="minorHAnsi"/>
          <w:sz w:val="24"/>
          <w:szCs w:val="24"/>
        </w:rPr>
      </w:pPr>
      <w:r w:rsidRPr="00C51FD2">
        <w:rPr>
          <w:rFonts w:ascii="Garamond" w:hAnsi="Garamond"/>
          <w:sz w:val="24"/>
          <w:szCs w:val="24"/>
          <w:lang w:val="en-US"/>
        </w:rPr>
        <w:lastRenderedPageBreak/>
        <w:t xml:space="preserve">Egypt’s widespread and systematic </w:t>
      </w:r>
      <w:r w:rsidR="009E07A8" w:rsidRPr="00C51FD2">
        <w:rPr>
          <w:rFonts w:ascii="Garamond" w:hAnsi="Garamond"/>
          <w:sz w:val="24"/>
          <w:szCs w:val="24"/>
          <w:lang w:val="en-US"/>
        </w:rPr>
        <w:t>practice</w:t>
      </w:r>
      <w:r w:rsidRPr="00C51FD2">
        <w:rPr>
          <w:rFonts w:ascii="Garamond" w:hAnsi="Garamond"/>
          <w:sz w:val="24"/>
          <w:szCs w:val="24"/>
          <w:lang w:val="en-US"/>
        </w:rPr>
        <w:t xml:space="preserve"> of </w:t>
      </w:r>
      <w:r w:rsidR="00C51FD2" w:rsidRPr="00C51FD2">
        <w:rPr>
          <w:rFonts w:ascii="Garamond" w:hAnsi="Garamond"/>
          <w:sz w:val="24"/>
          <w:szCs w:val="24"/>
          <w:lang w:val="en-US"/>
        </w:rPr>
        <w:t>torture and other ill-treatment</w:t>
      </w:r>
      <w:r w:rsidRPr="00C51FD2">
        <w:rPr>
          <w:rFonts w:ascii="Garamond" w:hAnsi="Garamond"/>
          <w:sz w:val="24"/>
          <w:szCs w:val="24"/>
          <w:lang w:val="en-US"/>
        </w:rPr>
        <w:t xml:space="preserve"> is enabled and facilitated by equally widespread and systematic complicity and impunity pervading the many different parts in Egypt’s criminal justice apparatus.</w:t>
      </w:r>
      <w:r w:rsidR="001469C8">
        <w:rPr>
          <w:rFonts w:ascii="Garamond" w:hAnsi="Garamond"/>
          <w:sz w:val="24"/>
          <w:szCs w:val="24"/>
          <w:lang w:val="en-US"/>
        </w:rPr>
        <w:t xml:space="preserve"> Most notably of these, Egypt’s prosecutors and judges collaborate hand-in-glove with</w:t>
      </w:r>
      <w:r w:rsidR="009E07A8" w:rsidRPr="00C51FD2">
        <w:rPr>
          <w:rFonts w:ascii="Garamond" w:hAnsi="Garamond"/>
          <w:sz w:val="24"/>
          <w:szCs w:val="24"/>
          <w:lang w:val="en-US"/>
        </w:rPr>
        <w:t xml:space="preserve"> </w:t>
      </w:r>
      <w:r w:rsidR="00764960" w:rsidRPr="00C51FD2">
        <w:rPr>
          <w:rFonts w:ascii="Garamond" w:hAnsi="Garamond"/>
          <w:sz w:val="24"/>
          <w:szCs w:val="24"/>
        </w:rPr>
        <w:t>police</w:t>
      </w:r>
      <w:r w:rsidRPr="00C51FD2">
        <w:rPr>
          <w:rFonts w:ascii="Garamond" w:hAnsi="Garamond"/>
          <w:sz w:val="24"/>
          <w:szCs w:val="24"/>
        </w:rPr>
        <w:t>, security officers,</w:t>
      </w:r>
      <w:r w:rsidR="001469C8">
        <w:rPr>
          <w:rFonts w:ascii="Garamond" w:hAnsi="Garamond"/>
          <w:sz w:val="24"/>
          <w:szCs w:val="24"/>
        </w:rPr>
        <w:t xml:space="preserve"> and</w:t>
      </w:r>
      <w:r w:rsidRPr="00C51FD2">
        <w:rPr>
          <w:rFonts w:ascii="Garamond" w:hAnsi="Garamond"/>
          <w:sz w:val="24"/>
          <w:szCs w:val="24"/>
        </w:rPr>
        <w:t xml:space="preserve"> prison staff </w:t>
      </w:r>
      <w:r w:rsidR="001469C8">
        <w:rPr>
          <w:rFonts w:ascii="Garamond" w:hAnsi="Garamond"/>
          <w:sz w:val="24"/>
          <w:szCs w:val="24"/>
        </w:rPr>
        <w:t>w</w:t>
      </w:r>
      <w:r w:rsidR="00C67087" w:rsidRPr="00C51FD2">
        <w:rPr>
          <w:rFonts w:ascii="Garamond" w:hAnsi="Garamond"/>
          <w:sz w:val="24"/>
          <w:szCs w:val="24"/>
        </w:rPr>
        <w:t xml:space="preserve">ith </w:t>
      </w:r>
      <w:r w:rsidRPr="00C51FD2">
        <w:rPr>
          <w:rFonts w:ascii="Garamond" w:hAnsi="Garamond"/>
          <w:sz w:val="24"/>
          <w:szCs w:val="24"/>
        </w:rPr>
        <w:t xml:space="preserve">the al-Sisi regime to </w:t>
      </w:r>
      <w:r w:rsidR="009E07A8" w:rsidRPr="00C51FD2">
        <w:rPr>
          <w:rFonts w:ascii="Garamond" w:hAnsi="Garamond"/>
          <w:sz w:val="24"/>
          <w:szCs w:val="24"/>
        </w:rPr>
        <w:t xml:space="preserve">ensure impunity to support short-term enforced disappearances as a tool </w:t>
      </w:r>
      <w:r w:rsidR="009E07A8" w:rsidRPr="00C51FD2">
        <w:rPr>
          <w:rFonts w:ascii="Garamond" w:hAnsi="Garamond"/>
          <w:sz w:val="24"/>
          <w:szCs w:val="24"/>
          <w:lang w:val="en-US"/>
        </w:rPr>
        <w:t>to persecute political opponents</w:t>
      </w:r>
      <w:r w:rsidR="001469C8">
        <w:rPr>
          <w:rFonts w:ascii="Garamond" w:hAnsi="Garamond"/>
          <w:sz w:val="24"/>
          <w:szCs w:val="24"/>
          <w:lang w:val="en-US"/>
        </w:rPr>
        <w:t>,</w:t>
      </w:r>
      <w:r w:rsidR="009E07A8" w:rsidRPr="00C51FD2">
        <w:rPr>
          <w:rFonts w:ascii="Garamond" w:hAnsi="Garamond"/>
          <w:sz w:val="24"/>
          <w:szCs w:val="24"/>
          <w:lang w:val="en-US"/>
        </w:rPr>
        <w:t xml:space="preserve"> human rights defenders</w:t>
      </w:r>
      <w:r w:rsidR="001469C8">
        <w:rPr>
          <w:rFonts w:ascii="Garamond" w:hAnsi="Garamond"/>
          <w:sz w:val="24"/>
          <w:szCs w:val="24"/>
          <w:lang w:val="en-US"/>
        </w:rPr>
        <w:t xml:space="preserve">, and oppositional democratic voices. </w:t>
      </w:r>
      <w:r w:rsidR="009E07A8" w:rsidRPr="00C51FD2">
        <w:rPr>
          <w:rFonts w:ascii="Garamond" w:hAnsi="Garamond" w:cstheme="minorHAnsi"/>
          <w:strike/>
          <w:sz w:val="24"/>
          <w:szCs w:val="24"/>
        </w:rPr>
        <w:t xml:space="preserve"> </w:t>
      </w:r>
    </w:p>
    <w:sectPr w:rsidR="003162BB" w:rsidRPr="00C51FD2" w:rsidSect="004D7648">
      <w:footerReference w:type="default" r:id="rId12"/>
      <w:headerReference w:type="first" r:id="rId13"/>
      <w:footerReference w:type="first" r:id="rId14"/>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DA608" w14:textId="77777777" w:rsidR="004D7648" w:rsidRDefault="004D7648" w:rsidP="009F00AF">
      <w:r>
        <w:separator/>
      </w:r>
    </w:p>
  </w:endnote>
  <w:endnote w:type="continuationSeparator" w:id="0">
    <w:p w14:paraId="3807BA73" w14:textId="77777777" w:rsidR="004D7648" w:rsidRDefault="004D7648" w:rsidP="009F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068898"/>
      <w:docPartObj>
        <w:docPartGallery w:val="Page Numbers (Bottom of Page)"/>
        <w:docPartUnique/>
      </w:docPartObj>
    </w:sdtPr>
    <w:sdtEndPr>
      <w:rPr>
        <w:noProof/>
      </w:rPr>
    </w:sdtEndPr>
    <w:sdtContent>
      <w:p w14:paraId="2C51D53F" w14:textId="5DED0E65" w:rsidR="00F35C9A" w:rsidRDefault="009F00AF">
        <w:pPr>
          <w:pStyle w:val="Footer"/>
          <w:jc w:val="center"/>
        </w:pPr>
        <w:r>
          <w:fldChar w:fldCharType="begin"/>
        </w:r>
        <w:r>
          <w:instrText xml:space="preserve"> PAGE   \* MERGEFORMAT </w:instrText>
        </w:r>
        <w:r>
          <w:fldChar w:fldCharType="separate"/>
        </w:r>
        <w:r w:rsidR="003830AB">
          <w:rPr>
            <w:noProof/>
          </w:rPr>
          <w:t>5</w:t>
        </w:r>
        <w:r>
          <w:rPr>
            <w:noProof/>
          </w:rPr>
          <w:fldChar w:fldCharType="end"/>
        </w:r>
      </w:p>
    </w:sdtContent>
  </w:sdt>
  <w:p w14:paraId="5A6E9ADE" w14:textId="77777777" w:rsidR="00F35C9A" w:rsidRDefault="00F35C9A"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0D86" w14:textId="77777777" w:rsidR="00F35C9A" w:rsidRPr="003F10CA" w:rsidRDefault="009F00AF" w:rsidP="0044209B">
    <w:pPr>
      <w:pStyle w:val="Footer"/>
      <w:tabs>
        <w:tab w:val="left" w:pos="567"/>
      </w:tabs>
    </w:pPr>
    <w:r w:rsidRPr="00904039">
      <w:rPr>
        <w:sz w:val="24"/>
      </w:rPr>
      <w:t xml:space="preserve"> </w:t>
    </w:r>
  </w:p>
  <w:p w14:paraId="2C78BA67" w14:textId="77777777" w:rsidR="00F35C9A" w:rsidRPr="00282983" w:rsidRDefault="009F00AF" w:rsidP="000448F9">
    <w:pPr>
      <w:pStyle w:val="Footer"/>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57E6" w14:textId="77777777" w:rsidR="004D7648" w:rsidRDefault="004D7648" w:rsidP="009F00AF">
      <w:r>
        <w:separator/>
      </w:r>
    </w:p>
  </w:footnote>
  <w:footnote w:type="continuationSeparator" w:id="0">
    <w:p w14:paraId="2CCFED85" w14:textId="77777777" w:rsidR="004D7648" w:rsidRDefault="004D7648" w:rsidP="009F00AF">
      <w:r>
        <w:continuationSeparator/>
      </w:r>
    </w:p>
  </w:footnote>
  <w:footnote w:id="1">
    <w:p w14:paraId="78EF1D71" w14:textId="56F87238" w:rsidR="00835EDA" w:rsidRPr="00835EDA" w:rsidRDefault="00835EDA">
      <w:pPr>
        <w:pStyle w:val="FootnoteText"/>
        <w:rPr>
          <w:rFonts w:ascii="Garamond" w:hAnsi="Garamond"/>
          <w:sz w:val="16"/>
          <w:szCs w:val="16"/>
        </w:rPr>
      </w:pPr>
      <w:r w:rsidRPr="00835EDA">
        <w:rPr>
          <w:rStyle w:val="FootnoteReference"/>
          <w:rFonts w:ascii="Garamond" w:hAnsi="Garamond"/>
          <w:sz w:val="16"/>
          <w:szCs w:val="16"/>
        </w:rPr>
        <w:footnoteRef/>
      </w:r>
      <w:r w:rsidRPr="00835EDA">
        <w:rPr>
          <w:rFonts w:ascii="Garamond" w:hAnsi="Garamond"/>
          <w:sz w:val="16"/>
          <w:szCs w:val="16"/>
        </w:rPr>
        <w:t xml:space="preserve"> </w:t>
      </w:r>
      <w:r w:rsidR="00A4677C">
        <w:rPr>
          <w:rFonts w:ascii="Garamond" w:hAnsi="Garamond"/>
          <w:sz w:val="16"/>
          <w:szCs w:val="16"/>
        </w:rPr>
        <w:t>United Nations Committee against Torture, Annual Report 2016, U.N. Doc. A/51/44, para. 219, 9 July 1996; United Nations Committee against Torture, Annual Report 2016, U.N. Doc. A/72/44, para. 67, 2017.</w:t>
      </w:r>
    </w:p>
  </w:footnote>
  <w:footnote w:id="2">
    <w:p w14:paraId="0E278B88" w14:textId="77777777" w:rsidR="00FA6617" w:rsidRPr="00B310CC" w:rsidRDefault="00FA6617" w:rsidP="00FA6617">
      <w:pPr>
        <w:pBdr>
          <w:top w:val="nil"/>
          <w:left w:val="nil"/>
          <w:bottom w:val="nil"/>
          <w:right w:val="nil"/>
          <w:between w:val="nil"/>
        </w:pBdr>
        <w:rPr>
          <w:rFonts w:ascii="Garamond" w:eastAsia="Garamond" w:hAnsi="Garamond" w:cs="Garamond"/>
          <w:color w:val="000000"/>
        </w:rPr>
      </w:pPr>
      <w:r w:rsidRPr="00B310CC">
        <w:rPr>
          <w:rStyle w:val="FootnoteReference"/>
          <w:rFonts w:ascii="Garamond" w:hAnsi="Garamond"/>
        </w:rPr>
        <w:footnoteRef/>
      </w:r>
      <w:r w:rsidRPr="00B310CC">
        <w:rPr>
          <w:rFonts w:ascii="Garamond" w:eastAsia="Garamond" w:hAnsi="Garamond" w:cs="Garamond"/>
          <w:color w:val="000000"/>
        </w:rPr>
        <w:t xml:space="preserve"> Ruth Michaelson, </w:t>
      </w:r>
      <w:r w:rsidRPr="00B310CC">
        <w:rPr>
          <w:rFonts w:ascii="Garamond" w:eastAsia="Garamond" w:hAnsi="Garamond" w:cs="Garamond"/>
          <w:i/>
          <w:color w:val="000000"/>
        </w:rPr>
        <w:t>’We’re Next’: Prisoner’s secret filming appears to show torture in Cairo police station</w:t>
      </w:r>
      <w:r w:rsidRPr="00B310CC">
        <w:rPr>
          <w:rFonts w:ascii="Garamond" w:eastAsia="Garamond" w:hAnsi="Garamond" w:cs="Garamond"/>
          <w:color w:val="000000"/>
        </w:rPr>
        <w:t xml:space="preserve">, The Guardian, 24 January 2022, </w:t>
      </w:r>
      <w:hyperlink r:id="rId1">
        <w:r w:rsidRPr="00B310CC">
          <w:rPr>
            <w:rFonts w:ascii="Garamond" w:eastAsia="Garamond" w:hAnsi="Garamond" w:cs="Garamond"/>
            <w:color w:val="0000FF"/>
            <w:u w:val="single"/>
          </w:rPr>
          <w:t>https://www.theguardian.com/global-development/2022/jan/24/cairo-egypt-police-station-secret-filming-appears-to-show-torture</w:t>
        </w:r>
      </w:hyperlink>
      <w:r w:rsidRPr="00B310CC">
        <w:rPr>
          <w:rFonts w:ascii="Garamond" w:eastAsia="Garamond" w:hAnsi="Garamond" w:cs="Garamond"/>
          <w:color w:val="000000"/>
        </w:rPr>
        <w:t xml:space="preserve">. </w:t>
      </w:r>
    </w:p>
    <w:bookmarkStart w:id="1" w:name="_heading=h.1fob9te" w:colFirst="0" w:colLast="0"/>
    <w:bookmarkEnd w:id="1"/>
  </w:footnote>
  <w:footnote w:id="3">
    <w:p w14:paraId="1E209981" w14:textId="77777777" w:rsidR="00FA6617" w:rsidRPr="00B310CC" w:rsidRDefault="00FA6617" w:rsidP="00FA6617">
      <w:pPr>
        <w:rPr>
          <w:rFonts w:ascii="Garamond" w:eastAsia="Garamond" w:hAnsi="Garamond" w:cs="Garamond"/>
        </w:rPr>
      </w:pPr>
      <w:bookmarkStart w:id="2" w:name="_heading=h.1fob9te" w:colFirst="0" w:colLast="0"/>
      <w:bookmarkEnd w:id="2"/>
      <w:r w:rsidRPr="00B310CC">
        <w:rPr>
          <w:rStyle w:val="FootnoteReference"/>
          <w:rFonts w:ascii="Garamond" w:hAnsi="Garamond"/>
        </w:rPr>
        <w:footnoteRef/>
      </w:r>
      <w:r w:rsidRPr="00B310CC">
        <w:rPr>
          <w:rFonts w:ascii="Garamond" w:eastAsia="Garamond" w:hAnsi="Garamond" w:cs="Garamond"/>
        </w:rPr>
        <w:t xml:space="preserve"> Arts. 63, 162, 232 The Egyptian Code of Criminal Procedure. - No. 150 of 1950, published on 10-15-1951. Under Egyptian law, criminal cases must be initiated by the Public Prosecutor or the Chief Public Prosecutor only, in accordance with Criminal Procedures law Article 63 and Article 232. Moreover, victims of torture are not entitled to appeal the orders issued by the Public Prosecution Office or the investigative judge in the event that the accused is a public official. And despite a constitutional entitlement to remedy a violation of rights by directly filing a criminal lawsuit, the Code of Criminal Procedure does not allow direct prosecution except in the case of violations and misdemeanors, not in cases of felonies such as the crime of torture.</w:t>
      </w:r>
    </w:p>
  </w:footnote>
  <w:footnote w:id="4">
    <w:p w14:paraId="63ADAD12" w14:textId="77777777" w:rsidR="00FA6617" w:rsidRPr="00B310CC" w:rsidRDefault="00FA6617" w:rsidP="00FA6617">
      <w:pPr>
        <w:pBdr>
          <w:top w:val="nil"/>
          <w:left w:val="nil"/>
          <w:bottom w:val="nil"/>
          <w:right w:val="nil"/>
          <w:between w:val="nil"/>
        </w:pBdr>
        <w:rPr>
          <w:rFonts w:ascii="Garamond" w:eastAsia="Garamond" w:hAnsi="Garamond" w:cs="Garamond"/>
          <w:color w:val="000000"/>
        </w:rPr>
      </w:pPr>
      <w:r w:rsidRPr="00B310CC">
        <w:rPr>
          <w:rStyle w:val="FootnoteReference"/>
          <w:rFonts w:ascii="Garamond" w:hAnsi="Garamond"/>
        </w:rPr>
        <w:footnoteRef/>
      </w:r>
      <w:r w:rsidRPr="00B310CC">
        <w:rPr>
          <w:rFonts w:ascii="Garamond" w:eastAsia="Garamond" w:hAnsi="Garamond" w:cs="Garamond"/>
          <w:color w:val="000000"/>
        </w:rPr>
        <w:t xml:space="preserve"> UN Committee against Torture 2017, Egypt, UN Doc. A/72/44, §§58-71</w:t>
      </w:r>
    </w:p>
  </w:footnote>
  <w:footnote w:id="5">
    <w:p w14:paraId="1AC1A32B" w14:textId="0BCA8953" w:rsidR="009A46D8" w:rsidRPr="00DA5965" w:rsidRDefault="009A46D8" w:rsidP="00E95D41">
      <w:pPr>
        <w:spacing w:line="259" w:lineRule="auto"/>
        <w:rPr>
          <w:rFonts w:ascii="Garamond" w:hAnsi="Garamond"/>
          <w:sz w:val="16"/>
          <w:szCs w:val="16"/>
          <w:lang w:val="en-US"/>
        </w:rPr>
      </w:pPr>
      <w:r w:rsidRPr="00DA5965">
        <w:rPr>
          <w:rStyle w:val="FootnoteReference"/>
          <w:rFonts w:ascii="Garamond" w:hAnsi="Garamond"/>
          <w:sz w:val="16"/>
          <w:szCs w:val="16"/>
        </w:rPr>
        <w:footnoteRef/>
      </w:r>
      <w:r w:rsidRPr="00DA5965">
        <w:rPr>
          <w:rFonts w:ascii="Garamond" w:hAnsi="Garamond"/>
          <w:sz w:val="16"/>
          <w:szCs w:val="16"/>
        </w:rPr>
        <w:t xml:space="preserve"> United Nation Human Rights Committee, Concluding Observations of Egypt’s Fifth Periodic Review, U.N. Doc. CCPR/C/EGY/CO/5, para. 2</w:t>
      </w:r>
      <w:r w:rsidR="003739C1">
        <w:rPr>
          <w:rFonts w:ascii="Garamond" w:hAnsi="Garamond"/>
          <w:sz w:val="16"/>
          <w:szCs w:val="16"/>
        </w:rPr>
        <w:t>7</w:t>
      </w:r>
      <w:r w:rsidRPr="00DA5965">
        <w:rPr>
          <w:rFonts w:ascii="Garamond" w:hAnsi="Garamond"/>
          <w:sz w:val="16"/>
          <w:szCs w:val="16"/>
        </w:rPr>
        <w:t>, February 2023.</w:t>
      </w:r>
    </w:p>
  </w:footnote>
  <w:footnote w:id="6">
    <w:p w14:paraId="50F9E695" w14:textId="77777777" w:rsidR="003739C1" w:rsidRPr="00DA5965" w:rsidRDefault="003739C1" w:rsidP="003739C1">
      <w:pPr>
        <w:spacing w:line="259" w:lineRule="auto"/>
        <w:rPr>
          <w:rFonts w:ascii="Garamond" w:hAnsi="Garamond"/>
          <w:sz w:val="16"/>
          <w:szCs w:val="16"/>
          <w:lang w:val="en-US"/>
        </w:rPr>
      </w:pPr>
      <w:r w:rsidRPr="00DA5965">
        <w:rPr>
          <w:rStyle w:val="FootnoteReference"/>
          <w:rFonts w:ascii="Garamond" w:hAnsi="Garamond"/>
          <w:sz w:val="16"/>
          <w:szCs w:val="16"/>
        </w:rPr>
        <w:footnoteRef/>
      </w:r>
      <w:r w:rsidRPr="00DA5965">
        <w:rPr>
          <w:rFonts w:ascii="Garamond" w:hAnsi="Garamond"/>
          <w:sz w:val="16"/>
          <w:szCs w:val="16"/>
        </w:rPr>
        <w:t xml:space="preserve"> United Nation Human Rights Committee, Concluding Observations of Egypt’s Fifth Periodic Review, U.N. Doc. CCPR/C/EGY/CO/5, para. 2</w:t>
      </w:r>
      <w:r>
        <w:rPr>
          <w:rFonts w:ascii="Garamond" w:hAnsi="Garamond"/>
          <w:sz w:val="16"/>
          <w:szCs w:val="16"/>
        </w:rPr>
        <w:t>7</w:t>
      </w:r>
      <w:r w:rsidRPr="00DA5965">
        <w:rPr>
          <w:rFonts w:ascii="Garamond" w:hAnsi="Garamond"/>
          <w:sz w:val="16"/>
          <w:szCs w:val="16"/>
        </w:rPr>
        <w:t>, February 2023.</w:t>
      </w:r>
    </w:p>
  </w:footnote>
  <w:footnote w:id="7">
    <w:p w14:paraId="03814E89" w14:textId="41B48A76" w:rsidR="001469C8" w:rsidRPr="001469C8" w:rsidRDefault="001469C8">
      <w:pPr>
        <w:pStyle w:val="FootnoteText"/>
        <w:rPr>
          <w:rFonts w:ascii="Garamond" w:hAnsi="Garamond"/>
          <w:sz w:val="16"/>
          <w:szCs w:val="16"/>
        </w:rPr>
      </w:pPr>
      <w:r w:rsidRPr="001469C8">
        <w:rPr>
          <w:rStyle w:val="FootnoteReference"/>
          <w:rFonts w:ascii="Garamond" w:hAnsi="Garamond"/>
          <w:sz w:val="16"/>
          <w:szCs w:val="16"/>
        </w:rPr>
        <w:footnoteRef/>
      </w:r>
      <w:r w:rsidRPr="001469C8">
        <w:rPr>
          <w:rFonts w:ascii="Garamond" w:hAnsi="Garamond"/>
          <w:sz w:val="16"/>
          <w:szCs w:val="16"/>
        </w:rPr>
        <w:t xml:space="preserve"> See </w:t>
      </w:r>
      <w:r w:rsidRPr="001469C8">
        <w:rPr>
          <w:rFonts w:ascii="Garamond" w:hAnsi="Garamond" w:cstheme="minorHAnsi"/>
          <w:sz w:val="16"/>
          <w:szCs w:val="16"/>
        </w:rPr>
        <w:t>amended Anti-Terrorism Law, which effectively codifies enforced disappearances by allowing individuals to be arrested and held incommunicado for up to 28 days. The law has routinely been criticized UN Special Procedure Mandate Holders for being vague, overbroad, and a cudgel the regime uses to silence legitimate criticism</w:t>
      </w:r>
      <w:r w:rsidRPr="001469C8">
        <w:rPr>
          <w:rFonts w:ascii="Garamond" w:hAnsi="Garamond" w:cstheme="minorHAnsi"/>
          <w:sz w:val="16"/>
          <w:szCs w:val="16"/>
        </w:rPr>
        <w:t>. (</w:t>
      </w:r>
      <w:r w:rsidRPr="001469C8">
        <w:rPr>
          <w:rFonts w:ascii="Garamond" w:hAnsi="Garamond"/>
          <w:sz w:val="16"/>
          <w:szCs w:val="16"/>
        </w:rPr>
        <w:t xml:space="preserve">Press Release, Egypt uses terrorism trials to target human rights activists, say UN experts, </w:t>
      </w:r>
      <w:r w:rsidRPr="001469C8">
        <w:rPr>
          <w:rFonts w:ascii="Garamond" w:hAnsi="Garamond"/>
          <w:sz w:val="16"/>
          <w:szCs w:val="16"/>
          <w:lang w:val="en-US"/>
        </w:rPr>
        <w:t xml:space="preserve">UN Office of the High Commissioner for Human Rights, 8 October 2020, </w:t>
      </w:r>
      <w:hyperlink r:id="rId2" w:history="1">
        <w:r w:rsidRPr="001469C8">
          <w:rPr>
            <w:rStyle w:val="Hyperlink"/>
            <w:rFonts w:ascii="Garamond" w:hAnsi="Garamond"/>
            <w:sz w:val="16"/>
            <w:szCs w:val="16"/>
            <w:lang w:val="en-US"/>
          </w:rPr>
          <w:t>https://www.ohchr.org/en/press-releases/2020/10/egypt-uses-terrorism-trials-target-human-rights-activists-say-un-experts</w:t>
        </w:r>
      </w:hyperlink>
      <w:r w:rsidRPr="001469C8">
        <w:rPr>
          <w:rFonts w:ascii="Garamond" w:hAnsi="Garamond"/>
          <w:sz w:val="16"/>
          <w:szCs w:val="16"/>
          <w:lang w:val="en-US"/>
        </w:rPr>
        <w:t xml:space="preserve">; Press Release, Egypt’s updated terrorism law opens the door to more rights abuses, says UN expert, UN Office of the High Commissioner for Human Rights, 9 April 2020, </w:t>
      </w:r>
      <w:hyperlink r:id="rId3" w:history="1">
        <w:r w:rsidRPr="001469C8">
          <w:rPr>
            <w:rStyle w:val="Hyperlink"/>
            <w:rFonts w:ascii="Garamond" w:hAnsi="Garamond"/>
            <w:sz w:val="16"/>
            <w:szCs w:val="16"/>
            <w:lang w:val="en-US"/>
          </w:rPr>
          <w:t>https://www.ohchr.org/en/press-releases/2020/04/egypts-updated-terrorism-law-opens-door-more-rights-abuses-says-un-expert</w:t>
        </w:r>
      </w:hyperlink>
      <w:r w:rsidRPr="001469C8">
        <w:rPr>
          <w:rFonts w:ascii="Garamond" w:hAnsi="Garamond"/>
          <w:sz w:val="16"/>
          <w:szCs w:val="16"/>
          <w:lang w:val="en-US"/>
        </w:rPr>
        <w:t>; Letter from UN Special Procedures to Egyptian Authorities concerning amendments to counter-terrorism legislation, 28 February 2020,</w:t>
      </w:r>
      <w:r w:rsidRPr="001469C8">
        <w:rPr>
          <w:rFonts w:ascii="Garamond" w:hAnsi="Garamond"/>
          <w:sz w:val="16"/>
          <w:szCs w:val="16"/>
          <w:lang w:val="en-US"/>
        </w:rPr>
        <w:t>)</w:t>
      </w:r>
    </w:p>
  </w:footnote>
  <w:footnote w:id="8">
    <w:p w14:paraId="3FD54507" w14:textId="55C30953" w:rsidR="00FE7834" w:rsidRPr="003162BB" w:rsidRDefault="00FE7834" w:rsidP="00FE7834">
      <w:pPr>
        <w:pStyle w:val="FootnoteText"/>
        <w:rPr>
          <w:rFonts w:ascii="Garamond" w:hAnsi="Garamond"/>
          <w:sz w:val="16"/>
          <w:szCs w:val="16"/>
        </w:rPr>
      </w:pPr>
      <w:r w:rsidRPr="003162BB">
        <w:rPr>
          <w:rStyle w:val="FootnoteReference"/>
          <w:rFonts w:ascii="Garamond" w:hAnsi="Garamond"/>
          <w:sz w:val="16"/>
          <w:szCs w:val="16"/>
        </w:rPr>
        <w:footnoteRef/>
      </w:r>
      <w:r w:rsidRPr="003162BB">
        <w:rPr>
          <w:rFonts w:ascii="Garamond" w:hAnsi="Garamond"/>
          <w:sz w:val="16"/>
          <w:szCs w:val="16"/>
        </w:rPr>
        <w:t xml:space="preserve"> Amnesty International, </w:t>
      </w:r>
      <w:r w:rsidRPr="003162BB">
        <w:rPr>
          <w:rFonts w:ascii="Garamond" w:hAnsi="Garamond"/>
          <w:i/>
          <w:iCs/>
          <w:sz w:val="16"/>
          <w:szCs w:val="16"/>
        </w:rPr>
        <w:t>‘What do I care if you die?’ Negligence and Denial of Health Care in Egyptian Prisons</w:t>
      </w:r>
      <w:r w:rsidRPr="003162BB">
        <w:rPr>
          <w:rFonts w:ascii="Garamond" w:hAnsi="Garamond"/>
          <w:sz w:val="16"/>
          <w:szCs w:val="16"/>
        </w:rPr>
        <w:t xml:space="preserve">, </w:t>
      </w:r>
      <w:r>
        <w:rPr>
          <w:rFonts w:ascii="Garamond" w:hAnsi="Garamond"/>
          <w:sz w:val="16"/>
          <w:szCs w:val="16"/>
        </w:rPr>
        <w:t xml:space="preserve">p. 59, </w:t>
      </w:r>
      <w:r w:rsidRPr="003162BB">
        <w:rPr>
          <w:rFonts w:ascii="Garamond" w:hAnsi="Garamond"/>
          <w:sz w:val="16"/>
          <w:szCs w:val="16"/>
        </w:rPr>
        <w:t>2021.</w:t>
      </w:r>
    </w:p>
  </w:footnote>
  <w:footnote w:id="9">
    <w:p w14:paraId="13B3C069" w14:textId="77777777" w:rsidR="00FE7834" w:rsidRPr="003162BB" w:rsidRDefault="00FE7834" w:rsidP="00FE7834">
      <w:pPr>
        <w:pStyle w:val="FootnoteText"/>
        <w:rPr>
          <w:rFonts w:ascii="Garamond" w:hAnsi="Garamond"/>
          <w:sz w:val="16"/>
          <w:szCs w:val="16"/>
        </w:rPr>
      </w:pPr>
      <w:r w:rsidRPr="003162BB">
        <w:rPr>
          <w:rStyle w:val="FootnoteReference"/>
          <w:rFonts w:ascii="Garamond" w:hAnsi="Garamond"/>
          <w:sz w:val="16"/>
          <w:szCs w:val="16"/>
        </w:rPr>
        <w:footnoteRef/>
      </w:r>
      <w:r w:rsidRPr="003162BB">
        <w:rPr>
          <w:rFonts w:ascii="Garamond" w:hAnsi="Garamond"/>
          <w:sz w:val="16"/>
          <w:szCs w:val="16"/>
        </w:rPr>
        <w:t xml:space="preserve"> Amnesty International, </w:t>
      </w:r>
      <w:r w:rsidRPr="003162BB">
        <w:rPr>
          <w:rFonts w:ascii="Garamond" w:hAnsi="Garamond"/>
          <w:i/>
          <w:iCs/>
          <w:sz w:val="16"/>
          <w:szCs w:val="16"/>
        </w:rPr>
        <w:t>‘What do I care if you die?’ Negligence and Denial of Health Care in Egyptian Prisons</w:t>
      </w:r>
      <w:r w:rsidRPr="003162BB">
        <w:rPr>
          <w:rFonts w:ascii="Garamond" w:hAnsi="Garamond"/>
          <w:sz w:val="16"/>
          <w:szCs w:val="16"/>
        </w:rPr>
        <w:t xml:space="preserve">, </w:t>
      </w:r>
      <w:r>
        <w:rPr>
          <w:rFonts w:ascii="Garamond" w:hAnsi="Garamond"/>
          <w:sz w:val="16"/>
          <w:szCs w:val="16"/>
        </w:rPr>
        <w:t xml:space="preserve">p. 59, </w:t>
      </w:r>
      <w:r w:rsidRPr="003162BB">
        <w:rPr>
          <w:rFonts w:ascii="Garamond" w:hAnsi="Garamond"/>
          <w:sz w:val="16"/>
          <w:szCs w:val="16"/>
        </w:rPr>
        <w:t>2021.</w:t>
      </w:r>
    </w:p>
  </w:footnote>
  <w:footnote w:id="10">
    <w:p w14:paraId="0A12A631" w14:textId="77777777" w:rsidR="00D245CA" w:rsidRPr="007506AD" w:rsidRDefault="00D245CA" w:rsidP="00D245CA">
      <w:pPr>
        <w:pStyle w:val="FootnoteText"/>
        <w:rPr>
          <w:rFonts w:ascii="Garamond" w:hAnsi="Garamond"/>
          <w:sz w:val="16"/>
          <w:szCs w:val="16"/>
        </w:rPr>
      </w:pPr>
      <w:r w:rsidRPr="007506AD">
        <w:rPr>
          <w:rStyle w:val="FootnoteReference"/>
          <w:rFonts w:ascii="Garamond" w:hAnsi="Garamond"/>
          <w:sz w:val="16"/>
          <w:szCs w:val="16"/>
        </w:rPr>
        <w:footnoteRef/>
      </w:r>
      <w:r w:rsidRPr="007506AD">
        <w:rPr>
          <w:rFonts w:ascii="Garamond" w:hAnsi="Garamond"/>
          <w:sz w:val="16"/>
          <w:szCs w:val="16"/>
        </w:rPr>
        <w:t xml:space="preserve"> Amnesty International, </w:t>
      </w:r>
      <w:r w:rsidRPr="007506AD">
        <w:rPr>
          <w:rFonts w:ascii="Garamond" w:hAnsi="Garamond"/>
          <w:i/>
          <w:iCs/>
          <w:sz w:val="16"/>
          <w:szCs w:val="16"/>
        </w:rPr>
        <w:t>‘What do I care if you die?’ Negligence and Denial of Health Care in Egyptian Prisons</w:t>
      </w:r>
      <w:r w:rsidRPr="007506AD">
        <w:rPr>
          <w:rFonts w:ascii="Garamond" w:hAnsi="Garamond"/>
          <w:sz w:val="16"/>
          <w:szCs w:val="16"/>
        </w:rPr>
        <w:t>, p. 58, 2021.</w:t>
      </w:r>
    </w:p>
  </w:footnote>
  <w:footnote w:id="11">
    <w:p w14:paraId="78D1753A" w14:textId="77777777" w:rsidR="001469C8" w:rsidRPr="007506AD" w:rsidRDefault="001469C8" w:rsidP="001469C8">
      <w:pPr>
        <w:pStyle w:val="FootnoteText"/>
      </w:pPr>
      <w:r w:rsidRPr="007506AD">
        <w:rPr>
          <w:rStyle w:val="FootnoteReference"/>
          <w:rFonts w:ascii="Garamond" w:hAnsi="Garamond"/>
          <w:sz w:val="16"/>
          <w:szCs w:val="16"/>
        </w:rPr>
        <w:footnoteRef/>
      </w:r>
      <w:r w:rsidRPr="007506AD">
        <w:rPr>
          <w:rFonts w:ascii="Garamond" w:hAnsi="Garamond"/>
          <w:sz w:val="16"/>
          <w:szCs w:val="16"/>
        </w:rPr>
        <w:t xml:space="preserve"> DIGNITY, Adalah, Cairo Institute for Human Rights Studies, Committee for Justice, El Nadeem, Egyptian Commission for Human Rights, Joint Submission for Egypt’s Third Cycle Universal Periodic Review, p. 7 (2019).</w:t>
      </w:r>
      <w:r>
        <w:t xml:space="preserve"> </w:t>
      </w:r>
    </w:p>
  </w:footnote>
  <w:footnote w:id="12">
    <w:p w14:paraId="168B38DF" w14:textId="77777777" w:rsidR="001469C8" w:rsidRPr="00C67087" w:rsidRDefault="001469C8" w:rsidP="001469C8">
      <w:pPr>
        <w:pStyle w:val="FootnoteText"/>
        <w:rPr>
          <w:rFonts w:ascii="Garamond" w:hAnsi="Garamond"/>
          <w:sz w:val="16"/>
          <w:szCs w:val="16"/>
        </w:rPr>
      </w:pPr>
      <w:r w:rsidRPr="00C67087">
        <w:rPr>
          <w:rStyle w:val="FootnoteReference"/>
          <w:rFonts w:ascii="Garamond" w:hAnsi="Garamond"/>
          <w:sz w:val="16"/>
          <w:szCs w:val="16"/>
        </w:rPr>
        <w:footnoteRef/>
      </w:r>
      <w:r w:rsidRPr="00C67087">
        <w:rPr>
          <w:rFonts w:ascii="Garamond" w:hAnsi="Garamond"/>
          <w:sz w:val="16"/>
          <w:szCs w:val="16"/>
        </w:rPr>
        <w:t xml:space="preserve"> </w:t>
      </w:r>
      <w:r w:rsidRPr="00C67087">
        <w:rPr>
          <w:rFonts w:ascii="Garamond" w:hAnsi="Garamond" w:cstheme="minorHAnsi"/>
          <w:sz w:val="16"/>
          <w:szCs w:val="16"/>
        </w:rPr>
        <w:t>UN C</w:t>
      </w:r>
      <w:r>
        <w:rPr>
          <w:rFonts w:ascii="Garamond" w:hAnsi="Garamond" w:cstheme="minorHAnsi"/>
          <w:sz w:val="16"/>
          <w:szCs w:val="16"/>
        </w:rPr>
        <w:t xml:space="preserve">ommittee against </w:t>
      </w:r>
      <w:r w:rsidRPr="00C67087">
        <w:rPr>
          <w:rFonts w:ascii="Garamond" w:hAnsi="Garamond" w:cstheme="minorHAnsi"/>
          <w:sz w:val="16"/>
          <w:szCs w:val="16"/>
        </w:rPr>
        <w:t>T</w:t>
      </w:r>
      <w:r>
        <w:rPr>
          <w:rFonts w:ascii="Garamond" w:hAnsi="Garamond" w:cstheme="minorHAnsi"/>
          <w:sz w:val="16"/>
          <w:szCs w:val="16"/>
        </w:rPr>
        <w:t>orture</w:t>
      </w:r>
      <w:r w:rsidRPr="00C67087">
        <w:rPr>
          <w:rFonts w:ascii="Garamond" w:hAnsi="Garamond" w:cstheme="minorHAnsi"/>
          <w:sz w:val="16"/>
          <w:szCs w:val="16"/>
        </w:rPr>
        <w:t xml:space="preserve">, </w:t>
      </w:r>
      <w:r>
        <w:rPr>
          <w:rFonts w:ascii="Garamond" w:hAnsi="Garamond" w:cstheme="minorHAnsi"/>
          <w:sz w:val="16"/>
          <w:szCs w:val="16"/>
        </w:rPr>
        <w:t xml:space="preserve">report under Art. 20, </w:t>
      </w:r>
      <w:r w:rsidRPr="00C67087">
        <w:rPr>
          <w:rFonts w:ascii="Garamond" w:hAnsi="Garamond" w:cstheme="minorHAnsi"/>
          <w:sz w:val="16"/>
          <w:szCs w:val="16"/>
        </w:rPr>
        <w:t>§§</w:t>
      </w:r>
      <w:r>
        <w:rPr>
          <w:rFonts w:ascii="Garamond" w:hAnsi="Garamond" w:cstheme="minorHAnsi"/>
          <w:sz w:val="16"/>
          <w:szCs w:val="16"/>
        </w:rPr>
        <w:t xml:space="preserve"> </w:t>
      </w:r>
      <w:r w:rsidRPr="00C67087">
        <w:rPr>
          <w:rFonts w:ascii="Garamond" w:hAnsi="Garamond" w:cstheme="minorHAnsi"/>
          <w:sz w:val="16"/>
          <w:szCs w:val="16"/>
        </w:rPr>
        <w:t>58-71</w:t>
      </w:r>
      <w:r>
        <w:rPr>
          <w:rFonts w:ascii="Garamond" w:hAnsi="Garamond" w:cstheme="minorHAnsi"/>
          <w:sz w:val="16"/>
          <w:szCs w:val="16"/>
        </w:rPr>
        <w:t>, U.N. Doc. A/72/44, 2017.</w:t>
      </w:r>
    </w:p>
  </w:footnote>
  <w:footnote w:id="13">
    <w:p w14:paraId="674E72BB" w14:textId="77777777" w:rsidR="001469C8" w:rsidRDefault="001469C8" w:rsidP="001469C8">
      <w:pPr>
        <w:pBdr>
          <w:top w:val="nil"/>
          <w:left w:val="nil"/>
          <w:bottom w:val="nil"/>
          <w:right w:val="nil"/>
          <w:between w:val="nil"/>
        </w:pBdr>
        <w:rPr>
          <w:rFonts w:ascii="Garamond" w:eastAsia="Garamond" w:hAnsi="Garamond" w:cs="Garamond"/>
          <w:color w:val="000000"/>
        </w:rPr>
      </w:pPr>
      <w:r w:rsidRPr="0008591D">
        <w:rPr>
          <w:rStyle w:val="FootnoteReference"/>
          <w:rFonts w:ascii="Garamond" w:hAnsi="Garamond"/>
        </w:rPr>
        <w:footnoteRef/>
      </w:r>
      <w:r w:rsidRPr="0008591D">
        <w:rPr>
          <w:rFonts w:ascii="Garamond" w:eastAsia="Garamond" w:hAnsi="Garamond" w:cs="Garamond"/>
          <w:color w:val="000000"/>
        </w:rPr>
        <w:t xml:space="preserve"> G. Caracciolo</w:t>
      </w:r>
      <w:r>
        <w:rPr>
          <w:rFonts w:ascii="Garamond" w:eastAsia="Garamond" w:hAnsi="Garamond" w:cs="Garamond"/>
          <w:color w:val="000000"/>
        </w:rPr>
        <w:t xml:space="preserve">, E. Cakal, the Committee for Justice, and Egyptian Commission for Rights and Freedoms, </w:t>
      </w:r>
      <w:r>
        <w:rPr>
          <w:rFonts w:ascii="Garamond" w:eastAsia="Garamond" w:hAnsi="Garamond" w:cs="Garamond"/>
          <w:i/>
          <w:color w:val="000000"/>
        </w:rPr>
        <w:t>Torture in Egypt: Systemic and Systematic</w:t>
      </w:r>
      <w:r>
        <w:rPr>
          <w:rFonts w:ascii="Garamond" w:eastAsia="Garamond" w:hAnsi="Garamond" w:cs="Garamond"/>
          <w:color w:val="000000"/>
        </w:rPr>
        <w:t xml:space="preserve">, Dignity Publication Series on Torture and Organized Violence, Praxis Paper #38, 2021, p. 22; POMED 2017, Project on Middle East Democracy (POMED) 2017, The Role of the Public Prosecution in Egypt’s Repression; Amnesty International (AI) 2016, </w:t>
      </w:r>
      <w:r>
        <w:rPr>
          <w:rFonts w:ascii="Garamond" w:eastAsia="Garamond" w:hAnsi="Garamond" w:cs="Garamond"/>
          <w:i/>
          <w:color w:val="000000"/>
        </w:rPr>
        <w:t>‘Officially you do not exist’, Disappeared and Tortured in the Name of Counter-Terrorism</w:t>
      </w:r>
      <w:r>
        <w:rPr>
          <w:rFonts w:ascii="Garamond" w:eastAsia="Garamond" w:hAnsi="Garamond" w:cs="Garamond"/>
          <w:color w:val="000000"/>
        </w:rPr>
        <w:t>, London.</w:t>
      </w:r>
    </w:p>
  </w:footnote>
  <w:footnote w:id="14">
    <w:p w14:paraId="479467AB" w14:textId="77777777" w:rsidR="001469C8" w:rsidRPr="0008591D" w:rsidRDefault="001469C8" w:rsidP="001469C8">
      <w:pPr>
        <w:pBdr>
          <w:top w:val="nil"/>
          <w:left w:val="nil"/>
          <w:bottom w:val="nil"/>
          <w:right w:val="nil"/>
          <w:between w:val="nil"/>
        </w:pBdr>
        <w:rPr>
          <w:rFonts w:ascii="Garamond" w:eastAsia="Garamond" w:hAnsi="Garamond" w:cs="Garamond"/>
          <w:color w:val="000000"/>
        </w:rPr>
      </w:pPr>
      <w:r w:rsidRPr="0008591D">
        <w:rPr>
          <w:rStyle w:val="FootnoteReference"/>
          <w:rFonts w:ascii="Garamond" w:hAnsi="Garamond"/>
        </w:rPr>
        <w:footnoteRef/>
      </w:r>
      <w:r w:rsidRPr="0008591D">
        <w:rPr>
          <w:rFonts w:ascii="Garamond" w:eastAsia="Garamond" w:hAnsi="Garamond" w:cs="Garamond"/>
          <w:color w:val="000000"/>
        </w:rPr>
        <w:t xml:space="preserve"> </w:t>
      </w:r>
      <w:r w:rsidRPr="0008591D">
        <w:rPr>
          <w:rFonts w:ascii="Garamond" w:eastAsia="Garamond" w:hAnsi="Garamond" w:cs="Garamond"/>
          <w:i/>
          <w:color w:val="000000"/>
        </w:rPr>
        <w:t xml:space="preserve">See </w:t>
      </w:r>
      <w:r w:rsidRPr="0008591D">
        <w:rPr>
          <w:rFonts w:ascii="Garamond" w:eastAsia="Garamond" w:hAnsi="Garamond" w:cs="Garamond"/>
          <w:color w:val="000000"/>
        </w:rPr>
        <w:t>Joint Universal Periodic Review Submission, Egypt, Third Cycle Review by Adalah Center for Rights &amp; Freedoms (Adalah), Cairo Institute for Human Rights Studies (CIHRS), Committee for Justice, DIGNITY – Danish Institute Against Torture, El Nadeem Center for the Rehabilitation of Victims of Violence, Egyptian Commission for Rights and Freedoms – Europe, p. 7.</w:t>
      </w:r>
    </w:p>
  </w:footnote>
  <w:footnote w:id="15">
    <w:p w14:paraId="2359EF01" w14:textId="77777777" w:rsidR="001469C8" w:rsidRPr="0008591D" w:rsidRDefault="001469C8" w:rsidP="001469C8">
      <w:pPr>
        <w:pBdr>
          <w:top w:val="nil"/>
          <w:left w:val="nil"/>
          <w:bottom w:val="nil"/>
          <w:right w:val="nil"/>
          <w:between w:val="nil"/>
        </w:pBdr>
        <w:rPr>
          <w:rFonts w:ascii="Garamond" w:eastAsia="Garamond" w:hAnsi="Garamond" w:cs="Garamond"/>
          <w:color w:val="000000"/>
        </w:rPr>
      </w:pPr>
      <w:r w:rsidRPr="0008591D">
        <w:rPr>
          <w:rStyle w:val="FootnoteReference"/>
          <w:rFonts w:ascii="Garamond" w:hAnsi="Garamond"/>
        </w:rPr>
        <w:footnoteRef/>
      </w:r>
      <w:r w:rsidRPr="0008591D">
        <w:rPr>
          <w:rFonts w:ascii="Garamond" w:eastAsia="Garamond" w:hAnsi="Garamond" w:cs="Garamond"/>
          <w:color w:val="000000"/>
        </w:rPr>
        <w:t xml:space="preserve"> </w:t>
      </w:r>
      <w:r w:rsidRPr="0008591D">
        <w:rPr>
          <w:rFonts w:ascii="Garamond" w:eastAsia="Garamond" w:hAnsi="Garamond" w:cs="Garamond"/>
          <w:i/>
          <w:color w:val="000000"/>
        </w:rPr>
        <w:t xml:space="preserve">See </w:t>
      </w:r>
      <w:r w:rsidRPr="0008591D">
        <w:rPr>
          <w:rFonts w:ascii="Garamond" w:eastAsia="Garamond" w:hAnsi="Garamond" w:cs="Garamond"/>
          <w:color w:val="000000"/>
        </w:rPr>
        <w:t>Joint Universal Periodic Review Submission, Egypt, Third Cycle Review by Adalah Center for Rights &amp; Freedoms (Adalah), Cairo Institute for Human Rights Studies (CIHRS), Committee for Justice, DIGNITY – Danish Institute Against Torture, El Nadeem Center for the Rehabilitation of Victims of Violence, Egyptian Commission for Rights and Freedoms – Europe, p. 7.</w:t>
      </w:r>
    </w:p>
  </w:footnote>
  <w:footnote w:id="16">
    <w:p w14:paraId="4C32B1B5" w14:textId="2694061E" w:rsidR="001469C8" w:rsidRPr="0008591D" w:rsidRDefault="001469C8" w:rsidP="001469C8">
      <w:pPr>
        <w:ind w:right="515"/>
        <w:jc w:val="both"/>
        <w:rPr>
          <w:rFonts w:ascii="Garamond" w:eastAsia="Garamond" w:hAnsi="Garamond" w:cs="Garamond"/>
        </w:rPr>
      </w:pPr>
      <w:r w:rsidRPr="0008591D">
        <w:rPr>
          <w:rStyle w:val="FootnoteReference"/>
          <w:rFonts w:ascii="Garamond" w:hAnsi="Garamond"/>
        </w:rPr>
        <w:footnoteRef/>
      </w:r>
      <w:r w:rsidRPr="0008591D">
        <w:rPr>
          <w:rFonts w:ascii="Garamond" w:eastAsia="Garamond" w:hAnsi="Garamond" w:cs="Garamond"/>
        </w:rPr>
        <w:t xml:space="preserve"> ECRF and Reprieve 2020, </w:t>
      </w:r>
      <w:r w:rsidRPr="0008591D">
        <w:rPr>
          <w:rFonts w:ascii="Garamond" w:eastAsia="Garamond" w:hAnsi="Garamond" w:cs="Garamond"/>
          <w:i/>
        </w:rPr>
        <w:t>Torture and the death penalty in Egypt: The case of a Christian Coptic monk wrongfully sentenced to death</w:t>
      </w:r>
      <w:r w:rsidRPr="0008591D">
        <w:rPr>
          <w:rFonts w:ascii="Garamond" w:eastAsia="Garamond" w:hAnsi="Garamond" w:cs="Garamond"/>
        </w:rPr>
        <w:t>, p.</w:t>
      </w:r>
      <w:r w:rsidR="00D8797B" w:rsidRPr="0008591D">
        <w:rPr>
          <w:rFonts w:ascii="Garamond" w:eastAsia="Garamond" w:hAnsi="Garamond" w:cs="Garamond"/>
        </w:rPr>
        <w:t>5.</w:t>
      </w:r>
    </w:p>
  </w:footnote>
  <w:footnote w:id="17">
    <w:p w14:paraId="4FD85D5F" w14:textId="77777777" w:rsidR="001469C8" w:rsidRPr="0008591D" w:rsidRDefault="001469C8" w:rsidP="001469C8">
      <w:pPr>
        <w:pBdr>
          <w:top w:val="nil"/>
          <w:left w:val="nil"/>
          <w:bottom w:val="nil"/>
          <w:right w:val="nil"/>
          <w:between w:val="nil"/>
        </w:pBdr>
        <w:ind w:right="515"/>
        <w:jc w:val="both"/>
        <w:rPr>
          <w:rFonts w:ascii="Garamond" w:eastAsia="Garamond" w:hAnsi="Garamond" w:cs="Garamond"/>
          <w:color w:val="000000"/>
        </w:rPr>
      </w:pPr>
      <w:r w:rsidRPr="0008591D">
        <w:rPr>
          <w:rStyle w:val="FootnoteReference"/>
          <w:rFonts w:ascii="Garamond" w:hAnsi="Garamond"/>
        </w:rPr>
        <w:footnoteRef/>
      </w:r>
      <w:r w:rsidRPr="0008591D">
        <w:rPr>
          <w:rFonts w:ascii="Garamond" w:eastAsia="Garamond" w:hAnsi="Garamond" w:cs="Garamond"/>
          <w:color w:val="000000"/>
        </w:rPr>
        <w:t xml:space="preserve"> Case No. 9115 for 2016, South Giza, registered under No. 4359 for 2016, Badrashin Criminal Court, and registered under No. 163 of 2016, Supreme State Security Criminal and No. 513 of 2016, Supreme State Security.</w:t>
      </w:r>
    </w:p>
  </w:footnote>
  <w:footnote w:id="18">
    <w:p w14:paraId="3A82DF94" w14:textId="77777777" w:rsidR="001469C8" w:rsidRDefault="001469C8" w:rsidP="001469C8">
      <w:pPr>
        <w:pBdr>
          <w:top w:val="nil"/>
          <w:left w:val="nil"/>
          <w:bottom w:val="nil"/>
          <w:right w:val="nil"/>
          <w:between w:val="nil"/>
        </w:pBdr>
        <w:rPr>
          <w:rFonts w:ascii="Garamond" w:eastAsia="Garamond" w:hAnsi="Garamond" w:cs="Garamond"/>
          <w:color w:val="000000"/>
        </w:rPr>
      </w:pPr>
      <w:r w:rsidRPr="0008591D">
        <w:rPr>
          <w:rStyle w:val="FootnoteReference"/>
          <w:rFonts w:ascii="Garamond" w:hAnsi="Garamond"/>
        </w:rPr>
        <w:footnoteRef/>
      </w:r>
      <w:r w:rsidRPr="0008591D">
        <w:rPr>
          <w:rFonts w:ascii="Garamond" w:eastAsia="Garamond" w:hAnsi="Garamond" w:cs="Garamond"/>
          <w:color w:val="000000"/>
        </w:rPr>
        <w:t xml:space="preserve"> G. Caracciolo, E. Cakal, the Committee for Justice, and Egyptian Commission for Rights and Freedoms, </w:t>
      </w:r>
      <w:r w:rsidRPr="0008591D">
        <w:rPr>
          <w:rFonts w:ascii="Garamond" w:eastAsia="Garamond" w:hAnsi="Garamond" w:cs="Garamond"/>
          <w:i/>
          <w:color w:val="000000"/>
        </w:rPr>
        <w:t>Torture in Egypt: Systemic and Systematic</w:t>
      </w:r>
      <w:r w:rsidRPr="0008591D">
        <w:rPr>
          <w:rFonts w:ascii="Garamond" w:eastAsia="Garamond" w:hAnsi="Garamond" w:cs="Garamond"/>
          <w:color w:val="000000"/>
        </w:rPr>
        <w:t>, Dignity Publication Series on Torture and Organized Violence, Praxis Paper #38, 2021, p. 22.</w:t>
      </w:r>
    </w:p>
  </w:footnote>
  <w:footnote w:id="19">
    <w:p w14:paraId="49C7F0FB" w14:textId="77777777" w:rsidR="001469C8" w:rsidRPr="0008591D" w:rsidRDefault="001469C8" w:rsidP="001469C8">
      <w:pPr>
        <w:pBdr>
          <w:top w:val="nil"/>
          <w:left w:val="nil"/>
          <w:bottom w:val="nil"/>
          <w:right w:val="nil"/>
          <w:between w:val="nil"/>
        </w:pBdr>
        <w:rPr>
          <w:rFonts w:ascii="Garamond" w:eastAsia="Garamond" w:hAnsi="Garamond" w:cs="Garamond"/>
          <w:color w:val="000000"/>
        </w:rPr>
      </w:pPr>
      <w:r w:rsidRPr="0008591D">
        <w:rPr>
          <w:rStyle w:val="FootnoteReference"/>
          <w:rFonts w:ascii="Garamond" w:hAnsi="Garamond"/>
        </w:rPr>
        <w:footnoteRef/>
      </w:r>
      <w:r w:rsidRPr="0008591D">
        <w:rPr>
          <w:rFonts w:ascii="Garamond" w:eastAsia="Garamond" w:hAnsi="Garamond" w:cs="Garamond"/>
          <w:color w:val="000000"/>
        </w:rPr>
        <w:t xml:space="preserve"> G. Caracciolo, E. Cakal, the Committee for Justice, and Egyptian Commission for Rights and Freedoms, </w:t>
      </w:r>
      <w:r w:rsidRPr="0008591D">
        <w:rPr>
          <w:rFonts w:ascii="Garamond" w:eastAsia="Garamond" w:hAnsi="Garamond" w:cs="Garamond"/>
          <w:i/>
          <w:color w:val="000000"/>
        </w:rPr>
        <w:t>Torture in Egypt: Systemic and Systematic</w:t>
      </w:r>
      <w:r w:rsidRPr="0008591D">
        <w:rPr>
          <w:rFonts w:ascii="Garamond" w:eastAsia="Garamond" w:hAnsi="Garamond" w:cs="Garamond"/>
          <w:color w:val="000000"/>
        </w:rPr>
        <w:t>, Dignity Publication Series on Torture and Organized Violence, Praxis Paper #38, 2021, p. 22.</w:t>
      </w:r>
    </w:p>
  </w:footnote>
  <w:footnote w:id="20">
    <w:p w14:paraId="16749A36" w14:textId="77777777" w:rsidR="001469C8" w:rsidRPr="0008591D" w:rsidRDefault="001469C8" w:rsidP="001469C8">
      <w:pPr>
        <w:pBdr>
          <w:top w:val="nil"/>
          <w:left w:val="nil"/>
          <w:bottom w:val="nil"/>
          <w:right w:val="nil"/>
          <w:between w:val="nil"/>
        </w:pBdr>
        <w:rPr>
          <w:rFonts w:ascii="Garamond" w:eastAsia="Garamond" w:hAnsi="Garamond" w:cs="Garamond"/>
          <w:color w:val="000000"/>
        </w:rPr>
      </w:pPr>
      <w:r w:rsidRPr="0008591D">
        <w:rPr>
          <w:rStyle w:val="FootnoteReference"/>
          <w:rFonts w:ascii="Garamond" w:hAnsi="Garamond"/>
        </w:rPr>
        <w:footnoteRef/>
      </w:r>
      <w:r w:rsidRPr="0008591D">
        <w:rPr>
          <w:rFonts w:ascii="Garamond" w:eastAsia="Garamond" w:hAnsi="Garamond" w:cs="Garamond"/>
          <w:color w:val="000000"/>
        </w:rPr>
        <w:t xml:space="preserve"> Press Release, Egyptian Initiative for Personal Rights (EIPR), Following Wednesday’s executions: 15 people executed in one month this year, nine executed without even notifying their next of kin, among other violations that obstruct the course of justice, 21 February 2019, </w:t>
      </w:r>
      <w:hyperlink r:id="rId4">
        <w:r w:rsidRPr="0008591D">
          <w:rPr>
            <w:rFonts w:ascii="Garamond" w:eastAsia="Garamond" w:hAnsi="Garamond" w:cs="Garamond"/>
            <w:color w:val="0563C1"/>
            <w:u w:val="single"/>
          </w:rPr>
          <w:t>https://eipr.org/en/press/2019/02/following-wednesday’s-executions-15-people-executed-one-month-year-nine-executed</w:t>
        </w:r>
      </w:hyperlink>
      <w:r w:rsidRPr="0008591D">
        <w:rPr>
          <w:rFonts w:ascii="Garamond" w:eastAsia="Garamond" w:hAnsi="Garamond" w:cs="Garamond"/>
          <w:color w:val="000000"/>
        </w:rPr>
        <w:t xml:space="preserve">. </w:t>
      </w:r>
    </w:p>
  </w:footnote>
  <w:footnote w:id="21">
    <w:p w14:paraId="124CD8F8" w14:textId="77777777" w:rsidR="001469C8" w:rsidRPr="0008591D" w:rsidRDefault="001469C8" w:rsidP="001469C8">
      <w:pPr>
        <w:pBdr>
          <w:top w:val="nil"/>
          <w:left w:val="nil"/>
          <w:bottom w:val="nil"/>
          <w:right w:val="nil"/>
          <w:between w:val="nil"/>
        </w:pBdr>
        <w:rPr>
          <w:rFonts w:ascii="Garamond" w:eastAsia="Garamond" w:hAnsi="Garamond" w:cs="Garamond"/>
          <w:color w:val="000000"/>
        </w:rPr>
      </w:pPr>
      <w:r w:rsidRPr="0008591D">
        <w:rPr>
          <w:rStyle w:val="FootnoteReference"/>
          <w:rFonts w:ascii="Garamond" w:hAnsi="Garamond"/>
        </w:rPr>
        <w:footnoteRef/>
      </w:r>
      <w:r w:rsidRPr="0008591D">
        <w:rPr>
          <w:rFonts w:ascii="Garamond" w:eastAsia="Garamond" w:hAnsi="Garamond" w:cs="Garamond"/>
          <w:color w:val="000000"/>
        </w:rPr>
        <w:t xml:space="preserve"> Case No. 241 of 2014, Alexandria Military Criminal Court (emphasis added).</w:t>
      </w:r>
    </w:p>
  </w:footnote>
  <w:footnote w:id="22">
    <w:p w14:paraId="292C6348" w14:textId="77777777" w:rsidR="001469C8" w:rsidRDefault="001469C8" w:rsidP="001469C8">
      <w:pPr>
        <w:pBdr>
          <w:top w:val="nil"/>
          <w:left w:val="nil"/>
          <w:bottom w:val="nil"/>
          <w:right w:val="nil"/>
          <w:between w:val="nil"/>
        </w:pBdr>
        <w:rPr>
          <w:rFonts w:ascii="Garamond" w:eastAsia="Garamond" w:hAnsi="Garamond" w:cs="Garamond"/>
          <w:color w:val="000000"/>
        </w:rPr>
      </w:pPr>
      <w:r w:rsidRPr="0008591D">
        <w:rPr>
          <w:rStyle w:val="FootnoteReference"/>
          <w:rFonts w:ascii="Garamond" w:hAnsi="Garamond"/>
        </w:rPr>
        <w:footnoteRef/>
      </w:r>
      <w:r w:rsidRPr="0008591D">
        <w:rPr>
          <w:rFonts w:ascii="Garamond" w:eastAsia="Garamond" w:hAnsi="Garamond" w:cs="Garamond"/>
          <w:color w:val="000000"/>
        </w:rPr>
        <w:t xml:space="preserve"> G. Caracciolo, E. Cakal, the Committee for Justice, and Egyptian Commission for Rights and Freedoms, </w:t>
      </w:r>
      <w:r w:rsidRPr="0008591D">
        <w:rPr>
          <w:rFonts w:ascii="Garamond" w:eastAsia="Garamond" w:hAnsi="Garamond" w:cs="Garamond"/>
          <w:i/>
          <w:color w:val="000000"/>
        </w:rPr>
        <w:t>Torture in Egypt: Systemic and Systematic</w:t>
      </w:r>
      <w:r w:rsidRPr="0008591D">
        <w:rPr>
          <w:rFonts w:ascii="Garamond" w:eastAsia="Garamond" w:hAnsi="Garamond" w:cs="Garamond"/>
          <w:color w:val="000000"/>
        </w:rPr>
        <w:t>, Dignity Publication Series on Torture and Organized Violence, Praxis Paper #38, 2021, p. 17.</w:t>
      </w:r>
    </w:p>
  </w:footnote>
  <w:footnote w:id="23">
    <w:p w14:paraId="26E99C0C" w14:textId="77777777" w:rsidR="001469C8" w:rsidRPr="0008591D" w:rsidRDefault="001469C8" w:rsidP="001469C8">
      <w:pPr>
        <w:pBdr>
          <w:top w:val="nil"/>
          <w:left w:val="nil"/>
          <w:bottom w:val="nil"/>
          <w:right w:val="nil"/>
          <w:between w:val="nil"/>
        </w:pBdr>
        <w:rPr>
          <w:rFonts w:ascii="Garamond" w:eastAsia="Garamond" w:hAnsi="Garamond" w:cs="Garamond"/>
          <w:color w:val="000000"/>
        </w:rPr>
      </w:pPr>
      <w:r w:rsidRPr="0008591D">
        <w:rPr>
          <w:rStyle w:val="FootnoteReference"/>
          <w:rFonts w:ascii="Garamond" w:hAnsi="Garamond"/>
        </w:rPr>
        <w:footnoteRef/>
      </w:r>
      <w:r w:rsidRPr="0008591D">
        <w:rPr>
          <w:rFonts w:ascii="Garamond" w:eastAsia="Garamond" w:hAnsi="Garamond" w:cs="Garamond"/>
          <w:color w:val="000000"/>
        </w:rPr>
        <w:t xml:space="preserve"> G. Caracciolo, E. Cakal, the Committee for Justice, and Egyptian Commission for Rights and Freedoms, </w:t>
      </w:r>
      <w:r w:rsidRPr="0008591D">
        <w:rPr>
          <w:rFonts w:ascii="Garamond" w:eastAsia="Garamond" w:hAnsi="Garamond" w:cs="Garamond"/>
          <w:i/>
          <w:color w:val="000000"/>
        </w:rPr>
        <w:t>Torture in Egypt: Systemic and Systematic</w:t>
      </w:r>
      <w:r w:rsidRPr="0008591D">
        <w:rPr>
          <w:rFonts w:ascii="Garamond" w:eastAsia="Garamond" w:hAnsi="Garamond" w:cs="Garamond"/>
          <w:color w:val="000000"/>
        </w:rPr>
        <w:t>, Dignity Publication Series on Torture and Organized Violence, Praxis Paper #38, 2021, p. 17.</w:t>
      </w:r>
    </w:p>
  </w:footnote>
  <w:footnote w:id="24">
    <w:p w14:paraId="5D8A539F" w14:textId="77777777" w:rsidR="002A7962" w:rsidRDefault="002A7962" w:rsidP="002A7962">
      <w:pPr>
        <w:rPr>
          <w:rFonts w:ascii="Garamond" w:eastAsia="Garamond" w:hAnsi="Garamond" w:cs="Garamond"/>
        </w:rPr>
      </w:pPr>
      <w:r w:rsidRPr="00B310CC">
        <w:rPr>
          <w:rStyle w:val="FootnoteReference"/>
          <w:rFonts w:ascii="Garamond" w:hAnsi="Garamond"/>
        </w:rPr>
        <w:footnoteRef/>
      </w:r>
      <w:r w:rsidRPr="00B310CC">
        <w:rPr>
          <w:rFonts w:ascii="Garamond" w:eastAsia="Garamond" w:hAnsi="Garamond" w:cs="Garamond"/>
        </w:rPr>
        <w:t xml:space="preserve"> Ruth Michaelson,</w:t>
      </w:r>
      <w:r w:rsidRPr="00B310CC">
        <w:rPr>
          <w:rFonts w:ascii="Garamond" w:eastAsia="Garamond" w:hAnsi="Garamond" w:cs="Garamond"/>
          <w:i/>
        </w:rPr>
        <w:t xml:space="preserve"> ‘We’re Next’: Prisoner’s secret filming appears to show torture in Cairo police station</w:t>
      </w:r>
      <w:r w:rsidRPr="00B310CC">
        <w:rPr>
          <w:rFonts w:ascii="Garamond" w:eastAsia="Garamond" w:hAnsi="Garamond" w:cs="Garamond"/>
        </w:rPr>
        <w:t xml:space="preserve">, The Guardian, 24 January 2022, </w:t>
      </w:r>
      <w:hyperlink r:id="rId5">
        <w:r w:rsidRPr="00B310CC">
          <w:rPr>
            <w:rFonts w:ascii="Garamond" w:eastAsia="Garamond" w:hAnsi="Garamond" w:cs="Garamond"/>
            <w:color w:val="1155CC"/>
            <w:u w:val="single"/>
          </w:rPr>
          <w:t>https://www.theguardian.com/global-development/2022/jan/24/cairo-egypt-police-station-secret-filming-appears-to-show-torture</w:t>
        </w:r>
      </w:hyperlink>
      <w:r w:rsidRPr="00B310CC">
        <w:rPr>
          <w:rFonts w:ascii="Garamond" w:eastAsia="Garamond" w:hAnsi="Garamond" w:cs="Garamond"/>
        </w:rPr>
        <w:t>.</w:t>
      </w:r>
      <w:r>
        <w:rPr>
          <w:rFonts w:ascii="Garamond" w:eastAsia="Garamond" w:hAnsi="Garamond" w:cs="Garamond"/>
        </w:rPr>
        <w:t xml:space="preserve"> </w:t>
      </w:r>
    </w:p>
  </w:footnote>
  <w:footnote w:id="25">
    <w:p w14:paraId="1EB6E05E" w14:textId="77777777" w:rsidR="002A7962" w:rsidRPr="00B310CC" w:rsidRDefault="002A7962" w:rsidP="002A7962">
      <w:pPr>
        <w:rPr>
          <w:rFonts w:ascii="Garamond" w:eastAsia="Garamond" w:hAnsi="Garamond" w:cs="Garamond"/>
        </w:rPr>
      </w:pPr>
      <w:r w:rsidRPr="00B310CC">
        <w:rPr>
          <w:rStyle w:val="FootnoteReference"/>
          <w:rFonts w:ascii="Garamond" w:hAnsi="Garamond"/>
        </w:rPr>
        <w:footnoteRef/>
      </w:r>
      <w:r w:rsidRPr="00B310CC">
        <w:rPr>
          <w:rFonts w:ascii="Garamond" w:eastAsia="Garamond" w:hAnsi="Garamond" w:cs="Garamond"/>
        </w:rPr>
        <w:t xml:space="preserve"> Ruth Michaelson,</w:t>
      </w:r>
      <w:r w:rsidRPr="00B310CC">
        <w:rPr>
          <w:rFonts w:ascii="Garamond" w:eastAsia="Garamond" w:hAnsi="Garamond" w:cs="Garamond"/>
          <w:i/>
        </w:rPr>
        <w:t xml:space="preserve"> ‘We’re Next’: Prisoner’s secret filming appears to show torture in Cairo police station</w:t>
      </w:r>
      <w:r w:rsidRPr="00B310CC">
        <w:rPr>
          <w:rFonts w:ascii="Garamond" w:eastAsia="Garamond" w:hAnsi="Garamond" w:cs="Garamond"/>
        </w:rPr>
        <w:t xml:space="preserve">, The Guardian, 24 January 2022, </w:t>
      </w:r>
      <w:hyperlink r:id="rId6">
        <w:r w:rsidRPr="00B310CC">
          <w:rPr>
            <w:rFonts w:ascii="Garamond" w:eastAsia="Garamond" w:hAnsi="Garamond" w:cs="Garamond"/>
            <w:color w:val="1155CC"/>
            <w:u w:val="single"/>
          </w:rPr>
          <w:t>https://www.theguardian.com/global-development/2022/jan/24/cairo-egypt-police-station-secret-filming-appears-to-show-torture</w:t>
        </w:r>
      </w:hyperlink>
      <w:r w:rsidRPr="00B310CC">
        <w:rPr>
          <w:rFonts w:ascii="Garamond" w:eastAsia="Garamond" w:hAnsi="Garamond" w:cs="Garamond"/>
        </w:rPr>
        <w:t xml:space="preserve">. </w:t>
      </w:r>
    </w:p>
  </w:footnote>
  <w:footnote w:id="26">
    <w:p w14:paraId="68CA3550" w14:textId="77777777" w:rsidR="002A7962" w:rsidRPr="00B310CC" w:rsidRDefault="002A7962" w:rsidP="002A7962">
      <w:pPr>
        <w:rPr>
          <w:rFonts w:ascii="Garamond" w:eastAsia="Garamond" w:hAnsi="Garamond" w:cs="Garamond"/>
        </w:rPr>
      </w:pPr>
      <w:r w:rsidRPr="00B310CC">
        <w:rPr>
          <w:rStyle w:val="FootnoteReference"/>
          <w:rFonts w:ascii="Garamond" w:hAnsi="Garamond"/>
        </w:rPr>
        <w:footnoteRef/>
      </w:r>
      <w:r w:rsidRPr="00B310CC">
        <w:rPr>
          <w:rFonts w:ascii="Garamond" w:eastAsia="Garamond" w:hAnsi="Garamond" w:cs="Garamond"/>
        </w:rPr>
        <w:t xml:space="preserve"> Ruth Michaelson, </w:t>
      </w:r>
      <w:r w:rsidRPr="00B310CC">
        <w:rPr>
          <w:rFonts w:ascii="Garamond" w:eastAsia="Garamond" w:hAnsi="Garamond" w:cs="Garamond"/>
          <w:i/>
        </w:rPr>
        <w:t>Egyptians seen in jail ‘torture’ videos charged with spreading fake news</w:t>
      </w:r>
      <w:r w:rsidRPr="00B310CC">
        <w:rPr>
          <w:rFonts w:ascii="Garamond" w:eastAsia="Garamond" w:hAnsi="Garamond" w:cs="Garamond"/>
        </w:rPr>
        <w:t xml:space="preserve">, The Guardian, 2 March 2022, </w:t>
      </w:r>
      <w:hyperlink r:id="rId7">
        <w:r w:rsidRPr="00B310CC">
          <w:rPr>
            <w:rFonts w:ascii="Garamond" w:eastAsia="Garamond" w:hAnsi="Garamond" w:cs="Garamond"/>
            <w:color w:val="1155CC"/>
            <w:u w:val="single"/>
          </w:rPr>
          <w:t>https://www.theguardian.com/global-development/2022/mar/02/egyptians-seen-in-jail-torture-videos-charged-with-spreading-fake-news</w:t>
        </w:r>
      </w:hyperlink>
      <w:r w:rsidRPr="00B310CC">
        <w:rPr>
          <w:rFonts w:ascii="Garamond" w:eastAsia="Garamond" w:hAnsi="Garamond" w:cs="Garamond"/>
        </w:rPr>
        <w:t xml:space="preserve">. </w:t>
      </w:r>
    </w:p>
  </w:footnote>
  <w:footnote w:id="27">
    <w:p w14:paraId="306C1CA0" w14:textId="77777777" w:rsidR="002A7962" w:rsidRPr="00B310CC" w:rsidRDefault="002A7962" w:rsidP="002A7962">
      <w:pPr>
        <w:rPr>
          <w:rFonts w:ascii="Garamond" w:eastAsia="Garamond" w:hAnsi="Garamond" w:cs="Garamond"/>
        </w:rPr>
      </w:pPr>
      <w:r w:rsidRPr="00B310CC">
        <w:rPr>
          <w:rStyle w:val="FootnoteReference"/>
          <w:rFonts w:ascii="Garamond" w:hAnsi="Garamond"/>
        </w:rPr>
        <w:footnoteRef/>
      </w:r>
      <w:r w:rsidRPr="00B310CC">
        <w:rPr>
          <w:rFonts w:ascii="Garamond" w:eastAsia="Garamond" w:hAnsi="Garamond" w:cs="Garamond"/>
        </w:rPr>
        <w:t xml:space="preserve"> Ruth Michaelson, </w:t>
      </w:r>
      <w:r w:rsidRPr="00B310CC">
        <w:rPr>
          <w:rFonts w:ascii="Garamond" w:eastAsia="Garamond" w:hAnsi="Garamond" w:cs="Garamond"/>
          <w:i/>
        </w:rPr>
        <w:t>Egyptians seen in jail ‘torture’ videos charged with spreading fake news</w:t>
      </w:r>
      <w:r w:rsidRPr="00B310CC">
        <w:rPr>
          <w:rFonts w:ascii="Garamond" w:eastAsia="Garamond" w:hAnsi="Garamond" w:cs="Garamond"/>
        </w:rPr>
        <w:t xml:space="preserve">, The Guardian, 2 March 2022, </w:t>
      </w:r>
      <w:hyperlink r:id="rId8">
        <w:r w:rsidRPr="00B310CC">
          <w:rPr>
            <w:rFonts w:ascii="Garamond" w:eastAsia="Garamond" w:hAnsi="Garamond" w:cs="Garamond"/>
            <w:color w:val="1155CC"/>
            <w:u w:val="single"/>
          </w:rPr>
          <w:t>https://www.theguardian.com/global-development/2022/mar/02/egyptians-seen-in-jail-torture-videos-charged-with-spreading-fake-news</w:t>
        </w:r>
      </w:hyperlink>
      <w:r w:rsidRPr="00B310CC">
        <w:rPr>
          <w:rFonts w:ascii="Garamond" w:eastAsia="Garamond" w:hAnsi="Garamond" w:cs="Garamond"/>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A283" w14:textId="77777777" w:rsidR="00F35C9A" w:rsidRDefault="00F35C9A" w:rsidP="000448F9">
    <w:pPr>
      <w:pStyle w:val="Header"/>
      <w:tabs>
        <w:tab w:val="clear" w:pos="4153"/>
        <w:tab w:val="clear" w:pos="8306"/>
        <w:tab w:val="right" w:pos="3686"/>
        <w:tab w:val="left" w:pos="5812"/>
      </w:tabs>
      <w:spacing w:before="80" w:after="120"/>
      <w:jc w:val="center"/>
      <w:rPr>
        <w:sz w:val="14"/>
        <w:szCs w:val="1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38D4"/>
    <w:multiLevelType w:val="hybridMultilevel"/>
    <w:tmpl w:val="C7A0CCE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FC58BA"/>
    <w:multiLevelType w:val="hybridMultilevel"/>
    <w:tmpl w:val="EB0A80B6"/>
    <w:lvl w:ilvl="0" w:tplc="04060003">
      <w:start w:val="1"/>
      <w:numFmt w:val="bullet"/>
      <w:lvlText w:val="o"/>
      <w:lvlJc w:val="left"/>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5F365E2"/>
    <w:multiLevelType w:val="hybridMultilevel"/>
    <w:tmpl w:val="5C50FA82"/>
    <w:lvl w:ilvl="0" w:tplc="1D06B5F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6F49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4B7173"/>
    <w:multiLevelType w:val="hybridMultilevel"/>
    <w:tmpl w:val="0E38C64C"/>
    <w:lvl w:ilvl="0" w:tplc="04060003">
      <w:start w:val="1"/>
      <w:numFmt w:val="bullet"/>
      <w:lvlText w:val="o"/>
      <w:lvlJc w:val="left"/>
      <w:pPr>
        <w:ind w:left="1944" w:hanging="360"/>
      </w:pPr>
      <w:rPr>
        <w:rFonts w:ascii="Courier New" w:hAnsi="Courier New" w:cs="Courier New" w:hint="default"/>
      </w:rPr>
    </w:lvl>
    <w:lvl w:ilvl="1" w:tplc="04060003" w:tentative="1">
      <w:start w:val="1"/>
      <w:numFmt w:val="bullet"/>
      <w:lvlText w:val="o"/>
      <w:lvlJc w:val="left"/>
      <w:pPr>
        <w:ind w:left="2664" w:hanging="360"/>
      </w:pPr>
      <w:rPr>
        <w:rFonts w:ascii="Courier New" w:hAnsi="Courier New" w:cs="Courier New" w:hint="default"/>
      </w:rPr>
    </w:lvl>
    <w:lvl w:ilvl="2" w:tplc="04060005" w:tentative="1">
      <w:start w:val="1"/>
      <w:numFmt w:val="bullet"/>
      <w:lvlText w:val=""/>
      <w:lvlJc w:val="left"/>
      <w:pPr>
        <w:ind w:left="3384" w:hanging="360"/>
      </w:pPr>
      <w:rPr>
        <w:rFonts w:ascii="Wingdings" w:hAnsi="Wingdings" w:hint="default"/>
      </w:rPr>
    </w:lvl>
    <w:lvl w:ilvl="3" w:tplc="04060001" w:tentative="1">
      <w:start w:val="1"/>
      <w:numFmt w:val="bullet"/>
      <w:lvlText w:val=""/>
      <w:lvlJc w:val="left"/>
      <w:pPr>
        <w:ind w:left="4104" w:hanging="360"/>
      </w:pPr>
      <w:rPr>
        <w:rFonts w:ascii="Symbol" w:hAnsi="Symbol" w:hint="default"/>
      </w:rPr>
    </w:lvl>
    <w:lvl w:ilvl="4" w:tplc="04060003" w:tentative="1">
      <w:start w:val="1"/>
      <w:numFmt w:val="bullet"/>
      <w:lvlText w:val="o"/>
      <w:lvlJc w:val="left"/>
      <w:pPr>
        <w:ind w:left="4824" w:hanging="360"/>
      </w:pPr>
      <w:rPr>
        <w:rFonts w:ascii="Courier New" w:hAnsi="Courier New" w:cs="Courier New" w:hint="default"/>
      </w:rPr>
    </w:lvl>
    <w:lvl w:ilvl="5" w:tplc="04060005" w:tentative="1">
      <w:start w:val="1"/>
      <w:numFmt w:val="bullet"/>
      <w:lvlText w:val=""/>
      <w:lvlJc w:val="left"/>
      <w:pPr>
        <w:ind w:left="5544" w:hanging="360"/>
      </w:pPr>
      <w:rPr>
        <w:rFonts w:ascii="Wingdings" w:hAnsi="Wingdings" w:hint="default"/>
      </w:rPr>
    </w:lvl>
    <w:lvl w:ilvl="6" w:tplc="04060001" w:tentative="1">
      <w:start w:val="1"/>
      <w:numFmt w:val="bullet"/>
      <w:lvlText w:val=""/>
      <w:lvlJc w:val="left"/>
      <w:pPr>
        <w:ind w:left="6264" w:hanging="360"/>
      </w:pPr>
      <w:rPr>
        <w:rFonts w:ascii="Symbol" w:hAnsi="Symbol" w:hint="default"/>
      </w:rPr>
    </w:lvl>
    <w:lvl w:ilvl="7" w:tplc="04060003" w:tentative="1">
      <w:start w:val="1"/>
      <w:numFmt w:val="bullet"/>
      <w:lvlText w:val="o"/>
      <w:lvlJc w:val="left"/>
      <w:pPr>
        <w:ind w:left="6984" w:hanging="360"/>
      </w:pPr>
      <w:rPr>
        <w:rFonts w:ascii="Courier New" w:hAnsi="Courier New" w:cs="Courier New" w:hint="default"/>
      </w:rPr>
    </w:lvl>
    <w:lvl w:ilvl="8" w:tplc="04060005" w:tentative="1">
      <w:start w:val="1"/>
      <w:numFmt w:val="bullet"/>
      <w:lvlText w:val=""/>
      <w:lvlJc w:val="left"/>
      <w:pPr>
        <w:ind w:left="7704" w:hanging="360"/>
      </w:pPr>
      <w:rPr>
        <w:rFonts w:ascii="Wingdings" w:hAnsi="Wingdings" w:hint="default"/>
      </w:rPr>
    </w:lvl>
  </w:abstractNum>
  <w:abstractNum w:abstractNumId="5" w15:restartNumberingAfterBreak="0">
    <w:nsid w:val="278F5A37"/>
    <w:multiLevelType w:val="hybridMultilevel"/>
    <w:tmpl w:val="8DC2EBA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BA06507"/>
    <w:multiLevelType w:val="multilevel"/>
    <w:tmpl w:val="1208370A"/>
    <w:lvl w:ilvl="0">
      <w:start w:val="1"/>
      <w:numFmt w:val="decimal"/>
      <w:lvlText w:val="%1."/>
      <w:lvlJc w:val="left"/>
      <w:pPr>
        <w:ind w:left="360" w:hanging="360"/>
      </w:pPr>
      <w:rPr>
        <w:rFonts w:ascii="Garamond" w:eastAsia="Garamond" w:hAnsi="Garamond" w:cs="Garamond"/>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8A3336"/>
    <w:multiLevelType w:val="hybridMultilevel"/>
    <w:tmpl w:val="F7BEE606"/>
    <w:lvl w:ilvl="0" w:tplc="80D4E306">
      <w:start w:val="1"/>
      <w:numFmt w:val="upperRoman"/>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335169CE"/>
    <w:multiLevelType w:val="hybridMultilevel"/>
    <w:tmpl w:val="E5BCFE54"/>
    <w:lvl w:ilvl="0" w:tplc="04060003">
      <w:start w:val="1"/>
      <w:numFmt w:val="bullet"/>
      <w:lvlText w:val="o"/>
      <w:lvlJc w:val="left"/>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7CF3701"/>
    <w:multiLevelType w:val="hybridMultilevel"/>
    <w:tmpl w:val="DFE6219E"/>
    <w:lvl w:ilvl="0" w:tplc="04060003">
      <w:start w:val="1"/>
      <w:numFmt w:val="bullet"/>
      <w:lvlText w:val="o"/>
      <w:lvlJc w:val="left"/>
      <w:pPr>
        <w:ind w:left="1778" w:hanging="360"/>
      </w:pPr>
      <w:rPr>
        <w:rFonts w:ascii="Courier New" w:hAnsi="Courier New" w:cs="Courier New"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10" w15:restartNumberingAfterBreak="0">
    <w:nsid w:val="41A755CC"/>
    <w:multiLevelType w:val="hybridMultilevel"/>
    <w:tmpl w:val="84D2088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6F4D46"/>
    <w:multiLevelType w:val="hybridMultilevel"/>
    <w:tmpl w:val="384E77C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5E55295E"/>
    <w:multiLevelType w:val="hybridMultilevel"/>
    <w:tmpl w:val="4C42CF4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56106AA"/>
    <w:multiLevelType w:val="hybridMultilevel"/>
    <w:tmpl w:val="A1F4AEB8"/>
    <w:lvl w:ilvl="0" w:tplc="04060003">
      <w:start w:val="1"/>
      <w:numFmt w:val="bullet"/>
      <w:lvlText w:val="o"/>
      <w:lvlJc w:val="left"/>
      <w:pPr>
        <w:ind w:left="1495" w:hanging="360"/>
      </w:pPr>
      <w:rPr>
        <w:rFonts w:ascii="Courier New" w:hAnsi="Courier New" w:cs="Courier New" w:hint="default"/>
      </w:rPr>
    </w:lvl>
    <w:lvl w:ilvl="1" w:tplc="04060003" w:tentative="1">
      <w:start w:val="1"/>
      <w:numFmt w:val="bullet"/>
      <w:lvlText w:val="o"/>
      <w:lvlJc w:val="left"/>
      <w:pPr>
        <w:ind w:left="2215" w:hanging="360"/>
      </w:pPr>
      <w:rPr>
        <w:rFonts w:ascii="Courier New" w:hAnsi="Courier New" w:cs="Courier New" w:hint="default"/>
      </w:rPr>
    </w:lvl>
    <w:lvl w:ilvl="2" w:tplc="04060005" w:tentative="1">
      <w:start w:val="1"/>
      <w:numFmt w:val="bullet"/>
      <w:lvlText w:val=""/>
      <w:lvlJc w:val="left"/>
      <w:pPr>
        <w:ind w:left="2935" w:hanging="360"/>
      </w:pPr>
      <w:rPr>
        <w:rFonts w:ascii="Wingdings" w:hAnsi="Wingdings" w:hint="default"/>
      </w:rPr>
    </w:lvl>
    <w:lvl w:ilvl="3" w:tplc="04060001" w:tentative="1">
      <w:start w:val="1"/>
      <w:numFmt w:val="bullet"/>
      <w:lvlText w:val=""/>
      <w:lvlJc w:val="left"/>
      <w:pPr>
        <w:ind w:left="3655" w:hanging="360"/>
      </w:pPr>
      <w:rPr>
        <w:rFonts w:ascii="Symbol" w:hAnsi="Symbol" w:hint="default"/>
      </w:rPr>
    </w:lvl>
    <w:lvl w:ilvl="4" w:tplc="04060003" w:tentative="1">
      <w:start w:val="1"/>
      <w:numFmt w:val="bullet"/>
      <w:lvlText w:val="o"/>
      <w:lvlJc w:val="left"/>
      <w:pPr>
        <w:ind w:left="4375" w:hanging="360"/>
      </w:pPr>
      <w:rPr>
        <w:rFonts w:ascii="Courier New" w:hAnsi="Courier New" w:cs="Courier New" w:hint="default"/>
      </w:rPr>
    </w:lvl>
    <w:lvl w:ilvl="5" w:tplc="04060005" w:tentative="1">
      <w:start w:val="1"/>
      <w:numFmt w:val="bullet"/>
      <w:lvlText w:val=""/>
      <w:lvlJc w:val="left"/>
      <w:pPr>
        <w:ind w:left="5095" w:hanging="360"/>
      </w:pPr>
      <w:rPr>
        <w:rFonts w:ascii="Wingdings" w:hAnsi="Wingdings" w:hint="default"/>
      </w:rPr>
    </w:lvl>
    <w:lvl w:ilvl="6" w:tplc="04060001" w:tentative="1">
      <w:start w:val="1"/>
      <w:numFmt w:val="bullet"/>
      <w:lvlText w:val=""/>
      <w:lvlJc w:val="left"/>
      <w:pPr>
        <w:ind w:left="5815" w:hanging="360"/>
      </w:pPr>
      <w:rPr>
        <w:rFonts w:ascii="Symbol" w:hAnsi="Symbol" w:hint="default"/>
      </w:rPr>
    </w:lvl>
    <w:lvl w:ilvl="7" w:tplc="04060003" w:tentative="1">
      <w:start w:val="1"/>
      <w:numFmt w:val="bullet"/>
      <w:lvlText w:val="o"/>
      <w:lvlJc w:val="left"/>
      <w:pPr>
        <w:ind w:left="6535" w:hanging="360"/>
      </w:pPr>
      <w:rPr>
        <w:rFonts w:ascii="Courier New" w:hAnsi="Courier New" w:cs="Courier New" w:hint="default"/>
      </w:rPr>
    </w:lvl>
    <w:lvl w:ilvl="8" w:tplc="04060005" w:tentative="1">
      <w:start w:val="1"/>
      <w:numFmt w:val="bullet"/>
      <w:lvlText w:val=""/>
      <w:lvlJc w:val="left"/>
      <w:pPr>
        <w:ind w:left="7255" w:hanging="360"/>
      </w:pPr>
      <w:rPr>
        <w:rFonts w:ascii="Wingdings" w:hAnsi="Wingdings" w:hint="default"/>
      </w:rPr>
    </w:lvl>
  </w:abstractNum>
  <w:abstractNum w:abstractNumId="14" w15:restartNumberingAfterBreak="0">
    <w:nsid w:val="67544753"/>
    <w:multiLevelType w:val="multilevel"/>
    <w:tmpl w:val="3A76150C"/>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bullet"/>
      <w:lvlText w:val="o"/>
      <w:lvlJc w:val="left"/>
      <w:rPr>
        <w:rFonts w:ascii="Courier New" w:hAnsi="Courier New" w:cs="Courier New" w:hint="default"/>
      </w:rPr>
    </w:lvl>
    <w:lvl w:ilvl="4">
      <w:start w:val="1"/>
      <w:numFmt w:val="bullet"/>
      <w:lvlText w:val=""/>
      <w:lvlJc w:val="left"/>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C964F1"/>
    <w:multiLevelType w:val="hybridMultilevel"/>
    <w:tmpl w:val="E6004E36"/>
    <w:lvl w:ilvl="0" w:tplc="E95C2486">
      <w:start w:val="5"/>
      <w:numFmt w:val="bullet"/>
      <w:lvlText w:val="-"/>
      <w:lvlJc w:val="left"/>
      <w:pPr>
        <w:ind w:left="717" w:hanging="360"/>
      </w:pPr>
      <w:rPr>
        <w:rFonts w:ascii="Verdana" w:eastAsia="Times New Roman" w:hAnsi="Verdana"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7E7470A2"/>
    <w:multiLevelType w:val="multilevel"/>
    <w:tmpl w:val="A75872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71363762">
    <w:abstractNumId w:val="14"/>
  </w:num>
  <w:num w:numId="2" w16cid:durableId="1139691070">
    <w:abstractNumId w:val="3"/>
  </w:num>
  <w:num w:numId="3" w16cid:durableId="1070689699">
    <w:abstractNumId w:val="15"/>
  </w:num>
  <w:num w:numId="4" w16cid:durableId="1424036798">
    <w:abstractNumId w:val="1"/>
  </w:num>
  <w:num w:numId="5" w16cid:durableId="1411779090">
    <w:abstractNumId w:val="5"/>
  </w:num>
  <w:num w:numId="6" w16cid:durableId="265432722">
    <w:abstractNumId w:val="10"/>
  </w:num>
  <w:num w:numId="7" w16cid:durableId="1690450610">
    <w:abstractNumId w:val="12"/>
  </w:num>
  <w:num w:numId="8" w16cid:durableId="1833136709">
    <w:abstractNumId w:val="13"/>
  </w:num>
  <w:num w:numId="9" w16cid:durableId="254018676">
    <w:abstractNumId w:val="0"/>
  </w:num>
  <w:num w:numId="10" w16cid:durableId="136069794">
    <w:abstractNumId w:val="8"/>
  </w:num>
  <w:num w:numId="11" w16cid:durableId="416948099">
    <w:abstractNumId w:val="9"/>
  </w:num>
  <w:num w:numId="12" w16cid:durableId="189808551">
    <w:abstractNumId w:val="4"/>
  </w:num>
  <w:num w:numId="13" w16cid:durableId="1142699645">
    <w:abstractNumId w:val="2"/>
  </w:num>
  <w:num w:numId="14" w16cid:durableId="704064019">
    <w:abstractNumId w:val="16"/>
  </w:num>
  <w:num w:numId="15" w16cid:durableId="926813305">
    <w:abstractNumId w:val="7"/>
  </w:num>
  <w:num w:numId="16" w16cid:durableId="227767164">
    <w:abstractNumId w:val="11"/>
  </w:num>
  <w:num w:numId="17" w16cid:durableId="866452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A23"/>
    <w:rsid w:val="00000F11"/>
    <w:rsid w:val="00002502"/>
    <w:rsid w:val="0000659B"/>
    <w:rsid w:val="00012EB1"/>
    <w:rsid w:val="00036492"/>
    <w:rsid w:val="0004788C"/>
    <w:rsid w:val="0005220D"/>
    <w:rsid w:val="000609C5"/>
    <w:rsid w:val="000659E3"/>
    <w:rsid w:val="000661EF"/>
    <w:rsid w:val="00071326"/>
    <w:rsid w:val="0008377B"/>
    <w:rsid w:val="00083C31"/>
    <w:rsid w:val="00084E48"/>
    <w:rsid w:val="00094BA9"/>
    <w:rsid w:val="000971E3"/>
    <w:rsid w:val="000D0D72"/>
    <w:rsid w:val="000F544C"/>
    <w:rsid w:val="000F5F42"/>
    <w:rsid w:val="000F7936"/>
    <w:rsid w:val="00127C27"/>
    <w:rsid w:val="001350BD"/>
    <w:rsid w:val="00140D91"/>
    <w:rsid w:val="001429E1"/>
    <w:rsid w:val="001431B1"/>
    <w:rsid w:val="001469C8"/>
    <w:rsid w:val="001504D9"/>
    <w:rsid w:val="00151A0F"/>
    <w:rsid w:val="00166A27"/>
    <w:rsid w:val="001673AA"/>
    <w:rsid w:val="00171FFF"/>
    <w:rsid w:val="00176A05"/>
    <w:rsid w:val="001807C0"/>
    <w:rsid w:val="0019408B"/>
    <w:rsid w:val="0019627D"/>
    <w:rsid w:val="00197C8B"/>
    <w:rsid w:val="001B1E8E"/>
    <w:rsid w:val="001C151C"/>
    <w:rsid w:val="001D2C04"/>
    <w:rsid w:val="001D336F"/>
    <w:rsid w:val="001E41BF"/>
    <w:rsid w:val="0020032F"/>
    <w:rsid w:val="00205ED4"/>
    <w:rsid w:val="002112DF"/>
    <w:rsid w:val="002128B4"/>
    <w:rsid w:val="00212F6D"/>
    <w:rsid w:val="00225B63"/>
    <w:rsid w:val="00240381"/>
    <w:rsid w:val="00241992"/>
    <w:rsid w:val="00250AD6"/>
    <w:rsid w:val="002525A6"/>
    <w:rsid w:val="0025390D"/>
    <w:rsid w:val="0026375C"/>
    <w:rsid w:val="002656F6"/>
    <w:rsid w:val="00270206"/>
    <w:rsid w:val="0027563D"/>
    <w:rsid w:val="00280CB3"/>
    <w:rsid w:val="00282A0E"/>
    <w:rsid w:val="002834C4"/>
    <w:rsid w:val="00284872"/>
    <w:rsid w:val="00292E45"/>
    <w:rsid w:val="00295582"/>
    <w:rsid w:val="002A7962"/>
    <w:rsid w:val="002E0F06"/>
    <w:rsid w:val="00310CB4"/>
    <w:rsid w:val="0031257B"/>
    <w:rsid w:val="00312D60"/>
    <w:rsid w:val="00314F99"/>
    <w:rsid w:val="003162BB"/>
    <w:rsid w:val="00324E62"/>
    <w:rsid w:val="00345F9F"/>
    <w:rsid w:val="00346BC0"/>
    <w:rsid w:val="00355220"/>
    <w:rsid w:val="003623BC"/>
    <w:rsid w:val="003642BA"/>
    <w:rsid w:val="003739C1"/>
    <w:rsid w:val="00373FE3"/>
    <w:rsid w:val="00380F95"/>
    <w:rsid w:val="003830AB"/>
    <w:rsid w:val="00383296"/>
    <w:rsid w:val="00385795"/>
    <w:rsid w:val="00387ACF"/>
    <w:rsid w:val="0039154D"/>
    <w:rsid w:val="003959D3"/>
    <w:rsid w:val="0039705C"/>
    <w:rsid w:val="003A4B24"/>
    <w:rsid w:val="003C7C85"/>
    <w:rsid w:val="003E350E"/>
    <w:rsid w:val="003E6EF4"/>
    <w:rsid w:val="00403A5D"/>
    <w:rsid w:val="00421128"/>
    <w:rsid w:val="00423E66"/>
    <w:rsid w:val="00432756"/>
    <w:rsid w:val="004401C6"/>
    <w:rsid w:val="004528DF"/>
    <w:rsid w:val="00453002"/>
    <w:rsid w:val="0045339B"/>
    <w:rsid w:val="00465CAB"/>
    <w:rsid w:val="004734DB"/>
    <w:rsid w:val="004766AC"/>
    <w:rsid w:val="00482564"/>
    <w:rsid w:val="0049379E"/>
    <w:rsid w:val="004A5390"/>
    <w:rsid w:val="004D12E0"/>
    <w:rsid w:val="004D6EC2"/>
    <w:rsid w:val="004D7648"/>
    <w:rsid w:val="004E04E4"/>
    <w:rsid w:val="004E388A"/>
    <w:rsid w:val="00510EC2"/>
    <w:rsid w:val="00513298"/>
    <w:rsid w:val="00515F3B"/>
    <w:rsid w:val="00521069"/>
    <w:rsid w:val="00522CD3"/>
    <w:rsid w:val="0053009B"/>
    <w:rsid w:val="00531BD8"/>
    <w:rsid w:val="005351DA"/>
    <w:rsid w:val="005435EE"/>
    <w:rsid w:val="00543F82"/>
    <w:rsid w:val="00555EB1"/>
    <w:rsid w:val="00567379"/>
    <w:rsid w:val="005A73B4"/>
    <w:rsid w:val="005D0036"/>
    <w:rsid w:val="005D63EA"/>
    <w:rsid w:val="005E2A64"/>
    <w:rsid w:val="005F7412"/>
    <w:rsid w:val="005F7B42"/>
    <w:rsid w:val="00603F9F"/>
    <w:rsid w:val="006245AF"/>
    <w:rsid w:val="00630C7B"/>
    <w:rsid w:val="0063636F"/>
    <w:rsid w:val="00656CAA"/>
    <w:rsid w:val="00674C80"/>
    <w:rsid w:val="00681C8B"/>
    <w:rsid w:val="006878D1"/>
    <w:rsid w:val="0068792E"/>
    <w:rsid w:val="006B1DDE"/>
    <w:rsid w:val="006C3A4C"/>
    <w:rsid w:val="006D3BCE"/>
    <w:rsid w:val="006D4782"/>
    <w:rsid w:val="006E0947"/>
    <w:rsid w:val="006F3AEB"/>
    <w:rsid w:val="006F6BB9"/>
    <w:rsid w:val="006F7F8C"/>
    <w:rsid w:val="0071573E"/>
    <w:rsid w:val="00716777"/>
    <w:rsid w:val="007172F9"/>
    <w:rsid w:val="00726C9F"/>
    <w:rsid w:val="00741EC7"/>
    <w:rsid w:val="007450F5"/>
    <w:rsid w:val="007506AD"/>
    <w:rsid w:val="00756853"/>
    <w:rsid w:val="00756C5D"/>
    <w:rsid w:val="00764960"/>
    <w:rsid w:val="00787110"/>
    <w:rsid w:val="007A79F3"/>
    <w:rsid w:val="007C0561"/>
    <w:rsid w:val="007C4075"/>
    <w:rsid w:val="007D6F54"/>
    <w:rsid w:val="007E0F9A"/>
    <w:rsid w:val="00801682"/>
    <w:rsid w:val="00804871"/>
    <w:rsid w:val="0080507B"/>
    <w:rsid w:val="0080753B"/>
    <w:rsid w:val="0081779C"/>
    <w:rsid w:val="008220D7"/>
    <w:rsid w:val="008269CB"/>
    <w:rsid w:val="00830520"/>
    <w:rsid w:val="00835651"/>
    <w:rsid w:val="00835EDA"/>
    <w:rsid w:val="008360A2"/>
    <w:rsid w:val="008457D4"/>
    <w:rsid w:val="00852AFD"/>
    <w:rsid w:val="00861310"/>
    <w:rsid w:val="0087345E"/>
    <w:rsid w:val="00875C91"/>
    <w:rsid w:val="008A3DDD"/>
    <w:rsid w:val="008A7265"/>
    <w:rsid w:val="008B2B66"/>
    <w:rsid w:val="008B5DBA"/>
    <w:rsid w:val="008C7A2D"/>
    <w:rsid w:val="008D08B3"/>
    <w:rsid w:val="008E64B4"/>
    <w:rsid w:val="008F0460"/>
    <w:rsid w:val="008F3F08"/>
    <w:rsid w:val="00901E3E"/>
    <w:rsid w:val="00917D7B"/>
    <w:rsid w:val="00920E8F"/>
    <w:rsid w:val="009242E0"/>
    <w:rsid w:val="00925962"/>
    <w:rsid w:val="00933727"/>
    <w:rsid w:val="009338F1"/>
    <w:rsid w:val="0093511D"/>
    <w:rsid w:val="0094246C"/>
    <w:rsid w:val="0094613A"/>
    <w:rsid w:val="009538C8"/>
    <w:rsid w:val="00955D97"/>
    <w:rsid w:val="00956F56"/>
    <w:rsid w:val="00957E22"/>
    <w:rsid w:val="0097098D"/>
    <w:rsid w:val="009727F8"/>
    <w:rsid w:val="00987063"/>
    <w:rsid w:val="009A46D8"/>
    <w:rsid w:val="009A4CA3"/>
    <w:rsid w:val="009B2AD0"/>
    <w:rsid w:val="009D555E"/>
    <w:rsid w:val="009E07A8"/>
    <w:rsid w:val="009E0C3F"/>
    <w:rsid w:val="009F00AF"/>
    <w:rsid w:val="00A04F60"/>
    <w:rsid w:val="00A11532"/>
    <w:rsid w:val="00A11888"/>
    <w:rsid w:val="00A1228C"/>
    <w:rsid w:val="00A266E9"/>
    <w:rsid w:val="00A41F70"/>
    <w:rsid w:val="00A4677C"/>
    <w:rsid w:val="00A53464"/>
    <w:rsid w:val="00A63D6B"/>
    <w:rsid w:val="00A66EE1"/>
    <w:rsid w:val="00AA0BC4"/>
    <w:rsid w:val="00AA540E"/>
    <w:rsid w:val="00AA5C96"/>
    <w:rsid w:val="00AB3D9C"/>
    <w:rsid w:val="00AB5B6F"/>
    <w:rsid w:val="00AC42E7"/>
    <w:rsid w:val="00AD2FF5"/>
    <w:rsid w:val="00AD4287"/>
    <w:rsid w:val="00AE3C39"/>
    <w:rsid w:val="00AF56DF"/>
    <w:rsid w:val="00B045F9"/>
    <w:rsid w:val="00B15121"/>
    <w:rsid w:val="00B16233"/>
    <w:rsid w:val="00B35340"/>
    <w:rsid w:val="00B361CD"/>
    <w:rsid w:val="00B37055"/>
    <w:rsid w:val="00B44B02"/>
    <w:rsid w:val="00B74777"/>
    <w:rsid w:val="00B84755"/>
    <w:rsid w:val="00B92D21"/>
    <w:rsid w:val="00BE4AE4"/>
    <w:rsid w:val="00BF723A"/>
    <w:rsid w:val="00C01D72"/>
    <w:rsid w:val="00C03509"/>
    <w:rsid w:val="00C3481B"/>
    <w:rsid w:val="00C373F7"/>
    <w:rsid w:val="00C37628"/>
    <w:rsid w:val="00C467C8"/>
    <w:rsid w:val="00C470EC"/>
    <w:rsid w:val="00C51247"/>
    <w:rsid w:val="00C51FD2"/>
    <w:rsid w:val="00C55CD9"/>
    <w:rsid w:val="00C67087"/>
    <w:rsid w:val="00C71D80"/>
    <w:rsid w:val="00C732A2"/>
    <w:rsid w:val="00C861A7"/>
    <w:rsid w:val="00C86EEC"/>
    <w:rsid w:val="00C92F22"/>
    <w:rsid w:val="00CC5840"/>
    <w:rsid w:val="00CD0ABD"/>
    <w:rsid w:val="00D00443"/>
    <w:rsid w:val="00D019C0"/>
    <w:rsid w:val="00D020CE"/>
    <w:rsid w:val="00D06468"/>
    <w:rsid w:val="00D070B9"/>
    <w:rsid w:val="00D108AE"/>
    <w:rsid w:val="00D11247"/>
    <w:rsid w:val="00D1256C"/>
    <w:rsid w:val="00D15C18"/>
    <w:rsid w:val="00D23F6A"/>
    <w:rsid w:val="00D245CA"/>
    <w:rsid w:val="00D364F6"/>
    <w:rsid w:val="00D3792E"/>
    <w:rsid w:val="00D413E8"/>
    <w:rsid w:val="00D44EAC"/>
    <w:rsid w:val="00D6364E"/>
    <w:rsid w:val="00D7193C"/>
    <w:rsid w:val="00D72ADE"/>
    <w:rsid w:val="00D8797B"/>
    <w:rsid w:val="00D963FC"/>
    <w:rsid w:val="00D97DA0"/>
    <w:rsid w:val="00DA3780"/>
    <w:rsid w:val="00DA3A23"/>
    <w:rsid w:val="00DA5965"/>
    <w:rsid w:val="00DB0B9D"/>
    <w:rsid w:val="00DB5005"/>
    <w:rsid w:val="00DB6C07"/>
    <w:rsid w:val="00DC520E"/>
    <w:rsid w:val="00DC79E5"/>
    <w:rsid w:val="00DD1A2C"/>
    <w:rsid w:val="00DD46A2"/>
    <w:rsid w:val="00DF264A"/>
    <w:rsid w:val="00DF5308"/>
    <w:rsid w:val="00E06962"/>
    <w:rsid w:val="00E12539"/>
    <w:rsid w:val="00E12A64"/>
    <w:rsid w:val="00E15470"/>
    <w:rsid w:val="00E1794A"/>
    <w:rsid w:val="00E20289"/>
    <w:rsid w:val="00E223D3"/>
    <w:rsid w:val="00E22DDE"/>
    <w:rsid w:val="00E30207"/>
    <w:rsid w:val="00E421D1"/>
    <w:rsid w:val="00E61294"/>
    <w:rsid w:val="00E64C28"/>
    <w:rsid w:val="00E66F58"/>
    <w:rsid w:val="00E67FCD"/>
    <w:rsid w:val="00E74352"/>
    <w:rsid w:val="00E74B40"/>
    <w:rsid w:val="00E865A6"/>
    <w:rsid w:val="00E91F69"/>
    <w:rsid w:val="00E95D41"/>
    <w:rsid w:val="00EB722F"/>
    <w:rsid w:val="00EC012C"/>
    <w:rsid w:val="00EC5FDB"/>
    <w:rsid w:val="00EC7DF9"/>
    <w:rsid w:val="00ED0ADB"/>
    <w:rsid w:val="00EF4745"/>
    <w:rsid w:val="00EF59EC"/>
    <w:rsid w:val="00F02FA1"/>
    <w:rsid w:val="00F216ED"/>
    <w:rsid w:val="00F22B4A"/>
    <w:rsid w:val="00F35C9A"/>
    <w:rsid w:val="00F45AF6"/>
    <w:rsid w:val="00F905D7"/>
    <w:rsid w:val="00F932D4"/>
    <w:rsid w:val="00F94A6D"/>
    <w:rsid w:val="00F96DF6"/>
    <w:rsid w:val="00FA122B"/>
    <w:rsid w:val="00FA2E0C"/>
    <w:rsid w:val="00FA6617"/>
    <w:rsid w:val="00FB01D7"/>
    <w:rsid w:val="00FB2CD5"/>
    <w:rsid w:val="00FD1AF7"/>
    <w:rsid w:val="00FE2B98"/>
    <w:rsid w:val="00FE7834"/>
    <w:rsid w:val="00FF4D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E1FA"/>
  <w15:chartTrackingRefBased/>
  <w15:docId w15:val="{99295A2E-0724-41CD-9951-E99CE03F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0A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00AF"/>
    <w:pPr>
      <w:keepNext/>
      <w:ind w:left="-563"/>
      <w:jc w:val="center"/>
      <w:outlineLvl w:val="0"/>
    </w:pPr>
    <w:rPr>
      <w:b/>
      <w:sz w:val="18"/>
    </w:rPr>
  </w:style>
  <w:style w:type="paragraph" w:styleId="Heading2">
    <w:name w:val="heading 2"/>
    <w:basedOn w:val="Normal"/>
    <w:next w:val="Normal"/>
    <w:link w:val="Heading2Char"/>
    <w:uiPriority w:val="9"/>
    <w:semiHidden/>
    <w:unhideWhenUsed/>
    <w:qFormat/>
    <w:rsid w:val="005D003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F"/>
    <w:rPr>
      <w:rFonts w:ascii="Times New Roman" w:eastAsia="Times New Roman" w:hAnsi="Times New Roman" w:cs="Times New Roman"/>
      <w:b/>
      <w:sz w:val="18"/>
      <w:szCs w:val="20"/>
    </w:rPr>
  </w:style>
  <w:style w:type="paragraph" w:styleId="Header">
    <w:name w:val="header"/>
    <w:basedOn w:val="Normal"/>
    <w:link w:val="HeaderChar"/>
    <w:uiPriority w:val="99"/>
    <w:rsid w:val="009F00A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9F00A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9F00AF"/>
    <w:pPr>
      <w:tabs>
        <w:tab w:val="center" w:pos="4153"/>
        <w:tab w:val="right" w:pos="8306"/>
      </w:tabs>
    </w:pPr>
  </w:style>
  <w:style w:type="character" w:customStyle="1" w:styleId="FooterChar">
    <w:name w:val="Footer Char"/>
    <w:basedOn w:val="DefaultParagraphFont"/>
    <w:link w:val="Footer"/>
    <w:uiPriority w:val="99"/>
    <w:rsid w:val="009F00AF"/>
    <w:rPr>
      <w:rFonts w:ascii="Times New Roman" w:eastAsia="Times New Roman" w:hAnsi="Times New Roman" w:cs="Times New Roman"/>
      <w:sz w:val="20"/>
      <w:szCs w:val="20"/>
    </w:rPr>
  </w:style>
  <w:style w:type="character" w:styleId="Hyperlink">
    <w:name w:val="Hyperlink"/>
    <w:rsid w:val="009F00AF"/>
    <w:rPr>
      <w:color w:val="0000FF"/>
      <w:u w:val="single"/>
    </w:rPr>
  </w:style>
  <w:style w:type="paragraph" w:styleId="ListParagraph">
    <w:name w:val="List Paragraph"/>
    <w:basedOn w:val="Normal"/>
    <w:uiPriority w:val="34"/>
    <w:qFormat/>
    <w:rsid w:val="009F00AF"/>
    <w:pPr>
      <w:ind w:left="720"/>
      <w:contextualSpacing/>
    </w:pPr>
  </w:style>
  <w:style w:type="paragraph" w:customStyle="1" w:styleId="Default">
    <w:name w:val="Default"/>
    <w:rsid w:val="009F00A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BodyA">
    <w:name w:val="Body A"/>
    <w:uiPriority w:val="99"/>
    <w:rsid w:val="009F00A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9F00AF"/>
  </w:style>
  <w:style w:type="character" w:customStyle="1" w:styleId="Hyperlink1">
    <w:name w:val="Hyperlink.1"/>
    <w:basedOn w:val="None"/>
    <w:rsid w:val="009F00AF"/>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9F00AF"/>
    <w:pPr>
      <w:spacing w:before="120"/>
    </w:pPr>
    <w:rPr>
      <w:rFonts w:ascii="Verdana" w:eastAsia="Helvetica Neue" w:hAnsi="Verdana"/>
      <w:szCs w:val="24"/>
      <w:lang w:val="en"/>
    </w:rPr>
  </w:style>
  <w:style w:type="character" w:customStyle="1" w:styleId="Instructions">
    <w:name w:val="Instructions"/>
    <w:basedOn w:val="DefaultParagraphFont"/>
    <w:uiPriority w:val="1"/>
    <w:qFormat/>
    <w:rsid w:val="009F00AF"/>
    <w:rPr>
      <w:color w:val="FF0000"/>
    </w:rPr>
  </w:style>
  <w:style w:type="character" w:styleId="Strong">
    <w:name w:val="Strong"/>
    <w:basedOn w:val="DefaultParagraphFont"/>
    <w:uiPriority w:val="22"/>
    <w:qFormat/>
    <w:rsid w:val="009F00AF"/>
    <w:rPr>
      <w:b/>
      <w:bCs/>
    </w:rPr>
  </w:style>
  <w:style w:type="paragraph" w:styleId="Revision">
    <w:name w:val="Revision"/>
    <w:hidden/>
    <w:uiPriority w:val="99"/>
    <w:semiHidden/>
    <w:rsid w:val="006D3BCE"/>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6D3BCE"/>
  </w:style>
  <w:style w:type="character" w:customStyle="1" w:styleId="FootnoteTextChar">
    <w:name w:val="Footnote Text Char"/>
    <w:basedOn w:val="DefaultParagraphFont"/>
    <w:link w:val="FootnoteText"/>
    <w:uiPriority w:val="99"/>
    <w:rsid w:val="006D3BCE"/>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D3BCE"/>
    <w:rPr>
      <w:vertAlign w:val="superscript"/>
    </w:rPr>
  </w:style>
  <w:style w:type="paragraph" w:customStyle="1" w:styleId="lexsitus-msoquotation">
    <w:name w:val="lexsitus-msoquotation"/>
    <w:basedOn w:val="Normal"/>
    <w:rsid w:val="00F22B4A"/>
    <w:pPr>
      <w:spacing w:before="100" w:beforeAutospacing="1" w:after="100" w:afterAutospacing="1"/>
    </w:pPr>
    <w:rPr>
      <w:sz w:val="24"/>
      <w:szCs w:val="24"/>
      <w:lang w:val="da-DK" w:eastAsia="da-DK"/>
    </w:rPr>
  </w:style>
  <w:style w:type="character" w:styleId="CommentReference">
    <w:name w:val="annotation reference"/>
    <w:basedOn w:val="DefaultParagraphFont"/>
    <w:uiPriority w:val="99"/>
    <w:semiHidden/>
    <w:unhideWhenUsed/>
    <w:rsid w:val="004E388A"/>
    <w:rPr>
      <w:sz w:val="16"/>
      <w:szCs w:val="16"/>
    </w:rPr>
  </w:style>
  <w:style w:type="paragraph" w:styleId="CommentText">
    <w:name w:val="annotation text"/>
    <w:basedOn w:val="Normal"/>
    <w:link w:val="CommentTextChar"/>
    <w:uiPriority w:val="99"/>
    <w:unhideWhenUsed/>
    <w:rsid w:val="004E388A"/>
  </w:style>
  <w:style w:type="character" w:customStyle="1" w:styleId="CommentTextChar">
    <w:name w:val="Comment Text Char"/>
    <w:basedOn w:val="DefaultParagraphFont"/>
    <w:link w:val="CommentText"/>
    <w:uiPriority w:val="99"/>
    <w:rsid w:val="004E38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388A"/>
    <w:rPr>
      <w:b/>
      <w:bCs/>
    </w:rPr>
  </w:style>
  <w:style w:type="character" w:customStyle="1" w:styleId="CommentSubjectChar">
    <w:name w:val="Comment Subject Char"/>
    <w:basedOn w:val="CommentTextChar"/>
    <w:link w:val="CommentSubject"/>
    <w:uiPriority w:val="99"/>
    <w:semiHidden/>
    <w:rsid w:val="004E388A"/>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FF4D92"/>
    <w:rPr>
      <w:color w:val="605E5C"/>
      <w:shd w:val="clear" w:color="auto" w:fill="E1DFDD"/>
    </w:rPr>
  </w:style>
  <w:style w:type="character" w:customStyle="1" w:styleId="Heading2Char">
    <w:name w:val="Heading 2 Char"/>
    <w:basedOn w:val="DefaultParagraphFont"/>
    <w:link w:val="Heading2"/>
    <w:uiPriority w:val="9"/>
    <w:semiHidden/>
    <w:rsid w:val="005D0036"/>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B3D9C"/>
    <w:rPr>
      <w:color w:val="954F72" w:themeColor="followedHyperlink"/>
      <w:u w:val="single"/>
    </w:rPr>
  </w:style>
  <w:style w:type="paragraph" w:customStyle="1" w:styleId="s5891fd46">
    <w:name w:val="s5891fd46"/>
    <w:basedOn w:val="Normal"/>
    <w:rsid w:val="0081779C"/>
    <w:pPr>
      <w:spacing w:before="100" w:beforeAutospacing="1" w:after="100" w:afterAutospacing="1"/>
    </w:pPr>
    <w:rPr>
      <w:sz w:val="24"/>
      <w:szCs w:val="24"/>
      <w:lang w:val="da-DK" w:eastAsia="da-DK"/>
    </w:rPr>
  </w:style>
  <w:style w:type="character" w:customStyle="1" w:styleId="s7d2086b4">
    <w:name w:val="s7d2086b4"/>
    <w:basedOn w:val="DefaultParagraphFont"/>
    <w:rsid w:val="0081779C"/>
  </w:style>
  <w:style w:type="paragraph" w:customStyle="1" w:styleId="sf4f42195">
    <w:name w:val="sf4f42195"/>
    <w:basedOn w:val="Normal"/>
    <w:rsid w:val="0081779C"/>
    <w:pPr>
      <w:spacing w:before="100" w:beforeAutospacing="1" w:after="100" w:afterAutospacing="1"/>
    </w:pPr>
    <w:rPr>
      <w:sz w:val="24"/>
      <w:szCs w:val="24"/>
      <w:lang w:val="da-DK" w:eastAsia="da-DK"/>
    </w:rPr>
  </w:style>
  <w:style w:type="character" w:customStyle="1" w:styleId="sa2b98c15">
    <w:name w:val="sa2b98c15"/>
    <w:basedOn w:val="DefaultParagraphFont"/>
    <w:rsid w:val="00817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18720">
      <w:bodyDiv w:val="1"/>
      <w:marLeft w:val="0"/>
      <w:marRight w:val="0"/>
      <w:marTop w:val="0"/>
      <w:marBottom w:val="0"/>
      <w:divBdr>
        <w:top w:val="none" w:sz="0" w:space="0" w:color="auto"/>
        <w:left w:val="none" w:sz="0" w:space="0" w:color="auto"/>
        <w:bottom w:val="none" w:sz="0" w:space="0" w:color="auto"/>
        <w:right w:val="none" w:sz="0" w:space="0" w:color="auto"/>
      </w:divBdr>
    </w:div>
    <w:div w:id="593830518">
      <w:bodyDiv w:val="1"/>
      <w:marLeft w:val="0"/>
      <w:marRight w:val="0"/>
      <w:marTop w:val="0"/>
      <w:marBottom w:val="0"/>
      <w:divBdr>
        <w:top w:val="none" w:sz="0" w:space="0" w:color="auto"/>
        <w:left w:val="none" w:sz="0" w:space="0" w:color="auto"/>
        <w:bottom w:val="none" w:sz="0" w:space="0" w:color="auto"/>
        <w:right w:val="none" w:sz="0" w:space="0" w:color="auto"/>
      </w:divBdr>
    </w:div>
    <w:div w:id="617638095">
      <w:bodyDiv w:val="1"/>
      <w:marLeft w:val="0"/>
      <w:marRight w:val="0"/>
      <w:marTop w:val="0"/>
      <w:marBottom w:val="0"/>
      <w:divBdr>
        <w:top w:val="none" w:sz="0" w:space="0" w:color="auto"/>
        <w:left w:val="none" w:sz="0" w:space="0" w:color="auto"/>
        <w:bottom w:val="none" w:sz="0" w:space="0" w:color="auto"/>
        <w:right w:val="none" w:sz="0" w:space="0" w:color="auto"/>
      </w:divBdr>
    </w:div>
    <w:div w:id="832186059">
      <w:bodyDiv w:val="1"/>
      <w:marLeft w:val="0"/>
      <w:marRight w:val="0"/>
      <w:marTop w:val="0"/>
      <w:marBottom w:val="0"/>
      <w:divBdr>
        <w:top w:val="none" w:sz="0" w:space="0" w:color="auto"/>
        <w:left w:val="none" w:sz="0" w:space="0" w:color="auto"/>
        <w:bottom w:val="none" w:sz="0" w:space="0" w:color="auto"/>
        <w:right w:val="none" w:sz="0" w:space="0" w:color="auto"/>
      </w:divBdr>
    </w:div>
    <w:div w:id="840706141">
      <w:bodyDiv w:val="1"/>
      <w:marLeft w:val="0"/>
      <w:marRight w:val="0"/>
      <w:marTop w:val="0"/>
      <w:marBottom w:val="0"/>
      <w:divBdr>
        <w:top w:val="none" w:sz="0" w:space="0" w:color="auto"/>
        <w:left w:val="none" w:sz="0" w:space="0" w:color="auto"/>
        <w:bottom w:val="none" w:sz="0" w:space="0" w:color="auto"/>
        <w:right w:val="none" w:sz="0" w:space="0" w:color="auto"/>
      </w:divBdr>
    </w:div>
    <w:div w:id="110180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theguardian.com/global-development/2022/mar/02/egyptians-seen-in-jail-torture-videos-charged-with-spreading-fake-news" TargetMode="External"/><Relationship Id="rId3" Type="http://schemas.openxmlformats.org/officeDocument/2006/relationships/hyperlink" Target="https://www.ohchr.org/en/press-releases/2020/04/egypts-updated-terrorism-law-opens-door-more-rights-abuses-says-un-expert" TargetMode="External"/><Relationship Id="rId7" Type="http://schemas.openxmlformats.org/officeDocument/2006/relationships/hyperlink" Target="https://www.theguardian.com/global-development/2022/mar/02/egyptians-seen-in-jail-torture-videos-charged-with-spreading-fake-news" TargetMode="External"/><Relationship Id="rId2" Type="http://schemas.openxmlformats.org/officeDocument/2006/relationships/hyperlink" Target="https://www.ohchr.org/en/press-releases/2020/10/egypt-uses-terrorism-trials-target-human-rights-activists-say-un-experts" TargetMode="External"/><Relationship Id="rId1" Type="http://schemas.openxmlformats.org/officeDocument/2006/relationships/hyperlink" Target="https://www.theguardian.com/global-development/2022/jan/24/cairo-egypt-police-station-secret-filming-appears-to-show-torture" TargetMode="External"/><Relationship Id="rId6" Type="http://schemas.openxmlformats.org/officeDocument/2006/relationships/hyperlink" Target="https://www.theguardian.com/global-development/2022/jan/24/cairo-egypt-police-station-secret-filming-appears-to-show-torture" TargetMode="External"/><Relationship Id="rId5" Type="http://schemas.openxmlformats.org/officeDocument/2006/relationships/hyperlink" Target="https://www.theguardian.com/global-development/2022/jan/24/cairo-egypt-police-station-secret-filming-appears-to-show-torture" TargetMode="External"/><Relationship Id="rId4" Type="http://schemas.openxmlformats.org/officeDocument/2006/relationships/hyperlink" Target="https://eipr.org/en/press/2019/02/following-wednesday%E2%80%99s-executions-15-people-executed-one-month-year-nine-execu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Dignity</Contributor>
    <Filename xmlns="d42e65b2-cf21-49c1-b27d-d23f90380c0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50FEF-94B3-4707-87CF-5415E41F0E71}"/>
</file>

<file path=customXml/itemProps2.xml><?xml version="1.0" encoding="utf-8"?>
<ds:datastoreItem xmlns:ds="http://schemas.openxmlformats.org/officeDocument/2006/customXml" ds:itemID="{24D816A6-19CE-469B-84CE-C7D7B232BB46}">
  <ds:schemaRefs>
    <ds:schemaRef ds:uri="http://schemas.microsoft.com/sharepoint/v3/contenttype/forms"/>
  </ds:schemaRefs>
</ds:datastoreItem>
</file>

<file path=customXml/itemProps3.xml><?xml version="1.0" encoding="utf-8"?>
<ds:datastoreItem xmlns:ds="http://schemas.openxmlformats.org/officeDocument/2006/customXml" ds:itemID="{379E449B-CB6F-400B-BA6E-CF449830B8B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D0512E3-B462-4D90-B6F4-19294B3A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2100</Words>
  <Characters>12811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Zarraluqui</dc:creator>
  <cp:keywords/>
  <dc:description/>
  <cp:lastModifiedBy>Grant Shubin</cp:lastModifiedBy>
  <cp:revision>7</cp:revision>
  <cp:lastPrinted>2022-01-19T10:44:00Z</cp:lastPrinted>
  <dcterms:created xsi:type="dcterms:W3CDTF">2024-02-01T02:38:00Z</dcterms:created>
  <dcterms:modified xsi:type="dcterms:W3CDTF">2024-02-01T03:24:00Z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