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3876A" w14:textId="60B087E5" w:rsidR="006A5911" w:rsidRPr="00A03329" w:rsidRDefault="006A5911" w:rsidP="00A03329"/>
    <w:p w14:paraId="0C487A66" w14:textId="65DFF193" w:rsidR="006D2ADF" w:rsidRPr="00DD709D" w:rsidRDefault="006D2ADF" w:rsidP="007C20D1">
      <w:pPr>
        <w:jc w:val="both"/>
        <w:rPr>
          <w:rFonts w:cs="Calibri"/>
          <w:b/>
          <w:bCs/>
          <w:sz w:val="28"/>
          <w:szCs w:val="28"/>
        </w:rPr>
      </w:pPr>
      <w:r w:rsidRPr="00DD709D">
        <w:rPr>
          <w:rFonts w:cs="Calibri"/>
          <w:b/>
          <w:bCs/>
          <w:sz w:val="28"/>
          <w:szCs w:val="28"/>
        </w:rPr>
        <w:t xml:space="preserve">Call for input of the Special Rapporteur on the independence of judges and lawyers for the next thematic report on safeguarding the independence of judicial systems in the face of contemporary challenges to </w:t>
      </w:r>
      <w:proofErr w:type="gramStart"/>
      <w:r w:rsidRPr="00DD709D">
        <w:rPr>
          <w:rFonts w:cs="Calibri"/>
          <w:b/>
          <w:bCs/>
          <w:sz w:val="28"/>
          <w:szCs w:val="28"/>
        </w:rPr>
        <w:t>democracy</w:t>
      </w:r>
      <w:proofErr w:type="gramEnd"/>
    </w:p>
    <w:p w14:paraId="478E1603" w14:textId="38A3CA36" w:rsidR="006D2ADF" w:rsidRPr="00DD709D" w:rsidRDefault="00AF35A0" w:rsidP="007C20D1">
      <w:pPr>
        <w:jc w:val="both"/>
        <w:rPr>
          <w:rFonts w:cs="Calibri"/>
        </w:rPr>
      </w:pPr>
      <w:hyperlink r:id="rId7" w:history="1">
        <w:r w:rsidR="003825FF" w:rsidRPr="00DD709D">
          <w:rPr>
            <w:rStyle w:val="Hyperlink"/>
            <w:rFonts w:cs="Calibri"/>
          </w:rPr>
          <w:t>https://www.ohchr.org/en/calls-for-input/2024/call-input-special-rapporteur-independence-judges-and-lawyers-next-thematic</w:t>
        </w:r>
      </w:hyperlink>
    </w:p>
    <w:p w14:paraId="4B6AE3D6" w14:textId="1EEDCAE8" w:rsidR="002E55B9" w:rsidRPr="00DD709D" w:rsidRDefault="00555699" w:rsidP="007C20D1">
      <w:pPr>
        <w:jc w:val="both"/>
        <w:rPr>
          <w:rFonts w:cs="Calibri"/>
        </w:rPr>
      </w:pPr>
      <w:r w:rsidRPr="00DD709D">
        <w:rPr>
          <w:rFonts w:cs="Calibri"/>
          <w:b/>
          <w:bCs/>
        </w:rPr>
        <w:t>Purpose</w:t>
      </w:r>
      <w:r w:rsidR="002E55B9" w:rsidRPr="00DD709D">
        <w:rPr>
          <w:rFonts w:cs="Calibri"/>
          <w:b/>
          <w:bCs/>
        </w:rPr>
        <w:t xml:space="preserve"> of the Call:</w:t>
      </w:r>
      <w:r w:rsidRPr="00DD709D">
        <w:rPr>
          <w:rFonts w:cs="Calibri"/>
        </w:rPr>
        <w:t xml:space="preserve"> To inform the Special Rapporteur’s forthcoming report on safeguarding the independence of judicial systems in the face of contemporary challenges to democracy, to be presented at the 56th session of the Human Rights Council in June 2024</w:t>
      </w:r>
    </w:p>
    <w:p w14:paraId="70B41DDE" w14:textId="77777777" w:rsidR="00E35058" w:rsidRPr="00DD709D" w:rsidRDefault="00070D1E" w:rsidP="00343B30">
      <w:pPr>
        <w:jc w:val="both"/>
        <w:rPr>
          <w:rFonts w:cs="Calibri"/>
        </w:rPr>
      </w:pPr>
      <w:r w:rsidRPr="00DD709D">
        <w:rPr>
          <w:rFonts w:cs="Calibri"/>
          <w:b/>
          <w:bCs/>
        </w:rPr>
        <w:t>Introduction</w:t>
      </w:r>
      <w:r w:rsidR="00343B30" w:rsidRPr="00DD709D">
        <w:rPr>
          <w:rFonts w:cs="Calibri"/>
          <w:b/>
          <w:bCs/>
        </w:rPr>
        <w:t xml:space="preserve"> about the Centre for Judicial Co-operation</w:t>
      </w:r>
      <w:r w:rsidR="00E34B7F" w:rsidRPr="00DD709D">
        <w:rPr>
          <w:rFonts w:cs="Calibri"/>
        </w:rPr>
        <w:t xml:space="preserve">: </w:t>
      </w:r>
    </w:p>
    <w:p w14:paraId="6AEDCDD5" w14:textId="75FC680A" w:rsidR="00C05C4E" w:rsidRPr="00DD709D" w:rsidRDefault="00343B30" w:rsidP="005E1028">
      <w:pPr>
        <w:jc w:val="both"/>
      </w:pPr>
      <w:r w:rsidRPr="00DD709D">
        <w:t xml:space="preserve">The Centre for Judicial Cooperation </w:t>
      </w:r>
      <w:r w:rsidR="003A7841" w:rsidRPr="00DD709D">
        <w:t>has been</w:t>
      </w:r>
      <w:r w:rsidRPr="00DD709D">
        <w:t xml:space="preserve"> hosted at the Robert Schuman Centre for Advanced Studies since January 2016.</w:t>
      </w:r>
      <w:r w:rsidR="00A20084" w:rsidRPr="00DD709D">
        <w:t xml:space="preserve"> </w:t>
      </w:r>
      <w:r w:rsidRPr="00DD709D">
        <w:t xml:space="preserve">Since its set up, in December 2011, the Centre has developed a wide network of judges, lawyers and scholars, </w:t>
      </w:r>
      <w:r w:rsidR="00825248" w:rsidRPr="00DD709D">
        <w:t>to establish</w:t>
      </w:r>
      <w:r w:rsidRPr="00DD709D">
        <w:t xml:space="preserve"> a space for collaboration and exchange of knowledge between legal practitioners and the academic community on topics related to judicial interaction across various areas of law. Through its activities and expertise, the Centre engages with both practitioners and academics </w:t>
      </w:r>
      <w:r w:rsidR="003A7841" w:rsidRPr="00DD709D">
        <w:t>in</w:t>
      </w:r>
      <w:r w:rsidRPr="00DD709D">
        <w:t xml:space="preserve"> various activities ranging from workshops and conferences to pure research and policy endeavours.</w:t>
      </w:r>
      <w:r w:rsidR="00A20084" w:rsidRPr="00DD709D">
        <w:t xml:space="preserve"> </w:t>
      </w:r>
      <w:r w:rsidRPr="00DD709D">
        <w:t xml:space="preserve">Its current DG </w:t>
      </w:r>
      <w:r w:rsidR="003A7841" w:rsidRPr="00DD709D">
        <w:t>Justice-supported</w:t>
      </w:r>
      <w:r w:rsidRPr="00DD709D">
        <w:t xml:space="preserve"> projects, e-NACT, JudIT, </w:t>
      </w:r>
      <w:proofErr w:type="spellStart"/>
      <w:r w:rsidRPr="00DD709D">
        <w:t>InterLEX</w:t>
      </w:r>
      <w:proofErr w:type="spellEnd"/>
      <w:r w:rsidR="00E35058" w:rsidRPr="00DD709D">
        <w:t>, TRI</w:t>
      </w:r>
      <w:r w:rsidR="00EF25F8">
        <w:t>I</w:t>
      </w:r>
      <w:r w:rsidR="00E35058" w:rsidRPr="00DD709D">
        <w:t xml:space="preserve">AL 1 and TRIIAL 2, </w:t>
      </w:r>
      <w:r w:rsidRPr="00DD709D">
        <w:t>provide several occasions to foster the emergence and consolidation of a common culture of fundamental rights through mutual exchanges among practitioners and scholars across the EU.</w:t>
      </w:r>
      <w:r w:rsidR="00A20084" w:rsidRPr="00DD709D">
        <w:t xml:space="preserve"> </w:t>
      </w:r>
      <w:r w:rsidRPr="00DD709D">
        <w:t xml:space="preserve">Its key areas of research consist of the exploration of legal and judicial interactions </w:t>
      </w:r>
      <w:proofErr w:type="gramStart"/>
      <w:r w:rsidRPr="00DD709D">
        <w:t>in the area of</w:t>
      </w:r>
      <w:proofErr w:type="gramEnd"/>
      <w:r w:rsidRPr="00DD709D">
        <w:t xml:space="preserve"> fundamental rights, and in various thematic areas, including, inter alia, migration and asylum law, data protection, and non-discrimination.</w:t>
      </w:r>
    </w:p>
    <w:p w14:paraId="07D9AF00" w14:textId="27A2A957" w:rsidR="00343B30" w:rsidRPr="00DD709D" w:rsidRDefault="003A7841" w:rsidP="005E1028">
      <w:pPr>
        <w:jc w:val="both"/>
        <w:rPr>
          <w:rFonts w:cs="Calibri"/>
        </w:rPr>
      </w:pPr>
      <w:r w:rsidRPr="00DD709D">
        <w:rPr>
          <w:rFonts w:cs="Calibri"/>
        </w:rPr>
        <w:t>To</w:t>
      </w:r>
      <w:r w:rsidR="00343B30" w:rsidRPr="00DD709D">
        <w:rPr>
          <w:rFonts w:cs="Calibri"/>
        </w:rPr>
        <w:t xml:space="preserve"> disseminate the results of its work, the Centre publishes </w:t>
      </w:r>
      <w:r w:rsidRPr="00DD709D">
        <w:rPr>
          <w:rFonts w:cs="Calibri"/>
        </w:rPr>
        <w:t>open-access</w:t>
      </w:r>
      <w:r w:rsidR="00343B30" w:rsidRPr="00DD709D">
        <w:rPr>
          <w:rFonts w:cs="Calibri"/>
        </w:rPr>
        <w:t xml:space="preserve"> papers, such as handbooks, reports, and ‘distinguished Lecture’ papers addressing the judicial and academic communities.</w:t>
      </w:r>
      <w:r w:rsidR="00A20084" w:rsidRPr="00DD709D">
        <w:rPr>
          <w:rFonts w:cs="Calibri"/>
        </w:rPr>
        <w:t xml:space="preserve"> </w:t>
      </w:r>
      <w:r w:rsidR="00343B30" w:rsidRPr="00DD709D">
        <w:rPr>
          <w:rFonts w:cs="Calibri"/>
        </w:rPr>
        <w:t xml:space="preserve">Moreover, the Centre’s Database includes </w:t>
      </w:r>
      <w:r w:rsidRPr="00DD709D">
        <w:rPr>
          <w:rFonts w:cs="Calibri"/>
        </w:rPr>
        <w:t>case law</w:t>
      </w:r>
      <w:r w:rsidR="00343B30" w:rsidRPr="00DD709D">
        <w:rPr>
          <w:rFonts w:cs="Calibri"/>
        </w:rPr>
        <w:t xml:space="preserve"> gathered by the expert team in collaboration with the national legal practitioners, providing a practical tool able to improve the understanding and use of judicial interaction techniques within the scope of the application of the EU Charter.</w:t>
      </w:r>
    </w:p>
    <w:p w14:paraId="5524FED1" w14:textId="457964D1" w:rsidR="00E34B7F" w:rsidRPr="00DD709D" w:rsidRDefault="00343B30" w:rsidP="00343B30">
      <w:pPr>
        <w:jc w:val="both"/>
        <w:rPr>
          <w:rFonts w:cs="Calibri"/>
        </w:rPr>
      </w:pPr>
      <w:r w:rsidRPr="00DD709D">
        <w:rPr>
          <w:rFonts w:cs="Calibri"/>
        </w:rPr>
        <w:t xml:space="preserve">In 2018, the Centre launched a Lecture series inviting academics, policy makers and legal practitioners </w:t>
      </w:r>
      <w:proofErr w:type="gramStart"/>
      <w:r w:rsidRPr="00DD709D">
        <w:rPr>
          <w:rFonts w:cs="Calibri"/>
        </w:rPr>
        <w:t>on a monthly basis</w:t>
      </w:r>
      <w:proofErr w:type="gramEnd"/>
      <w:r w:rsidRPr="00DD709D">
        <w:rPr>
          <w:rFonts w:cs="Calibri"/>
        </w:rPr>
        <w:t xml:space="preserve"> to give distinguished lectures presenting their recent research or work-related experiences. Topics ranged from the aftermath of landmark CJEU decisions on national case-law and policy choices, the revision of the national Criminal law code, the impact of data protection reform on judicial dialogue, fundamental rights and migration policies, and the use of AI and big data for law enforcement purposes.</w:t>
      </w:r>
    </w:p>
    <w:p w14:paraId="3F341539" w14:textId="77777777" w:rsidR="00303C7F" w:rsidRDefault="00575C4B" w:rsidP="007C20D1">
      <w:pPr>
        <w:jc w:val="both"/>
        <w:rPr>
          <w:rFonts w:cs="Calibri"/>
        </w:rPr>
      </w:pPr>
      <w:r w:rsidRPr="00DD709D">
        <w:rPr>
          <w:rFonts w:cs="Calibri"/>
        </w:rPr>
        <w:t xml:space="preserve">The </w:t>
      </w:r>
      <w:r w:rsidRPr="00174989">
        <w:rPr>
          <w:rFonts w:cs="Calibri"/>
          <w:b/>
          <w:bCs/>
        </w:rPr>
        <w:t>focus of the work of the Centre is the countries of the European Union</w:t>
      </w:r>
      <w:r w:rsidRPr="00DD709D">
        <w:rPr>
          <w:rFonts w:cs="Calibri"/>
        </w:rPr>
        <w:t xml:space="preserve"> and experts from the finding presented below derive directly from the </w:t>
      </w:r>
      <w:r w:rsidR="0003191B" w:rsidRPr="00DD709D">
        <w:rPr>
          <w:rFonts w:cs="Calibri"/>
        </w:rPr>
        <w:t>TRIIAL 2 project</w:t>
      </w:r>
      <w:r w:rsidR="00613573" w:rsidRPr="00DD709D">
        <w:rPr>
          <w:rFonts w:cs="Calibri"/>
        </w:rPr>
        <w:t xml:space="preserve"> – encompassing the EU as opposed to the questions asked directly about the in-country situ</w:t>
      </w:r>
      <w:r w:rsidR="00035C67" w:rsidRPr="00DD709D">
        <w:rPr>
          <w:rFonts w:cs="Calibri"/>
        </w:rPr>
        <w:t xml:space="preserve">ation and focussed on the judiciary </w:t>
      </w:r>
      <w:proofErr w:type="gramStart"/>
      <w:r w:rsidR="00035C67" w:rsidRPr="00DD709D">
        <w:rPr>
          <w:rFonts w:cs="Calibri"/>
        </w:rPr>
        <w:t>given</w:t>
      </w:r>
      <w:proofErr w:type="gramEnd"/>
      <w:r w:rsidR="00035C67" w:rsidRPr="00DD709D">
        <w:rPr>
          <w:rFonts w:cs="Calibri"/>
        </w:rPr>
        <w:t xml:space="preserve"> </w:t>
      </w:r>
    </w:p>
    <w:p w14:paraId="5A617D58" w14:textId="77777777" w:rsidR="00303C7F" w:rsidRDefault="00303C7F" w:rsidP="007C20D1">
      <w:pPr>
        <w:jc w:val="both"/>
        <w:rPr>
          <w:rFonts w:cs="Calibri"/>
        </w:rPr>
      </w:pPr>
    </w:p>
    <w:p w14:paraId="287EDE42" w14:textId="77777777" w:rsidR="00F623DF" w:rsidRDefault="00F623DF" w:rsidP="007C20D1">
      <w:pPr>
        <w:jc w:val="both"/>
        <w:rPr>
          <w:rFonts w:cs="Calibri"/>
        </w:rPr>
      </w:pPr>
    </w:p>
    <w:p w14:paraId="4AFCB7FE" w14:textId="4DFAC5B0" w:rsidR="002B3461" w:rsidRPr="00DD709D" w:rsidRDefault="0078159E" w:rsidP="007C20D1">
      <w:pPr>
        <w:jc w:val="both"/>
        <w:rPr>
          <w:rFonts w:cs="Calibri"/>
        </w:rPr>
      </w:pPr>
      <w:r w:rsidRPr="00DD709D">
        <w:rPr>
          <w:rFonts w:cs="Calibri"/>
        </w:rPr>
        <w:t xml:space="preserve">word limit restrictions, answering </w:t>
      </w:r>
      <w:r w:rsidR="00035C67" w:rsidRPr="00DD709D">
        <w:rPr>
          <w:rFonts w:cs="Calibri"/>
        </w:rPr>
        <w:t>requested by the OHCHR</w:t>
      </w:r>
      <w:r w:rsidRPr="00DD709D">
        <w:rPr>
          <w:rFonts w:cs="Calibri"/>
        </w:rPr>
        <w:t xml:space="preserve"> in this regard</w:t>
      </w:r>
      <w:r w:rsidR="00035C67" w:rsidRPr="00DD709D">
        <w:rPr>
          <w:rFonts w:cs="Calibri"/>
        </w:rPr>
        <w:t>.  We hope the finding</w:t>
      </w:r>
      <w:r w:rsidR="0066558D">
        <w:rPr>
          <w:rFonts w:cs="Calibri"/>
        </w:rPr>
        <w:t>s</w:t>
      </w:r>
      <w:r w:rsidR="00035C67" w:rsidRPr="00DD709D">
        <w:rPr>
          <w:rFonts w:cs="Calibri"/>
        </w:rPr>
        <w:t xml:space="preserve"> are </w:t>
      </w:r>
      <w:r w:rsidR="00DB6178" w:rsidRPr="00DD709D">
        <w:rPr>
          <w:rFonts w:cs="Calibri"/>
        </w:rPr>
        <w:t xml:space="preserve">useful and </w:t>
      </w:r>
      <w:r w:rsidR="00E3437A">
        <w:rPr>
          <w:rFonts w:cs="Calibri"/>
        </w:rPr>
        <w:t>informative</w:t>
      </w:r>
      <w:r w:rsidR="00DB6178" w:rsidRPr="00DD709D">
        <w:rPr>
          <w:rFonts w:cs="Calibri"/>
        </w:rPr>
        <w:t>.</w:t>
      </w:r>
    </w:p>
    <w:p w14:paraId="40A9731B" w14:textId="0503F496" w:rsidR="002B3461" w:rsidRPr="00E3437A" w:rsidRDefault="002B3461" w:rsidP="002B3461">
      <w:pPr>
        <w:jc w:val="both"/>
        <w:rPr>
          <w:rFonts w:cs="Calibri"/>
          <w:b/>
          <w:bCs/>
        </w:rPr>
      </w:pPr>
      <w:r w:rsidRPr="00E3437A">
        <w:rPr>
          <w:rFonts w:cs="Calibri"/>
          <w:b/>
          <w:bCs/>
        </w:rPr>
        <w:t>Judges</w:t>
      </w:r>
    </w:p>
    <w:p w14:paraId="3FB19B31" w14:textId="77777777" w:rsidR="002B3461" w:rsidRPr="00E3437A" w:rsidRDefault="002B3461" w:rsidP="002B3461">
      <w:pPr>
        <w:jc w:val="both"/>
        <w:rPr>
          <w:rFonts w:cs="Calibri"/>
          <w:b/>
          <w:bCs/>
          <w:color w:val="FF0000"/>
        </w:rPr>
      </w:pPr>
      <w:r w:rsidRPr="00E3437A">
        <w:rPr>
          <w:rFonts w:cs="Calibri"/>
          <w:b/>
          <w:bCs/>
          <w:color w:val="FF0000"/>
        </w:rPr>
        <w:t>Have judges played an active role in safeguarding democracy and upholding fundamental democratic rights in your country?</w:t>
      </w:r>
    </w:p>
    <w:p w14:paraId="3160554D" w14:textId="323B920C" w:rsidR="00E3437A" w:rsidRDefault="00E3437A" w:rsidP="002B3461">
      <w:pPr>
        <w:jc w:val="both"/>
        <w:rPr>
          <w:rFonts w:cs="Calibri"/>
          <w:lang w:val="en-GB"/>
        </w:rPr>
      </w:pPr>
      <w:r>
        <w:rPr>
          <w:rFonts w:cs="Calibri"/>
        </w:rPr>
        <w:t>In the European Union</w:t>
      </w:r>
      <w:r w:rsidR="00C27733">
        <w:rPr>
          <w:rFonts w:cs="Calibri"/>
        </w:rPr>
        <w:t xml:space="preserve"> (EU)</w:t>
      </w:r>
      <w:r>
        <w:rPr>
          <w:rFonts w:cs="Calibri"/>
        </w:rPr>
        <w:t>, judges have long played an active role in safeguarding democracy through their independence and impartiality which stems from</w:t>
      </w:r>
      <w:r w:rsidR="00A55F92">
        <w:rPr>
          <w:rFonts w:cs="Calibri"/>
        </w:rPr>
        <w:t xml:space="preserve"> the Constitutions of their</w:t>
      </w:r>
      <w:r w:rsidR="00086EB0">
        <w:rPr>
          <w:rFonts w:cs="Calibri"/>
        </w:rPr>
        <w:t xml:space="preserve"> </w:t>
      </w:r>
      <w:r w:rsidR="00A55F92">
        <w:rPr>
          <w:rFonts w:cs="Calibri"/>
        </w:rPr>
        <w:t xml:space="preserve">states and </w:t>
      </w:r>
      <w:r w:rsidR="00C27733">
        <w:rPr>
          <w:rFonts w:cs="Calibri"/>
        </w:rPr>
        <w:t xml:space="preserve">has always been </w:t>
      </w:r>
      <w:r w:rsidR="00A55F92">
        <w:rPr>
          <w:rFonts w:cs="Calibri"/>
        </w:rPr>
        <w:t xml:space="preserve">a pre-requisite for accession to the </w:t>
      </w:r>
      <w:r w:rsidR="00C27733">
        <w:rPr>
          <w:rFonts w:cs="Calibri"/>
        </w:rPr>
        <w:t>EU</w:t>
      </w:r>
      <w:r w:rsidR="00A55F92">
        <w:rPr>
          <w:rFonts w:cs="Calibri"/>
        </w:rPr>
        <w:t>.</w:t>
      </w:r>
      <w:r w:rsidR="00C27733">
        <w:rPr>
          <w:rFonts w:cs="Calibri"/>
        </w:rPr>
        <w:t xml:space="preserve"> It is also now enshrined in</w:t>
      </w:r>
      <w:r w:rsidR="00B22D2F">
        <w:rPr>
          <w:rFonts w:cs="Calibri"/>
        </w:rPr>
        <w:t xml:space="preserve"> Article 19(2) of the </w:t>
      </w:r>
      <w:r w:rsidR="00167F28">
        <w:rPr>
          <w:rFonts w:cs="Calibri"/>
        </w:rPr>
        <w:t xml:space="preserve">Treaty </w:t>
      </w:r>
      <w:r w:rsidR="00EB08BD">
        <w:rPr>
          <w:rFonts w:cs="Calibri"/>
        </w:rPr>
        <w:t>of</w:t>
      </w:r>
      <w:r w:rsidR="00167F28">
        <w:rPr>
          <w:rFonts w:cs="Calibri"/>
        </w:rPr>
        <w:t xml:space="preserve"> the European Union</w:t>
      </w:r>
      <w:r w:rsidR="00920C6D">
        <w:rPr>
          <w:rFonts w:cs="Calibri"/>
        </w:rPr>
        <w:t xml:space="preserve"> (TEU)</w:t>
      </w:r>
      <w:r w:rsidR="00167F28">
        <w:rPr>
          <w:rFonts w:cs="Calibri"/>
        </w:rPr>
        <w:t>.</w:t>
      </w:r>
      <w:r w:rsidR="00927BD7" w:rsidRPr="00927BD7">
        <w:rPr>
          <w:rFonts w:ascii="Times New Roman" w:eastAsia="Calibri" w:hAnsi="Times New Roman" w:cs="Times New Roman"/>
          <w:kern w:val="0"/>
          <w:sz w:val="24"/>
          <w:szCs w:val="24"/>
          <w:lang w:val="en-GB" w:eastAsia="zh-CN"/>
          <w14:ligatures w14:val="none"/>
        </w:rPr>
        <w:t xml:space="preserve"> </w:t>
      </w:r>
      <w:r w:rsidR="00927BD7" w:rsidRPr="00927BD7">
        <w:rPr>
          <w:rFonts w:cs="Calibri"/>
          <w:lang w:val="en-GB"/>
        </w:rPr>
        <w:t xml:space="preserve">The judiciary provides for important checks on the executive and legislative branches and protection of individual fundamental rights, and they are therefore the prime target of autocratic governments of the EU even if they are chosen by ‘free and fair elections’ which lead to the establishment of </w:t>
      </w:r>
      <w:r w:rsidR="00927BD7" w:rsidRPr="00927BD7">
        <w:rPr>
          <w:rFonts w:cs="Calibri"/>
          <w:i/>
          <w:iCs/>
          <w:lang w:val="en-GB"/>
        </w:rPr>
        <w:t>de facto</w:t>
      </w:r>
      <w:r w:rsidR="00927BD7" w:rsidRPr="00927BD7">
        <w:rPr>
          <w:rFonts w:cs="Calibri"/>
          <w:lang w:val="en-GB"/>
        </w:rPr>
        <w:t xml:space="preserve"> electoral autocracies and one-party states. This goes against the very grain of the principle of </w:t>
      </w:r>
      <w:r w:rsidR="00EB08BD">
        <w:rPr>
          <w:rFonts w:cs="Calibri"/>
          <w:lang w:val="en-GB"/>
        </w:rPr>
        <w:t xml:space="preserve">the </w:t>
      </w:r>
      <w:r w:rsidR="00927BD7" w:rsidRPr="00927BD7">
        <w:rPr>
          <w:rFonts w:cs="Calibri"/>
          <w:lang w:val="en-GB"/>
        </w:rPr>
        <w:t xml:space="preserve">rule of law and the very reason for which courts, the third pillar of power, are designed– to be the independent arbitrators and guardians of the law as emphasized by the seminal “Portuguese judges” ruling of the </w:t>
      </w:r>
      <w:r w:rsidR="007F32B7">
        <w:rPr>
          <w:rFonts w:cs="Calibri"/>
          <w:lang w:val="en-GB"/>
        </w:rPr>
        <w:t xml:space="preserve">(Court of Justice of the European Union) </w:t>
      </w:r>
      <w:r w:rsidR="00927BD7" w:rsidRPr="00927BD7">
        <w:rPr>
          <w:rFonts w:cs="Calibri"/>
          <w:lang w:val="en-GB"/>
        </w:rPr>
        <w:t>CJEU.</w:t>
      </w:r>
      <w:r w:rsidR="00927BD7" w:rsidRPr="00927BD7">
        <w:rPr>
          <w:rFonts w:cs="Calibri"/>
          <w:vertAlign w:val="superscript"/>
          <w:lang w:val="en-GB"/>
        </w:rPr>
        <w:footnoteReference w:id="1"/>
      </w:r>
      <w:r w:rsidR="007B0EFD">
        <w:rPr>
          <w:rFonts w:cs="Calibri"/>
          <w:lang w:val="en-GB"/>
        </w:rPr>
        <w:t xml:space="preserve"> </w:t>
      </w:r>
      <w:r w:rsidR="00FF2F86" w:rsidRPr="00FF2F86">
        <w:rPr>
          <w:rFonts w:cs="Calibri"/>
          <w:lang w:val="en-GB"/>
        </w:rPr>
        <w:t xml:space="preserve">The judgment is seen as important because it establishes a general obligation for Member States to guarantee and respect the independence of their national courts and tribunals. The CJEU does this solely based on Article 19(1) TEU read </w:t>
      </w:r>
      <w:proofErr w:type="gramStart"/>
      <w:r w:rsidR="00FF2F86" w:rsidRPr="00FF2F86">
        <w:rPr>
          <w:rFonts w:cs="Calibri"/>
          <w:lang w:val="en-GB"/>
        </w:rPr>
        <w:t>in light of</w:t>
      </w:r>
      <w:proofErr w:type="gramEnd"/>
      <w:r w:rsidR="00FF2F86" w:rsidRPr="00FF2F86">
        <w:rPr>
          <w:rFonts w:cs="Calibri"/>
          <w:lang w:val="en-GB"/>
        </w:rPr>
        <w:t xml:space="preserve"> Articles 2 and 4(3) TEU. It thereby </w:t>
      </w:r>
      <w:proofErr w:type="gramStart"/>
      <w:r w:rsidR="00FF2F86" w:rsidRPr="00FF2F86">
        <w:rPr>
          <w:rFonts w:cs="Calibri"/>
          <w:lang w:val="en-GB"/>
        </w:rPr>
        <w:t>rejects also</w:t>
      </w:r>
      <w:proofErr w:type="gramEnd"/>
      <w:r w:rsidR="00FF2F86" w:rsidRPr="00FF2F86">
        <w:rPr>
          <w:rFonts w:cs="Calibri"/>
          <w:lang w:val="en-GB"/>
        </w:rPr>
        <w:t xml:space="preserve"> the arguments often used in other cases such as those relating to Poland and Hungary, that “judicial reform” is an internal matter only. The case is important because it marked a milestone in the development of the EU's rule of law protection. The judgment in ASJP recognized judicial independence as a general principle of EU law derived from Article 19(1)(2) TEU.</w:t>
      </w:r>
    </w:p>
    <w:p w14:paraId="48107F9D" w14:textId="062539C0" w:rsidR="007B0EFD" w:rsidRPr="00DD709D" w:rsidRDefault="007B0EFD" w:rsidP="002B3461">
      <w:pPr>
        <w:jc w:val="both"/>
        <w:rPr>
          <w:rFonts w:cs="Calibri"/>
        </w:rPr>
      </w:pPr>
      <w:r>
        <w:rPr>
          <w:rFonts w:cs="Calibri"/>
          <w:lang w:val="en-GB"/>
        </w:rPr>
        <w:t xml:space="preserve">This understanding has been </w:t>
      </w:r>
      <w:r w:rsidR="00853E44">
        <w:rPr>
          <w:rFonts w:cs="Calibri"/>
          <w:lang w:val="en-GB"/>
        </w:rPr>
        <w:t>fundamental</w:t>
      </w:r>
      <w:r>
        <w:rPr>
          <w:rFonts w:cs="Calibri"/>
          <w:lang w:val="en-GB"/>
        </w:rPr>
        <w:t xml:space="preserve"> and laced throughout the judgments of CJEU </w:t>
      </w:r>
      <w:r w:rsidR="0019292A">
        <w:rPr>
          <w:rFonts w:cs="Calibri"/>
          <w:lang w:val="en-GB"/>
        </w:rPr>
        <w:t>in particular</w:t>
      </w:r>
      <w:r w:rsidR="00E83754">
        <w:rPr>
          <w:rFonts w:cs="Calibri"/>
          <w:lang w:val="en-GB"/>
        </w:rPr>
        <w:t>,</w:t>
      </w:r>
      <w:r w:rsidR="0019292A">
        <w:rPr>
          <w:rFonts w:cs="Calibri"/>
          <w:lang w:val="en-GB"/>
        </w:rPr>
        <w:t xml:space="preserve"> </w:t>
      </w:r>
      <w:proofErr w:type="gramStart"/>
      <w:r w:rsidR="0019292A">
        <w:rPr>
          <w:rFonts w:cs="Calibri"/>
          <w:lang w:val="en-GB"/>
        </w:rPr>
        <w:t>as a result of</w:t>
      </w:r>
      <w:proofErr w:type="gramEnd"/>
      <w:r w:rsidR="0019292A">
        <w:rPr>
          <w:rFonts w:cs="Calibri"/>
          <w:lang w:val="en-GB"/>
        </w:rPr>
        <w:t xml:space="preserve"> the </w:t>
      </w:r>
      <w:r w:rsidR="00145BB4">
        <w:rPr>
          <w:rFonts w:cs="Calibri"/>
          <w:lang w:val="en-GB"/>
        </w:rPr>
        <w:t>las</w:t>
      </w:r>
      <w:r w:rsidR="009566C6">
        <w:rPr>
          <w:rFonts w:cs="Calibri"/>
          <w:lang w:val="en-GB"/>
        </w:rPr>
        <w:t>t</w:t>
      </w:r>
      <w:r w:rsidR="00145BB4">
        <w:rPr>
          <w:rFonts w:cs="Calibri"/>
          <w:lang w:val="en-GB"/>
        </w:rPr>
        <w:t xml:space="preserve"> decade of </w:t>
      </w:r>
      <w:r w:rsidR="009566C6">
        <w:rPr>
          <w:rFonts w:cs="Calibri"/>
          <w:lang w:val="en-GB"/>
        </w:rPr>
        <w:t xml:space="preserve">the </w:t>
      </w:r>
      <w:r w:rsidR="00CE5D85">
        <w:rPr>
          <w:rFonts w:cs="Calibri"/>
          <w:lang w:val="en-GB"/>
        </w:rPr>
        <w:t xml:space="preserve">mentioned </w:t>
      </w:r>
      <w:r w:rsidR="00145BB4">
        <w:rPr>
          <w:rFonts w:cs="Calibri"/>
          <w:lang w:val="en-GB"/>
        </w:rPr>
        <w:t xml:space="preserve">destruction of </w:t>
      </w:r>
      <w:r w:rsidR="00511528">
        <w:rPr>
          <w:rFonts w:cs="Calibri"/>
          <w:lang w:val="en-GB"/>
        </w:rPr>
        <w:t>th</w:t>
      </w:r>
      <w:r w:rsidR="00CE5D85">
        <w:rPr>
          <w:rFonts w:cs="Calibri"/>
          <w:lang w:val="en-GB"/>
        </w:rPr>
        <w:t>is fundam</w:t>
      </w:r>
      <w:r w:rsidR="00A65718">
        <w:rPr>
          <w:rFonts w:cs="Calibri"/>
          <w:lang w:val="en-GB"/>
        </w:rPr>
        <w:t>ental principle. M</w:t>
      </w:r>
      <w:r w:rsidR="00FD51E3">
        <w:rPr>
          <w:rFonts w:cs="Calibri"/>
          <w:lang w:val="en-GB"/>
        </w:rPr>
        <w:t xml:space="preserve">ost obviously, </w:t>
      </w:r>
      <w:r w:rsidR="00A65718">
        <w:rPr>
          <w:rFonts w:cs="Calibri"/>
          <w:lang w:val="en-GB"/>
        </w:rPr>
        <w:t xml:space="preserve">in </w:t>
      </w:r>
      <w:r w:rsidR="00FD51E3">
        <w:rPr>
          <w:rFonts w:cs="Calibri"/>
          <w:lang w:val="en-GB"/>
        </w:rPr>
        <w:t>Hungary and Polan</w:t>
      </w:r>
      <w:r w:rsidR="002323E8">
        <w:rPr>
          <w:rFonts w:cs="Calibri"/>
          <w:lang w:val="en-GB"/>
        </w:rPr>
        <w:t xml:space="preserve">d, the latter of which is now attempting to unravel the damage done </w:t>
      </w:r>
      <w:r w:rsidR="00E1477F">
        <w:rPr>
          <w:rFonts w:cs="Calibri"/>
          <w:lang w:val="en-GB"/>
        </w:rPr>
        <w:t xml:space="preserve">by the previous autocratic government. </w:t>
      </w:r>
      <w:r w:rsidR="00D12383">
        <w:rPr>
          <w:rFonts w:cs="Calibri"/>
          <w:lang w:val="en-GB"/>
        </w:rPr>
        <w:t xml:space="preserve">The progress in this </w:t>
      </w:r>
      <w:r w:rsidR="00E54F18">
        <w:rPr>
          <w:rFonts w:cs="Calibri"/>
          <w:lang w:val="en-GB"/>
        </w:rPr>
        <w:t>is yet to be seen following the 2024 elections</w:t>
      </w:r>
      <w:r w:rsidR="00EF25F8">
        <w:rPr>
          <w:rFonts w:cs="Calibri"/>
          <w:lang w:val="en-GB"/>
        </w:rPr>
        <w:t>. In Hungary, due to the more entrenched dismantlement of judicial independence the possibility of judges to resist and express their opinions freely is much more limited.</w:t>
      </w:r>
    </w:p>
    <w:p w14:paraId="1B9B6C1D" w14:textId="77777777" w:rsidR="002B3461" w:rsidRPr="00834059" w:rsidRDefault="002B3461" w:rsidP="002B3461">
      <w:pPr>
        <w:jc w:val="both"/>
        <w:rPr>
          <w:rFonts w:cs="Calibri"/>
          <w:b/>
          <w:bCs/>
          <w:color w:val="FF0000"/>
        </w:rPr>
      </w:pPr>
      <w:r w:rsidRPr="00834059">
        <w:rPr>
          <w:rFonts w:cs="Calibri"/>
          <w:b/>
          <w:bCs/>
          <w:color w:val="FF0000"/>
        </w:rPr>
        <w:t xml:space="preserve">Are judges facing any obstacles, risks, or challenges in your country when fulfilling this role? If so, provide examples, and highlight if judges face </w:t>
      </w:r>
      <w:proofErr w:type="gramStart"/>
      <w:r w:rsidRPr="00834059">
        <w:rPr>
          <w:rFonts w:cs="Calibri"/>
          <w:b/>
          <w:bCs/>
          <w:color w:val="FF0000"/>
        </w:rPr>
        <w:t>particular obstacles</w:t>
      </w:r>
      <w:proofErr w:type="gramEnd"/>
      <w:r w:rsidRPr="00834059">
        <w:rPr>
          <w:rFonts w:cs="Calibri"/>
          <w:b/>
          <w:bCs/>
          <w:color w:val="FF0000"/>
        </w:rPr>
        <w:t>, risks, or challenges based on their gender, racial identity, or other characteristics protected by human rights law.</w:t>
      </w:r>
    </w:p>
    <w:p w14:paraId="4EA80391" w14:textId="71371F74" w:rsidR="0022733B" w:rsidRDefault="0022733B" w:rsidP="002B3461">
      <w:pPr>
        <w:jc w:val="both"/>
        <w:rPr>
          <w:rFonts w:cs="Calibri"/>
        </w:rPr>
      </w:pPr>
      <w:r>
        <w:rPr>
          <w:rFonts w:cs="Calibri"/>
        </w:rPr>
        <w:t xml:space="preserve">Judges in countries of the European Union face </w:t>
      </w:r>
      <w:r w:rsidR="004005EC">
        <w:rPr>
          <w:rFonts w:cs="Calibri"/>
        </w:rPr>
        <w:t xml:space="preserve">many </w:t>
      </w:r>
      <w:r w:rsidR="00F14A7D">
        <w:rPr>
          <w:rFonts w:cs="Calibri"/>
        </w:rPr>
        <w:t>obstacles when they exercise their freedom of expression</w:t>
      </w:r>
      <w:r w:rsidR="003043DF">
        <w:rPr>
          <w:rFonts w:cs="Calibri"/>
        </w:rPr>
        <w:t xml:space="preserve">, when they exercise their right to a fair trial, and when they exercise their right to question the application of European Law through prejudicial questions, which they have a right to do under </w:t>
      </w:r>
      <w:r w:rsidR="00E2378F">
        <w:rPr>
          <w:rFonts w:cs="Calibri"/>
        </w:rPr>
        <w:t>Art 267 Treaty for the European Union (TFEU) which gives each judge a right to send a question to the CJEU.</w:t>
      </w:r>
    </w:p>
    <w:p w14:paraId="01FEC021" w14:textId="77777777" w:rsidR="0024560A" w:rsidRDefault="0024560A" w:rsidP="002B3461">
      <w:pPr>
        <w:jc w:val="both"/>
        <w:rPr>
          <w:rFonts w:cs="Calibri"/>
        </w:rPr>
      </w:pPr>
    </w:p>
    <w:p w14:paraId="767A5423" w14:textId="179757ED" w:rsidR="00F623DF" w:rsidRDefault="004005EC" w:rsidP="002B3461">
      <w:pPr>
        <w:jc w:val="both"/>
        <w:rPr>
          <w:rFonts w:cs="Calibri"/>
        </w:rPr>
      </w:pPr>
      <w:r>
        <w:rPr>
          <w:rFonts w:cs="Calibri"/>
        </w:rPr>
        <w:t xml:space="preserve">Most perniciously, the judiciary and single judges face </w:t>
      </w:r>
      <w:r w:rsidR="000F1452">
        <w:rPr>
          <w:rFonts w:cs="Calibri"/>
        </w:rPr>
        <w:t xml:space="preserve">smear campaigns and disciplinary proceedings under new rules and new Chambers (such as that still operating in Poland at the time of </w:t>
      </w:r>
    </w:p>
    <w:p w14:paraId="7F551121" w14:textId="04F2ECFD" w:rsidR="000A5CFB" w:rsidRDefault="000F1452" w:rsidP="002B3461">
      <w:pPr>
        <w:jc w:val="both"/>
        <w:rPr>
          <w:rFonts w:cs="Calibri"/>
        </w:rPr>
      </w:pPr>
      <w:r>
        <w:rPr>
          <w:rFonts w:cs="Calibri"/>
        </w:rPr>
        <w:t xml:space="preserve">writing), aiming at having a chilling effect </w:t>
      </w:r>
      <w:r w:rsidR="007726EE">
        <w:rPr>
          <w:rFonts w:cs="Calibri"/>
        </w:rPr>
        <w:t>on their work.  Notwithstanding this, the resistance of judges esp. in Poland has been consistent and many have turned also to the European Court o</w:t>
      </w:r>
      <w:r w:rsidR="00CD48AF">
        <w:rPr>
          <w:rFonts w:cs="Calibri"/>
        </w:rPr>
        <w:t>n Human Rights and Freedoms (ECtHR) to adjudicate their cases and their individual rights to privacy</w:t>
      </w:r>
      <w:r w:rsidR="00FA3754">
        <w:rPr>
          <w:rFonts w:cs="Calibri"/>
        </w:rPr>
        <w:t xml:space="preserve"> and a fair trial. </w:t>
      </w:r>
      <w:r w:rsidR="00C12C8C">
        <w:rPr>
          <w:rFonts w:cs="Calibri"/>
        </w:rPr>
        <w:t xml:space="preserve"> Indeed, t</w:t>
      </w:r>
      <w:r w:rsidR="00C12C8C" w:rsidRPr="00C12C8C">
        <w:rPr>
          <w:rFonts w:cs="Calibri"/>
        </w:rPr>
        <w:t>he principle of the effective judicial protection of individuals’ rights under EU law, referred to in the second subparagraph of Article 19(1) TEU, is a general principle of EU law stemming from the constitutional traditions common to the Member States, which has been enshrined in Articles 6 and 13 ECHR, and which is now reaffirmed by Article 47 of the Charter</w:t>
      </w:r>
    </w:p>
    <w:p w14:paraId="2A7EA4E5" w14:textId="745770AA" w:rsidR="004005EC" w:rsidRDefault="00C12C8C" w:rsidP="002B3461">
      <w:pPr>
        <w:jc w:val="both"/>
        <w:rPr>
          <w:rFonts w:cs="Calibri"/>
          <w:lang w:val="en-GB"/>
        </w:rPr>
      </w:pPr>
      <w:r>
        <w:rPr>
          <w:rFonts w:cs="Calibri"/>
        </w:rPr>
        <w:t>Mea</w:t>
      </w:r>
      <w:r w:rsidR="00F509C1">
        <w:rPr>
          <w:rFonts w:cs="Calibri"/>
        </w:rPr>
        <w:t>n</w:t>
      </w:r>
      <w:r>
        <w:rPr>
          <w:rFonts w:cs="Calibri"/>
        </w:rPr>
        <w:t>while,</w:t>
      </w:r>
      <w:r w:rsidR="00F509C1">
        <w:rPr>
          <w:rFonts w:cs="Calibri"/>
        </w:rPr>
        <w:t xml:space="preserve"> </w:t>
      </w:r>
      <w:proofErr w:type="spellStart"/>
      <w:r w:rsidR="00F509C1">
        <w:rPr>
          <w:rFonts w:cs="Calibri"/>
        </w:rPr>
        <w:t>i</w:t>
      </w:r>
      <w:r w:rsidR="000A5CFB" w:rsidRPr="000A5CFB">
        <w:rPr>
          <w:rFonts w:cs="Calibri"/>
          <w:lang w:val="en-GB"/>
        </w:rPr>
        <w:t>n</w:t>
      </w:r>
      <w:proofErr w:type="spellEnd"/>
      <w:r w:rsidR="000A5CFB" w:rsidRPr="000A5CFB">
        <w:rPr>
          <w:rFonts w:cs="Calibri"/>
          <w:lang w:val="en-GB"/>
        </w:rPr>
        <w:t xml:space="preserve"> the case of </w:t>
      </w:r>
      <w:bookmarkStart w:id="0" w:name="_Hlk148473115"/>
      <w:r w:rsidR="000A5CFB" w:rsidRPr="000A5CFB">
        <w:rPr>
          <w:rFonts w:cs="Calibri"/>
          <w:i/>
          <w:iCs/>
          <w:lang w:val="en-GB"/>
        </w:rPr>
        <w:t>AK and others</w:t>
      </w:r>
      <w:r w:rsidR="000A5CFB" w:rsidRPr="000A5CFB">
        <w:rPr>
          <w:rFonts w:cs="Calibri"/>
          <w:vertAlign w:val="superscript"/>
          <w:lang w:val="en-GB"/>
        </w:rPr>
        <w:footnoteReference w:id="2"/>
      </w:r>
      <w:bookmarkEnd w:id="0"/>
      <w:r w:rsidR="000A5CFB" w:rsidRPr="000A5CFB">
        <w:rPr>
          <w:rFonts w:cs="Calibri"/>
          <w:lang w:val="en-GB"/>
        </w:rPr>
        <w:t xml:space="preserve">, concerning Poland, </w:t>
      </w:r>
      <w:r w:rsidR="00F509C1">
        <w:rPr>
          <w:rFonts w:cs="Calibri"/>
          <w:lang w:val="en-GB"/>
        </w:rPr>
        <w:t xml:space="preserve">CJEU </w:t>
      </w:r>
      <w:r w:rsidR="000A5CFB" w:rsidRPr="000A5CFB">
        <w:rPr>
          <w:rFonts w:cs="Calibri"/>
          <w:lang w:val="en-GB"/>
        </w:rPr>
        <w:t xml:space="preserve">while also focussing on the illegality of the disciplinary chamber of the Supreme Court of Poland, focused mainly on the curtailment of the age of retirement </w:t>
      </w:r>
      <w:r w:rsidR="00B135B2">
        <w:rPr>
          <w:rFonts w:cs="Calibri"/>
          <w:lang w:val="en-GB"/>
        </w:rPr>
        <w:t xml:space="preserve">as a way of ridding the judiciary of a </w:t>
      </w:r>
      <w:r w:rsidR="00AF5C1D">
        <w:rPr>
          <w:rFonts w:cs="Calibri"/>
          <w:lang w:val="en-GB"/>
        </w:rPr>
        <w:t xml:space="preserve">certain category of older judges, </w:t>
      </w:r>
      <w:r w:rsidR="000A5CFB" w:rsidRPr="000A5CFB">
        <w:rPr>
          <w:rFonts w:cs="Calibri"/>
          <w:lang w:val="en-GB"/>
        </w:rPr>
        <w:t xml:space="preserve">and thus espousing the principle of security of tenure and </w:t>
      </w:r>
      <w:proofErr w:type="spellStart"/>
      <w:r w:rsidR="000A5CFB" w:rsidRPr="000A5CFB">
        <w:rPr>
          <w:rFonts w:cs="Calibri"/>
          <w:lang w:val="en-GB"/>
        </w:rPr>
        <w:t>irremovability</w:t>
      </w:r>
      <w:proofErr w:type="spellEnd"/>
      <w:r w:rsidR="000A5CFB" w:rsidRPr="000A5CFB">
        <w:rPr>
          <w:rFonts w:cs="Calibri"/>
          <w:lang w:val="en-GB"/>
        </w:rPr>
        <w:t xml:space="preserve"> of judges, by passing down a judgment that courts should reinstate wrongly dismissed judges. The Court also found that a non-politicized national judicial council for judges was essential </w:t>
      </w:r>
      <w:proofErr w:type="gramStart"/>
      <w:r w:rsidR="000A5CFB" w:rsidRPr="000A5CFB">
        <w:rPr>
          <w:rFonts w:cs="Calibri"/>
          <w:lang w:val="en-GB"/>
        </w:rPr>
        <w:t>and in this case</w:t>
      </w:r>
      <w:proofErr w:type="gramEnd"/>
      <w:r w:rsidR="000A5CFB" w:rsidRPr="000A5CFB">
        <w:rPr>
          <w:rFonts w:cs="Calibri"/>
          <w:lang w:val="en-GB"/>
        </w:rPr>
        <w:t xml:space="preserve"> the newly established national judicial council (</w:t>
      </w:r>
      <w:r w:rsidR="00BF0081">
        <w:rPr>
          <w:rFonts w:cs="Calibri"/>
          <w:lang w:val="en-GB"/>
        </w:rPr>
        <w:t>NJC</w:t>
      </w:r>
      <w:r w:rsidR="000A5CFB" w:rsidRPr="000A5CFB">
        <w:rPr>
          <w:rFonts w:cs="Calibri"/>
          <w:lang w:val="en-GB"/>
        </w:rPr>
        <w:t xml:space="preserve">) </w:t>
      </w:r>
      <w:r w:rsidR="0022597B">
        <w:rPr>
          <w:rFonts w:cs="Calibri"/>
          <w:lang w:val="en-GB"/>
        </w:rPr>
        <w:t>cannot be considered such an</w:t>
      </w:r>
      <w:r w:rsidR="000A5CFB" w:rsidRPr="000A5CFB">
        <w:rPr>
          <w:rFonts w:cs="Calibri"/>
          <w:lang w:val="en-GB"/>
        </w:rPr>
        <w:t xml:space="preserve"> independent body.</w:t>
      </w:r>
    </w:p>
    <w:p w14:paraId="70406237" w14:textId="598A24A4" w:rsidR="00EF25F8" w:rsidRPr="00EF25F8" w:rsidRDefault="00EF25F8" w:rsidP="002B3461">
      <w:pPr>
        <w:jc w:val="both"/>
        <w:rPr>
          <w:rFonts w:cs="Calibri"/>
        </w:rPr>
      </w:pPr>
      <w:r w:rsidRPr="00220013">
        <w:rPr>
          <w:rFonts w:cs="Times New Roman"/>
          <w:lang w:val="en-GB"/>
        </w:rPr>
        <w:t>Compared to this, Hungarian judges have seemed to be reluctant to use preliminary references</w:t>
      </w:r>
      <w:r w:rsidRPr="00EF25F8">
        <w:rPr>
          <w:rFonts w:cs="Times New Roman"/>
          <w:lang w:val="en-GB"/>
        </w:rPr>
        <w:t xml:space="preserve">, </w:t>
      </w:r>
      <w:r w:rsidRPr="00220013">
        <w:rPr>
          <w:rFonts w:cs="Times New Roman"/>
          <w:lang w:val="en-GB"/>
        </w:rPr>
        <w:t xml:space="preserve">The story of </w:t>
      </w:r>
      <w:r>
        <w:rPr>
          <w:rFonts w:cs="Times New Roman"/>
          <w:lang w:val="en-GB"/>
        </w:rPr>
        <w:t>one j</w:t>
      </w:r>
      <w:r w:rsidRPr="00220013">
        <w:rPr>
          <w:rFonts w:cs="Times New Roman"/>
          <w:lang w:val="en-GB"/>
        </w:rPr>
        <w:t xml:space="preserve">udge </w:t>
      </w:r>
      <w:r>
        <w:rPr>
          <w:rFonts w:cs="Times New Roman"/>
          <w:lang w:val="en-GB"/>
        </w:rPr>
        <w:t xml:space="preserve">has </w:t>
      </w:r>
      <w:r w:rsidRPr="00220013">
        <w:rPr>
          <w:rFonts w:cs="Times New Roman"/>
        </w:rPr>
        <w:t>show</w:t>
      </w:r>
      <w:r>
        <w:rPr>
          <w:rFonts w:cs="Times New Roman"/>
        </w:rPr>
        <w:t>n</w:t>
      </w:r>
      <w:r w:rsidRPr="00220013">
        <w:rPr>
          <w:rFonts w:cs="Times New Roman"/>
          <w:lang w:val="en-GB"/>
        </w:rPr>
        <w:t xml:space="preserve"> that judges could be exposed to retribution for turning to the CJEU on constitutional issues that challenge the fundamentals of the current political system.</w:t>
      </w:r>
      <w:r w:rsidRPr="00220013">
        <w:rPr>
          <w:rFonts w:cs="Times New Roman"/>
          <w:lang w:val="en-US"/>
        </w:rPr>
        <w:t xml:space="preserve"> Moreover, a junior judge was found unsuitable for judicial office and was dismissed after successfully challenging some elements of the Hungarian asylum legislation in her reference to the CJEU.</w:t>
      </w:r>
      <w:r w:rsidRPr="00220013">
        <w:rPr>
          <w:rStyle w:val="FootnoteReference"/>
          <w:rFonts w:cs="Times New Roman"/>
          <w:lang w:val="en-US"/>
        </w:rPr>
        <w:footnoteReference w:id="3"/>
      </w:r>
    </w:p>
    <w:p w14:paraId="348F48B0" w14:textId="00B8DAA1" w:rsidR="002B3461" w:rsidRPr="00B45F99" w:rsidRDefault="002B3461" w:rsidP="002B3461">
      <w:pPr>
        <w:jc w:val="both"/>
        <w:rPr>
          <w:rFonts w:cs="Calibri"/>
          <w:b/>
          <w:bCs/>
          <w:color w:val="FF0000"/>
        </w:rPr>
      </w:pPr>
      <w:r w:rsidRPr="00B45F99">
        <w:rPr>
          <w:rFonts w:cs="Calibri"/>
          <w:b/>
          <w:bCs/>
          <w:color w:val="FF0000"/>
        </w:rPr>
        <w:t>Is there a specific role played by the judiciary in democratic elections?</w:t>
      </w:r>
    </w:p>
    <w:p w14:paraId="7E3C5B9A" w14:textId="3A3FFF02" w:rsidR="00431B06" w:rsidRPr="00DD709D" w:rsidRDefault="00431B06" w:rsidP="002B3461">
      <w:pPr>
        <w:jc w:val="both"/>
        <w:rPr>
          <w:rFonts w:cs="Calibri"/>
        </w:rPr>
      </w:pPr>
      <w:r>
        <w:rPr>
          <w:rFonts w:cs="Calibri"/>
        </w:rPr>
        <w:t xml:space="preserve">Supreme Court of many of the European Union countries </w:t>
      </w:r>
      <w:r w:rsidR="00874A85">
        <w:rPr>
          <w:rFonts w:cs="Calibri"/>
        </w:rPr>
        <w:t xml:space="preserve">are those who </w:t>
      </w:r>
      <w:r w:rsidR="00E22B13">
        <w:rPr>
          <w:rFonts w:cs="Calibri"/>
        </w:rPr>
        <w:t>give</w:t>
      </w:r>
      <w:r w:rsidR="00874A85">
        <w:rPr>
          <w:rFonts w:cs="Calibri"/>
        </w:rPr>
        <w:t xml:space="preserve"> the final approval of the legitimacy and fairness of elections and </w:t>
      </w:r>
      <w:r w:rsidR="00B45F99">
        <w:rPr>
          <w:rFonts w:cs="Calibri"/>
        </w:rPr>
        <w:t>hear complaints.</w:t>
      </w:r>
      <w:r w:rsidR="00D9548E">
        <w:rPr>
          <w:rFonts w:cs="Calibri"/>
        </w:rPr>
        <w:t xml:space="preserve">  In </w:t>
      </w:r>
      <w:r w:rsidR="00E22B13">
        <w:rPr>
          <w:rFonts w:cs="Calibri"/>
        </w:rPr>
        <w:t xml:space="preserve">some </w:t>
      </w:r>
      <w:r w:rsidR="00D9548E">
        <w:rPr>
          <w:rFonts w:cs="Calibri"/>
        </w:rPr>
        <w:t xml:space="preserve">countries where the </w:t>
      </w:r>
      <w:r w:rsidR="00E22B13">
        <w:rPr>
          <w:rFonts w:cs="Calibri"/>
        </w:rPr>
        <w:t>above-described</w:t>
      </w:r>
      <w:r w:rsidR="00D9548E">
        <w:rPr>
          <w:rFonts w:cs="Calibri"/>
        </w:rPr>
        <w:t xml:space="preserve"> reforms took place saw a reshuffling of </w:t>
      </w:r>
      <w:r w:rsidR="00E22B13">
        <w:rPr>
          <w:rFonts w:cs="Calibri"/>
        </w:rPr>
        <w:t>chambers</w:t>
      </w:r>
      <w:r w:rsidR="00D9548E">
        <w:rPr>
          <w:rFonts w:cs="Calibri"/>
        </w:rPr>
        <w:t xml:space="preserve"> of the Supreme Court and judges chosen by the “new” judicial council </w:t>
      </w:r>
      <w:r w:rsidR="00E22B13">
        <w:rPr>
          <w:rFonts w:cs="Calibri"/>
        </w:rPr>
        <w:t>seated in the chamber responsible for elections and election disputes.</w:t>
      </w:r>
      <w:r w:rsidR="00EF25F8">
        <w:rPr>
          <w:rFonts w:cs="Calibri"/>
        </w:rPr>
        <w:t xml:space="preserve"> In the case of Hungary</w:t>
      </w:r>
      <w:r w:rsidR="0022597B">
        <w:rPr>
          <w:rFonts w:cs="Calibri"/>
        </w:rPr>
        <w:t>,</w:t>
      </w:r>
      <w:r w:rsidR="00EF25F8">
        <w:rPr>
          <w:rFonts w:cs="Calibri"/>
        </w:rPr>
        <w:t xml:space="preserve"> the highest decision-making judicial instances are the packed Constitutional Court and the Supreme Court with a </w:t>
      </w:r>
      <w:r w:rsidR="0022597B">
        <w:rPr>
          <w:rFonts w:cs="Calibri"/>
        </w:rPr>
        <w:t>government-loyal</w:t>
      </w:r>
      <w:r w:rsidR="00EF25F8">
        <w:rPr>
          <w:rFonts w:cs="Calibri"/>
        </w:rPr>
        <w:t xml:space="preserve"> President always </w:t>
      </w:r>
      <w:r w:rsidR="00392814">
        <w:rPr>
          <w:rFonts w:cs="Calibri"/>
        </w:rPr>
        <w:t>deciding</w:t>
      </w:r>
      <w:r w:rsidR="00EF25F8">
        <w:rPr>
          <w:rFonts w:cs="Calibri"/>
        </w:rPr>
        <w:t xml:space="preserve"> in favour of the incumbent government. </w:t>
      </w:r>
    </w:p>
    <w:p w14:paraId="77E44B98" w14:textId="77777777" w:rsidR="002B3461" w:rsidRPr="00B45F99" w:rsidRDefault="002B3461" w:rsidP="002B3461">
      <w:pPr>
        <w:jc w:val="both"/>
        <w:rPr>
          <w:rFonts w:cs="Calibri"/>
          <w:b/>
          <w:bCs/>
          <w:color w:val="FF0000"/>
        </w:rPr>
      </w:pPr>
      <w:r w:rsidRPr="00B45F99">
        <w:rPr>
          <w:rFonts w:cs="Calibri"/>
          <w:b/>
          <w:bCs/>
          <w:color w:val="FF0000"/>
        </w:rPr>
        <w:t>Are there any policies or institutional arrangements in place to limit the role of judges in safeguarding democracy?</w:t>
      </w:r>
    </w:p>
    <w:p w14:paraId="491702D2" w14:textId="77777777" w:rsidR="00F623DF" w:rsidRDefault="00B45F99" w:rsidP="00280844">
      <w:pPr>
        <w:jc w:val="both"/>
        <w:rPr>
          <w:rFonts w:cs="Calibri"/>
          <w:lang w:val="en-GB"/>
        </w:rPr>
      </w:pPr>
      <w:r>
        <w:rPr>
          <w:rFonts w:cs="Calibri"/>
        </w:rPr>
        <w:t xml:space="preserve">The policies in place mentioned above in some countries of the </w:t>
      </w:r>
      <w:proofErr w:type="spellStart"/>
      <w:r>
        <w:rPr>
          <w:rFonts w:cs="Calibri"/>
        </w:rPr>
        <w:t>the</w:t>
      </w:r>
      <w:proofErr w:type="spellEnd"/>
      <w:r>
        <w:rPr>
          <w:rFonts w:cs="Calibri"/>
        </w:rPr>
        <w:t xml:space="preserve"> European Union, which have </w:t>
      </w:r>
      <w:r w:rsidR="000A6153">
        <w:rPr>
          <w:rFonts w:cs="Calibri"/>
        </w:rPr>
        <w:t>been</w:t>
      </w:r>
      <w:r>
        <w:rPr>
          <w:rFonts w:cs="Calibri"/>
        </w:rPr>
        <w:t xml:space="preserve"> found to be illegal by either the CJEU or ECtHR, are the dismissal of judges by the shortening of retirement age</w:t>
      </w:r>
      <w:r w:rsidR="00057ECC">
        <w:rPr>
          <w:rFonts w:cs="Calibri"/>
        </w:rPr>
        <w:t>.  As well as in many cases the freedom of expression of judges.</w:t>
      </w:r>
      <w:r w:rsidR="00280844" w:rsidRPr="00280844">
        <w:rPr>
          <w:rFonts w:ascii="Times New Roman" w:eastAsia="Calibri" w:hAnsi="Times New Roman" w:cs="Times New Roman"/>
          <w:kern w:val="0"/>
          <w:sz w:val="24"/>
          <w:szCs w:val="24"/>
          <w:lang w:val="en-GB" w:eastAsia="zh-CN"/>
          <w14:ligatures w14:val="none"/>
        </w:rPr>
        <w:t xml:space="preserve"> </w:t>
      </w:r>
      <w:r w:rsidR="00280844" w:rsidRPr="00280844">
        <w:rPr>
          <w:rFonts w:cs="Calibri"/>
          <w:lang w:val="en-GB"/>
        </w:rPr>
        <w:t xml:space="preserve">For instance, in the </w:t>
      </w:r>
    </w:p>
    <w:p w14:paraId="24D3A6D7" w14:textId="77777777" w:rsidR="0024560A" w:rsidRDefault="0024560A" w:rsidP="00280844">
      <w:pPr>
        <w:jc w:val="both"/>
        <w:rPr>
          <w:rFonts w:cs="Calibri"/>
          <w:lang w:val="en-GB"/>
        </w:rPr>
      </w:pPr>
    </w:p>
    <w:p w14:paraId="56EC85F8" w14:textId="087FAB1A" w:rsidR="00280844" w:rsidRPr="00EF25F8" w:rsidRDefault="00280844" w:rsidP="00280844">
      <w:pPr>
        <w:jc w:val="both"/>
        <w:rPr>
          <w:rFonts w:cs="Calibri"/>
          <w:lang w:val="en-GB"/>
        </w:rPr>
      </w:pPr>
      <w:proofErr w:type="spellStart"/>
      <w:r w:rsidRPr="00280844">
        <w:rPr>
          <w:rFonts w:cs="Calibri"/>
          <w:lang w:val="en-GB"/>
        </w:rPr>
        <w:t>EctHR</w:t>
      </w:r>
      <w:proofErr w:type="spellEnd"/>
      <w:r w:rsidRPr="00280844">
        <w:rPr>
          <w:rFonts w:cs="Calibri"/>
          <w:lang w:val="en-GB"/>
        </w:rPr>
        <w:t xml:space="preserve"> case of </w:t>
      </w:r>
      <w:proofErr w:type="spellStart"/>
      <w:r w:rsidRPr="00280844">
        <w:rPr>
          <w:rFonts w:cs="Calibri"/>
          <w:i/>
          <w:iCs/>
          <w:lang w:val="en-GB"/>
        </w:rPr>
        <w:t>Żurek</w:t>
      </w:r>
      <w:proofErr w:type="spellEnd"/>
      <w:r w:rsidRPr="00280844">
        <w:rPr>
          <w:rFonts w:cs="Calibri"/>
          <w:i/>
          <w:iCs/>
          <w:lang w:val="en-GB"/>
        </w:rPr>
        <w:t xml:space="preserve"> v. Poland</w:t>
      </w:r>
      <w:r w:rsidRPr="00280844">
        <w:rPr>
          <w:rFonts w:cs="Calibri"/>
          <w:lang w:val="en-GB"/>
        </w:rPr>
        <w:t xml:space="preserve"> (application no. 39650/18) the European Court of Human Rights </w:t>
      </w:r>
      <w:proofErr w:type="gramStart"/>
      <w:r w:rsidRPr="00280844">
        <w:rPr>
          <w:rFonts w:cs="Calibri"/>
          <w:lang w:val="en-GB"/>
        </w:rPr>
        <w:t>held:</w:t>
      </w:r>
      <w:proofErr w:type="gramEnd"/>
      <w:r w:rsidRPr="00280844">
        <w:rPr>
          <w:rFonts w:cs="Calibri"/>
          <w:lang w:val="en-GB"/>
        </w:rPr>
        <w:t xml:space="preserve"> by, six votes to one, that there had been a violation of Article 6 § 1 (right of access to court) of the European Convention on Human Rights, and unanimously, that there had been a violation of Article10 (freedom of expression). Mr </w:t>
      </w:r>
      <w:proofErr w:type="spellStart"/>
      <w:r w:rsidRPr="00280844">
        <w:rPr>
          <w:rFonts w:cs="Calibri"/>
          <w:lang w:val="en-GB"/>
        </w:rPr>
        <w:t>Żurek</w:t>
      </w:r>
      <w:proofErr w:type="spellEnd"/>
      <w:r w:rsidRPr="00280844">
        <w:rPr>
          <w:rFonts w:cs="Calibri"/>
          <w:lang w:val="en-GB"/>
        </w:rPr>
        <w:t xml:space="preserve"> is a judge. He was also spokesperson for the National Council of the Judiciary (NCJ), the constitutional body in Poland which safeguards the independence of courts and judges. In that capacity, he has been one of the main critics of the changes to the judiciary initiated by the legislative and executive branches of the new Government which came to power in 2015. The case concerned his removal from the NCJ before his term had ended, and his complaint that there had been no legal avenue to contest the loss of his seat. It also concerned his allegation of a campaign to silence him.</w:t>
      </w:r>
      <w:r w:rsidR="00EF25F8">
        <w:rPr>
          <w:rFonts w:cs="Calibri"/>
          <w:lang w:val="en-GB"/>
        </w:rPr>
        <w:t xml:space="preserve"> </w:t>
      </w:r>
      <w:r w:rsidR="00EF25F8" w:rsidRPr="00EF25F8">
        <w:rPr>
          <w:rFonts w:cs="Calibri"/>
          <w:lang w:val="en-GB"/>
        </w:rPr>
        <w:t xml:space="preserve">In Hungary, after 2010, when the current government came to power </w:t>
      </w:r>
      <w:r w:rsidR="00EF25F8" w:rsidRPr="00220013">
        <w:rPr>
          <w:rFonts w:cs="Times New Roman"/>
          <w:shd w:val="clear" w:color="auto" w:fill="FFFFFF"/>
          <w:lang w:val="en-GB"/>
        </w:rPr>
        <w:t>the previous model of judicial self-governance was replaced by a centralized form of court administration in which substantial powers were conferred on the President of the National Judicial Office (NJO), elected by the Parliament for nine years. The National Judicial Council (NJC) had only weak competencies to supervise the activity of the President of the NJO.</w:t>
      </w:r>
      <w:r w:rsidR="00EF25F8" w:rsidRPr="00220013">
        <w:rPr>
          <w:rFonts w:cs="Times New Roman"/>
          <w:shd w:val="clear" w:color="auto" w:fill="FFFFFF"/>
          <w:vertAlign w:val="superscript"/>
          <w:lang w:val="en-GB"/>
        </w:rPr>
        <w:footnoteReference w:id="4"/>
      </w:r>
    </w:p>
    <w:p w14:paraId="14471F6F" w14:textId="77777777" w:rsidR="00EF25F8" w:rsidRPr="00EF25F8" w:rsidRDefault="00EF25F8" w:rsidP="00280844">
      <w:pPr>
        <w:jc w:val="both"/>
        <w:rPr>
          <w:rFonts w:cs="Calibri"/>
          <w:lang w:val="en-GB"/>
        </w:rPr>
      </w:pPr>
    </w:p>
    <w:p w14:paraId="0C350740" w14:textId="77777777" w:rsidR="002B3461" w:rsidRDefault="002B3461" w:rsidP="002B3461">
      <w:pPr>
        <w:jc w:val="both"/>
        <w:rPr>
          <w:rFonts w:cs="Calibri"/>
          <w:b/>
          <w:bCs/>
          <w:color w:val="FF0000"/>
        </w:rPr>
      </w:pPr>
      <w:r w:rsidRPr="003F0004">
        <w:rPr>
          <w:rFonts w:cs="Calibri"/>
          <w:b/>
          <w:bCs/>
          <w:color w:val="FF0000"/>
        </w:rPr>
        <w:t>Are there any additional issues you wish to raise with the Special Rapporteur in this context?</w:t>
      </w:r>
    </w:p>
    <w:p w14:paraId="6D52D4E8" w14:textId="480E1706" w:rsidR="00E22B13" w:rsidRDefault="00B151F6" w:rsidP="002B3461">
      <w:pPr>
        <w:jc w:val="both"/>
        <w:rPr>
          <w:rFonts w:cs="Calibri"/>
        </w:rPr>
      </w:pPr>
      <w:r w:rsidRPr="00DD12DC">
        <w:rPr>
          <w:rFonts w:cs="Calibri"/>
        </w:rPr>
        <w:t>It would be crucial to</w:t>
      </w:r>
      <w:r w:rsidR="00DD12DC">
        <w:rPr>
          <w:rFonts w:cs="Calibri"/>
        </w:rPr>
        <w:t xml:space="preserve"> take note also of the role and si</w:t>
      </w:r>
      <w:r w:rsidR="001F1A50">
        <w:rPr>
          <w:rFonts w:cs="Calibri"/>
        </w:rPr>
        <w:t xml:space="preserve">gnificance (one mentioned in passing above) of both the national judicial councils who elect </w:t>
      </w:r>
      <w:r w:rsidR="00EE1D23">
        <w:rPr>
          <w:rFonts w:cs="Calibri"/>
        </w:rPr>
        <w:t>judges</w:t>
      </w:r>
      <w:r w:rsidR="001F1A50">
        <w:rPr>
          <w:rFonts w:cs="Calibri"/>
        </w:rPr>
        <w:t xml:space="preserve"> and the role of the </w:t>
      </w:r>
      <w:r w:rsidR="00F25258">
        <w:rPr>
          <w:rFonts w:cs="Calibri"/>
        </w:rPr>
        <w:t xml:space="preserve">constitutional court that have both been captured by the political class.  </w:t>
      </w:r>
      <w:proofErr w:type="gramStart"/>
      <w:r w:rsidR="007260F2">
        <w:rPr>
          <w:rFonts w:cs="Calibri"/>
        </w:rPr>
        <w:t>Regar</w:t>
      </w:r>
      <w:r w:rsidR="00EF25F8">
        <w:rPr>
          <w:rFonts w:cs="Calibri"/>
        </w:rPr>
        <w:t>di</w:t>
      </w:r>
      <w:r w:rsidR="007260F2">
        <w:rPr>
          <w:rFonts w:cs="Calibri"/>
        </w:rPr>
        <w:t>n</w:t>
      </w:r>
      <w:r w:rsidR="00EF25F8">
        <w:rPr>
          <w:rFonts w:cs="Calibri"/>
        </w:rPr>
        <w:t>g</w:t>
      </w:r>
      <w:r w:rsidR="007260F2">
        <w:rPr>
          <w:rFonts w:cs="Calibri"/>
        </w:rPr>
        <w:t xml:space="preserve"> </w:t>
      </w:r>
      <w:r w:rsidR="00F25258">
        <w:rPr>
          <w:rFonts w:cs="Calibri"/>
        </w:rPr>
        <w:t xml:space="preserve"> the</w:t>
      </w:r>
      <w:proofErr w:type="gramEnd"/>
      <w:r w:rsidR="00F25258">
        <w:rPr>
          <w:rFonts w:cs="Calibri"/>
        </w:rPr>
        <w:t xml:space="preserve"> first, while many models of national judicia</w:t>
      </w:r>
      <w:r w:rsidR="00A45455">
        <w:rPr>
          <w:rFonts w:cs="Calibri"/>
        </w:rPr>
        <w:t>l</w:t>
      </w:r>
      <w:r w:rsidR="00C811A9">
        <w:rPr>
          <w:rFonts w:cs="Calibri"/>
        </w:rPr>
        <w:t xml:space="preserve"> </w:t>
      </w:r>
      <w:r w:rsidR="00A45455">
        <w:rPr>
          <w:rFonts w:cs="Calibri"/>
        </w:rPr>
        <w:t xml:space="preserve">councils exist it is not by chance that </w:t>
      </w:r>
      <w:r w:rsidR="00DD4B4A">
        <w:rPr>
          <w:rFonts w:cs="Calibri"/>
        </w:rPr>
        <w:t xml:space="preserve">the </w:t>
      </w:r>
      <w:r w:rsidR="00A45455">
        <w:rPr>
          <w:rFonts w:cs="Calibri"/>
        </w:rPr>
        <w:t>election of judges is done by the parliament (</w:t>
      </w:r>
      <w:proofErr w:type="spellStart"/>
      <w:r w:rsidR="00A45455">
        <w:rPr>
          <w:rFonts w:cs="Calibri"/>
        </w:rPr>
        <w:t>eg</w:t>
      </w:r>
      <w:proofErr w:type="spellEnd"/>
      <w:r w:rsidR="00A45455">
        <w:rPr>
          <w:rFonts w:cs="Calibri"/>
        </w:rPr>
        <w:t xml:space="preserve"> Poland)</w:t>
      </w:r>
      <w:r w:rsidR="007260F2">
        <w:rPr>
          <w:rFonts w:cs="Calibri"/>
        </w:rPr>
        <w:t xml:space="preserve"> in some countries and where democracies are underdeveloped this creates a</w:t>
      </w:r>
      <w:r w:rsidR="00DD4B4A">
        <w:rPr>
          <w:rFonts w:cs="Calibri"/>
        </w:rPr>
        <w:t>n opportunity for influence on the judiciary which is highly politicized</w:t>
      </w:r>
      <w:r w:rsidR="000D3D24">
        <w:rPr>
          <w:rFonts w:cs="Calibri"/>
        </w:rPr>
        <w:t xml:space="preserve"> and permits </w:t>
      </w:r>
      <w:r w:rsidR="00A26310">
        <w:rPr>
          <w:rFonts w:cs="Calibri"/>
        </w:rPr>
        <w:t>near-hand</w:t>
      </w:r>
      <w:r w:rsidR="000D3D24">
        <w:rPr>
          <w:rFonts w:cs="Calibri"/>
        </w:rPr>
        <w:t xml:space="preserve"> picking of judges by politicians rather than their peers.</w:t>
      </w:r>
    </w:p>
    <w:p w14:paraId="15458586" w14:textId="5F960A88" w:rsidR="00EF25F8" w:rsidRDefault="000D3D24" w:rsidP="00EF25F8">
      <w:pPr>
        <w:jc w:val="both"/>
        <w:rPr>
          <w:rFonts w:cs="Calibri"/>
        </w:rPr>
      </w:pPr>
      <w:r>
        <w:rPr>
          <w:rFonts w:cs="Calibri"/>
        </w:rPr>
        <w:t xml:space="preserve">Regarding constitutional courts, </w:t>
      </w:r>
      <w:r w:rsidR="00323437">
        <w:rPr>
          <w:rFonts w:cs="Calibri"/>
        </w:rPr>
        <w:t xml:space="preserve">while inevitably subject to political influence it is important that </w:t>
      </w:r>
      <w:r w:rsidR="00A04AAE">
        <w:rPr>
          <w:rFonts w:cs="Calibri"/>
        </w:rPr>
        <w:t>their</w:t>
      </w:r>
      <w:r w:rsidR="00323437">
        <w:rPr>
          <w:rFonts w:cs="Calibri"/>
        </w:rPr>
        <w:t xml:space="preserve"> tenure does not overlap with that of parliament o</w:t>
      </w:r>
      <w:r w:rsidR="00A04AAE">
        <w:rPr>
          <w:rFonts w:cs="Calibri"/>
        </w:rPr>
        <w:t>r</w:t>
      </w:r>
      <w:r w:rsidR="00323437">
        <w:rPr>
          <w:rFonts w:cs="Calibri"/>
        </w:rPr>
        <w:t xml:space="preserve"> the President and that they do not overstep their function by being the </w:t>
      </w:r>
      <w:r w:rsidR="00A04AAE">
        <w:rPr>
          <w:rFonts w:cs="Calibri"/>
        </w:rPr>
        <w:t>mouthpieces</w:t>
      </w:r>
      <w:r w:rsidR="00323437">
        <w:rPr>
          <w:rFonts w:cs="Calibri"/>
        </w:rPr>
        <w:t xml:space="preserve"> of political </w:t>
      </w:r>
      <w:r w:rsidR="00A04AAE">
        <w:rPr>
          <w:rFonts w:cs="Calibri"/>
        </w:rPr>
        <w:t>wishes. The Constitutional Court’s decisions must not be</w:t>
      </w:r>
      <w:r w:rsidR="008A6EFC">
        <w:rPr>
          <w:rFonts w:cs="Calibri"/>
        </w:rPr>
        <w:t xml:space="preserve"> “on call” of the executive as they are the true guardians of the Constitution.</w:t>
      </w:r>
      <w:r w:rsidR="00323437">
        <w:rPr>
          <w:rFonts w:cs="Calibri"/>
        </w:rPr>
        <w:t xml:space="preserve"> </w:t>
      </w:r>
      <w:r w:rsidR="00EF25F8">
        <w:rPr>
          <w:rFonts w:cs="Calibri"/>
        </w:rPr>
        <w:t xml:space="preserve">Both in Hungary after 2010 and in Poland after 2015 the first step of the </w:t>
      </w:r>
      <w:proofErr w:type="spellStart"/>
      <w:r w:rsidR="00EF25F8">
        <w:rPr>
          <w:rFonts w:cs="Calibri"/>
        </w:rPr>
        <w:t>autocratization</w:t>
      </w:r>
      <w:proofErr w:type="spellEnd"/>
      <w:r w:rsidR="00EF25F8">
        <w:rPr>
          <w:rFonts w:cs="Calibri"/>
        </w:rPr>
        <w:t xml:space="preserve"> has been to replace the independent judges of the constitutional courts with government-loyal members.</w:t>
      </w:r>
    </w:p>
    <w:p w14:paraId="5F04C0BF" w14:textId="27201AE1" w:rsidR="000D3D24" w:rsidRPr="00DD12DC" w:rsidRDefault="000D3D24" w:rsidP="002B3461">
      <w:pPr>
        <w:jc w:val="both"/>
        <w:rPr>
          <w:rFonts w:cs="Calibri"/>
        </w:rPr>
      </w:pPr>
    </w:p>
    <w:p w14:paraId="6963CDA2" w14:textId="77777777" w:rsidR="002B3461" w:rsidRDefault="002B3461" w:rsidP="002B3461">
      <w:pPr>
        <w:jc w:val="both"/>
        <w:rPr>
          <w:rFonts w:cs="Calibri"/>
          <w:b/>
          <w:bCs/>
          <w:color w:val="FF0000"/>
        </w:rPr>
      </w:pPr>
      <w:r w:rsidRPr="003F0004">
        <w:rPr>
          <w:rFonts w:cs="Calibri"/>
          <w:b/>
          <w:bCs/>
          <w:color w:val="FF0000"/>
        </w:rPr>
        <w:t>What are the approaches taken to protect judges in this role?</w:t>
      </w:r>
    </w:p>
    <w:p w14:paraId="4D0F9EF7" w14:textId="1A1EFCF1" w:rsidR="00DD4B4A" w:rsidRDefault="00DD4B4A" w:rsidP="002B3461">
      <w:pPr>
        <w:jc w:val="both"/>
        <w:rPr>
          <w:rFonts w:cs="Calibri"/>
        </w:rPr>
      </w:pPr>
      <w:r w:rsidRPr="00DD4B4A">
        <w:rPr>
          <w:rFonts w:cs="Calibri"/>
        </w:rPr>
        <w:t>On</w:t>
      </w:r>
      <w:r w:rsidR="00A26310">
        <w:rPr>
          <w:rFonts w:cs="Calibri"/>
        </w:rPr>
        <w:t xml:space="preserve"> occasion above, it has been mentioned that </w:t>
      </w:r>
      <w:r w:rsidR="001D43FD">
        <w:rPr>
          <w:rFonts w:cs="Calibri"/>
        </w:rPr>
        <w:t xml:space="preserve">the national judicial council </w:t>
      </w:r>
      <w:r w:rsidR="00CF5146">
        <w:rPr>
          <w:rFonts w:cs="Calibri"/>
        </w:rPr>
        <w:t>is</w:t>
      </w:r>
      <w:r w:rsidR="001D43FD">
        <w:rPr>
          <w:rFonts w:cs="Calibri"/>
        </w:rPr>
        <w:t xml:space="preserve"> kept separate from or in as far as possible with minimal input of the </w:t>
      </w:r>
      <w:r w:rsidR="00101ACA">
        <w:rPr>
          <w:rFonts w:cs="Calibri"/>
        </w:rPr>
        <w:t>executive or legislature</w:t>
      </w:r>
      <w:r w:rsidR="00EF25F8">
        <w:rPr>
          <w:rFonts w:cs="Calibri"/>
        </w:rPr>
        <w:t>, again with the exceptions in Hungary and Poland (until the new government elected in October 2023 will be able to change the situation), and partly in Romania.</w:t>
      </w:r>
    </w:p>
    <w:p w14:paraId="1DC33BD6" w14:textId="77777777" w:rsidR="00F623DF" w:rsidRDefault="00F623DF" w:rsidP="002B3461">
      <w:pPr>
        <w:jc w:val="both"/>
        <w:rPr>
          <w:rFonts w:cs="Calibri"/>
        </w:rPr>
      </w:pPr>
    </w:p>
    <w:p w14:paraId="4CC44C60" w14:textId="5406A3B5" w:rsidR="00220013" w:rsidRDefault="00101ACA" w:rsidP="002B3461">
      <w:pPr>
        <w:jc w:val="both"/>
        <w:rPr>
          <w:rFonts w:cs="Calibri"/>
        </w:rPr>
      </w:pPr>
      <w:r>
        <w:rPr>
          <w:rFonts w:cs="Calibri"/>
        </w:rPr>
        <w:t>Constitutional court</w:t>
      </w:r>
      <w:r w:rsidR="00EF25F8">
        <w:rPr>
          <w:rFonts w:cs="Calibri"/>
        </w:rPr>
        <w:t xml:space="preserve"> judges cannot be dismissed, although those in Hungary and Poland elected exclusively with the votes of the governing parties are not threatened. The Court Presidents </w:t>
      </w:r>
      <w:proofErr w:type="gramStart"/>
      <w:r w:rsidR="00EF25F8">
        <w:rPr>
          <w:rFonts w:cs="Calibri"/>
        </w:rPr>
        <w:t>are</w:t>
      </w:r>
      <w:proofErr w:type="gramEnd"/>
      <w:r w:rsidR="00EF25F8">
        <w:rPr>
          <w:rFonts w:cs="Calibri"/>
        </w:rPr>
        <w:t xml:space="preserve"> </w:t>
      </w:r>
    </w:p>
    <w:p w14:paraId="2465213E" w14:textId="428393A7" w:rsidR="00101ACA" w:rsidRPr="00DD4B4A" w:rsidRDefault="00EF25F8" w:rsidP="002B3461">
      <w:pPr>
        <w:jc w:val="both"/>
        <w:rPr>
          <w:rFonts w:cs="Calibri"/>
          <w:color w:val="FF0000"/>
        </w:rPr>
      </w:pPr>
      <w:r>
        <w:rPr>
          <w:rFonts w:cs="Calibri"/>
        </w:rPr>
        <w:t xml:space="preserve">usually elected by their peers, again </w:t>
      </w:r>
      <w:proofErr w:type="gramStart"/>
      <w:r>
        <w:rPr>
          <w:rFonts w:cs="Calibri"/>
        </w:rPr>
        <w:t>with the exception of</w:t>
      </w:r>
      <w:proofErr w:type="gramEnd"/>
      <w:r>
        <w:rPr>
          <w:rFonts w:cs="Calibri"/>
        </w:rPr>
        <w:t xml:space="preserve"> Hungary, where the governing party in the Parliament elects the </w:t>
      </w:r>
      <w:proofErr w:type="spellStart"/>
      <w:r>
        <w:rPr>
          <w:rFonts w:cs="Calibri"/>
        </w:rPr>
        <w:t>the</w:t>
      </w:r>
      <w:proofErr w:type="spellEnd"/>
      <w:r>
        <w:rPr>
          <w:rFonts w:cs="Calibri"/>
        </w:rPr>
        <w:t xml:space="preserve"> chief judge.</w:t>
      </w:r>
    </w:p>
    <w:p w14:paraId="6CE87434" w14:textId="0B474C5D" w:rsidR="007D7BED" w:rsidRDefault="002B3461" w:rsidP="002B3461">
      <w:pPr>
        <w:jc w:val="both"/>
        <w:rPr>
          <w:rFonts w:cs="Calibri"/>
          <w:b/>
          <w:bCs/>
          <w:color w:val="FF0000"/>
        </w:rPr>
      </w:pPr>
      <w:r w:rsidRPr="003F0004">
        <w:rPr>
          <w:rFonts w:cs="Calibri"/>
          <w:b/>
          <w:bCs/>
          <w:color w:val="FF0000"/>
        </w:rPr>
        <w:t>Are there any additional issues you wish to raise with the Special Rapporteur in this context?</w:t>
      </w:r>
    </w:p>
    <w:p w14:paraId="4DE91F58" w14:textId="695A267E" w:rsidR="00EF25F8" w:rsidRPr="00220013" w:rsidRDefault="00EF25F8" w:rsidP="002B3461">
      <w:pPr>
        <w:jc w:val="both"/>
        <w:rPr>
          <w:rFonts w:cs="Calibri"/>
        </w:rPr>
      </w:pPr>
      <w:r w:rsidRPr="00220013">
        <w:rPr>
          <w:rFonts w:cs="Calibri"/>
        </w:rPr>
        <w:t xml:space="preserve">Judicial independence is more or less guaranteed in most of the EU Member States, with certain concerns in some countries, such </w:t>
      </w:r>
      <w:proofErr w:type="gramStart"/>
      <w:r w:rsidRPr="00220013">
        <w:rPr>
          <w:rFonts w:cs="Calibri"/>
        </w:rPr>
        <w:t>as  Romania</w:t>
      </w:r>
      <w:proofErr w:type="gramEnd"/>
      <w:r w:rsidRPr="00220013">
        <w:rPr>
          <w:rFonts w:cs="Calibri"/>
        </w:rPr>
        <w:t>, Portugal, Spain, but in Hungary and Poland currently</w:t>
      </w:r>
      <w:r w:rsidR="00220013">
        <w:rPr>
          <w:rFonts w:cs="Calibri"/>
        </w:rPr>
        <w:t>,</w:t>
      </w:r>
      <w:r w:rsidRPr="00220013">
        <w:rPr>
          <w:rFonts w:cs="Calibri"/>
        </w:rPr>
        <w:t xml:space="preserve"> the basic guarantees of such independence are lacking. Hopefully, the newly elected Polish government </w:t>
      </w:r>
      <w:proofErr w:type="gramStart"/>
      <w:r w:rsidRPr="00220013">
        <w:rPr>
          <w:rFonts w:cs="Calibri"/>
        </w:rPr>
        <w:t>will</w:t>
      </w:r>
      <w:proofErr w:type="gramEnd"/>
      <w:r w:rsidRPr="00220013">
        <w:rPr>
          <w:rFonts w:cs="Calibri"/>
        </w:rPr>
        <w:t xml:space="preserve"> able to change this situation in the near future. </w:t>
      </w:r>
    </w:p>
    <w:p w14:paraId="54E1B2CF" w14:textId="77777777" w:rsidR="00EF1237" w:rsidRPr="002D7DF6" w:rsidRDefault="00EF1237" w:rsidP="002B3461">
      <w:pPr>
        <w:jc w:val="both"/>
      </w:pPr>
    </w:p>
    <w:p w14:paraId="1229E5A0" w14:textId="77777777" w:rsidR="00EF1237" w:rsidRPr="002D7DF6" w:rsidRDefault="00EF1237" w:rsidP="002B3461">
      <w:pPr>
        <w:jc w:val="both"/>
      </w:pPr>
    </w:p>
    <w:p w14:paraId="75DE02D2" w14:textId="53152684" w:rsidR="00EF1237" w:rsidRPr="002D7DF6" w:rsidRDefault="0024560A" w:rsidP="002B3461">
      <w:pPr>
        <w:jc w:val="both"/>
      </w:pPr>
      <w:r>
        <w:t>[end]</w:t>
      </w:r>
    </w:p>
    <w:p w14:paraId="0314F237" w14:textId="77777777" w:rsidR="00EF1237" w:rsidRPr="002D7DF6" w:rsidRDefault="00EF1237" w:rsidP="002B3461">
      <w:pPr>
        <w:jc w:val="both"/>
      </w:pPr>
    </w:p>
    <w:p w14:paraId="7FA9F182" w14:textId="77777777" w:rsidR="00EF1237" w:rsidRPr="002D7DF6" w:rsidRDefault="00EF1237" w:rsidP="002B3461">
      <w:pPr>
        <w:jc w:val="both"/>
      </w:pPr>
    </w:p>
    <w:p w14:paraId="4A1FBA5D" w14:textId="77777777" w:rsidR="00EF1237" w:rsidRPr="002D7DF6" w:rsidRDefault="00EF1237" w:rsidP="002B3461">
      <w:pPr>
        <w:jc w:val="both"/>
      </w:pPr>
    </w:p>
    <w:p w14:paraId="53277857" w14:textId="77777777" w:rsidR="00EF1237" w:rsidRPr="002D7DF6" w:rsidRDefault="00EF1237" w:rsidP="002B3461">
      <w:pPr>
        <w:jc w:val="both"/>
      </w:pPr>
    </w:p>
    <w:p w14:paraId="407EF994" w14:textId="77777777" w:rsidR="00EF1237" w:rsidRPr="002D7DF6" w:rsidRDefault="00EF1237" w:rsidP="002B3461">
      <w:pPr>
        <w:jc w:val="both"/>
      </w:pPr>
    </w:p>
    <w:p w14:paraId="51CA3F5A" w14:textId="77777777" w:rsidR="00EF1237" w:rsidRPr="002D7DF6" w:rsidRDefault="00EF1237" w:rsidP="002B3461">
      <w:pPr>
        <w:jc w:val="both"/>
      </w:pPr>
    </w:p>
    <w:p w14:paraId="6668E711" w14:textId="77777777" w:rsidR="00EF1237" w:rsidRPr="002D7DF6" w:rsidRDefault="00EF1237" w:rsidP="002B3461">
      <w:pPr>
        <w:jc w:val="both"/>
      </w:pPr>
    </w:p>
    <w:p w14:paraId="71AB3ED5" w14:textId="77777777" w:rsidR="00EF1237" w:rsidRPr="002D7DF6" w:rsidRDefault="00EF1237" w:rsidP="002B3461">
      <w:pPr>
        <w:jc w:val="both"/>
      </w:pPr>
    </w:p>
    <w:p w14:paraId="101DBA82" w14:textId="77777777" w:rsidR="00EF1237" w:rsidRPr="002D7DF6" w:rsidRDefault="00EF1237" w:rsidP="002B3461">
      <w:pPr>
        <w:jc w:val="both"/>
      </w:pPr>
    </w:p>
    <w:p w14:paraId="1C24AD43" w14:textId="77777777" w:rsidR="00EF1237" w:rsidRPr="002D7DF6" w:rsidRDefault="00EF1237" w:rsidP="002B3461">
      <w:pPr>
        <w:jc w:val="both"/>
      </w:pPr>
    </w:p>
    <w:sectPr w:rsidR="00EF1237" w:rsidRPr="002D7DF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B45B" w14:textId="77777777" w:rsidR="00A813D5" w:rsidRDefault="00A813D5" w:rsidP="00594A86">
      <w:pPr>
        <w:spacing w:after="0" w:line="240" w:lineRule="auto"/>
      </w:pPr>
      <w:r>
        <w:separator/>
      </w:r>
    </w:p>
  </w:endnote>
  <w:endnote w:type="continuationSeparator" w:id="0">
    <w:p w14:paraId="614167FD" w14:textId="77777777" w:rsidR="00A813D5" w:rsidRDefault="00A813D5" w:rsidP="00594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88690"/>
      <w:docPartObj>
        <w:docPartGallery w:val="Page Numbers (Bottom of Page)"/>
        <w:docPartUnique/>
      </w:docPartObj>
    </w:sdtPr>
    <w:sdtEndPr>
      <w:rPr>
        <w:noProof/>
      </w:rPr>
    </w:sdtEndPr>
    <w:sdtContent>
      <w:p w14:paraId="1325C067" w14:textId="4A444C70" w:rsidR="00A07E87" w:rsidRDefault="00A07E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B6BE8" w14:textId="77777777" w:rsidR="00A07E87" w:rsidRDefault="00A07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07A3E" w14:textId="77777777" w:rsidR="00A813D5" w:rsidRDefault="00A813D5" w:rsidP="00594A86">
      <w:pPr>
        <w:spacing w:after="0" w:line="240" w:lineRule="auto"/>
      </w:pPr>
      <w:r>
        <w:separator/>
      </w:r>
    </w:p>
  </w:footnote>
  <w:footnote w:type="continuationSeparator" w:id="0">
    <w:p w14:paraId="1700B76D" w14:textId="77777777" w:rsidR="00A813D5" w:rsidRDefault="00A813D5" w:rsidP="00594A86">
      <w:pPr>
        <w:spacing w:after="0" w:line="240" w:lineRule="auto"/>
      </w:pPr>
      <w:r>
        <w:continuationSeparator/>
      </w:r>
    </w:p>
  </w:footnote>
  <w:footnote w:id="1">
    <w:p w14:paraId="7959B325" w14:textId="77777777" w:rsidR="00927BD7" w:rsidRPr="00D225D1" w:rsidRDefault="00927BD7" w:rsidP="00927BD7">
      <w:pPr>
        <w:pStyle w:val="FootnoteText"/>
        <w:rPr>
          <w:lang w:val="en-AU"/>
        </w:rPr>
      </w:pPr>
      <w:r>
        <w:rPr>
          <w:rStyle w:val="FootnoteReference"/>
        </w:rPr>
        <w:footnoteRef/>
      </w:r>
      <w:r>
        <w:t xml:space="preserve"> </w:t>
      </w:r>
      <w:r w:rsidRPr="00C371DA">
        <w:t xml:space="preserve">C-64/16 </w:t>
      </w:r>
      <w:proofErr w:type="spellStart"/>
      <w:r w:rsidRPr="00D225D1">
        <w:rPr>
          <w:i/>
          <w:iCs/>
        </w:rPr>
        <w:t>Associação</w:t>
      </w:r>
      <w:proofErr w:type="spellEnd"/>
      <w:r w:rsidRPr="00D225D1">
        <w:rPr>
          <w:i/>
          <w:iCs/>
        </w:rPr>
        <w:t xml:space="preserve"> </w:t>
      </w:r>
      <w:proofErr w:type="spellStart"/>
      <w:r w:rsidRPr="00D225D1">
        <w:rPr>
          <w:i/>
          <w:iCs/>
        </w:rPr>
        <w:t>Sindical</w:t>
      </w:r>
      <w:proofErr w:type="spellEnd"/>
      <w:r w:rsidRPr="00D225D1">
        <w:rPr>
          <w:i/>
          <w:iCs/>
        </w:rPr>
        <w:t xml:space="preserve"> dos </w:t>
      </w:r>
      <w:proofErr w:type="spellStart"/>
      <w:r w:rsidRPr="00D225D1">
        <w:rPr>
          <w:i/>
          <w:iCs/>
        </w:rPr>
        <w:t>Juízes</w:t>
      </w:r>
      <w:proofErr w:type="spellEnd"/>
      <w:r w:rsidRPr="00D225D1">
        <w:rPr>
          <w:i/>
          <w:iCs/>
        </w:rPr>
        <w:t xml:space="preserve"> </w:t>
      </w:r>
      <w:proofErr w:type="spellStart"/>
      <w:r w:rsidRPr="00D225D1">
        <w:rPr>
          <w:i/>
          <w:iCs/>
        </w:rPr>
        <w:t>Portugueses</w:t>
      </w:r>
      <w:proofErr w:type="spellEnd"/>
      <w:r>
        <w:t xml:space="preserve"> </w:t>
      </w:r>
      <w:r w:rsidRPr="00D225D1">
        <w:t>ECLI:EU:</w:t>
      </w:r>
      <w:proofErr w:type="gramStart"/>
      <w:r w:rsidRPr="00D225D1">
        <w:t>C:2018:117</w:t>
      </w:r>
      <w:proofErr w:type="gramEnd"/>
      <w:r>
        <w:t>.</w:t>
      </w:r>
    </w:p>
  </w:footnote>
  <w:footnote w:id="2">
    <w:p w14:paraId="7A8E09E1" w14:textId="77777777" w:rsidR="000A5CFB" w:rsidRPr="002B2320" w:rsidRDefault="000A5CFB" w:rsidP="000A5CFB">
      <w:pPr>
        <w:pStyle w:val="FootnoteText"/>
        <w:rPr>
          <w:sz w:val="18"/>
          <w:szCs w:val="18"/>
        </w:rPr>
      </w:pPr>
      <w:r>
        <w:rPr>
          <w:rStyle w:val="FootnoteReference"/>
        </w:rPr>
        <w:footnoteRef/>
      </w:r>
      <w:r>
        <w:t xml:space="preserve"> Joined Cases C-585/18, C-624/18 AND C-625/18 A. K. </w:t>
      </w:r>
      <w:r>
        <w:rPr>
          <w:sz w:val="18"/>
          <w:szCs w:val="18"/>
        </w:rPr>
        <w:t xml:space="preserve">and others </w:t>
      </w:r>
      <w:r w:rsidRPr="00CC1E9F">
        <w:rPr>
          <w:sz w:val="18"/>
          <w:szCs w:val="18"/>
        </w:rPr>
        <w:t>ECLI:EU:C:2019:982</w:t>
      </w:r>
      <w:r>
        <w:rPr>
          <w:sz w:val="18"/>
          <w:szCs w:val="18"/>
        </w:rPr>
        <w:t>.</w:t>
      </w:r>
    </w:p>
  </w:footnote>
  <w:footnote w:id="3">
    <w:p w14:paraId="3DBA5467" w14:textId="77777777" w:rsidR="00EF25F8" w:rsidRPr="00F12F97" w:rsidRDefault="00EF25F8" w:rsidP="00EF25F8">
      <w:pPr>
        <w:pStyle w:val="FootnoteText"/>
      </w:pPr>
      <w:r>
        <w:rPr>
          <w:rStyle w:val="FootnoteReference"/>
        </w:rPr>
        <w:footnoteRef/>
      </w:r>
      <w:r>
        <w:t xml:space="preserve"> </w:t>
      </w:r>
      <w:r w:rsidRPr="00400C72">
        <w:t xml:space="preserve">Hungarian Helsinki Committee, ‘Another scandal at the judiciary: no effective remedy for judges dismissed from the bench’ (Helsinki.hu, 12 September 2022) </w:t>
      </w:r>
      <w:hyperlink r:id="rId1" w:history="1">
        <w:r w:rsidRPr="00400C72">
          <w:rPr>
            <w:rStyle w:val="Hyperlink"/>
            <w:lang w:val="hu-HU"/>
          </w:rPr>
          <w:t>https://helsinki.hu/en/another-scandal-at-the-judiciary-no-effective-remedy-for-judges-dismissed-from-the-bench/</w:t>
        </w:r>
      </w:hyperlink>
      <w:r w:rsidRPr="00400C72">
        <w:t xml:space="preserve"> accessed 11 November 2023</w:t>
      </w:r>
    </w:p>
  </w:footnote>
  <w:footnote w:id="4">
    <w:p w14:paraId="25697257" w14:textId="77777777" w:rsidR="00EF25F8" w:rsidRPr="00754A0A" w:rsidRDefault="00EF25F8" w:rsidP="00EF25F8">
      <w:pPr>
        <w:pStyle w:val="FootnoteText"/>
      </w:pPr>
      <w:r>
        <w:rPr>
          <w:rStyle w:val="FootnoteReference"/>
        </w:rPr>
        <w:footnoteRef/>
      </w:r>
      <w:r>
        <w:t xml:space="preserve"> The NJC consists of 15 judges, out of which 14 are elected by their peers. The President of the </w:t>
      </w:r>
      <w:proofErr w:type="spellStart"/>
      <w:r>
        <w:t>Kúria</w:t>
      </w:r>
      <w:proofErr w:type="spellEnd"/>
      <w:r>
        <w:t xml:space="preserve"> is an ex officio member of the body.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6FB8" w14:textId="55194422" w:rsidR="00266CE6" w:rsidRDefault="00400B99">
    <w:pPr>
      <w:pStyle w:val="Header"/>
    </w:pPr>
    <w:r>
      <w:rPr>
        <w:noProof/>
      </w:rPr>
      <w:drawing>
        <wp:inline distT="0" distB="0" distL="0" distR="0" wp14:anchorId="28DCBE65" wp14:editId="674D5523">
          <wp:extent cx="1584960" cy="560705"/>
          <wp:effectExtent l="0" t="0" r="0" b="0"/>
          <wp:docPr id="1156399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560705"/>
                  </a:xfrm>
                  <a:prstGeom prst="rect">
                    <a:avLst/>
                  </a:prstGeom>
                  <a:noFill/>
                </pic:spPr>
              </pic:pic>
            </a:graphicData>
          </a:graphic>
        </wp:inline>
      </w:drawing>
    </w:r>
    <w:r>
      <w:rPr>
        <w:noProof/>
      </w:rPr>
      <w:drawing>
        <wp:inline distT="0" distB="0" distL="0" distR="0" wp14:anchorId="4557B5DA" wp14:editId="226A3CF0">
          <wp:extent cx="536575" cy="548640"/>
          <wp:effectExtent l="0" t="0" r="0" b="3810"/>
          <wp:docPr id="735166798" name="Picture 4" descr="A logo with red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66798" name="Picture 4" descr="A logo with red and blue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486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8B"/>
    <w:rsid w:val="000255BD"/>
    <w:rsid w:val="0003008E"/>
    <w:rsid w:val="0003191B"/>
    <w:rsid w:val="00035C67"/>
    <w:rsid w:val="00057ECC"/>
    <w:rsid w:val="00066FCD"/>
    <w:rsid w:val="00070D1E"/>
    <w:rsid w:val="00086EB0"/>
    <w:rsid w:val="000A5CFB"/>
    <w:rsid w:val="000A6153"/>
    <w:rsid w:val="000A63B9"/>
    <w:rsid w:val="000D3D24"/>
    <w:rsid w:val="000F1452"/>
    <w:rsid w:val="00101ACA"/>
    <w:rsid w:val="00145BB4"/>
    <w:rsid w:val="00167F28"/>
    <w:rsid w:val="00174989"/>
    <w:rsid w:val="0019292A"/>
    <w:rsid w:val="001B348C"/>
    <w:rsid w:val="001D43FD"/>
    <w:rsid w:val="001F1A50"/>
    <w:rsid w:val="00220013"/>
    <w:rsid w:val="002255C3"/>
    <w:rsid w:val="0022597B"/>
    <w:rsid w:val="0022733B"/>
    <w:rsid w:val="002323E8"/>
    <w:rsid w:val="0024560A"/>
    <w:rsid w:val="0025309E"/>
    <w:rsid w:val="00266CE6"/>
    <w:rsid w:val="00280844"/>
    <w:rsid w:val="002A5F04"/>
    <w:rsid w:val="002B3461"/>
    <w:rsid w:val="002D7DF6"/>
    <w:rsid w:val="002E55B9"/>
    <w:rsid w:val="00303C7F"/>
    <w:rsid w:val="003043DF"/>
    <w:rsid w:val="00323437"/>
    <w:rsid w:val="003317F3"/>
    <w:rsid w:val="00343B30"/>
    <w:rsid w:val="003825FF"/>
    <w:rsid w:val="00392814"/>
    <w:rsid w:val="003A7841"/>
    <w:rsid w:val="003F0004"/>
    <w:rsid w:val="004005EC"/>
    <w:rsid w:val="00400B99"/>
    <w:rsid w:val="00431B06"/>
    <w:rsid w:val="00450E7B"/>
    <w:rsid w:val="00511528"/>
    <w:rsid w:val="00555699"/>
    <w:rsid w:val="00575C4B"/>
    <w:rsid w:val="00581CCA"/>
    <w:rsid w:val="00594A86"/>
    <w:rsid w:val="005E1028"/>
    <w:rsid w:val="00613573"/>
    <w:rsid w:val="0066558D"/>
    <w:rsid w:val="00672CFA"/>
    <w:rsid w:val="006A5911"/>
    <w:rsid w:val="006A6A36"/>
    <w:rsid w:val="006D2ADF"/>
    <w:rsid w:val="007260F2"/>
    <w:rsid w:val="007726EE"/>
    <w:rsid w:val="0078159E"/>
    <w:rsid w:val="007A6B8B"/>
    <w:rsid w:val="007B0EFD"/>
    <w:rsid w:val="007C20D1"/>
    <w:rsid w:val="007D7BED"/>
    <w:rsid w:val="007F32B7"/>
    <w:rsid w:val="00825248"/>
    <w:rsid w:val="00834059"/>
    <w:rsid w:val="00853E44"/>
    <w:rsid w:val="00874A85"/>
    <w:rsid w:val="00897C2C"/>
    <w:rsid w:val="008A6EFC"/>
    <w:rsid w:val="008B36C3"/>
    <w:rsid w:val="00920C6D"/>
    <w:rsid w:val="00927BD7"/>
    <w:rsid w:val="00952BB5"/>
    <w:rsid w:val="009566C6"/>
    <w:rsid w:val="009D6F6B"/>
    <w:rsid w:val="00A03329"/>
    <w:rsid w:val="00A04AAE"/>
    <w:rsid w:val="00A07E87"/>
    <w:rsid w:val="00A20084"/>
    <w:rsid w:val="00A26310"/>
    <w:rsid w:val="00A34C7A"/>
    <w:rsid w:val="00A45455"/>
    <w:rsid w:val="00A55F92"/>
    <w:rsid w:val="00A65718"/>
    <w:rsid w:val="00A813D5"/>
    <w:rsid w:val="00AF5C1D"/>
    <w:rsid w:val="00B135B2"/>
    <w:rsid w:val="00B151F6"/>
    <w:rsid w:val="00B22D2F"/>
    <w:rsid w:val="00B42CFA"/>
    <w:rsid w:val="00B45F99"/>
    <w:rsid w:val="00BC3850"/>
    <w:rsid w:val="00BE4DA7"/>
    <w:rsid w:val="00BE7B5F"/>
    <w:rsid w:val="00BF0081"/>
    <w:rsid w:val="00C05C4E"/>
    <w:rsid w:val="00C12C8C"/>
    <w:rsid w:val="00C27733"/>
    <w:rsid w:val="00C33C22"/>
    <w:rsid w:val="00C54394"/>
    <w:rsid w:val="00C811A9"/>
    <w:rsid w:val="00C83418"/>
    <w:rsid w:val="00CA50B2"/>
    <w:rsid w:val="00CC3F4B"/>
    <w:rsid w:val="00CD48AF"/>
    <w:rsid w:val="00CE5D85"/>
    <w:rsid w:val="00CF5146"/>
    <w:rsid w:val="00D12383"/>
    <w:rsid w:val="00D17357"/>
    <w:rsid w:val="00D66C9D"/>
    <w:rsid w:val="00D9548E"/>
    <w:rsid w:val="00DB6178"/>
    <w:rsid w:val="00DD12DC"/>
    <w:rsid w:val="00DD4B4A"/>
    <w:rsid w:val="00DD709D"/>
    <w:rsid w:val="00E1477F"/>
    <w:rsid w:val="00E22B13"/>
    <w:rsid w:val="00E2378F"/>
    <w:rsid w:val="00E3437A"/>
    <w:rsid w:val="00E34B7F"/>
    <w:rsid w:val="00E35058"/>
    <w:rsid w:val="00E54F18"/>
    <w:rsid w:val="00E83754"/>
    <w:rsid w:val="00E94492"/>
    <w:rsid w:val="00E958B5"/>
    <w:rsid w:val="00EB08BD"/>
    <w:rsid w:val="00EE1D23"/>
    <w:rsid w:val="00EF1237"/>
    <w:rsid w:val="00EF25F8"/>
    <w:rsid w:val="00EF4477"/>
    <w:rsid w:val="00F14A7D"/>
    <w:rsid w:val="00F20905"/>
    <w:rsid w:val="00F25258"/>
    <w:rsid w:val="00F429C6"/>
    <w:rsid w:val="00F509C1"/>
    <w:rsid w:val="00F623DF"/>
    <w:rsid w:val="00F859BC"/>
    <w:rsid w:val="00F864EA"/>
    <w:rsid w:val="00FA3754"/>
    <w:rsid w:val="00FD51E3"/>
    <w:rsid w:val="00FF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FCDA4"/>
  <w15:chartTrackingRefBased/>
  <w15:docId w15:val="{0DB41431-136A-4B58-B6AE-BBE5292A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7A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B8B"/>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7A6B8B"/>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7A6B8B"/>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7A6B8B"/>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7A6B8B"/>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7A6B8B"/>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7A6B8B"/>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7A6B8B"/>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7A6B8B"/>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7A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B8B"/>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7A6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B8B"/>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7A6B8B"/>
    <w:pPr>
      <w:spacing w:before="160"/>
      <w:jc w:val="center"/>
    </w:pPr>
    <w:rPr>
      <w:i/>
      <w:iCs/>
      <w:color w:val="404040" w:themeColor="text1" w:themeTint="BF"/>
    </w:rPr>
  </w:style>
  <w:style w:type="character" w:customStyle="1" w:styleId="QuoteChar">
    <w:name w:val="Quote Char"/>
    <w:basedOn w:val="DefaultParagraphFont"/>
    <w:link w:val="Quote"/>
    <w:uiPriority w:val="29"/>
    <w:rsid w:val="007A6B8B"/>
    <w:rPr>
      <w:i/>
      <w:iCs/>
      <w:color w:val="404040" w:themeColor="text1" w:themeTint="BF"/>
      <w:lang w:val="en-AU"/>
    </w:rPr>
  </w:style>
  <w:style w:type="paragraph" w:styleId="ListParagraph">
    <w:name w:val="List Paragraph"/>
    <w:basedOn w:val="Normal"/>
    <w:uiPriority w:val="34"/>
    <w:qFormat/>
    <w:rsid w:val="007A6B8B"/>
    <w:pPr>
      <w:ind w:left="720"/>
      <w:contextualSpacing/>
    </w:pPr>
  </w:style>
  <w:style w:type="character" w:styleId="IntenseEmphasis">
    <w:name w:val="Intense Emphasis"/>
    <w:basedOn w:val="DefaultParagraphFont"/>
    <w:uiPriority w:val="21"/>
    <w:qFormat/>
    <w:rsid w:val="007A6B8B"/>
    <w:rPr>
      <w:i/>
      <w:iCs/>
      <w:color w:val="0F4761" w:themeColor="accent1" w:themeShade="BF"/>
    </w:rPr>
  </w:style>
  <w:style w:type="paragraph" w:styleId="IntenseQuote">
    <w:name w:val="Intense Quote"/>
    <w:basedOn w:val="Normal"/>
    <w:next w:val="Normal"/>
    <w:link w:val="IntenseQuoteChar"/>
    <w:uiPriority w:val="30"/>
    <w:qFormat/>
    <w:rsid w:val="007A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B8B"/>
    <w:rPr>
      <w:i/>
      <w:iCs/>
      <w:color w:val="0F4761" w:themeColor="accent1" w:themeShade="BF"/>
      <w:lang w:val="en-AU"/>
    </w:rPr>
  </w:style>
  <w:style w:type="character" w:styleId="IntenseReference">
    <w:name w:val="Intense Reference"/>
    <w:basedOn w:val="DefaultParagraphFont"/>
    <w:uiPriority w:val="32"/>
    <w:qFormat/>
    <w:rsid w:val="007A6B8B"/>
    <w:rPr>
      <w:b/>
      <w:bCs/>
      <w:smallCaps/>
      <w:color w:val="0F4761" w:themeColor="accent1" w:themeShade="BF"/>
      <w:spacing w:val="5"/>
    </w:rPr>
  </w:style>
  <w:style w:type="paragraph" w:styleId="Header">
    <w:name w:val="header"/>
    <w:basedOn w:val="Normal"/>
    <w:link w:val="HeaderChar"/>
    <w:uiPriority w:val="99"/>
    <w:unhideWhenUsed/>
    <w:rsid w:val="00594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A86"/>
    <w:rPr>
      <w:lang w:val="en-AU"/>
    </w:rPr>
  </w:style>
  <w:style w:type="paragraph" w:styleId="Footer">
    <w:name w:val="footer"/>
    <w:basedOn w:val="Normal"/>
    <w:link w:val="FooterChar"/>
    <w:uiPriority w:val="99"/>
    <w:unhideWhenUsed/>
    <w:rsid w:val="00594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A86"/>
    <w:rPr>
      <w:lang w:val="en-AU"/>
    </w:rPr>
  </w:style>
  <w:style w:type="character" w:styleId="Hyperlink">
    <w:name w:val="Hyperlink"/>
    <w:basedOn w:val="DefaultParagraphFont"/>
    <w:uiPriority w:val="99"/>
    <w:unhideWhenUsed/>
    <w:rsid w:val="003825FF"/>
    <w:rPr>
      <w:color w:val="467886" w:themeColor="hyperlink"/>
      <w:u w:val="single"/>
    </w:rPr>
  </w:style>
  <w:style w:type="character" w:styleId="UnresolvedMention">
    <w:name w:val="Unresolved Mention"/>
    <w:basedOn w:val="DefaultParagraphFont"/>
    <w:uiPriority w:val="99"/>
    <w:semiHidden/>
    <w:unhideWhenUsed/>
    <w:rsid w:val="003825FF"/>
    <w:rPr>
      <w:color w:val="605E5C"/>
      <w:shd w:val="clear" w:color="auto" w:fill="E1DFDD"/>
    </w:rPr>
  </w:style>
  <w:style w:type="character" w:styleId="FootnoteReference">
    <w:name w:val="footnote reference"/>
    <w:aliases w:val="RSC_WP (footnote reference),Footnote Reference4,footnote ref,FR,Fußnotenzeichen diss neu,Times 10 Point,Exposant 3 Point,Footnote symbol,BVI fnr,Footnote Reference Superscript,Footnote Reference/,richiamo note eggsi,Footnote Refernece"/>
    <w:link w:val="FootnotesymbolCarZchn"/>
    <w:uiPriority w:val="99"/>
    <w:qFormat/>
    <w:rsid w:val="00927BD7"/>
    <w:rPr>
      <w:vertAlign w:val="superscript"/>
    </w:rPr>
  </w:style>
  <w:style w:type="paragraph" w:styleId="FootnoteText">
    <w:name w:val="footnote text"/>
    <w:aliases w:val="RSC_WP (footnotes),fn,footnote text,fn1,fn2,footnote text1,fn3,footnote text2,Allmärkuse tekst Märk,footnote text Carattere Carattere,footnote text Carattere,Footnote Text Char Char,Allmärkuse tekst,footnot,Footnote,tizesesTNRoman,Footnot"/>
    <w:basedOn w:val="Normal"/>
    <w:link w:val="FootnoteTextChar"/>
    <w:uiPriority w:val="99"/>
    <w:qFormat/>
    <w:rsid w:val="00927BD7"/>
    <w:pPr>
      <w:suppressAutoHyphens/>
      <w:spacing w:after="0" w:line="240" w:lineRule="auto"/>
      <w:jc w:val="both"/>
    </w:pPr>
    <w:rPr>
      <w:rFonts w:ascii="Times New Roman" w:eastAsia="Calibri" w:hAnsi="Times New Roman" w:cs="Times New Roman"/>
      <w:kern w:val="0"/>
      <w:sz w:val="20"/>
      <w:szCs w:val="20"/>
      <w:lang w:val="en-GB" w:eastAsia="zh-CN"/>
      <w14:ligatures w14:val="none"/>
    </w:rPr>
  </w:style>
  <w:style w:type="character" w:customStyle="1" w:styleId="FootnoteTextChar">
    <w:name w:val="Footnote Text Char"/>
    <w:aliases w:val="RSC_WP (footnotes) Char,fn Char,footnote text Char,fn1 Char,fn2 Char,footnote text1 Char,fn3 Char,footnote text2 Char,Allmärkuse tekst Märk Char,footnote text Carattere Carattere Char,footnote text Carattere Char,Allmärkuse tekst Char"/>
    <w:basedOn w:val="DefaultParagraphFont"/>
    <w:link w:val="FootnoteText"/>
    <w:uiPriority w:val="99"/>
    <w:qFormat/>
    <w:rsid w:val="00927BD7"/>
    <w:rPr>
      <w:rFonts w:ascii="Times New Roman" w:eastAsia="Calibri" w:hAnsi="Times New Roman" w:cs="Times New Roman"/>
      <w:kern w:val="0"/>
      <w:sz w:val="20"/>
      <w:szCs w:val="20"/>
      <w:lang w:val="en-GB" w:eastAsia="zh-CN"/>
      <w14:ligatures w14:val="none"/>
    </w:rPr>
  </w:style>
  <w:style w:type="paragraph" w:styleId="Revision">
    <w:name w:val="Revision"/>
    <w:hidden/>
    <w:uiPriority w:val="99"/>
    <w:semiHidden/>
    <w:rsid w:val="00EF25F8"/>
    <w:pPr>
      <w:spacing w:after="0" w:line="240" w:lineRule="auto"/>
    </w:pPr>
    <w:rPr>
      <w:lang w:val="en-AU"/>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EF25F8"/>
    <w:pPr>
      <w:spacing w:line="240" w:lineRule="exact"/>
      <w:jc w:val="both"/>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ohchr.org/en/calls-for-input/2024/call-input-special-rapporteur-independence-judges-and-lawyers-next-thematic"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helsinki.hu/en/another-scandal-at-the-judiciary-no-effective-remedy-for-judges-dismissed-from-the-ben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European University Institute</Contributor>
    <Filename xmlns="d42e65b2-cf21-49c1-b27d-d23f90380c0e" xsi:nil="true"/>
  </documentManagement>
</p:properties>
</file>

<file path=customXml/itemProps1.xml><?xml version="1.0" encoding="utf-8"?>
<ds:datastoreItem xmlns:ds="http://schemas.openxmlformats.org/officeDocument/2006/customXml" ds:itemID="{B890AA1F-CF8A-4BB8-ABF5-CD9CFBED3EDB}">
  <ds:schemaRefs>
    <ds:schemaRef ds:uri="http://schemas.openxmlformats.org/officeDocument/2006/bibliography"/>
  </ds:schemaRefs>
</ds:datastoreItem>
</file>

<file path=customXml/itemProps2.xml><?xml version="1.0" encoding="utf-8"?>
<ds:datastoreItem xmlns:ds="http://schemas.openxmlformats.org/officeDocument/2006/customXml" ds:itemID="{480E221B-C051-49AE-B668-3426D0EC5C5D}"/>
</file>

<file path=customXml/itemProps3.xml><?xml version="1.0" encoding="utf-8"?>
<ds:datastoreItem xmlns:ds="http://schemas.openxmlformats.org/officeDocument/2006/customXml" ds:itemID="{81D47E07-EA09-4792-83A5-6A85DA2F7703}"/>
</file>

<file path=customXml/itemProps4.xml><?xml version="1.0" encoding="utf-8"?>
<ds:datastoreItem xmlns:ds="http://schemas.openxmlformats.org/officeDocument/2006/customXml" ds:itemID="{6198F5A8-0770-44C3-97C4-0E41C7F4945E}"/>
</file>

<file path=docProps/app.xml><?xml version="1.0" encoding="utf-8"?>
<Properties xmlns="http://schemas.openxmlformats.org/officeDocument/2006/extended-properties" xmlns:vt="http://schemas.openxmlformats.org/officeDocument/2006/docPropsVTypes">
  <Template>Normal</Template>
  <TotalTime>1</TotalTime>
  <Pages>5</Pages>
  <Words>2129</Words>
  <Characters>11309</Characters>
  <Application>Microsoft Office Word</Application>
  <DocSecurity>0</DocSecurity>
  <Lines>168</Lines>
  <Paragraphs>37</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Achler</dc:creator>
  <cp:keywords/>
  <dc:description/>
  <cp:lastModifiedBy>Marta Achler</cp:lastModifiedBy>
  <cp:revision>2</cp:revision>
  <cp:lastPrinted>2024-01-29T18:48:00Z</cp:lastPrinted>
  <dcterms:created xsi:type="dcterms:W3CDTF">2024-01-31T10:41:00Z</dcterms:created>
  <dcterms:modified xsi:type="dcterms:W3CDTF">2024-01-31T10:41:00Z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9d980fd5b182db40196bd07cd14e58e4fe991a1276c9c5105ecf454d209b7819</vt:lpwstr>
  </property>
  <property fmtid="{D5CDD505-2E9C-101B-9397-08002B2CF9AE}" pid="3" name="ContentTypeId">
    <vt:lpwstr>0x0101009D953D6983EF5F4EB0B6A5354F975E96</vt:lpwstr>
  </property>
</Properties>
</file>