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948F" w14:textId="34522730" w:rsidR="007A30D0" w:rsidRPr="007A30D0" w:rsidRDefault="00E53602">
      <w:pPr>
        <w:rPr>
          <w:b/>
          <w:bCs/>
          <w:sz w:val="32"/>
          <w:szCs w:val="32"/>
          <w:lang w:val="en-GB"/>
        </w:rPr>
      </w:pPr>
      <w:r>
        <w:rPr>
          <w:b/>
          <w:bCs/>
          <w:sz w:val="32"/>
          <w:szCs w:val="32"/>
          <w:lang w:val="en-GB"/>
        </w:rPr>
        <w:t xml:space="preserve">                </w:t>
      </w:r>
      <w:r w:rsidR="008858C1">
        <w:rPr>
          <w:b/>
          <w:bCs/>
          <w:sz w:val="32"/>
          <w:szCs w:val="32"/>
          <w:lang w:val="en-GB"/>
        </w:rPr>
        <w:t xml:space="preserve">    </w:t>
      </w:r>
      <w:r w:rsidR="007A30D0" w:rsidRPr="007A30D0">
        <w:rPr>
          <w:b/>
          <w:bCs/>
          <w:sz w:val="32"/>
          <w:szCs w:val="32"/>
          <w:lang w:val="en-GB"/>
        </w:rPr>
        <w:t xml:space="preserve">SUBMISSION TO THE SPECIAL RAPPORTEUR </w:t>
      </w:r>
    </w:p>
    <w:p w14:paraId="5116799E" w14:textId="5F1D79B7" w:rsidR="00FB1705" w:rsidRPr="00835CBB" w:rsidRDefault="001B3AD7">
      <w:pPr>
        <w:rPr>
          <w:b/>
          <w:bCs/>
          <w:sz w:val="24"/>
          <w:szCs w:val="24"/>
          <w:lang w:val="en-GB"/>
        </w:rPr>
      </w:pPr>
      <w:r w:rsidRPr="00835CBB">
        <w:rPr>
          <w:b/>
          <w:bCs/>
          <w:sz w:val="24"/>
          <w:szCs w:val="24"/>
          <w:lang w:val="en-GB"/>
        </w:rPr>
        <w:t>R</w:t>
      </w:r>
      <w:r w:rsidR="002D61F7" w:rsidRPr="00835CBB">
        <w:rPr>
          <w:b/>
          <w:bCs/>
          <w:sz w:val="24"/>
          <w:szCs w:val="24"/>
          <w:lang w:val="en-GB"/>
        </w:rPr>
        <w:t>e:</w:t>
      </w:r>
      <w:r w:rsidR="00BB15E7" w:rsidRPr="00835CBB">
        <w:rPr>
          <w:b/>
          <w:bCs/>
          <w:sz w:val="24"/>
          <w:szCs w:val="24"/>
          <w:lang w:val="en-GB"/>
        </w:rPr>
        <w:t xml:space="preserve"> the  Call for Submissions</w:t>
      </w:r>
      <w:r w:rsidR="002D61F7" w:rsidRPr="00835CBB">
        <w:rPr>
          <w:b/>
          <w:bCs/>
          <w:sz w:val="24"/>
          <w:szCs w:val="24"/>
          <w:lang w:val="en-GB"/>
        </w:rPr>
        <w:t xml:space="preserve"> on</w:t>
      </w:r>
      <w:r w:rsidR="008F1DB5" w:rsidRPr="00835CBB">
        <w:rPr>
          <w:b/>
          <w:bCs/>
          <w:sz w:val="24"/>
          <w:szCs w:val="24"/>
          <w:lang w:val="en-GB"/>
        </w:rPr>
        <w:t xml:space="preserve"> </w:t>
      </w:r>
      <w:r w:rsidR="007A30D0" w:rsidRPr="00835CBB">
        <w:rPr>
          <w:b/>
          <w:bCs/>
          <w:sz w:val="24"/>
          <w:szCs w:val="24"/>
          <w:lang w:val="en-GB"/>
        </w:rPr>
        <w:t xml:space="preserve">Safeguarding  </w:t>
      </w:r>
      <w:r w:rsidR="00067750" w:rsidRPr="00835CBB">
        <w:rPr>
          <w:b/>
          <w:bCs/>
          <w:sz w:val="24"/>
          <w:szCs w:val="24"/>
          <w:lang w:val="en-GB"/>
        </w:rPr>
        <w:t>I</w:t>
      </w:r>
      <w:r w:rsidR="007A30D0" w:rsidRPr="00835CBB">
        <w:rPr>
          <w:b/>
          <w:bCs/>
          <w:sz w:val="24"/>
          <w:szCs w:val="24"/>
          <w:lang w:val="en-GB"/>
        </w:rPr>
        <w:t>ndependence of Judicial Systems</w:t>
      </w:r>
    </w:p>
    <w:p w14:paraId="21EC4FF2" w14:textId="117AE183" w:rsidR="00557C9C" w:rsidRDefault="00600CE0">
      <w:pPr>
        <w:rPr>
          <w:b/>
          <w:bCs/>
          <w:sz w:val="32"/>
          <w:szCs w:val="32"/>
          <w:lang w:val="en-GB"/>
        </w:rPr>
      </w:pPr>
      <w:r>
        <w:rPr>
          <w:b/>
          <w:bCs/>
          <w:sz w:val="32"/>
          <w:szCs w:val="32"/>
          <w:lang w:val="en-GB"/>
        </w:rPr>
        <w:t>A</w:t>
      </w:r>
      <w:r w:rsidR="005D1EFA">
        <w:rPr>
          <w:b/>
          <w:bCs/>
          <w:sz w:val="32"/>
          <w:szCs w:val="32"/>
          <w:lang w:val="en-GB"/>
        </w:rPr>
        <w:t>ttacks on</w:t>
      </w:r>
      <w:r>
        <w:rPr>
          <w:b/>
          <w:bCs/>
          <w:sz w:val="32"/>
          <w:szCs w:val="32"/>
          <w:lang w:val="en-GB"/>
        </w:rPr>
        <w:t xml:space="preserve"> </w:t>
      </w:r>
      <w:r w:rsidR="005D1EFA">
        <w:rPr>
          <w:b/>
          <w:bCs/>
          <w:sz w:val="32"/>
          <w:szCs w:val="32"/>
          <w:lang w:val="en-GB"/>
        </w:rPr>
        <w:t>Attorneys, Judges</w:t>
      </w:r>
      <w:r w:rsidR="006A0AA7">
        <w:rPr>
          <w:b/>
          <w:bCs/>
          <w:sz w:val="32"/>
          <w:szCs w:val="32"/>
          <w:lang w:val="en-GB"/>
        </w:rPr>
        <w:t>, Prosecutors and Paralegals</w:t>
      </w:r>
      <w:r w:rsidR="005D1EFA">
        <w:rPr>
          <w:b/>
          <w:bCs/>
          <w:sz w:val="32"/>
          <w:szCs w:val="32"/>
          <w:lang w:val="en-GB"/>
        </w:rPr>
        <w:t xml:space="preserve"> </w:t>
      </w:r>
    </w:p>
    <w:p w14:paraId="4D4D4147" w14:textId="00039978" w:rsidR="007A30D0" w:rsidRPr="003B54F2" w:rsidRDefault="007A30D0">
      <w:pPr>
        <w:rPr>
          <w:sz w:val="28"/>
          <w:szCs w:val="28"/>
          <w:lang w:val="en-GB"/>
        </w:rPr>
      </w:pPr>
      <w:r w:rsidRPr="003B54F2">
        <w:rPr>
          <w:sz w:val="28"/>
          <w:szCs w:val="28"/>
          <w:lang w:val="en-GB"/>
        </w:rPr>
        <w:t>Professor Gill. H. Boehringer</w:t>
      </w:r>
      <w:r w:rsidR="003B54F2">
        <w:rPr>
          <w:sz w:val="28"/>
          <w:szCs w:val="28"/>
          <w:lang w:val="en-GB"/>
        </w:rPr>
        <w:t xml:space="preserve">                                                        January</w:t>
      </w:r>
      <w:r w:rsidR="007D754F">
        <w:rPr>
          <w:sz w:val="28"/>
          <w:szCs w:val="28"/>
          <w:lang w:val="en-GB"/>
        </w:rPr>
        <w:t xml:space="preserve"> 31, 2024</w:t>
      </w:r>
    </w:p>
    <w:p w14:paraId="4AA37880" w14:textId="480BBC38" w:rsidR="007A30D0" w:rsidRPr="00924C63" w:rsidRDefault="007A30D0">
      <w:pPr>
        <w:rPr>
          <w:sz w:val="24"/>
          <w:szCs w:val="24"/>
          <w:lang w:val="en-GB"/>
        </w:rPr>
      </w:pPr>
      <w:r w:rsidRPr="00924C63">
        <w:rPr>
          <w:sz w:val="24"/>
          <w:szCs w:val="24"/>
          <w:lang w:val="en-GB"/>
        </w:rPr>
        <w:t>Co-Chair, IAPL Monitoring  Committee on Attacks on Lawyers</w:t>
      </w:r>
    </w:p>
    <w:p w14:paraId="0F9814D8" w14:textId="00E0DB64" w:rsidR="007A30D0" w:rsidRDefault="007A30D0">
      <w:pPr>
        <w:rPr>
          <w:b/>
          <w:bCs/>
          <w:sz w:val="32"/>
          <w:szCs w:val="32"/>
          <w:lang w:val="en-GB"/>
        </w:rPr>
      </w:pPr>
      <w:r>
        <w:rPr>
          <w:b/>
          <w:bCs/>
          <w:sz w:val="32"/>
          <w:szCs w:val="32"/>
          <w:lang w:val="en-GB"/>
        </w:rPr>
        <w:t>Introduction</w:t>
      </w:r>
    </w:p>
    <w:p w14:paraId="516ACC79" w14:textId="77777777" w:rsidR="000C3317" w:rsidRDefault="00B06A4E">
      <w:pPr>
        <w:rPr>
          <w:sz w:val="32"/>
          <w:szCs w:val="32"/>
          <w:lang w:val="en-GB"/>
        </w:rPr>
      </w:pPr>
      <w:r w:rsidRPr="00A61AAC">
        <w:rPr>
          <w:sz w:val="32"/>
          <w:szCs w:val="32"/>
          <w:lang w:val="en-GB"/>
        </w:rPr>
        <w:t>That the legal profe</w:t>
      </w:r>
      <w:r w:rsidR="007128C4" w:rsidRPr="00A61AAC">
        <w:rPr>
          <w:sz w:val="32"/>
          <w:szCs w:val="32"/>
          <w:lang w:val="en-GB"/>
        </w:rPr>
        <w:t>s</w:t>
      </w:r>
      <w:r w:rsidRPr="00A61AAC">
        <w:rPr>
          <w:sz w:val="32"/>
          <w:szCs w:val="32"/>
          <w:lang w:val="en-GB"/>
        </w:rPr>
        <w:t>sion</w:t>
      </w:r>
      <w:r w:rsidR="002F6402" w:rsidRPr="00A61AAC">
        <w:rPr>
          <w:sz w:val="32"/>
          <w:szCs w:val="32"/>
          <w:lang w:val="en-GB"/>
        </w:rPr>
        <w:t xml:space="preserve"> can and does</w:t>
      </w:r>
      <w:r w:rsidRPr="00A61AAC">
        <w:rPr>
          <w:sz w:val="32"/>
          <w:szCs w:val="32"/>
          <w:lang w:val="en-GB"/>
        </w:rPr>
        <w:t xml:space="preserve"> contribute to the</w:t>
      </w:r>
      <w:r w:rsidR="002E1137" w:rsidRPr="00A61AAC">
        <w:rPr>
          <w:sz w:val="32"/>
          <w:szCs w:val="32"/>
          <w:lang w:val="en-GB"/>
        </w:rPr>
        <w:t xml:space="preserve"> development and maintenance of the rule of law and therefore to a democratic polity</w:t>
      </w:r>
      <w:r w:rsidR="00D933CC">
        <w:rPr>
          <w:sz w:val="32"/>
          <w:szCs w:val="32"/>
          <w:lang w:val="en-GB"/>
        </w:rPr>
        <w:t xml:space="preserve"> is a generally accepted</w:t>
      </w:r>
      <w:r w:rsidR="000C7800">
        <w:rPr>
          <w:sz w:val="32"/>
          <w:szCs w:val="32"/>
          <w:lang w:val="en-GB"/>
        </w:rPr>
        <w:t>, although abstract</w:t>
      </w:r>
      <w:r w:rsidR="000C3317">
        <w:rPr>
          <w:sz w:val="32"/>
          <w:szCs w:val="32"/>
          <w:lang w:val="en-GB"/>
        </w:rPr>
        <w:t>,</w:t>
      </w:r>
      <w:r w:rsidR="00D50707">
        <w:rPr>
          <w:sz w:val="32"/>
          <w:szCs w:val="32"/>
          <w:lang w:val="en-GB"/>
        </w:rPr>
        <w:t xml:space="preserve"> </w:t>
      </w:r>
      <w:r w:rsidR="00F9192F">
        <w:rPr>
          <w:sz w:val="32"/>
          <w:szCs w:val="32"/>
          <w:lang w:val="en-GB"/>
        </w:rPr>
        <w:t xml:space="preserve">concept. </w:t>
      </w:r>
    </w:p>
    <w:p w14:paraId="5E6D077B" w14:textId="48E46359" w:rsidR="00DB7D72" w:rsidRPr="00A61AAC" w:rsidRDefault="00F9192F">
      <w:pPr>
        <w:rPr>
          <w:sz w:val="32"/>
          <w:szCs w:val="32"/>
          <w:lang w:val="en-GB"/>
        </w:rPr>
      </w:pPr>
      <w:r>
        <w:rPr>
          <w:sz w:val="32"/>
          <w:szCs w:val="32"/>
          <w:lang w:val="en-GB"/>
        </w:rPr>
        <w:t xml:space="preserve">The international community  has recognized </w:t>
      </w:r>
      <w:r w:rsidR="00703A1D">
        <w:rPr>
          <w:sz w:val="32"/>
          <w:szCs w:val="32"/>
          <w:lang w:val="en-GB"/>
        </w:rPr>
        <w:t>th</w:t>
      </w:r>
      <w:r w:rsidR="00D50707">
        <w:rPr>
          <w:sz w:val="32"/>
          <w:szCs w:val="32"/>
          <w:lang w:val="en-GB"/>
        </w:rPr>
        <w:t>e</w:t>
      </w:r>
      <w:r w:rsidR="00544D8C">
        <w:rPr>
          <w:sz w:val="32"/>
          <w:szCs w:val="32"/>
          <w:lang w:val="en-GB"/>
        </w:rPr>
        <w:t xml:space="preserve"> importance of lawyers in</w:t>
      </w:r>
      <w:r w:rsidR="00703A1D">
        <w:rPr>
          <w:sz w:val="32"/>
          <w:szCs w:val="32"/>
          <w:lang w:val="en-GB"/>
        </w:rPr>
        <w:t xml:space="preserve"> adopting the UN </w:t>
      </w:r>
      <w:r w:rsidR="00BB1AE2">
        <w:rPr>
          <w:sz w:val="32"/>
          <w:szCs w:val="32"/>
          <w:lang w:val="en-GB"/>
        </w:rPr>
        <w:t>Basic Principles</w:t>
      </w:r>
      <w:r w:rsidR="00703A1D">
        <w:rPr>
          <w:sz w:val="32"/>
          <w:szCs w:val="32"/>
          <w:lang w:val="en-GB"/>
        </w:rPr>
        <w:t xml:space="preserve"> on the Role of Lawyers</w:t>
      </w:r>
      <w:r w:rsidR="00B71021">
        <w:rPr>
          <w:sz w:val="32"/>
          <w:szCs w:val="32"/>
          <w:lang w:val="en-GB"/>
        </w:rPr>
        <w:t>.</w:t>
      </w:r>
      <w:r w:rsidR="00606422">
        <w:rPr>
          <w:rStyle w:val="FootnoteReference"/>
          <w:sz w:val="32"/>
          <w:szCs w:val="32"/>
          <w:lang w:val="en-GB"/>
        </w:rPr>
        <w:footnoteReference w:id="1"/>
      </w:r>
    </w:p>
    <w:p w14:paraId="3F00A086" w14:textId="22130C33" w:rsidR="00DB2A6A" w:rsidRDefault="00B05F32">
      <w:pPr>
        <w:rPr>
          <w:sz w:val="32"/>
          <w:szCs w:val="32"/>
          <w:lang w:val="en-GB"/>
        </w:rPr>
      </w:pPr>
      <w:r>
        <w:rPr>
          <w:sz w:val="32"/>
          <w:szCs w:val="32"/>
          <w:lang w:val="en-GB"/>
        </w:rPr>
        <w:t>In</w:t>
      </w:r>
      <w:r w:rsidR="00737285" w:rsidRPr="00737285">
        <w:rPr>
          <w:sz w:val="32"/>
          <w:szCs w:val="32"/>
          <w:lang w:val="en-GB"/>
        </w:rPr>
        <w:t xml:space="preserve"> reality</w:t>
      </w:r>
      <w:r w:rsidR="00737285">
        <w:rPr>
          <w:sz w:val="32"/>
          <w:szCs w:val="32"/>
          <w:lang w:val="en-GB"/>
        </w:rPr>
        <w:t xml:space="preserve"> the role of lawyers is complicated and contradictory.</w:t>
      </w:r>
      <w:r w:rsidR="00092C52">
        <w:rPr>
          <w:sz w:val="32"/>
          <w:szCs w:val="32"/>
          <w:lang w:val="en-GB"/>
        </w:rPr>
        <w:t xml:space="preserve"> </w:t>
      </w:r>
      <w:r w:rsidR="0012535A">
        <w:rPr>
          <w:sz w:val="32"/>
          <w:szCs w:val="32"/>
          <w:lang w:val="en-GB"/>
        </w:rPr>
        <w:t>T</w:t>
      </w:r>
      <w:r w:rsidR="000C722F">
        <w:rPr>
          <w:sz w:val="32"/>
          <w:szCs w:val="32"/>
          <w:lang w:val="en-GB"/>
        </w:rPr>
        <w:t>he law and its institutions a</w:t>
      </w:r>
      <w:r w:rsidR="00801756">
        <w:rPr>
          <w:sz w:val="32"/>
          <w:szCs w:val="32"/>
          <w:lang w:val="en-GB"/>
        </w:rPr>
        <w:t>re</w:t>
      </w:r>
      <w:r w:rsidR="000C722F">
        <w:rPr>
          <w:sz w:val="32"/>
          <w:szCs w:val="32"/>
          <w:lang w:val="en-GB"/>
        </w:rPr>
        <w:t xml:space="preserve"> a site of struggle.</w:t>
      </w:r>
      <w:r w:rsidR="0028552F">
        <w:rPr>
          <w:sz w:val="32"/>
          <w:szCs w:val="32"/>
          <w:lang w:val="en-GB"/>
        </w:rPr>
        <w:t xml:space="preserve"> </w:t>
      </w:r>
    </w:p>
    <w:p w14:paraId="7DACAECD" w14:textId="43FC6695" w:rsidR="0036771B" w:rsidRDefault="00E626CE">
      <w:pPr>
        <w:rPr>
          <w:sz w:val="32"/>
          <w:szCs w:val="32"/>
          <w:lang w:val="en-GB"/>
        </w:rPr>
      </w:pPr>
      <w:r>
        <w:rPr>
          <w:sz w:val="32"/>
          <w:szCs w:val="32"/>
          <w:lang w:val="en-GB"/>
        </w:rPr>
        <w:t xml:space="preserve"> </w:t>
      </w:r>
      <w:r w:rsidR="005041B7">
        <w:rPr>
          <w:sz w:val="32"/>
          <w:szCs w:val="32"/>
          <w:lang w:val="en-GB"/>
        </w:rPr>
        <w:t>Judges,  prosecutors, attorneys and community justice workers</w:t>
      </w:r>
      <w:r w:rsidR="00B755AE">
        <w:rPr>
          <w:sz w:val="32"/>
          <w:szCs w:val="32"/>
          <w:lang w:val="en-GB"/>
        </w:rPr>
        <w:t xml:space="preserve"> or </w:t>
      </w:r>
      <w:r w:rsidR="00707A80">
        <w:rPr>
          <w:sz w:val="32"/>
          <w:szCs w:val="32"/>
          <w:lang w:val="en-GB"/>
        </w:rPr>
        <w:t>paralegals</w:t>
      </w:r>
      <w:r w:rsidR="00B755AE">
        <w:rPr>
          <w:sz w:val="32"/>
          <w:szCs w:val="32"/>
          <w:lang w:val="en-GB"/>
        </w:rPr>
        <w:t>,</w:t>
      </w:r>
      <w:r w:rsidR="00707A80">
        <w:rPr>
          <w:sz w:val="32"/>
          <w:szCs w:val="32"/>
          <w:lang w:val="en-GB"/>
        </w:rPr>
        <w:t xml:space="preserve"> are involved in struggle </w:t>
      </w:r>
      <w:r w:rsidR="00201B60">
        <w:rPr>
          <w:sz w:val="32"/>
          <w:szCs w:val="32"/>
          <w:lang w:val="en-GB"/>
        </w:rPr>
        <w:t xml:space="preserve"> as are</w:t>
      </w:r>
      <w:r w:rsidR="00676260">
        <w:rPr>
          <w:sz w:val="32"/>
          <w:szCs w:val="32"/>
          <w:lang w:val="en-GB"/>
        </w:rPr>
        <w:t xml:space="preserve"> state  institutions,</w:t>
      </w:r>
      <w:r w:rsidR="0069779D">
        <w:rPr>
          <w:sz w:val="32"/>
          <w:szCs w:val="32"/>
          <w:lang w:val="en-GB"/>
        </w:rPr>
        <w:t xml:space="preserve"> the political class</w:t>
      </w:r>
      <w:r w:rsidR="001B28EE">
        <w:rPr>
          <w:sz w:val="32"/>
          <w:szCs w:val="32"/>
          <w:lang w:val="en-GB"/>
        </w:rPr>
        <w:t>,</w:t>
      </w:r>
      <w:r w:rsidR="00676260">
        <w:rPr>
          <w:sz w:val="32"/>
          <w:szCs w:val="32"/>
          <w:lang w:val="en-GB"/>
        </w:rPr>
        <w:t xml:space="preserve"> power</w:t>
      </w:r>
      <w:r w:rsidR="005136CA">
        <w:rPr>
          <w:sz w:val="32"/>
          <w:szCs w:val="32"/>
          <w:lang w:val="en-GB"/>
        </w:rPr>
        <w:t>ful corporations</w:t>
      </w:r>
      <w:r w:rsidR="00676260">
        <w:rPr>
          <w:sz w:val="32"/>
          <w:szCs w:val="32"/>
          <w:lang w:val="en-GB"/>
        </w:rPr>
        <w:t>, and other institutions of civil society</w:t>
      </w:r>
      <w:r w:rsidR="00DE3B29">
        <w:rPr>
          <w:sz w:val="32"/>
          <w:szCs w:val="32"/>
          <w:lang w:val="en-GB"/>
        </w:rPr>
        <w:t>.</w:t>
      </w:r>
      <w:r w:rsidR="00430CAD">
        <w:rPr>
          <w:sz w:val="32"/>
          <w:szCs w:val="32"/>
          <w:lang w:val="en-GB"/>
        </w:rPr>
        <w:t xml:space="preserve"> </w:t>
      </w:r>
      <w:r w:rsidR="000C7800">
        <w:rPr>
          <w:sz w:val="32"/>
          <w:szCs w:val="32"/>
          <w:lang w:val="en-GB"/>
        </w:rPr>
        <w:t>The concrete function of some legal professionals is therefore not always simply to support democratic values and the rule of law.</w:t>
      </w:r>
      <w:r w:rsidR="00EA0915">
        <w:rPr>
          <w:rStyle w:val="FootnoteReference"/>
          <w:sz w:val="32"/>
          <w:szCs w:val="32"/>
          <w:lang w:val="en-GB"/>
        </w:rPr>
        <w:footnoteReference w:id="2"/>
      </w:r>
    </w:p>
    <w:p w14:paraId="036C1AB5" w14:textId="1BE15BF0" w:rsidR="0073285A" w:rsidRDefault="00E01A3A">
      <w:pPr>
        <w:rPr>
          <w:sz w:val="32"/>
          <w:szCs w:val="32"/>
          <w:lang w:val="en-GB"/>
        </w:rPr>
      </w:pPr>
      <w:r>
        <w:rPr>
          <w:sz w:val="32"/>
          <w:szCs w:val="32"/>
          <w:lang w:val="en-GB"/>
        </w:rPr>
        <w:t>T</w:t>
      </w:r>
      <w:r w:rsidR="00430CAD">
        <w:rPr>
          <w:sz w:val="32"/>
          <w:szCs w:val="32"/>
          <w:lang w:val="en-GB"/>
        </w:rPr>
        <w:t>hat struggle takes place within a  particular social formation</w:t>
      </w:r>
      <w:r w:rsidR="009B265E">
        <w:rPr>
          <w:sz w:val="32"/>
          <w:szCs w:val="32"/>
          <w:lang w:val="en-GB"/>
        </w:rPr>
        <w:t>,</w:t>
      </w:r>
      <w:r w:rsidR="009452C9">
        <w:rPr>
          <w:sz w:val="32"/>
          <w:szCs w:val="32"/>
          <w:lang w:val="en-GB"/>
        </w:rPr>
        <w:t xml:space="preserve"> largely in today’s world</w:t>
      </w:r>
      <w:r>
        <w:rPr>
          <w:sz w:val="32"/>
          <w:szCs w:val="32"/>
          <w:lang w:val="en-GB"/>
        </w:rPr>
        <w:t>,</w:t>
      </w:r>
      <w:r w:rsidR="00E5504F">
        <w:rPr>
          <w:sz w:val="32"/>
          <w:szCs w:val="32"/>
          <w:lang w:val="en-GB"/>
        </w:rPr>
        <w:t xml:space="preserve"> </w:t>
      </w:r>
      <w:r w:rsidR="009452C9">
        <w:rPr>
          <w:sz w:val="32"/>
          <w:szCs w:val="32"/>
          <w:lang w:val="en-GB"/>
        </w:rPr>
        <w:t>capitalist</w:t>
      </w:r>
      <w:r w:rsidR="009B265E">
        <w:rPr>
          <w:sz w:val="32"/>
          <w:szCs w:val="32"/>
          <w:lang w:val="en-GB"/>
        </w:rPr>
        <w:t>,</w:t>
      </w:r>
      <w:r w:rsidR="009452C9">
        <w:rPr>
          <w:sz w:val="32"/>
          <w:szCs w:val="32"/>
          <w:lang w:val="en-GB"/>
        </w:rPr>
        <w:t xml:space="preserve"> and while</w:t>
      </w:r>
      <w:r w:rsidR="00A45AEB">
        <w:rPr>
          <w:sz w:val="32"/>
          <w:szCs w:val="32"/>
          <w:lang w:val="en-GB"/>
        </w:rPr>
        <w:t xml:space="preserve"> liberal democracy has held sway in much of the world</w:t>
      </w:r>
      <w:r w:rsidR="009F0D95">
        <w:rPr>
          <w:sz w:val="32"/>
          <w:szCs w:val="32"/>
          <w:lang w:val="en-GB"/>
        </w:rPr>
        <w:t>,</w:t>
      </w:r>
      <w:r w:rsidR="00C7463C">
        <w:rPr>
          <w:sz w:val="32"/>
          <w:szCs w:val="32"/>
          <w:lang w:val="en-GB"/>
        </w:rPr>
        <w:t xml:space="preserve"> </w:t>
      </w:r>
      <w:r w:rsidR="00A45AEB">
        <w:rPr>
          <w:sz w:val="32"/>
          <w:szCs w:val="32"/>
          <w:lang w:val="en-GB"/>
        </w:rPr>
        <w:t>authoritarian regimes</w:t>
      </w:r>
      <w:r w:rsidR="002E1EBC">
        <w:rPr>
          <w:sz w:val="32"/>
          <w:szCs w:val="32"/>
          <w:lang w:val="en-GB"/>
        </w:rPr>
        <w:t xml:space="preserve"> are numerous today. </w:t>
      </w:r>
    </w:p>
    <w:p w14:paraId="77118D69" w14:textId="45F281D8" w:rsidR="006911DF" w:rsidRDefault="008F4836">
      <w:pPr>
        <w:rPr>
          <w:sz w:val="32"/>
          <w:szCs w:val="32"/>
          <w:lang w:val="en-GB"/>
        </w:rPr>
      </w:pPr>
      <w:r>
        <w:rPr>
          <w:sz w:val="32"/>
          <w:szCs w:val="32"/>
          <w:lang w:val="en-GB"/>
        </w:rPr>
        <w:lastRenderedPageBreak/>
        <w:t>In every social formation t</w:t>
      </w:r>
      <w:r w:rsidR="00BA434C">
        <w:rPr>
          <w:sz w:val="32"/>
          <w:szCs w:val="32"/>
          <w:lang w:val="en-GB"/>
        </w:rPr>
        <w:t xml:space="preserve">he scales of justice are very clearly weighted </w:t>
      </w:r>
      <w:r w:rsidR="00E75B82">
        <w:rPr>
          <w:sz w:val="32"/>
          <w:szCs w:val="32"/>
          <w:lang w:val="en-GB"/>
        </w:rPr>
        <w:t>in favor of the state</w:t>
      </w:r>
      <w:r>
        <w:rPr>
          <w:sz w:val="32"/>
          <w:szCs w:val="32"/>
          <w:lang w:val="en-GB"/>
        </w:rPr>
        <w:t>,</w:t>
      </w:r>
      <w:r w:rsidR="00B97E7A">
        <w:rPr>
          <w:sz w:val="32"/>
          <w:szCs w:val="32"/>
          <w:lang w:val="en-GB"/>
        </w:rPr>
        <w:t xml:space="preserve"> </w:t>
      </w:r>
      <w:r w:rsidR="00E72090">
        <w:rPr>
          <w:sz w:val="32"/>
          <w:szCs w:val="32"/>
          <w:lang w:val="en-GB"/>
        </w:rPr>
        <w:t>its institutions</w:t>
      </w:r>
      <w:r w:rsidR="00B97E7A">
        <w:rPr>
          <w:sz w:val="32"/>
          <w:szCs w:val="32"/>
          <w:lang w:val="en-GB"/>
        </w:rPr>
        <w:t xml:space="preserve"> and the</w:t>
      </w:r>
      <w:r w:rsidR="0053324F">
        <w:rPr>
          <w:sz w:val="32"/>
          <w:szCs w:val="32"/>
          <w:lang w:val="en-GB"/>
        </w:rPr>
        <w:t xml:space="preserve"> dominant</w:t>
      </w:r>
      <w:r w:rsidR="00B97E7A">
        <w:rPr>
          <w:sz w:val="32"/>
          <w:szCs w:val="32"/>
          <w:lang w:val="en-GB"/>
        </w:rPr>
        <w:t xml:space="preserve"> class, </w:t>
      </w:r>
      <w:r w:rsidR="005D3EE2">
        <w:rPr>
          <w:sz w:val="32"/>
          <w:szCs w:val="32"/>
          <w:lang w:val="en-GB"/>
        </w:rPr>
        <w:t xml:space="preserve">with </w:t>
      </w:r>
      <w:r w:rsidR="00B97E7A">
        <w:rPr>
          <w:sz w:val="32"/>
          <w:szCs w:val="32"/>
          <w:lang w:val="en-GB"/>
        </w:rPr>
        <w:t>race</w:t>
      </w:r>
      <w:r w:rsidR="005D3EE2">
        <w:rPr>
          <w:sz w:val="32"/>
          <w:szCs w:val="32"/>
          <w:lang w:val="en-GB"/>
        </w:rPr>
        <w:t>,</w:t>
      </w:r>
      <w:r w:rsidR="000C382E">
        <w:rPr>
          <w:sz w:val="32"/>
          <w:szCs w:val="32"/>
          <w:lang w:val="en-GB"/>
        </w:rPr>
        <w:t xml:space="preserve"> religion</w:t>
      </w:r>
      <w:r w:rsidR="00B97E7A">
        <w:rPr>
          <w:sz w:val="32"/>
          <w:szCs w:val="32"/>
          <w:lang w:val="en-GB"/>
        </w:rPr>
        <w:t xml:space="preserve"> and gender</w:t>
      </w:r>
      <w:r w:rsidR="003D7503">
        <w:rPr>
          <w:sz w:val="32"/>
          <w:szCs w:val="32"/>
          <w:lang w:val="en-GB"/>
        </w:rPr>
        <w:t xml:space="preserve"> also important factors in the</w:t>
      </w:r>
      <w:r w:rsidR="005C4587">
        <w:rPr>
          <w:sz w:val="32"/>
          <w:szCs w:val="32"/>
          <w:lang w:val="en-GB"/>
        </w:rPr>
        <w:t xml:space="preserve"> struggle</w:t>
      </w:r>
      <w:r w:rsidR="00E72090">
        <w:rPr>
          <w:sz w:val="32"/>
          <w:szCs w:val="32"/>
          <w:lang w:val="en-GB"/>
        </w:rPr>
        <w:t>.</w:t>
      </w:r>
      <w:r w:rsidR="00E26D77">
        <w:rPr>
          <w:sz w:val="32"/>
          <w:szCs w:val="32"/>
          <w:lang w:val="en-GB"/>
        </w:rPr>
        <w:t xml:space="preserve"> </w:t>
      </w:r>
    </w:p>
    <w:p w14:paraId="593032A9" w14:textId="7E9A9C36" w:rsidR="007247AC" w:rsidRDefault="005446A8">
      <w:pPr>
        <w:rPr>
          <w:sz w:val="32"/>
          <w:szCs w:val="32"/>
          <w:lang w:val="en-GB"/>
        </w:rPr>
      </w:pPr>
      <w:r>
        <w:rPr>
          <w:sz w:val="32"/>
          <w:szCs w:val="32"/>
          <w:lang w:val="en-GB"/>
        </w:rPr>
        <w:t>In general,</w:t>
      </w:r>
      <w:r w:rsidR="0010151A">
        <w:rPr>
          <w:sz w:val="32"/>
          <w:szCs w:val="32"/>
          <w:lang w:val="en-GB"/>
        </w:rPr>
        <w:t xml:space="preserve"> largely</w:t>
      </w:r>
      <w:r>
        <w:rPr>
          <w:sz w:val="32"/>
          <w:szCs w:val="32"/>
          <w:lang w:val="en-GB"/>
        </w:rPr>
        <w:t xml:space="preserve"> </w:t>
      </w:r>
      <w:r w:rsidR="00D41444">
        <w:rPr>
          <w:sz w:val="32"/>
          <w:szCs w:val="32"/>
          <w:lang w:val="en-GB"/>
        </w:rPr>
        <w:t xml:space="preserve">because of the </w:t>
      </w:r>
      <w:r w:rsidR="0010151A">
        <w:rPr>
          <w:sz w:val="32"/>
          <w:szCs w:val="32"/>
          <w:lang w:val="en-GB"/>
        </w:rPr>
        <w:t>inculcation of</w:t>
      </w:r>
      <w:r w:rsidR="00D41444">
        <w:rPr>
          <w:sz w:val="32"/>
          <w:szCs w:val="32"/>
          <w:lang w:val="en-GB"/>
        </w:rPr>
        <w:t xml:space="preserve"> </w:t>
      </w:r>
      <w:r w:rsidR="00E66DC2">
        <w:rPr>
          <w:sz w:val="32"/>
          <w:szCs w:val="32"/>
          <w:lang w:val="en-GB"/>
        </w:rPr>
        <w:t xml:space="preserve"> hegemonic ideology</w:t>
      </w:r>
      <w:r w:rsidR="00504905">
        <w:rPr>
          <w:sz w:val="32"/>
          <w:szCs w:val="32"/>
          <w:lang w:val="en-GB"/>
        </w:rPr>
        <w:t>,</w:t>
      </w:r>
      <w:r w:rsidR="00D41444">
        <w:rPr>
          <w:sz w:val="32"/>
          <w:szCs w:val="32"/>
          <w:lang w:val="en-GB"/>
        </w:rPr>
        <w:t xml:space="preserve"> </w:t>
      </w:r>
      <w:r w:rsidR="00CA27A8">
        <w:rPr>
          <w:sz w:val="32"/>
          <w:szCs w:val="32"/>
          <w:lang w:val="en-GB"/>
        </w:rPr>
        <w:t>normalization of</w:t>
      </w:r>
      <w:r w:rsidR="00577D51">
        <w:rPr>
          <w:sz w:val="32"/>
          <w:szCs w:val="32"/>
          <w:lang w:val="en-GB"/>
        </w:rPr>
        <w:t xml:space="preserve"> one’s</w:t>
      </w:r>
      <w:r w:rsidR="004D50BF">
        <w:rPr>
          <w:sz w:val="32"/>
          <w:szCs w:val="32"/>
          <w:lang w:val="en-GB"/>
        </w:rPr>
        <w:t xml:space="preserve"> </w:t>
      </w:r>
      <w:r w:rsidR="000C01E7">
        <w:rPr>
          <w:sz w:val="32"/>
          <w:szCs w:val="32"/>
          <w:lang w:val="en-GB"/>
        </w:rPr>
        <w:t xml:space="preserve">unequal </w:t>
      </w:r>
      <w:r w:rsidR="00577D51">
        <w:rPr>
          <w:sz w:val="32"/>
          <w:szCs w:val="32"/>
          <w:lang w:val="en-GB"/>
        </w:rPr>
        <w:t xml:space="preserve"> position in the society and the capacity for state</w:t>
      </w:r>
      <w:r w:rsidR="006576CC">
        <w:rPr>
          <w:sz w:val="32"/>
          <w:szCs w:val="32"/>
          <w:lang w:val="en-GB"/>
        </w:rPr>
        <w:t xml:space="preserve"> repression</w:t>
      </w:r>
      <w:r w:rsidR="001537D9">
        <w:rPr>
          <w:sz w:val="32"/>
          <w:szCs w:val="32"/>
          <w:lang w:val="en-GB"/>
        </w:rPr>
        <w:t xml:space="preserve"> and/or co-option,</w:t>
      </w:r>
      <w:r w:rsidR="006576CC">
        <w:rPr>
          <w:sz w:val="32"/>
          <w:szCs w:val="32"/>
          <w:lang w:val="en-GB"/>
        </w:rPr>
        <w:t xml:space="preserve"> </w:t>
      </w:r>
      <w:r w:rsidR="00D41444">
        <w:rPr>
          <w:sz w:val="32"/>
          <w:szCs w:val="32"/>
          <w:lang w:val="en-GB"/>
        </w:rPr>
        <w:t>c</w:t>
      </w:r>
      <w:r w:rsidR="00643678">
        <w:rPr>
          <w:sz w:val="32"/>
          <w:szCs w:val="32"/>
          <w:lang w:val="en-GB"/>
        </w:rPr>
        <w:t>ommitment to the social formation is a limiting</w:t>
      </w:r>
      <w:r w:rsidR="00810296">
        <w:rPr>
          <w:sz w:val="32"/>
          <w:szCs w:val="32"/>
          <w:lang w:val="en-GB"/>
        </w:rPr>
        <w:t xml:space="preserve"> factor in the independence of lawyers</w:t>
      </w:r>
      <w:r w:rsidR="0030661E">
        <w:rPr>
          <w:sz w:val="32"/>
          <w:szCs w:val="32"/>
          <w:lang w:val="en-GB"/>
        </w:rPr>
        <w:t xml:space="preserve"> </w:t>
      </w:r>
      <w:r w:rsidR="009624B2">
        <w:rPr>
          <w:sz w:val="32"/>
          <w:szCs w:val="32"/>
          <w:lang w:val="en-GB"/>
        </w:rPr>
        <w:t>including m</w:t>
      </w:r>
      <w:r w:rsidR="00AF01E6">
        <w:rPr>
          <w:sz w:val="32"/>
          <w:szCs w:val="32"/>
          <w:lang w:val="en-GB"/>
        </w:rPr>
        <w:t>o</w:t>
      </w:r>
      <w:r w:rsidR="009624B2">
        <w:rPr>
          <w:sz w:val="32"/>
          <w:szCs w:val="32"/>
          <w:lang w:val="en-GB"/>
        </w:rPr>
        <w:t>st importantly perhaps judge</w:t>
      </w:r>
      <w:r w:rsidR="00AF01E6">
        <w:rPr>
          <w:sz w:val="32"/>
          <w:szCs w:val="32"/>
          <w:lang w:val="en-GB"/>
        </w:rPr>
        <w:t>s who</w:t>
      </w:r>
      <w:r w:rsidR="00C06E1C">
        <w:rPr>
          <w:sz w:val="32"/>
          <w:szCs w:val="32"/>
          <w:lang w:val="en-GB"/>
        </w:rPr>
        <w:t>,</w:t>
      </w:r>
      <w:r w:rsidR="00AF01E6">
        <w:rPr>
          <w:sz w:val="32"/>
          <w:szCs w:val="32"/>
          <w:lang w:val="en-GB"/>
        </w:rPr>
        <w:t xml:space="preserve"> theoretically</w:t>
      </w:r>
      <w:r w:rsidR="00FE50A4">
        <w:rPr>
          <w:sz w:val="32"/>
          <w:szCs w:val="32"/>
          <w:lang w:val="en-GB"/>
        </w:rPr>
        <w:t xml:space="preserve">, </w:t>
      </w:r>
      <w:r w:rsidR="00BF7644">
        <w:rPr>
          <w:sz w:val="32"/>
          <w:szCs w:val="32"/>
          <w:lang w:val="en-GB"/>
        </w:rPr>
        <w:t xml:space="preserve">are the guardians </w:t>
      </w:r>
      <w:r w:rsidR="009624B2">
        <w:rPr>
          <w:sz w:val="32"/>
          <w:szCs w:val="32"/>
          <w:lang w:val="en-GB"/>
        </w:rPr>
        <w:t>o</w:t>
      </w:r>
      <w:r w:rsidR="00BF7644">
        <w:rPr>
          <w:sz w:val="32"/>
          <w:szCs w:val="32"/>
          <w:lang w:val="en-GB"/>
        </w:rPr>
        <w:t>f the rule of</w:t>
      </w:r>
      <w:r w:rsidR="00F7343E">
        <w:rPr>
          <w:sz w:val="32"/>
          <w:szCs w:val="32"/>
          <w:lang w:val="en-GB"/>
        </w:rPr>
        <w:t xml:space="preserve"> law</w:t>
      </w:r>
      <w:r w:rsidR="00CE6B77">
        <w:rPr>
          <w:sz w:val="32"/>
          <w:szCs w:val="32"/>
          <w:lang w:val="en-GB"/>
        </w:rPr>
        <w:t xml:space="preserve">. </w:t>
      </w:r>
      <w:r w:rsidR="00C4360A">
        <w:rPr>
          <w:sz w:val="32"/>
          <w:szCs w:val="32"/>
          <w:lang w:val="en-GB"/>
        </w:rPr>
        <w:t>Consider:</w:t>
      </w:r>
      <w:r w:rsidR="005643D3">
        <w:rPr>
          <w:sz w:val="32"/>
          <w:szCs w:val="32"/>
          <w:lang w:val="en-GB"/>
        </w:rPr>
        <w:t xml:space="preserve"> </w:t>
      </w:r>
      <w:r w:rsidR="00C4360A">
        <w:rPr>
          <w:sz w:val="32"/>
          <w:szCs w:val="32"/>
          <w:lang w:val="en-GB"/>
        </w:rPr>
        <w:t>”</w:t>
      </w:r>
      <w:r w:rsidR="008E60D8">
        <w:rPr>
          <w:sz w:val="32"/>
          <w:szCs w:val="32"/>
          <w:lang w:val="en-GB"/>
        </w:rPr>
        <w:t>As followers of natural law and citizens</w:t>
      </w:r>
      <w:r w:rsidR="003B0240">
        <w:rPr>
          <w:sz w:val="32"/>
          <w:szCs w:val="32"/>
          <w:lang w:val="en-GB"/>
        </w:rPr>
        <w:t xml:space="preserve"> of a nominally egalitarian society, we tend to resist the concept of class </w:t>
      </w:r>
      <w:r w:rsidR="005643D3">
        <w:rPr>
          <w:sz w:val="32"/>
          <w:szCs w:val="32"/>
          <w:lang w:val="en-GB"/>
        </w:rPr>
        <w:t>struggle.</w:t>
      </w:r>
      <w:r w:rsidR="00EF7945">
        <w:rPr>
          <w:sz w:val="32"/>
          <w:szCs w:val="32"/>
          <w:lang w:val="en-GB"/>
        </w:rPr>
        <w:t xml:space="preserve"> I believe we</w:t>
      </w:r>
      <w:r w:rsidR="00AB2E5A">
        <w:rPr>
          <w:sz w:val="32"/>
          <w:szCs w:val="32"/>
          <w:lang w:val="en-GB"/>
        </w:rPr>
        <w:t xml:space="preserve"> resist it at our peril…we in fact have a dominant class in spite</w:t>
      </w:r>
      <w:r w:rsidR="001311C0">
        <w:rPr>
          <w:sz w:val="32"/>
          <w:szCs w:val="32"/>
          <w:lang w:val="en-GB"/>
        </w:rPr>
        <w:t xml:space="preserve"> of our principles to the contrary, that in operation</w:t>
      </w:r>
      <w:r w:rsidR="002E421D">
        <w:rPr>
          <w:sz w:val="32"/>
          <w:szCs w:val="32"/>
          <w:lang w:val="en-GB"/>
        </w:rPr>
        <w:t xml:space="preserve"> if not in intention it is an oppressor class</w:t>
      </w:r>
      <w:r w:rsidR="003D4BD2">
        <w:rPr>
          <w:sz w:val="32"/>
          <w:szCs w:val="32"/>
          <w:lang w:val="en-GB"/>
        </w:rPr>
        <w:t>, that we of the legal and academic professions</w:t>
      </w:r>
      <w:r w:rsidR="00D41048">
        <w:rPr>
          <w:sz w:val="32"/>
          <w:szCs w:val="32"/>
          <w:lang w:val="en-GB"/>
        </w:rPr>
        <w:t xml:space="preserve"> belong to it by occupation, mindset and lifestyle</w:t>
      </w:r>
      <w:r w:rsidR="003643B7">
        <w:rPr>
          <w:sz w:val="32"/>
          <w:szCs w:val="32"/>
          <w:lang w:val="en-GB"/>
        </w:rPr>
        <w:t xml:space="preserve">, that its oppressive position is </w:t>
      </w:r>
      <w:r w:rsidR="00B30FB3">
        <w:rPr>
          <w:sz w:val="32"/>
          <w:szCs w:val="32"/>
          <w:lang w:val="en-GB"/>
        </w:rPr>
        <w:t>powerfully supported by manny of our legal institutions, and that</w:t>
      </w:r>
      <w:r w:rsidR="007A5CA3">
        <w:rPr>
          <w:sz w:val="32"/>
          <w:szCs w:val="32"/>
          <w:lang w:val="en-GB"/>
        </w:rPr>
        <w:t xml:space="preserve"> if we ignore the situation we cannot avoid</w:t>
      </w:r>
      <w:r w:rsidR="00F7343E">
        <w:rPr>
          <w:sz w:val="32"/>
          <w:szCs w:val="32"/>
          <w:lang w:val="en-GB"/>
        </w:rPr>
        <w:t xml:space="preserve"> responsibility for it.</w:t>
      </w:r>
      <w:r w:rsidR="00B32733">
        <w:rPr>
          <w:sz w:val="32"/>
          <w:szCs w:val="32"/>
          <w:lang w:val="en-GB"/>
        </w:rPr>
        <w:t>”</w:t>
      </w:r>
      <w:r w:rsidR="003B49FF">
        <w:rPr>
          <w:rStyle w:val="FootnoteReference"/>
          <w:sz w:val="32"/>
          <w:szCs w:val="32"/>
          <w:lang w:val="en-GB"/>
        </w:rPr>
        <w:footnoteReference w:id="3"/>
      </w:r>
    </w:p>
    <w:p w14:paraId="0789E7D3" w14:textId="0C67C2D9" w:rsidR="00235F3E" w:rsidRPr="00C1688E" w:rsidRDefault="00A66C0B">
      <w:pPr>
        <w:rPr>
          <w:sz w:val="24"/>
          <w:szCs w:val="24"/>
          <w:lang w:val="en-GB"/>
        </w:rPr>
      </w:pPr>
      <w:r>
        <w:rPr>
          <w:sz w:val="32"/>
          <w:szCs w:val="32"/>
          <w:lang w:val="en-GB"/>
        </w:rPr>
        <w:t>[</w:t>
      </w:r>
      <w:r w:rsidRPr="00C1688E">
        <w:rPr>
          <w:sz w:val="24"/>
          <w:szCs w:val="24"/>
          <w:lang w:val="en-GB"/>
        </w:rPr>
        <w:t>And see attached, Boehringer,</w:t>
      </w:r>
      <w:r w:rsidR="00C1688E" w:rsidRPr="00C1688E">
        <w:rPr>
          <w:sz w:val="24"/>
          <w:szCs w:val="24"/>
          <w:lang w:val="en-GB"/>
        </w:rPr>
        <w:t xml:space="preserve"> G.H</w:t>
      </w:r>
      <w:r w:rsidR="00C1688E">
        <w:rPr>
          <w:sz w:val="24"/>
          <w:szCs w:val="24"/>
          <w:lang w:val="en-GB"/>
        </w:rPr>
        <w:t xml:space="preserve">, </w:t>
      </w:r>
      <w:r w:rsidR="00353001">
        <w:rPr>
          <w:sz w:val="24"/>
          <w:szCs w:val="24"/>
          <w:lang w:val="en-GB"/>
        </w:rPr>
        <w:t>Independence of the Judiciary in Capitalist “Democracies</w:t>
      </w:r>
      <w:r w:rsidR="00BC64EE">
        <w:rPr>
          <w:sz w:val="24"/>
          <w:szCs w:val="24"/>
          <w:lang w:val="en-GB"/>
        </w:rPr>
        <w:t>”: Contradictions, Ideology and Hegemony”</w:t>
      </w:r>
      <w:r w:rsidR="00B32733">
        <w:rPr>
          <w:sz w:val="24"/>
          <w:szCs w:val="24"/>
          <w:lang w:val="en-GB"/>
        </w:rPr>
        <w:t>]</w:t>
      </w:r>
    </w:p>
    <w:p w14:paraId="48C80185" w14:textId="20C394D2" w:rsidR="00D10D69" w:rsidRPr="00312B09" w:rsidRDefault="00D10D69">
      <w:pPr>
        <w:rPr>
          <w:b/>
          <w:bCs/>
          <w:sz w:val="32"/>
          <w:szCs w:val="32"/>
          <w:lang w:val="en-GB"/>
        </w:rPr>
      </w:pPr>
      <w:r w:rsidRPr="00312B09">
        <w:rPr>
          <w:b/>
          <w:bCs/>
          <w:sz w:val="32"/>
          <w:szCs w:val="32"/>
          <w:lang w:val="en-GB"/>
        </w:rPr>
        <w:t>A Primary Barrier to</w:t>
      </w:r>
      <w:r w:rsidR="00486793" w:rsidRPr="00312B09">
        <w:rPr>
          <w:b/>
          <w:bCs/>
          <w:sz w:val="32"/>
          <w:szCs w:val="32"/>
          <w:lang w:val="en-GB"/>
        </w:rPr>
        <w:t xml:space="preserve"> </w:t>
      </w:r>
      <w:r w:rsidR="00D0595E" w:rsidRPr="00312B09">
        <w:rPr>
          <w:b/>
          <w:bCs/>
          <w:sz w:val="32"/>
          <w:szCs w:val="32"/>
          <w:lang w:val="en-GB"/>
        </w:rPr>
        <w:t>Fulfilling</w:t>
      </w:r>
      <w:r w:rsidR="00312B09" w:rsidRPr="00312B09">
        <w:rPr>
          <w:b/>
          <w:bCs/>
          <w:sz w:val="32"/>
          <w:szCs w:val="32"/>
          <w:lang w:val="en-GB"/>
        </w:rPr>
        <w:t xml:space="preserve"> a </w:t>
      </w:r>
      <w:r w:rsidR="00486793" w:rsidRPr="00312B09">
        <w:rPr>
          <w:b/>
          <w:bCs/>
          <w:sz w:val="32"/>
          <w:szCs w:val="32"/>
          <w:lang w:val="en-GB"/>
        </w:rPr>
        <w:t>Lawyer</w:t>
      </w:r>
      <w:r w:rsidR="00312B09" w:rsidRPr="00312B09">
        <w:rPr>
          <w:b/>
          <w:bCs/>
          <w:sz w:val="32"/>
          <w:szCs w:val="32"/>
          <w:lang w:val="en-GB"/>
        </w:rPr>
        <w:t>’</w:t>
      </w:r>
      <w:r w:rsidR="00486793" w:rsidRPr="00312B09">
        <w:rPr>
          <w:b/>
          <w:bCs/>
          <w:sz w:val="32"/>
          <w:szCs w:val="32"/>
          <w:lang w:val="en-GB"/>
        </w:rPr>
        <w:t>s</w:t>
      </w:r>
      <w:r w:rsidR="00312B09" w:rsidRPr="00312B09">
        <w:rPr>
          <w:b/>
          <w:bCs/>
          <w:sz w:val="32"/>
          <w:szCs w:val="32"/>
          <w:lang w:val="en-GB"/>
        </w:rPr>
        <w:t xml:space="preserve"> Professional Duty</w:t>
      </w:r>
    </w:p>
    <w:p w14:paraId="17DA1D81" w14:textId="061719E1" w:rsidR="00E07D09" w:rsidRDefault="008F1DB5">
      <w:pPr>
        <w:rPr>
          <w:rFonts w:ascii="Calibri" w:hAnsi="Calibri" w:cs="Calibri"/>
          <w:sz w:val="32"/>
          <w:szCs w:val="32"/>
          <w:lang w:val="en-GB"/>
        </w:rPr>
      </w:pPr>
      <w:r w:rsidRPr="00FB0E83">
        <w:rPr>
          <w:rFonts w:ascii="Calibri" w:hAnsi="Calibri" w:cs="Calibri"/>
          <w:sz w:val="32"/>
          <w:szCs w:val="32"/>
          <w:lang w:val="en-GB"/>
        </w:rPr>
        <w:t>My submission</w:t>
      </w:r>
      <w:r w:rsidR="00077157">
        <w:rPr>
          <w:rFonts w:ascii="Calibri" w:hAnsi="Calibri" w:cs="Calibri"/>
          <w:sz w:val="32"/>
          <w:szCs w:val="32"/>
          <w:lang w:val="en-GB"/>
        </w:rPr>
        <w:t xml:space="preserve"> is</w:t>
      </w:r>
      <w:r w:rsidRPr="00FB0E83">
        <w:rPr>
          <w:rFonts w:ascii="Calibri" w:hAnsi="Calibri" w:cs="Calibri"/>
          <w:sz w:val="32"/>
          <w:szCs w:val="32"/>
          <w:lang w:val="en-GB"/>
        </w:rPr>
        <w:t xml:space="preserve"> focused on</w:t>
      </w:r>
      <w:r w:rsidR="0000094A">
        <w:rPr>
          <w:rFonts w:ascii="Calibri" w:hAnsi="Calibri" w:cs="Calibri"/>
          <w:sz w:val="32"/>
          <w:szCs w:val="32"/>
          <w:lang w:val="en-GB"/>
        </w:rPr>
        <w:t xml:space="preserve"> the most</w:t>
      </w:r>
      <w:r w:rsidR="00B22283">
        <w:rPr>
          <w:rFonts w:ascii="Calibri" w:hAnsi="Calibri" w:cs="Calibri"/>
          <w:sz w:val="32"/>
          <w:szCs w:val="32"/>
          <w:lang w:val="en-GB"/>
        </w:rPr>
        <w:t xml:space="preserve"> fundamental</w:t>
      </w:r>
      <w:r w:rsidRPr="00FB0E83">
        <w:rPr>
          <w:rFonts w:ascii="Calibri" w:hAnsi="Calibri" w:cs="Calibri"/>
          <w:sz w:val="32"/>
          <w:szCs w:val="32"/>
          <w:lang w:val="en-GB"/>
        </w:rPr>
        <w:t xml:space="preserve"> challenge and barrier to the legal professionals and community justice workers in </w:t>
      </w:r>
      <w:r w:rsidR="00C7463C">
        <w:rPr>
          <w:rFonts w:ascii="Calibri" w:hAnsi="Calibri" w:cs="Calibri"/>
          <w:sz w:val="32"/>
          <w:szCs w:val="32"/>
          <w:lang w:val="en-GB"/>
        </w:rPr>
        <w:t>any country</w:t>
      </w:r>
      <w:r w:rsidR="005D4385">
        <w:rPr>
          <w:rFonts w:ascii="Calibri" w:hAnsi="Calibri" w:cs="Calibri"/>
          <w:sz w:val="32"/>
          <w:szCs w:val="32"/>
          <w:lang w:val="en-GB"/>
        </w:rPr>
        <w:t>: the threat of murderous attacks.</w:t>
      </w:r>
      <w:r w:rsidR="00BA2AF3">
        <w:rPr>
          <w:rFonts w:ascii="Calibri" w:hAnsi="Calibri" w:cs="Calibri"/>
          <w:sz w:val="32"/>
          <w:szCs w:val="32"/>
          <w:lang w:val="en-GB"/>
        </w:rPr>
        <w:t xml:space="preserve"> Part of the struggle over law-</w:t>
      </w:r>
      <w:r w:rsidR="00A3528D">
        <w:rPr>
          <w:rFonts w:ascii="Calibri" w:hAnsi="Calibri" w:cs="Calibri"/>
          <w:sz w:val="32"/>
          <w:szCs w:val="32"/>
          <w:lang w:val="en-GB"/>
        </w:rPr>
        <w:t xml:space="preserve"> </w:t>
      </w:r>
      <w:r w:rsidR="00BA2AF3">
        <w:rPr>
          <w:rFonts w:ascii="Calibri" w:hAnsi="Calibri" w:cs="Calibri"/>
          <w:sz w:val="32"/>
          <w:szCs w:val="32"/>
          <w:lang w:val="en-GB"/>
        </w:rPr>
        <w:t>and justice</w:t>
      </w:r>
      <w:r w:rsidR="001C142D">
        <w:rPr>
          <w:rFonts w:ascii="Calibri" w:hAnsi="Calibri" w:cs="Calibri"/>
          <w:sz w:val="32"/>
          <w:szCs w:val="32"/>
          <w:lang w:val="en-GB"/>
        </w:rPr>
        <w:t xml:space="preserve"> </w:t>
      </w:r>
      <w:r w:rsidR="00A3528D">
        <w:rPr>
          <w:rFonts w:ascii="Calibri" w:hAnsi="Calibri" w:cs="Calibri"/>
          <w:sz w:val="32"/>
          <w:szCs w:val="32"/>
          <w:lang w:val="en-GB"/>
        </w:rPr>
        <w:t xml:space="preserve">- </w:t>
      </w:r>
      <w:r w:rsidR="00BA2AF3">
        <w:rPr>
          <w:rFonts w:ascii="Calibri" w:hAnsi="Calibri" w:cs="Calibri"/>
          <w:sz w:val="32"/>
          <w:szCs w:val="32"/>
          <w:lang w:val="en-GB"/>
        </w:rPr>
        <w:t>is</w:t>
      </w:r>
      <w:r w:rsidR="00341EF4">
        <w:rPr>
          <w:rFonts w:ascii="Calibri" w:hAnsi="Calibri" w:cs="Calibri"/>
          <w:sz w:val="32"/>
          <w:szCs w:val="32"/>
          <w:lang w:val="en-GB"/>
        </w:rPr>
        <w:t xml:space="preserve"> the willingness of</w:t>
      </w:r>
      <w:r w:rsidR="006A1847">
        <w:rPr>
          <w:rFonts w:ascii="Calibri" w:hAnsi="Calibri" w:cs="Calibri"/>
          <w:sz w:val="32"/>
          <w:szCs w:val="32"/>
          <w:lang w:val="en-GB"/>
        </w:rPr>
        <w:t xml:space="preserve"> some actors to</w:t>
      </w:r>
      <w:r w:rsidR="001C6A5D">
        <w:rPr>
          <w:rFonts w:ascii="Calibri" w:hAnsi="Calibri" w:cs="Calibri"/>
          <w:sz w:val="32"/>
          <w:szCs w:val="32"/>
          <w:lang w:val="en-GB"/>
        </w:rPr>
        <w:t xml:space="preserve"> try to eliminate</w:t>
      </w:r>
      <w:r w:rsidR="00145568">
        <w:rPr>
          <w:rFonts w:ascii="Calibri" w:hAnsi="Calibri" w:cs="Calibri"/>
          <w:sz w:val="32"/>
          <w:szCs w:val="32"/>
          <w:lang w:val="en-GB"/>
        </w:rPr>
        <w:t xml:space="preserve"> legal professionals-even community justice workers</w:t>
      </w:r>
      <w:r w:rsidR="00B16474">
        <w:rPr>
          <w:rFonts w:ascii="Calibri" w:hAnsi="Calibri" w:cs="Calibri"/>
          <w:sz w:val="32"/>
          <w:szCs w:val="32"/>
          <w:lang w:val="en-GB"/>
        </w:rPr>
        <w:t>-</w:t>
      </w:r>
      <w:r w:rsidR="00145568">
        <w:rPr>
          <w:rFonts w:ascii="Calibri" w:hAnsi="Calibri" w:cs="Calibri"/>
          <w:sz w:val="32"/>
          <w:szCs w:val="32"/>
          <w:lang w:val="en-GB"/>
        </w:rPr>
        <w:t xml:space="preserve"> from the fray</w:t>
      </w:r>
      <w:r w:rsidR="00E07D09">
        <w:rPr>
          <w:rFonts w:ascii="Calibri" w:hAnsi="Calibri" w:cs="Calibri"/>
          <w:sz w:val="32"/>
          <w:szCs w:val="32"/>
          <w:lang w:val="en-GB"/>
        </w:rPr>
        <w:t>.</w:t>
      </w:r>
    </w:p>
    <w:p w14:paraId="7FFDA342" w14:textId="25479E48" w:rsidR="006945FF" w:rsidRDefault="006945FF">
      <w:pPr>
        <w:rPr>
          <w:rFonts w:ascii="Calibri" w:hAnsi="Calibri" w:cs="Calibri"/>
          <w:sz w:val="32"/>
          <w:szCs w:val="32"/>
          <w:lang w:val="en-GB"/>
        </w:rPr>
      </w:pPr>
      <w:r>
        <w:rPr>
          <w:rFonts w:ascii="Calibri" w:hAnsi="Calibri" w:cs="Calibri"/>
          <w:sz w:val="32"/>
          <w:szCs w:val="32"/>
          <w:lang w:val="en-GB"/>
        </w:rPr>
        <w:lastRenderedPageBreak/>
        <w:t xml:space="preserve">As </w:t>
      </w:r>
      <w:r w:rsidR="00F06C08">
        <w:rPr>
          <w:rFonts w:ascii="Calibri" w:hAnsi="Calibri" w:cs="Calibri"/>
          <w:sz w:val="32"/>
          <w:szCs w:val="32"/>
          <w:lang w:val="en-GB"/>
        </w:rPr>
        <w:t>Ca</w:t>
      </w:r>
      <w:r w:rsidR="00782827">
        <w:rPr>
          <w:rFonts w:ascii="Calibri" w:hAnsi="Calibri" w:cs="Calibri"/>
          <w:sz w:val="32"/>
          <w:szCs w:val="32"/>
          <w:lang w:val="en-GB"/>
        </w:rPr>
        <w:t>m</w:t>
      </w:r>
      <w:r w:rsidR="00F06C08">
        <w:rPr>
          <w:rFonts w:ascii="Calibri" w:hAnsi="Calibri" w:cs="Calibri"/>
          <w:sz w:val="32"/>
          <w:szCs w:val="32"/>
          <w:lang w:val="en-GB"/>
        </w:rPr>
        <w:t>eron has written “</w:t>
      </w:r>
      <w:r w:rsidR="005578E3">
        <w:rPr>
          <w:rFonts w:ascii="Calibri" w:hAnsi="Calibri" w:cs="Calibri"/>
          <w:sz w:val="32"/>
          <w:szCs w:val="32"/>
          <w:lang w:val="en-GB"/>
        </w:rPr>
        <w:t xml:space="preserve"> One of the tools that authoritarian governments now</w:t>
      </w:r>
      <w:r w:rsidR="005E65AA">
        <w:rPr>
          <w:rFonts w:ascii="Calibri" w:hAnsi="Calibri" w:cs="Calibri"/>
          <w:sz w:val="32"/>
          <w:szCs w:val="32"/>
          <w:lang w:val="en-GB"/>
        </w:rPr>
        <w:t xml:space="preserve"> use with greater frequency to restrict and pressure members of civil society</w:t>
      </w:r>
      <w:r w:rsidR="002C32B3">
        <w:rPr>
          <w:rFonts w:ascii="Calibri" w:hAnsi="Calibri" w:cs="Calibri"/>
          <w:sz w:val="32"/>
          <w:szCs w:val="32"/>
          <w:lang w:val="en-GB"/>
        </w:rPr>
        <w:t xml:space="preserve"> and opposition figures is to target the lawyers who represent them in the legal system</w:t>
      </w:r>
      <w:r w:rsidR="00BB3753">
        <w:rPr>
          <w:rFonts w:ascii="Calibri" w:hAnsi="Calibri" w:cs="Calibri"/>
          <w:sz w:val="32"/>
          <w:szCs w:val="32"/>
          <w:lang w:val="en-GB"/>
        </w:rPr>
        <w:t>…</w:t>
      </w:r>
      <w:r w:rsidR="00A44480">
        <w:rPr>
          <w:rFonts w:ascii="Calibri" w:hAnsi="Calibri" w:cs="Calibri"/>
          <w:sz w:val="32"/>
          <w:szCs w:val="32"/>
          <w:lang w:val="en-GB"/>
        </w:rPr>
        <w:t>The rational…is simple…</w:t>
      </w:r>
      <w:r w:rsidR="001F0E66">
        <w:rPr>
          <w:rFonts w:ascii="Calibri" w:hAnsi="Calibri" w:cs="Calibri"/>
          <w:sz w:val="32"/>
          <w:szCs w:val="32"/>
          <w:lang w:val="en-GB"/>
        </w:rPr>
        <w:t>once a reg</w:t>
      </w:r>
      <w:r w:rsidR="00711011">
        <w:rPr>
          <w:rFonts w:ascii="Calibri" w:hAnsi="Calibri" w:cs="Calibri"/>
          <w:sz w:val="32"/>
          <w:szCs w:val="32"/>
          <w:lang w:val="en-GB"/>
        </w:rPr>
        <w:t>i</w:t>
      </w:r>
      <w:r w:rsidR="001F0E66">
        <w:rPr>
          <w:rFonts w:ascii="Calibri" w:hAnsi="Calibri" w:cs="Calibri"/>
          <w:sz w:val="32"/>
          <w:szCs w:val="32"/>
          <w:lang w:val="en-GB"/>
        </w:rPr>
        <w:t>me  manages to</w:t>
      </w:r>
      <w:r w:rsidR="00711011">
        <w:rPr>
          <w:rFonts w:ascii="Calibri" w:hAnsi="Calibri" w:cs="Calibri"/>
          <w:sz w:val="32"/>
          <w:szCs w:val="32"/>
          <w:lang w:val="en-GB"/>
        </w:rPr>
        <w:t xml:space="preserve"> </w:t>
      </w:r>
      <w:r w:rsidR="007F10DE">
        <w:rPr>
          <w:rFonts w:ascii="Calibri" w:hAnsi="Calibri" w:cs="Calibri"/>
          <w:sz w:val="32"/>
          <w:szCs w:val="32"/>
          <w:lang w:val="en-GB"/>
        </w:rPr>
        <w:t>sideline principled attorneys…independe</w:t>
      </w:r>
      <w:r w:rsidR="003F2834">
        <w:rPr>
          <w:rFonts w:ascii="Calibri" w:hAnsi="Calibri" w:cs="Calibri"/>
          <w:sz w:val="32"/>
          <w:szCs w:val="32"/>
          <w:lang w:val="en-GB"/>
        </w:rPr>
        <w:t>nt judges…access to legitimate representation</w:t>
      </w:r>
      <w:r w:rsidR="00A27A71">
        <w:rPr>
          <w:rFonts w:ascii="Calibri" w:hAnsi="Calibri" w:cs="Calibri"/>
          <w:sz w:val="32"/>
          <w:szCs w:val="32"/>
          <w:lang w:val="en-GB"/>
        </w:rPr>
        <w:t xml:space="preserve"> dwindles and the rule of law becomes fundamentally compromised</w:t>
      </w:r>
      <w:r w:rsidR="00F615A0">
        <w:rPr>
          <w:rFonts w:ascii="Calibri" w:hAnsi="Calibri" w:cs="Calibri"/>
          <w:sz w:val="32"/>
          <w:szCs w:val="32"/>
          <w:lang w:val="en-GB"/>
        </w:rPr>
        <w:t>”.</w:t>
      </w:r>
      <w:r w:rsidR="00107065">
        <w:rPr>
          <w:rStyle w:val="FootnoteReference"/>
          <w:rFonts w:ascii="Calibri" w:hAnsi="Calibri" w:cs="Calibri"/>
          <w:sz w:val="32"/>
          <w:szCs w:val="32"/>
          <w:lang w:val="en-GB"/>
        </w:rPr>
        <w:footnoteReference w:id="4"/>
      </w:r>
    </w:p>
    <w:p w14:paraId="2EA6E697" w14:textId="7CF1833B" w:rsidR="00202BDF" w:rsidRDefault="00B4601D">
      <w:pPr>
        <w:rPr>
          <w:rFonts w:ascii="Calibri" w:hAnsi="Calibri" w:cs="Calibri"/>
          <w:sz w:val="32"/>
          <w:szCs w:val="32"/>
          <w:lang w:val="en-GB"/>
        </w:rPr>
      </w:pPr>
      <w:r>
        <w:rPr>
          <w:rFonts w:ascii="Calibri" w:hAnsi="Calibri" w:cs="Calibri"/>
          <w:sz w:val="32"/>
          <w:szCs w:val="32"/>
          <w:lang w:val="en-GB"/>
        </w:rPr>
        <w:t xml:space="preserve">She further </w:t>
      </w:r>
      <w:r w:rsidR="006C45C5">
        <w:rPr>
          <w:rFonts w:ascii="Calibri" w:hAnsi="Calibri" w:cs="Calibri"/>
          <w:sz w:val="32"/>
          <w:szCs w:val="32"/>
          <w:lang w:val="en-GB"/>
        </w:rPr>
        <w:t>not</w:t>
      </w:r>
      <w:r>
        <w:rPr>
          <w:rFonts w:ascii="Calibri" w:hAnsi="Calibri" w:cs="Calibri"/>
          <w:sz w:val="32"/>
          <w:szCs w:val="32"/>
          <w:lang w:val="en-GB"/>
        </w:rPr>
        <w:t>es the</w:t>
      </w:r>
      <w:r w:rsidR="00CA2E0E">
        <w:rPr>
          <w:rFonts w:ascii="Calibri" w:hAnsi="Calibri" w:cs="Calibri"/>
          <w:sz w:val="32"/>
          <w:szCs w:val="32"/>
          <w:lang w:val="en-GB"/>
        </w:rPr>
        <w:t xml:space="preserve"> dimensions of</w:t>
      </w:r>
      <w:r w:rsidR="006C45C5">
        <w:rPr>
          <w:rFonts w:ascii="Calibri" w:hAnsi="Calibri" w:cs="Calibri"/>
          <w:sz w:val="32"/>
          <w:szCs w:val="32"/>
          <w:lang w:val="en-GB"/>
        </w:rPr>
        <w:t xml:space="preserve"> the</w:t>
      </w:r>
      <w:r>
        <w:rPr>
          <w:rFonts w:ascii="Calibri" w:hAnsi="Calibri" w:cs="Calibri"/>
          <w:sz w:val="32"/>
          <w:szCs w:val="32"/>
          <w:lang w:val="en-GB"/>
        </w:rPr>
        <w:t xml:space="preserve"> current</w:t>
      </w:r>
      <w:r w:rsidR="000F220C">
        <w:rPr>
          <w:rFonts w:ascii="Calibri" w:hAnsi="Calibri" w:cs="Calibri"/>
          <w:sz w:val="32"/>
          <w:szCs w:val="32"/>
          <w:lang w:val="en-GB"/>
        </w:rPr>
        <w:t xml:space="preserve"> threat: “The trend is clear</w:t>
      </w:r>
      <w:r w:rsidR="00CA2E0E">
        <w:rPr>
          <w:rFonts w:ascii="Calibri" w:hAnsi="Calibri" w:cs="Calibri"/>
          <w:sz w:val="32"/>
          <w:szCs w:val="32"/>
          <w:lang w:val="en-GB"/>
        </w:rPr>
        <w:t>:</w:t>
      </w:r>
      <w:r w:rsidR="006C45C5">
        <w:rPr>
          <w:rFonts w:ascii="Calibri" w:hAnsi="Calibri" w:cs="Calibri"/>
          <w:sz w:val="32"/>
          <w:szCs w:val="32"/>
          <w:lang w:val="en-GB"/>
        </w:rPr>
        <w:t xml:space="preserve"> </w:t>
      </w:r>
      <w:r w:rsidR="00CA2E0E">
        <w:rPr>
          <w:rFonts w:ascii="Calibri" w:hAnsi="Calibri" w:cs="Calibri"/>
          <w:sz w:val="32"/>
          <w:szCs w:val="32"/>
          <w:lang w:val="en-GB"/>
        </w:rPr>
        <w:t>lawyers are under attack</w:t>
      </w:r>
      <w:r w:rsidR="00EA6921">
        <w:rPr>
          <w:rFonts w:ascii="Calibri" w:hAnsi="Calibri" w:cs="Calibri"/>
          <w:sz w:val="32"/>
          <w:szCs w:val="32"/>
          <w:lang w:val="en-GB"/>
        </w:rPr>
        <w:t xml:space="preserve"> because of their work, and they need better protection</w:t>
      </w:r>
      <w:r w:rsidR="00163022">
        <w:rPr>
          <w:rFonts w:ascii="Calibri" w:hAnsi="Calibri" w:cs="Calibri"/>
          <w:sz w:val="32"/>
          <w:szCs w:val="32"/>
          <w:lang w:val="en-GB"/>
        </w:rPr>
        <w:t>s to sustain the viability of justice</w:t>
      </w:r>
      <w:r w:rsidR="000817F9">
        <w:rPr>
          <w:rFonts w:ascii="Calibri" w:hAnsi="Calibri" w:cs="Calibri"/>
          <w:sz w:val="32"/>
          <w:szCs w:val="32"/>
          <w:lang w:val="en-GB"/>
        </w:rPr>
        <w:t xml:space="preserve"> systems. In a</w:t>
      </w:r>
      <w:r w:rsidR="006D7B5D">
        <w:rPr>
          <w:rFonts w:ascii="Calibri" w:hAnsi="Calibri" w:cs="Calibri"/>
          <w:sz w:val="32"/>
          <w:szCs w:val="32"/>
          <w:lang w:val="en-GB"/>
        </w:rPr>
        <w:t xml:space="preserve"> </w:t>
      </w:r>
      <w:r w:rsidR="000817F9">
        <w:rPr>
          <w:rFonts w:ascii="Calibri" w:hAnsi="Calibri" w:cs="Calibri"/>
          <w:sz w:val="32"/>
          <w:szCs w:val="32"/>
          <w:lang w:val="en-GB"/>
        </w:rPr>
        <w:t>2022 report, former UN</w:t>
      </w:r>
      <w:r w:rsidR="00ED32EE">
        <w:rPr>
          <w:rFonts w:ascii="Calibri" w:hAnsi="Calibri" w:cs="Calibri"/>
          <w:sz w:val="32"/>
          <w:szCs w:val="32"/>
          <w:lang w:val="en-GB"/>
        </w:rPr>
        <w:t xml:space="preserve"> Special Rapporteur on the independence of</w:t>
      </w:r>
      <w:r w:rsidR="00AE067C">
        <w:rPr>
          <w:rFonts w:ascii="Calibri" w:hAnsi="Calibri" w:cs="Calibri"/>
          <w:sz w:val="32"/>
          <w:szCs w:val="32"/>
          <w:lang w:val="en-GB"/>
        </w:rPr>
        <w:t xml:space="preserve"> judges and lawyers Diego Garcia-Sayan</w:t>
      </w:r>
      <w:r w:rsidR="00911A70">
        <w:rPr>
          <w:rFonts w:ascii="Calibri" w:hAnsi="Calibri" w:cs="Calibri"/>
          <w:sz w:val="32"/>
          <w:szCs w:val="32"/>
          <w:lang w:val="en-GB"/>
        </w:rPr>
        <w:t xml:space="preserve"> noted” a global increase in practices that</w:t>
      </w:r>
      <w:r w:rsidR="009906A4">
        <w:rPr>
          <w:rFonts w:ascii="Calibri" w:hAnsi="Calibri" w:cs="Calibri"/>
          <w:sz w:val="32"/>
          <w:szCs w:val="32"/>
          <w:lang w:val="en-GB"/>
        </w:rPr>
        <w:t xml:space="preserve"> unde</w:t>
      </w:r>
      <w:r w:rsidR="00F91F95">
        <w:rPr>
          <w:rFonts w:ascii="Calibri" w:hAnsi="Calibri" w:cs="Calibri"/>
          <w:sz w:val="32"/>
          <w:szCs w:val="32"/>
          <w:lang w:val="en-GB"/>
        </w:rPr>
        <w:t>r</w:t>
      </w:r>
      <w:r w:rsidR="009906A4">
        <w:rPr>
          <w:rFonts w:ascii="Calibri" w:hAnsi="Calibri" w:cs="Calibri"/>
          <w:sz w:val="32"/>
          <w:szCs w:val="32"/>
          <w:lang w:val="en-GB"/>
        </w:rPr>
        <w:t>mine,</w:t>
      </w:r>
      <w:r w:rsidR="00F91F95">
        <w:rPr>
          <w:rFonts w:ascii="Calibri" w:hAnsi="Calibri" w:cs="Calibri"/>
          <w:sz w:val="32"/>
          <w:szCs w:val="32"/>
          <w:lang w:val="en-GB"/>
        </w:rPr>
        <w:t xml:space="preserve"> </w:t>
      </w:r>
      <w:r w:rsidR="009906A4">
        <w:rPr>
          <w:rFonts w:ascii="Calibri" w:hAnsi="Calibri" w:cs="Calibri"/>
          <w:sz w:val="32"/>
          <w:szCs w:val="32"/>
          <w:lang w:val="en-GB"/>
        </w:rPr>
        <w:t>limit, restrict and hinder the practice of law</w:t>
      </w:r>
      <w:r w:rsidR="00803822">
        <w:rPr>
          <w:rFonts w:ascii="Calibri" w:hAnsi="Calibri" w:cs="Calibri"/>
          <w:sz w:val="32"/>
          <w:szCs w:val="32"/>
          <w:lang w:val="en-GB"/>
        </w:rPr>
        <w:t>”. He also has reported that in the decade from 2010 to 2020</w:t>
      </w:r>
      <w:r w:rsidR="00406104">
        <w:rPr>
          <w:rFonts w:ascii="Calibri" w:hAnsi="Calibri" w:cs="Calibri"/>
          <w:sz w:val="32"/>
          <w:szCs w:val="32"/>
          <w:lang w:val="en-GB"/>
        </w:rPr>
        <w:t xml:space="preserve"> more than 2,500 lawyers were killed, detained or kidnapped around the world”.</w:t>
      </w:r>
      <w:r w:rsidR="00593250">
        <w:rPr>
          <w:rStyle w:val="FootnoteReference"/>
          <w:rFonts w:ascii="Calibri" w:hAnsi="Calibri" w:cs="Calibri"/>
          <w:sz w:val="32"/>
          <w:szCs w:val="32"/>
          <w:lang w:val="en-GB"/>
        </w:rPr>
        <w:footnoteReference w:id="5"/>
      </w:r>
    </w:p>
    <w:p w14:paraId="75091DFB" w14:textId="31060AF1" w:rsidR="00AA693B" w:rsidRPr="00AA693B" w:rsidRDefault="00AA693B">
      <w:pPr>
        <w:rPr>
          <w:rFonts w:ascii="Calibri" w:hAnsi="Calibri" w:cs="Calibri"/>
          <w:b/>
          <w:bCs/>
          <w:sz w:val="32"/>
          <w:szCs w:val="32"/>
          <w:lang w:val="en-GB"/>
        </w:rPr>
      </w:pPr>
      <w:r w:rsidRPr="00AA693B">
        <w:rPr>
          <w:rFonts w:ascii="Calibri" w:hAnsi="Calibri" w:cs="Calibri"/>
          <w:b/>
          <w:bCs/>
          <w:sz w:val="32"/>
          <w:szCs w:val="32"/>
          <w:lang w:val="en-GB"/>
        </w:rPr>
        <w:t>The attacks in the Philippines</w:t>
      </w:r>
    </w:p>
    <w:p w14:paraId="531B756F" w14:textId="56379D33" w:rsidR="008F1DB5" w:rsidRPr="00FB0E83" w:rsidRDefault="008F1DB5">
      <w:pPr>
        <w:rPr>
          <w:rFonts w:ascii="Calibri" w:hAnsi="Calibri" w:cs="Calibri"/>
          <w:sz w:val="32"/>
          <w:szCs w:val="32"/>
          <w:lang w:val="en-GB"/>
        </w:rPr>
      </w:pPr>
      <w:r w:rsidRPr="00FB0E83">
        <w:rPr>
          <w:rFonts w:ascii="Calibri" w:hAnsi="Calibri" w:cs="Calibri"/>
          <w:sz w:val="32"/>
          <w:szCs w:val="32"/>
          <w:lang w:val="en-GB"/>
        </w:rPr>
        <w:t>The primary focus of my research</w:t>
      </w:r>
      <w:r w:rsidR="002D6AD0">
        <w:rPr>
          <w:rFonts w:ascii="Calibri" w:hAnsi="Calibri" w:cs="Calibri"/>
          <w:sz w:val="32"/>
          <w:szCs w:val="32"/>
          <w:lang w:val="en-GB"/>
        </w:rPr>
        <w:t xml:space="preserve"> in the Philippines</w:t>
      </w:r>
      <w:r w:rsidRPr="00FB0E83">
        <w:rPr>
          <w:rFonts w:ascii="Calibri" w:hAnsi="Calibri" w:cs="Calibri"/>
          <w:sz w:val="32"/>
          <w:szCs w:val="32"/>
          <w:lang w:val="en-GB"/>
        </w:rPr>
        <w:t xml:space="preserve"> over the past 15 years has been the murderous attacks on judges, prosecutors, attorneys and </w:t>
      </w:r>
      <w:r w:rsidR="00E37276">
        <w:rPr>
          <w:rFonts w:ascii="Calibri" w:hAnsi="Calibri" w:cs="Calibri"/>
          <w:sz w:val="32"/>
          <w:szCs w:val="32"/>
          <w:lang w:val="en-GB"/>
        </w:rPr>
        <w:t>community justice workers</w:t>
      </w:r>
      <w:r w:rsidR="0009492C">
        <w:rPr>
          <w:rFonts w:ascii="Calibri" w:hAnsi="Calibri" w:cs="Calibri"/>
          <w:sz w:val="32"/>
          <w:szCs w:val="32"/>
          <w:lang w:val="en-GB"/>
        </w:rPr>
        <w:t>/</w:t>
      </w:r>
      <w:r w:rsidRPr="00FB0E83">
        <w:rPr>
          <w:rFonts w:ascii="Calibri" w:hAnsi="Calibri" w:cs="Calibri"/>
          <w:sz w:val="32"/>
          <w:szCs w:val="32"/>
          <w:lang w:val="en-GB"/>
        </w:rPr>
        <w:t>paralegals</w:t>
      </w:r>
      <w:r w:rsidR="000B5BBA">
        <w:rPr>
          <w:rFonts w:ascii="Calibri" w:hAnsi="Calibri" w:cs="Calibri"/>
          <w:sz w:val="32"/>
          <w:szCs w:val="32"/>
          <w:lang w:val="en-GB"/>
        </w:rPr>
        <w:t xml:space="preserve"> and the negative impact the</w:t>
      </w:r>
      <w:r w:rsidR="00A00E51">
        <w:rPr>
          <w:rFonts w:ascii="Calibri" w:hAnsi="Calibri" w:cs="Calibri"/>
          <w:sz w:val="32"/>
          <w:szCs w:val="32"/>
          <w:lang w:val="en-GB"/>
        </w:rPr>
        <w:t>y</w:t>
      </w:r>
      <w:r w:rsidR="000B5BBA">
        <w:rPr>
          <w:rFonts w:ascii="Calibri" w:hAnsi="Calibri" w:cs="Calibri"/>
          <w:sz w:val="32"/>
          <w:szCs w:val="32"/>
          <w:lang w:val="en-GB"/>
        </w:rPr>
        <w:t xml:space="preserve"> have on the</w:t>
      </w:r>
      <w:r w:rsidR="001072CC">
        <w:rPr>
          <w:rFonts w:ascii="Calibri" w:hAnsi="Calibri" w:cs="Calibri"/>
          <w:sz w:val="32"/>
          <w:szCs w:val="32"/>
          <w:lang w:val="en-GB"/>
        </w:rPr>
        <w:t xml:space="preserve"> victim</w:t>
      </w:r>
      <w:r w:rsidR="000B5BBA">
        <w:rPr>
          <w:rFonts w:ascii="Calibri" w:hAnsi="Calibri" w:cs="Calibri"/>
          <w:sz w:val="32"/>
          <w:szCs w:val="32"/>
          <w:lang w:val="en-GB"/>
        </w:rPr>
        <w:t xml:space="preserve"> </w:t>
      </w:r>
      <w:r w:rsidR="007B10FC">
        <w:rPr>
          <w:rFonts w:ascii="Calibri" w:hAnsi="Calibri" w:cs="Calibri"/>
          <w:sz w:val="32"/>
          <w:szCs w:val="32"/>
          <w:lang w:val="en-GB"/>
        </w:rPr>
        <w:t xml:space="preserve"> and others suffering harm from such assaults.</w:t>
      </w:r>
      <w:r w:rsidR="00EE0452">
        <w:rPr>
          <w:rFonts w:ascii="Calibri" w:hAnsi="Calibri" w:cs="Calibri"/>
          <w:sz w:val="32"/>
          <w:szCs w:val="32"/>
          <w:lang w:val="en-GB"/>
        </w:rPr>
        <w:t xml:space="preserve">[ </w:t>
      </w:r>
      <w:r w:rsidR="00144533">
        <w:rPr>
          <w:rFonts w:ascii="Calibri" w:hAnsi="Calibri" w:cs="Calibri"/>
          <w:sz w:val="32"/>
          <w:szCs w:val="32"/>
          <w:lang w:val="en-GB"/>
        </w:rPr>
        <w:t>S</w:t>
      </w:r>
      <w:r w:rsidR="00EE0452">
        <w:rPr>
          <w:rFonts w:ascii="Calibri" w:hAnsi="Calibri" w:cs="Calibri"/>
          <w:sz w:val="32"/>
          <w:szCs w:val="32"/>
          <w:lang w:val="en-GB"/>
        </w:rPr>
        <w:t xml:space="preserve">ee my paper attached: </w:t>
      </w:r>
      <w:r w:rsidR="00144533">
        <w:rPr>
          <w:rFonts w:ascii="Calibri" w:hAnsi="Calibri" w:cs="Calibri"/>
          <w:sz w:val="32"/>
          <w:szCs w:val="32"/>
          <w:lang w:val="en-GB"/>
        </w:rPr>
        <w:t>“</w:t>
      </w:r>
      <w:r w:rsidR="00EE0452">
        <w:rPr>
          <w:rFonts w:ascii="Calibri" w:hAnsi="Calibri" w:cs="Calibri"/>
          <w:sz w:val="32"/>
          <w:szCs w:val="32"/>
          <w:lang w:val="en-GB"/>
        </w:rPr>
        <w:t>Judges killed under Duterte</w:t>
      </w:r>
      <w:r w:rsidR="001D6C18">
        <w:rPr>
          <w:rFonts w:ascii="Calibri" w:hAnsi="Calibri" w:cs="Calibri"/>
          <w:sz w:val="32"/>
          <w:szCs w:val="32"/>
          <w:lang w:val="en-GB"/>
        </w:rPr>
        <w:t>: Threat</w:t>
      </w:r>
      <w:r w:rsidR="00935893">
        <w:rPr>
          <w:rFonts w:ascii="Calibri" w:hAnsi="Calibri" w:cs="Calibri"/>
          <w:sz w:val="32"/>
          <w:szCs w:val="32"/>
          <w:lang w:val="en-GB"/>
        </w:rPr>
        <w:t>s</w:t>
      </w:r>
      <w:r w:rsidR="001D6C18">
        <w:rPr>
          <w:rFonts w:ascii="Calibri" w:hAnsi="Calibri" w:cs="Calibri"/>
          <w:sz w:val="32"/>
          <w:szCs w:val="32"/>
          <w:lang w:val="en-GB"/>
        </w:rPr>
        <w:t xml:space="preserve"> to the Rule of </w:t>
      </w:r>
      <w:r w:rsidR="00F526B4">
        <w:rPr>
          <w:rFonts w:ascii="Calibri" w:hAnsi="Calibri" w:cs="Calibri"/>
          <w:sz w:val="32"/>
          <w:szCs w:val="32"/>
          <w:lang w:val="en-GB"/>
        </w:rPr>
        <w:t>Law”</w:t>
      </w:r>
      <w:r w:rsidR="00DC21BF">
        <w:rPr>
          <w:rFonts w:ascii="Calibri" w:hAnsi="Calibri" w:cs="Calibri"/>
          <w:sz w:val="32"/>
          <w:szCs w:val="32"/>
          <w:lang w:val="en-GB"/>
        </w:rPr>
        <w:t>]</w:t>
      </w:r>
    </w:p>
    <w:p w14:paraId="2DCB9203" w14:textId="5B85F473" w:rsidR="008F1DB5" w:rsidRPr="00FB0E83" w:rsidRDefault="008F1DB5">
      <w:pPr>
        <w:rPr>
          <w:rFonts w:ascii="Calibri" w:hAnsi="Calibri" w:cs="Calibri"/>
          <w:sz w:val="32"/>
          <w:szCs w:val="32"/>
          <w:lang w:val="en-GB"/>
        </w:rPr>
      </w:pPr>
      <w:r w:rsidRPr="00FB0E83">
        <w:rPr>
          <w:rFonts w:ascii="Calibri" w:hAnsi="Calibri" w:cs="Calibri"/>
          <w:sz w:val="32"/>
          <w:szCs w:val="32"/>
          <w:lang w:val="en-GB"/>
        </w:rPr>
        <w:t>In 20</w:t>
      </w:r>
      <w:r w:rsidR="004033C2" w:rsidRPr="00FB0E83">
        <w:rPr>
          <w:rFonts w:ascii="Calibri" w:hAnsi="Calibri" w:cs="Calibri"/>
          <w:sz w:val="32"/>
          <w:szCs w:val="32"/>
          <w:lang w:val="en-GB"/>
        </w:rPr>
        <w:t>2</w:t>
      </w:r>
      <w:r w:rsidRPr="00FB0E83">
        <w:rPr>
          <w:rFonts w:ascii="Calibri" w:hAnsi="Calibri" w:cs="Calibri"/>
          <w:sz w:val="32"/>
          <w:szCs w:val="32"/>
          <w:lang w:val="en-GB"/>
        </w:rPr>
        <w:t>1 I submitted</w:t>
      </w:r>
      <w:r w:rsidR="00044289" w:rsidRPr="00FB0E83">
        <w:rPr>
          <w:rFonts w:ascii="Calibri" w:hAnsi="Calibri" w:cs="Calibri"/>
          <w:sz w:val="32"/>
          <w:szCs w:val="32"/>
          <w:lang w:val="en-GB"/>
        </w:rPr>
        <w:t xml:space="preserve"> two reports</w:t>
      </w:r>
      <w:r w:rsidR="00BC2146">
        <w:rPr>
          <w:rFonts w:ascii="Calibri" w:hAnsi="Calibri" w:cs="Calibri"/>
          <w:sz w:val="32"/>
          <w:szCs w:val="32"/>
          <w:lang w:val="en-GB"/>
        </w:rPr>
        <w:t>, still very relevant</w:t>
      </w:r>
      <w:r w:rsidR="00B22283">
        <w:rPr>
          <w:rFonts w:ascii="Calibri" w:hAnsi="Calibri" w:cs="Calibri"/>
          <w:sz w:val="32"/>
          <w:szCs w:val="32"/>
          <w:lang w:val="en-GB"/>
        </w:rPr>
        <w:t>,</w:t>
      </w:r>
      <w:r w:rsidR="00044289" w:rsidRPr="00FB0E83">
        <w:rPr>
          <w:rFonts w:ascii="Calibri" w:hAnsi="Calibri" w:cs="Calibri"/>
          <w:sz w:val="32"/>
          <w:szCs w:val="32"/>
          <w:lang w:val="en-GB"/>
        </w:rPr>
        <w:t xml:space="preserve"> to the Philippine Supreme Court</w:t>
      </w:r>
      <w:r w:rsidR="00BC525C" w:rsidRPr="00FB0E83">
        <w:rPr>
          <w:rFonts w:ascii="Calibri" w:hAnsi="Calibri" w:cs="Calibri"/>
          <w:sz w:val="32"/>
          <w:szCs w:val="32"/>
          <w:lang w:val="en-GB"/>
        </w:rPr>
        <w:t>:</w:t>
      </w:r>
      <w:r w:rsidRPr="00FB0E83">
        <w:rPr>
          <w:rFonts w:ascii="Calibri" w:hAnsi="Calibri" w:cs="Calibri"/>
          <w:sz w:val="32"/>
          <w:szCs w:val="32"/>
          <w:lang w:val="en-GB"/>
        </w:rPr>
        <w:t xml:space="preserve"> </w:t>
      </w:r>
      <w:r w:rsidR="00FB09AA" w:rsidRPr="00FB0E83">
        <w:rPr>
          <w:rFonts w:ascii="Calibri" w:hAnsi="Calibri" w:cs="Calibri"/>
          <w:sz w:val="32"/>
          <w:szCs w:val="32"/>
          <w:lang w:val="en-GB"/>
        </w:rPr>
        <w:t>1) “The Never Ending Wrong: Judges and Prosecutors killed in the Philippines (2001-2021)</w:t>
      </w:r>
      <w:r w:rsidR="004819CB" w:rsidRPr="00FB0E83">
        <w:rPr>
          <w:rFonts w:ascii="Calibri" w:hAnsi="Calibri" w:cs="Calibri"/>
          <w:sz w:val="32"/>
          <w:szCs w:val="32"/>
          <w:lang w:val="en-GB"/>
        </w:rPr>
        <w:t>, and 2)</w:t>
      </w:r>
      <w:r w:rsidR="009C1528" w:rsidRPr="00FB0E83">
        <w:rPr>
          <w:rFonts w:ascii="Calibri" w:hAnsi="Calibri" w:cs="Calibri"/>
          <w:sz w:val="32"/>
          <w:szCs w:val="32"/>
          <w:lang w:val="en-GB"/>
        </w:rPr>
        <w:t xml:space="preserve"> “Patterns in the Killing of Lawyers:</w:t>
      </w:r>
      <w:r w:rsidR="00AA484F" w:rsidRPr="00FB0E83">
        <w:rPr>
          <w:rFonts w:ascii="Calibri" w:hAnsi="Calibri" w:cs="Calibri"/>
          <w:sz w:val="32"/>
          <w:szCs w:val="32"/>
          <w:lang w:val="en-GB"/>
        </w:rPr>
        <w:t xml:space="preserve"> the Case of Attorney Rex Fernandez”</w:t>
      </w:r>
      <w:r w:rsidRPr="00FB0E83">
        <w:rPr>
          <w:rFonts w:ascii="Calibri" w:hAnsi="Calibri" w:cs="Calibri"/>
          <w:sz w:val="32"/>
          <w:szCs w:val="32"/>
          <w:lang w:val="en-GB"/>
        </w:rPr>
        <w:t>. [</w:t>
      </w:r>
      <w:r w:rsidR="00266CF7">
        <w:rPr>
          <w:rFonts w:ascii="Calibri" w:hAnsi="Calibri" w:cs="Calibri"/>
          <w:sz w:val="32"/>
          <w:szCs w:val="32"/>
          <w:lang w:val="en-GB"/>
        </w:rPr>
        <w:t>Both attached</w:t>
      </w:r>
      <w:r w:rsidRPr="00FB0E83">
        <w:rPr>
          <w:rFonts w:ascii="Calibri" w:hAnsi="Calibri" w:cs="Calibri"/>
          <w:sz w:val="32"/>
          <w:szCs w:val="32"/>
          <w:lang w:val="en-GB"/>
        </w:rPr>
        <w:t>]</w:t>
      </w:r>
    </w:p>
    <w:p w14:paraId="57739DAA" w14:textId="7E0F9319" w:rsidR="005A1101" w:rsidRDefault="002F2827" w:rsidP="00EE3B39">
      <w:pPr>
        <w:rPr>
          <w:rFonts w:ascii="Calibri" w:hAnsi="Calibri" w:cs="Calibri"/>
          <w:sz w:val="32"/>
          <w:szCs w:val="32"/>
        </w:rPr>
      </w:pPr>
      <w:r>
        <w:rPr>
          <w:rFonts w:ascii="Calibri" w:hAnsi="Calibri" w:cs="Calibri"/>
          <w:sz w:val="32"/>
          <w:szCs w:val="32"/>
          <w:lang w:val="en-GB"/>
        </w:rPr>
        <w:lastRenderedPageBreak/>
        <w:t xml:space="preserve">It is clear </w:t>
      </w:r>
      <w:r w:rsidR="00A9750F">
        <w:rPr>
          <w:rFonts w:ascii="Calibri" w:hAnsi="Calibri" w:cs="Calibri"/>
          <w:sz w:val="32"/>
          <w:szCs w:val="32"/>
          <w:lang w:val="en-GB"/>
        </w:rPr>
        <w:t xml:space="preserve">from  global research </w:t>
      </w:r>
      <w:r w:rsidR="00E77D18">
        <w:rPr>
          <w:rFonts w:ascii="Calibri" w:hAnsi="Calibri" w:cs="Calibri"/>
          <w:sz w:val="32"/>
          <w:szCs w:val="32"/>
          <w:lang w:val="en-GB"/>
        </w:rPr>
        <w:t>by</w:t>
      </w:r>
      <w:r>
        <w:rPr>
          <w:rFonts w:ascii="Calibri" w:hAnsi="Calibri" w:cs="Calibri"/>
          <w:sz w:val="32"/>
          <w:szCs w:val="32"/>
          <w:lang w:val="en-GB"/>
        </w:rPr>
        <w:t xml:space="preserve"> the IAPL Monitoring Committee</w:t>
      </w:r>
      <w:r w:rsidR="006866F9">
        <w:rPr>
          <w:rFonts w:ascii="Calibri" w:hAnsi="Calibri" w:cs="Calibri"/>
          <w:sz w:val="32"/>
          <w:szCs w:val="32"/>
          <w:lang w:val="en-GB"/>
        </w:rPr>
        <w:t xml:space="preserve"> on Attacks on Lawyers</w:t>
      </w:r>
      <w:r w:rsidR="002A0065">
        <w:rPr>
          <w:rFonts w:ascii="Calibri" w:hAnsi="Calibri" w:cs="Calibri"/>
          <w:sz w:val="32"/>
          <w:szCs w:val="32"/>
          <w:lang w:val="en-GB"/>
        </w:rPr>
        <w:t>,</w:t>
      </w:r>
      <w:r w:rsidR="00B601B9">
        <w:rPr>
          <w:rFonts w:ascii="Calibri" w:hAnsi="Calibri" w:cs="Calibri"/>
          <w:sz w:val="32"/>
          <w:szCs w:val="32"/>
          <w:lang w:val="en-GB"/>
        </w:rPr>
        <w:t xml:space="preserve"> under the direction of </w:t>
      </w:r>
      <w:r w:rsidR="002A0065">
        <w:rPr>
          <w:rFonts w:ascii="Calibri" w:hAnsi="Calibri" w:cs="Calibri"/>
          <w:sz w:val="32"/>
          <w:szCs w:val="32"/>
          <w:lang w:val="en-GB"/>
        </w:rPr>
        <w:t xml:space="preserve">my Co-Chair </w:t>
      </w:r>
      <w:r w:rsidR="00B601B9">
        <w:rPr>
          <w:rFonts w:ascii="Calibri" w:hAnsi="Calibri" w:cs="Calibri"/>
          <w:sz w:val="32"/>
          <w:szCs w:val="32"/>
          <w:lang w:val="en-GB"/>
        </w:rPr>
        <w:t xml:space="preserve">Prof. </w:t>
      </w:r>
      <w:r w:rsidR="008D6F03">
        <w:rPr>
          <w:rFonts w:ascii="Calibri" w:hAnsi="Calibri" w:cs="Calibri"/>
          <w:sz w:val="32"/>
          <w:szCs w:val="32"/>
          <w:lang w:val="en-GB"/>
        </w:rPr>
        <w:t>S</w:t>
      </w:r>
      <w:r w:rsidR="00B601B9">
        <w:rPr>
          <w:rFonts w:ascii="Calibri" w:hAnsi="Calibri" w:cs="Calibri"/>
          <w:sz w:val="32"/>
          <w:szCs w:val="32"/>
          <w:lang w:val="en-GB"/>
        </w:rPr>
        <w:t>tuart Russel</w:t>
      </w:r>
      <w:r w:rsidR="008D6F03">
        <w:rPr>
          <w:rFonts w:ascii="Calibri" w:hAnsi="Calibri" w:cs="Calibri"/>
          <w:sz w:val="32"/>
          <w:szCs w:val="32"/>
          <w:lang w:val="en-GB"/>
        </w:rPr>
        <w:t>l</w:t>
      </w:r>
      <w:r w:rsidR="00C85591">
        <w:rPr>
          <w:rFonts w:ascii="Calibri" w:hAnsi="Calibri" w:cs="Calibri"/>
          <w:sz w:val="32"/>
          <w:szCs w:val="32"/>
          <w:lang w:val="en-GB"/>
        </w:rPr>
        <w:t>,</w:t>
      </w:r>
      <w:r w:rsidR="006866F9">
        <w:rPr>
          <w:rFonts w:ascii="Calibri" w:hAnsi="Calibri" w:cs="Calibri"/>
          <w:sz w:val="32"/>
          <w:szCs w:val="32"/>
          <w:lang w:val="en-GB"/>
        </w:rPr>
        <w:t xml:space="preserve"> there are different patterns of challenges to independence of legal professionals.</w:t>
      </w:r>
      <w:r w:rsidR="005A1101">
        <w:rPr>
          <w:rFonts w:ascii="Calibri" w:hAnsi="Calibri" w:cs="Calibri"/>
          <w:sz w:val="32"/>
          <w:szCs w:val="32"/>
          <w:lang w:val="en-GB"/>
        </w:rPr>
        <w:t xml:space="preserve"> </w:t>
      </w:r>
      <w:r w:rsidR="00C85591">
        <w:rPr>
          <w:rFonts w:ascii="Calibri" w:hAnsi="Calibri" w:cs="Calibri"/>
          <w:sz w:val="32"/>
          <w:szCs w:val="32"/>
          <w:lang w:val="en-GB"/>
        </w:rPr>
        <w:t>T</w:t>
      </w:r>
      <w:r w:rsidR="005A1101">
        <w:rPr>
          <w:rFonts w:ascii="Calibri" w:hAnsi="Calibri" w:cs="Calibri"/>
          <w:sz w:val="32"/>
          <w:szCs w:val="32"/>
          <w:lang w:val="en-GB"/>
        </w:rPr>
        <w:t xml:space="preserve">here are many ways of </w:t>
      </w:r>
      <w:r w:rsidR="00C42A0B">
        <w:rPr>
          <w:rFonts w:ascii="Calibri" w:hAnsi="Calibri" w:cs="Calibri"/>
          <w:sz w:val="32"/>
          <w:szCs w:val="32"/>
          <w:lang w:val="en-GB"/>
        </w:rPr>
        <w:t>erecting barriers</w:t>
      </w:r>
      <w:r w:rsidR="00866FA1">
        <w:rPr>
          <w:rFonts w:ascii="Calibri" w:hAnsi="Calibri" w:cs="Calibri"/>
          <w:sz w:val="32"/>
          <w:szCs w:val="32"/>
          <w:lang w:val="en-GB"/>
        </w:rPr>
        <w:t xml:space="preserve"> to fulfilling the duties of  lawyer</w:t>
      </w:r>
      <w:r w:rsidR="00622D41">
        <w:rPr>
          <w:rFonts w:ascii="Calibri" w:hAnsi="Calibri" w:cs="Calibri"/>
          <w:sz w:val="32"/>
          <w:szCs w:val="32"/>
          <w:lang w:val="en-GB"/>
        </w:rPr>
        <w:t>s</w:t>
      </w:r>
      <w:r w:rsidR="005A1101">
        <w:rPr>
          <w:rFonts w:ascii="Calibri" w:hAnsi="Calibri" w:cs="Calibri"/>
          <w:sz w:val="32"/>
          <w:szCs w:val="32"/>
          <w:lang w:val="en-GB"/>
        </w:rPr>
        <w:t xml:space="preserve">  in different</w:t>
      </w:r>
      <w:r w:rsidR="00B84D7A">
        <w:rPr>
          <w:rFonts w:ascii="Calibri" w:hAnsi="Calibri" w:cs="Calibri"/>
          <w:sz w:val="32"/>
          <w:szCs w:val="32"/>
          <w:lang w:val="en-GB"/>
        </w:rPr>
        <w:t xml:space="preserve"> countries</w:t>
      </w:r>
      <w:r w:rsidR="006D1B68">
        <w:rPr>
          <w:rFonts w:ascii="Calibri" w:hAnsi="Calibri" w:cs="Calibri"/>
          <w:sz w:val="32"/>
          <w:szCs w:val="32"/>
          <w:lang w:val="en-GB"/>
        </w:rPr>
        <w:t>.</w:t>
      </w:r>
      <w:r w:rsidR="00D64FF2">
        <w:rPr>
          <w:rStyle w:val="FootnoteReference"/>
          <w:rFonts w:ascii="Calibri" w:hAnsi="Calibri" w:cs="Calibri"/>
          <w:sz w:val="32"/>
          <w:szCs w:val="32"/>
          <w:lang w:val="en-GB"/>
        </w:rPr>
        <w:footnoteReference w:id="6"/>
      </w:r>
      <w:r w:rsidR="00A34963">
        <w:rPr>
          <w:rFonts w:ascii="Calibri" w:hAnsi="Calibri" w:cs="Calibri"/>
          <w:sz w:val="32"/>
          <w:szCs w:val="32"/>
          <w:lang w:val="en-GB"/>
        </w:rPr>
        <w:t xml:space="preserve"> [See  attached</w:t>
      </w:r>
      <w:r w:rsidR="00E441E7">
        <w:rPr>
          <w:rFonts w:ascii="Calibri" w:hAnsi="Calibri" w:cs="Calibri"/>
          <w:sz w:val="32"/>
          <w:szCs w:val="32"/>
          <w:lang w:val="en-GB"/>
        </w:rPr>
        <w:t xml:space="preserve">  paper</w:t>
      </w:r>
      <w:r w:rsidR="00F06500">
        <w:rPr>
          <w:rFonts w:ascii="Calibri" w:hAnsi="Calibri" w:cs="Calibri"/>
          <w:sz w:val="32"/>
          <w:szCs w:val="32"/>
          <w:lang w:val="en-GB"/>
        </w:rPr>
        <w:t xml:space="preserve"> </w:t>
      </w:r>
      <w:r w:rsidR="00F06500" w:rsidRPr="00913298">
        <w:rPr>
          <w:rFonts w:ascii="Calibri" w:hAnsi="Calibri" w:cs="Calibri"/>
          <w:sz w:val="32"/>
          <w:szCs w:val="32"/>
          <w:lang w:val="en-GB"/>
        </w:rPr>
        <w:t>“</w:t>
      </w:r>
      <w:r w:rsidR="00913298">
        <w:rPr>
          <w:rFonts w:ascii="Calibri" w:hAnsi="Calibri" w:cs="Calibri"/>
          <w:sz w:val="32"/>
          <w:szCs w:val="32"/>
        </w:rPr>
        <w:t>R</w:t>
      </w:r>
      <w:r w:rsidR="00913298" w:rsidRPr="00913298">
        <w:rPr>
          <w:rFonts w:ascii="Calibri" w:hAnsi="Calibri" w:cs="Calibri"/>
          <w:sz w:val="32"/>
          <w:szCs w:val="32"/>
        </w:rPr>
        <w:t xml:space="preserve">eport of the </w:t>
      </w:r>
      <w:r w:rsidR="005847AA">
        <w:rPr>
          <w:rFonts w:ascii="Calibri" w:hAnsi="Calibri" w:cs="Calibri"/>
          <w:sz w:val="32"/>
          <w:szCs w:val="32"/>
        </w:rPr>
        <w:t>I</w:t>
      </w:r>
      <w:r w:rsidR="00913298" w:rsidRPr="00913298">
        <w:rPr>
          <w:rFonts w:ascii="Calibri" w:hAnsi="Calibri" w:cs="Calibri"/>
          <w:sz w:val="32"/>
          <w:szCs w:val="32"/>
        </w:rPr>
        <w:t xml:space="preserve">nternational </w:t>
      </w:r>
      <w:r w:rsidR="005847AA">
        <w:rPr>
          <w:rFonts w:ascii="Calibri" w:hAnsi="Calibri" w:cs="Calibri"/>
          <w:sz w:val="32"/>
          <w:szCs w:val="32"/>
        </w:rPr>
        <w:t>A</w:t>
      </w:r>
      <w:r w:rsidR="00913298" w:rsidRPr="00913298">
        <w:rPr>
          <w:rFonts w:ascii="Calibri" w:hAnsi="Calibri" w:cs="Calibri"/>
          <w:sz w:val="32"/>
          <w:szCs w:val="32"/>
        </w:rPr>
        <w:t xml:space="preserve">ssociation of </w:t>
      </w:r>
      <w:r w:rsidR="005847AA">
        <w:rPr>
          <w:rFonts w:ascii="Calibri" w:hAnsi="Calibri" w:cs="Calibri"/>
          <w:sz w:val="32"/>
          <w:szCs w:val="32"/>
        </w:rPr>
        <w:t>P</w:t>
      </w:r>
      <w:r w:rsidR="00913298" w:rsidRPr="00913298">
        <w:rPr>
          <w:rFonts w:ascii="Calibri" w:hAnsi="Calibri" w:cs="Calibri"/>
          <w:sz w:val="32"/>
          <w:szCs w:val="32"/>
        </w:rPr>
        <w:t xml:space="preserve">eople’s </w:t>
      </w:r>
      <w:r w:rsidR="005847AA">
        <w:rPr>
          <w:rFonts w:ascii="Calibri" w:hAnsi="Calibri" w:cs="Calibri"/>
          <w:sz w:val="32"/>
          <w:szCs w:val="32"/>
        </w:rPr>
        <w:t>L</w:t>
      </w:r>
      <w:r w:rsidR="00913298" w:rsidRPr="00913298">
        <w:rPr>
          <w:rFonts w:ascii="Calibri" w:hAnsi="Calibri" w:cs="Calibri"/>
          <w:sz w:val="32"/>
          <w:szCs w:val="32"/>
        </w:rPr>
        <w:t xml:space="preserve">awyers </w:t>
      </w:r>
      <w:r w:rsidR="005847AA">
        <w:rPr>
          <w:rFonts w:ascii="Calibri" w:hAnsi="Calibri" w:cs="Calibri"/>
          <w:sz w:val="32"/>
          <w:szCs w:val="32"/>
        </w:rPr>
        <w:t>M</w:t>
      </w:r>
      <w:r w:rsidR="00913298" w:rsidRPr="00913298">
        <w:rPr>
          <w:rFonts w:ascii="Calibri" w:hAnsi="Calibri" w:cs="Calibri"/>
          <w:sz w:val="32"/>
          <w:szCs w:val="32"/>
        </w:rPr>
        <w:t xml:space="preserve">onitoring </w:t>
      </w:r>
      <w:r w:rsidR="005847AA">
        <w:rPr>
          <w:rFonts w:ascii="Calibri" w:hAnsi="Calibri" w:cs="Calibri"/>
          <w:sz w:val="32"/>
          <w:szCs w:val="32"/>
        </w:rPr>
        <w:t>C</w:t>
      </w:r>
      <w:r w:rsidR="00913298" w:rsidRPr="00913298">
        <w:rPr>
          <w:rFonts w:ascii="Calibri" w:hAnsi="Calibri" w:cs="Calibri"/>
          <w:sz w:val="32"/>
          <w:szCs w:val="32"/>
        </w:rPr>
        <w:t xml:space="preserve">ommittee on </w:t>
      </w:r>
      <w:r w:rsidR="005847AA">
        <w:rPr>
          <w:rFonts w:ascii="Calibri" w:hAnsi="Calibri" w:cs="Calibri"/>
          <w:sz w:val="32"/>
          <w:szCs w:val="32"/>
        </w:rPr>
        <w:t>A</w:t>
      </w:r>
      <w:r w:rsidR="00913298" w:rsidRPr="00913298">
        <w:rPr>
          <w:rFonts w:ascii="Calibri" w:hAnsi="Calibri" w:cs="Calibri"/>
          <w:sz w:val="32"/>
          <w:szCs w:val="32"/>
        </w:rPr>
        <w:t xml:space="preserve">ttacks on </w:t>
      </w:r>
      <w:r w:rsidR="005847AA">
        <w:rPr>
          <w:rFonts w:ascii="Calibri" w:hAnsi="Calibri" w:cs="Calibri"/>
          <w:sz w:val="32"/>
          <w:szCs w:val="32"/>
        </w:rPr>
        <w:t>L</w:t>
      </w:r>
      <w:r w:rsidR="00913298" w:rsidRPr="00913298">
        <w:rPr>
          <w:rFonts w:ascii="Calibri" w:hAnsi="Calibri" w:cs="Calibri"/>
          <w:sz w:val="32"/>
          <w:szCs w:val="32"/>
        </w:rPr>
        <w:t>awyers” listing 136 countries</w:t>
      </w:r>
      <w:r w:rsidR="00402B6A">
        <w:rPr>
          <w:rFonts w:ascii="Calibri" w:hAnsi="Calibri" w:cs="Calibri"/>
          <w:sz w:val="32"/>
          <w:szCs w:val="32"/>
        </w:rPr>
        <w:t>]</w:t>
      </w:r>
      <w:r w:rsidR="00862ECA">
        <w:rPr>
          <w:rFonts w:ascii="Calibri" w:hAnsi="Calibri" w:cs="Calibri"/>
          <w:sz w:val="32"/>
          <w:szCs w:val="32"/>
        </w:rPr>
        <w:t xml:space="preserve"> </w:t>
      </w:r>
    </w:p>
    <w:p w14:paraId="12385E73" w14:textId="180255E3" w:rsidR="00543A41" w:rsidRPr="00ED21B6" w:rsidRDefault="00543A41" w:rsidP="00EE3B39">
      <w:pPr>
        <w:rPr>
          <w:rFonts w:ascii="Calibri" w:hAnsi="Calibri" w:cs="Calibri"/>
          <w:b/>
          <w:bCs/>
          <w:sz w:val="32"/>
          <w:szCs w:val="32"/>
        </w:rPr>
      </w:pPr>
      <w:r w:rsidRPr="00ED21B6">
        <w:rPr>
          <w:rFonts w:ascii="Calibri" w:hAnsi="Calibri" w:cs="Calibri"/>
          <w:b/>
          <w:bCs/>
          <w:sz w:val="32"/>
          <w:szCs w:val="32"/>
        </w:rPr>
        <w:t>Murderous Att</w:t>
      </w:r>
      <w:r w:rsidR="0071391A" w:rsidRPr="00ED21B6">
        <w:rPr>
          <w:rFonts w:ascii="Calibri" w:hAnsi="Calibri" w:cs="Calibri"/>
          <w:b/>
          <w:bCs/>
          <w:sz w:val="32"/>
          <w:szCs w:val="32"/>
        </w:rPr>
        <w:t>a</w:t>
      </w:r>
      <w:r w:rsidRPr="00ED21B6">
        <w:rPr>
          <w:rFonts w:ascii="Calibri" w:hAnsi="Calibri" w:cs="Calibri"/>
          <w:b/>
          <w:bCs/>
          <w:sz w:val="32"/>
          <w:szCs w:val="32"/>
        </w:rPr>
        <w:t>cks</w:t>
      </w:r>
      <w:r w:rsidR="00A33F6D" w:rsidRPr="00ED21B6">
        <w:rPr>
          <w:rFonts w:ascii="Calibri" w:hAnsi="Calibri" w:cs="Calibri"/>
          <w:b/>
          <w:bCs/>
          <w:sz w:val="32"/>
          <w:szCs w:val="32"/>
        </w:rPr>
        <w:t xml:space="preserve"> on Lawyers in the Philippines</w:t>
      </w:r>
    </w:p>
    <w:p w14:paraId="3B5AC665" w14:textId="63740270" w:rsidR="00A33F6D" w:rsidRDefault="00A33F6D" w:rsidP="00A33F6D">
      <w:pPr>
        <w:spacing w:line="20" w:lineRule="atLeast"/>
        <w:rPr>
          <w:rFonts w:ascii="Calibri" w:hAnsi="Calibri" w:cs="Calibri"/>
          <w:sz w:val="32"/>
          <w:szCs w:val="32"/>
          <w:lang w:val="en-GB"/>
        </w:rPr>
      </w:pPr>
      <w:r>
        <w:rPr>
          <w:rFonts w:ascii="Calibri" w:hAnsi="Calibri" w:cs="Calibri"/>
          <w:sz w:val="32"/>
          <w:szCs w:val="32"/>
          <w:lang w:val="en-GB"/>
        </w:rPr>
        <w:t>In researching the nearly two decades 1972-2000  we could find o</w:t>
      </w:r>
      <w:r w:rsidRPr="00FB0E83">
        <w:rPr>
          <w:rFonts w:ascii="Calibri" w:hAnsi="Calibri" w:cs="Calibri"/>
          <w:sz w:val="32"/>
          <w:szCs w:val="32"/>
          <w:lang w:val="en-GB"/>
        </w:rPr>
        <w:t>nly 18</w:t>
      </w:r>
      <w:r>
        <w:rPr>
          <w:rFonts w:ascii="Calibri" w:hAnsi="Calibri" w:cs="Calibri"/>
          <w:sz w:val="32"/>
          <w:szCs w:val="32"/>
          <w:lang w:val="en-GB"/>
        </w:rPr>
        <w:t xml:space="preserve"> lawyers killed, including 1 Judge and no prosecutors. [See attached paper “Lawyers Murderously Attacked From Marcos to Marcos”]</w:t>
      </w:r>
    </w:p>
    <w:p w14:paraId="76D7440E" w14:textId="3C6884D5" w:rsidR="00A33F6D" w:rsidRDefault="00A33F6D" w:rsidP="00A56971">
      <w:pPr>
        <w:spacing w:line="20" w:lineRule="atLeast"/>
        <w:rPr>
          <w:rFonts w:ascii="Calibri" w:hAnsi="Calibri" w:cs="Calibri"/>
          <w:sz w:val="32"/>
          <w:szCs w:val="32"/>
          <w:lang w:val="en-GB"/>
        </w:rPr>
      </w:pPr>
      <w:r>
        <w:rPr>
          <w:rFonts w:ascii="Calibri" w:hAnsi="Calibri" w:cs="Calibri"/>
          <w:sz w:val="32"/>
          <w:szCs w:val="32"/>
          <w:lang w:val="en-GB"/>
        </w:rPr>
        <w:t>That there were so few deaths under former President Marcos Sr and  three successors, does not mean there were no other sanctions on lawyers. There was detention without trial often with torture, in particular under Marcos Sr. Other forms of threat, harassment and intimidation were used and continue to be used in the present.</w:t>
      </w:r>
      <w:r w:rsidR="00400375">
        <w:rPr>
          <w:rStyle w:val="FootnoteReference"/>
          <w:rFonts w:ascii="Calibri" w:hAnsi="Calibri" w:cs="Calibri"/>
          <w:sz w:val="32"/>
          <w:szCs w:val="32"/>
          <w:lang w:val="en-GB"/>
        </w:rPr>
        <w:footnoteReference w:id="7"/>
      </w:r>
      <w:r w:rsidR="00F901F5">
        <w:rPr>
          <w:rFonts w:ascii="Calibri" w:hAnsi="Calibri" w:cs="Calibri"/>
          <w:sz w:val="32"/>
          <w:szCs w:val="32"/>
          <w:lang w:val="en-GB"/>
        </w:rPr>
        <w:t xml:space="preserve">  </w:t>
      </w:r>
    </w:p>
    <w:p w14:paraId="4C69C6EF" w14:textId="761FDCF1" w:rsidR="00C662D6" w:rsidRPr="00913298" w:rsidRDefault="00712A25" w:rsidP="00A56971">
      <w:pPr>
        <w:spacing w:line="20" w:lineRule="atLeast"/>
        <w:rPr>
          <w:rFonts w:ascii="Calibri" w:hAnsi="Calibri" w:cs="Calibri"/>
          <w:sz w:val="32"/>
          <w:szCs w:val="32"/>
          <w:lang w:val="en-GB"/>
        </w:rPr>
      </w:pPr>
      <w:r>
        <w:rPr>
          <w:rFonts w:ascii="Calibri" w:hAnsi="Calibri" w:cs="Calibri"/>
          <w:sz w:val="32"/>
          <w:szCs w:val="32"/>
          <w:lang w:val="en-GB"/>
        </w:rPr>
        <w:t>The numbers of attacks increased sharply in 2001</w:t>
      </w:r>
      <w:r w:rsidR="00BB3D03">
        <w:rPr>
          <w:rFonts w:ascii="Calibri" w:hAnsi="Calibri" w:cs="Calibri"/>
          <w:sz w:val="32"/>
          <w:szCs w:val="32"/>
          <w:lang w:val="en-GB"/>
        </w:rPr>
        <w:t>.</w:t>
      </w:r>
      <w:r w:rsidR="00195C3D">
        <w:rPr>
          <w:rFonts w:ascii="Calibri" w:hAnsi="Calibri" w:cs="Calibri"/>
          <w:sz w:val="32"/>
          <w:szCs w:val="32"/>
          <w:lang w:val="en-GB"/>
        </w:rPr>
        <w:t xml:space="preserve"> </w:t>
      </w:r>
      <w:r w:rsidR="00175D36">
        <w:rPr>
          <w:rFonts w:ascii="Calibri" w:hAnsi="Calibri" w:cs="Calibri"/>
          <w:sz w:val="32"/>
          <w:szCs w:val="32"/>
          <w:lang w:val="en-GB"/>
        </w:rPr>
        <w:t xml:space="preserve">Vice </w:t>
      </w:r>
      <w:r w:rsidR="00195C3D">
        <w:rPr>
          <w:rFonts w:ascii="Calibri" w:hAnsi="Calibri" w:cs="Calibri"/>
          <w:sz w:val="32"/>
          <w:szCs w:val="32"/>
          <w:lang w:val="en-GB"/>
        </w:rPr>
        <w:t xml:space="preserve">President Gloria </w:t>
      </w:r>
      <w:r w:rsidR="00A35948">
        <w:rPr>
          <w:rFonts w:ascii="Calibri" w:hAnsi="Calibri" w:cs="Calibri"/>
          <w:sz w:val="32"/>
          <w:szCs w:val="32"/>
          <w:lang w:val="en-GB"/>
        </w:rPr>
        <w:t>M</w:t>
      </w:r>
      <w:r w:rsidR="00195C3D">
        <w:rPr>
          <w:rFonts w:ascii="Calibri" w:hAnsi="Calibri" w:cs="Calibri"/>
          <w:sz w:val="32"/>
          <w:szCs w:val="32"/>
          <w:lang w:val="en-GB"/>
        </w:rPr>
        <w:t>acapagal Arroyo</w:t>
      </w:r>
      <w:r w:rsidR="00A35948">
        <w:rPr>
          <w:rFonts w:ascii="Calibri" w:hAnsi="Calibri" w:cs="Calibri"/>
          <w:sz w:val="32"/>
          <w:szCs w:val="32"/>
          <w:lang w:val="en-GB"/>
        </w:rPr>
        <w:t xml:space="preserve"> became President</w:t>
      </w:r>
      <w:r w:rsidR="009160A5">
        <w:rPr>
          <w:rFonts w:ascii="Calibri" w:hAnsi="Calibri" w:cs="Calibri"/>
          <w:sz w:val="32"/>
          <w:szCs w:val="32"/>
          <w:lang w:val="en-GB"/>
        </w:rPr>
        <w:t xml:space="preserve"> in </w:t>
      </w:r>
      <w:r w:rsidR="004404FE">
        <w:rPr>
          <w:rFonts w:ascii="Calibri" w:hAnsi="Calibri" w:cs="Calibri"/>
          <w:sz w:val="32"/>
          <w:szCs w:val="32"/>
          <w:lang w:val="en-GB"/>
        </w:rPr>
        <w:t>what was a</w:t>
      </w:r>
      <w:r w:rsidR="009160A5">
        <w:rPr>
          <w:rFonts w:ascii="Calibri" w:hAnsi="Calibri" w:cs="Calibri"/>
          <w:sz w:val="32"/>
          <w:szCs w:val="32"/>
          <w:lang w:val="en-GB"/>
        </w:rPr>
        <w:t xml:space="preserve"> political coup</w:t>
      </w:r>
      <w:r w:rsidR="00670498">
        <w:rPr>
          <w:rFonts w:ascii="Calibri" w:hAnsi="Calibri" w:cs="Calibri"/>
          <w:sz w:val="32"/>
          <w:szCs w:val="32"/>
          <w:lang w:val="en-GB"/>
        </w:rPr>
        <w:t xml:space="preserve"> and became increasingly divisive and unpopular. She </w:t>
      </w:r>
      <w:r w:rsidR="00284106">
        <w:rPr>
          <w:rFonts w:ascii="Calibri" w:hAnsi="Calibri" w:cs="Calibri"/>
          <w:sz w:val="32"/>
          <w:szCs w:val="32"/>
          <w:lang w:val="en-GB"/>
        </w:rPr>
        <w:t xml:space="preserve"> apparently stole the election of 2004</w:t>
      </w:r>
      <w:r w:rsidR="00175D36">
        <w:rPr>
          <w:rFonts w:ascii="Calibri" w:hAnsi="Calibri" w:cs="Calibri"/>
          <w:sz w:val="32"/>
          <w:szCs w:val="32"/>
          <w:lang w:val="en-GB"/>
        </w:rPr>
        <w:t xml:space="preserve"> after promising not to stand for election.</w:t>
      </w:r>
      <w:r w:rsidR="005571B7">
        <w:rPr>
          <w:rFonts w:ascii="Calibri" w:hAnsi="Calibri" w:cs="Calibri"/>
          <w:sz w:val="32"/>
          <w:szCs w:val="32"/>
          <w:lang w:val="en-GB"/>
        </w:rPr>
        <w:t xml:space="preserve"> She led a</w:t>
      </w:r>
      <w:r w:rsidR="007A4C61">
        <w:rPr>
          <w:rFonts w:ascii="Calibri" w:hAnsi="Calibri" w:cs="Calibri"/>
          <w:sz w:val="32"/>
          <w:szCs w:val="32"/>
          <w:lang w:val="en-GB"/>
        </w:rPr>
        <w:t xml:space="preserve"> government that sought to</w:t>
      </w:r>
      <w:r w:rsidR="00E25D80">
        <w:rPr>
          <w:rFonts w:ascii="Calibri" w:hAnsi="Calibri" w:cs="Calibri"/>
          <w:sz w:val="32"/>
          <w:szCs w:val="32"/>
          <w:lang w:val="en-GB"/>
        </w:rPr>
        <w:t xml:space="preserve"> enrich itself through corrupt dealings and did</w:t>
      </w:r>
      <w:r w:rsidR="0019772A">
        <w:rPr>
          <w:rFonts w:ascii="Calibri" w:hAnsi="Calibri" w:cs="Calibri"/>
          <w:sz w:val="32"/>
          <w:szCs w:val="32"/>
          <w:lang w:val="en-GB"/>
        </w:rPr>
        <w:t xml:space="preserve"> little if anything for the masses. </w:t>
      </w:r>
      <w:r w:rsidR="0088578C">
        <w:rPr>
          <w:rFonts w:ascii="Calibri" w:hAnsi="Calibri" w:cs="Calibri"/>
          <w:sz w:val="32"/>
          <w:szCs w:val="32"/>
          <w:lang w:val="en-GB"/>
        </w:rPr>
        <w:t>S</w:t>
      </w:r>
      <w:r w:rsidR="0019772A">
        <w:rPr>
          <w:rFonts w:ascii="Calibri" w:hAnsi="Calibri" w:cs="Calibri"/>
          <w:sz w:val="32"/>
          <w:szCs w:val="32"/>
          <w:lang w:val="en-GB"/>
        </w:rPr>
        <w:t>he</w:t>
      </w:r>
      <w:r w:rsidR="0088578C">
        <w:rPr>
          <w:rFonts w:ascii="Calibri" w:hAnsi="Calibri" w:cs="Calibri"/>
          <w:sz w:val="32"/>
          <w:szCs w:val="32"/>
          <w:lang w:val="en-GB"/>
        </w:rPr>
        <w:t xml:space="preserve"> gave the military and police a free rein to maintain “law and order”</w:t>
      </w:r>
      <w:r w:rsidR="00B75FC8">
        <w:rPr>
          <w:rFonts w:ascii="Calibri" w:hAnsi="Calibri" w:cs="Calibri"/>
          <w:sz w:val="32"/>
          <w:szCs w:val="32"/>
          <w:lang w:val="en-GB"/>
        </w:rPr>
        <w:t>.</w:t>
      </w:r>
      <w:r w:rsidR="00B75FC8">
        <w:rPr>
          <w:rStyle w:val="FootnoteReference"/>
          <w:rFonts w:ascii="Calibri" w:hAnsi="Calibri" w:cs="Calibri"/>
          <w:sz w:val="32"/>
          <w:szCs w:val="32"/>
          <w:lang w:val="en-GB"/>
        </w:rPr>
        <w:footnoteReference w:id="8"/>
      </w:r>
    </w:p>
    <w:p w14:paraId="5251A168" w14:textId="207CE5B7" w:rsidR="00BE5357" w:rsidRPr="00FB0E83" w:rsidRDefault="00BE5357" w:rsidP="00BE5357">
      <w:pPr>
        <w:spacing w:line="20" w:lineRule="atLeast"/>
        <w:rPr>
          <w:rFonts w:ascii="Calibri" w:hAnsi="Calibri" w:cs="Calibri"/>
          <w:b/>
          <w:bCs/>
          <w:sz w:val="32"/>
          <w:szCs w:val="32"/>
        </w:rPr>
      </w:pPr>
      <w:r w:rsidRPr="00FB0E83">
        <w:rPr>
          <w:rFonts w:ascii="Calibri" w:hAnsi="Calibri" w:cs="Calibri"/>
          <w:sz w:val="32"/>
          <w:szCs w:val="32"/>
          <w:lang w:val="en-GB"/>
        </w:rPr>
        <w:t>S</w:t>
      </w:r>
      <w:r w:rsidRPr="00FB0E83">
        <w:rPr>
          <w:rFonts w:ascii="Calibri" w:hAnsi="Calibri" w:cs="Calibri"/>
          <w:sz w:val="32"/>
          <w:szCs w:val="32"/>
        </w:rPr>
        <w:t>ince 2021 there have been</w:t>
      </w:r>
      <w:r w:rsidR="00200D81" w:rsidRPr="00FB0E83">
        <w:rPr>
          <w:rFonts w:ascii="Calibri" w:hAnsi="Calibri" w:cs="Calibri"/>
          <w:sz w:val="32"/>
          <w:szCs w:val="32"/>
        </w:rPr>
        <w:t xml:space="preserve"> at least</w:t>
      </w:r>
      <w:r w:rsidRPr="00FB0E83">
        <w:rPr>
          <w:rFonts w:ascii="Calibri" w:hAnsi="Calibri" w:cs="Calibri"/>
          <w:sz w:val="32"/>
          <w:szCs w:val="32"/>
        </w:rPr>
        <w:t xml:space="preserve"> </w:t>
      </w:r>
      <w:r w:rsidRPr="00FB0E83">
        <w:rPr>
          <w:rFonts w:ascii="Calibri" w:hAnsi="Calibri" w:cs="Calibri"/>
          <w:b/>
          <w:bCs/>
          <w:sz w:val="32"/>
          <w:szCs w:val="32"/>
        </w:rPr>
        <w:t>4</w:t>
      </w:r>
      <w:r w:rsidR="000E7FF4" w:rsidRPr="00FB0E83">
        <w:rPr>
          <w:rFonts w:ascii="Calibri" w:hAnsi="Calibri" w:cs="Calibri"/>
          <w:b/>
          <w:bCs/>
          <w:sz w:val="32"/>
          <w:szCs w:val="32"/>
        </w:rPr>
        <w:t xml:space="preserve">1 </w:t>
      </w:r>
      <w:r w:rsidRPr="00FB0E83">
        <w:rPr>
          <w:rFonts w:ascii="Calibri" w:hAnsi="Calibri" w:cs="Calibri"/>
          <w:b/>
          <w:bCs/>
          <w:sz w:val="32"/>
          <w:szCs w:val="32"/>
        </w:rPr>
        <w:t>murderous attacks on Judges</w:t>
      </w:r>
      <w:r w:rsidR="002F3138">
        <w:rPr>
          <w:rFonts w:ascii="Calibri" w:hAnsi="Calibri" w:cs="Calibri"/>
          <w:sz w:val="32"/>
          <w:szCs w:val="32"/>
        </w:rPr>
        <w:t>,</w:t>
      </w:r>
      <w:r w:rsidRPr="00FB0E83">
        <w:rPr>
          <w:rFonts w:ascii="Calibri" w:hAnsi="Calibri" w:cs="Calibri"/>
          <w:b/>
          <w:bCs/>
          <w:sz w:val="32"/>
          <w:szCs w:val="32"/>
        </w:rPr>
        <w:t xml:space="preserve"> 3</w:t>
      </w:r>
      <w:r w:rsidR="000E7FF4" w:rsidRPr="00FB0E83">
        <w:rPr>
          <w:rFonts w:ascii="Calibri" w:hAnsi="Calibri" w:cs="Calibri"/>
          <w:b/>
          <w:bCs/>
          <w:sz w:val="32"/>
          <w:szCs w:val="32"/>
        </w:rPr>
        <w:t>5</w:t>
      </w:r>
      <w:r w:rsidRPr="00FB0E83">
        <w:rPr>
          <w:rFonts w:ascii="Calibri" w:hAnsi="Calibri" w:cs="Calibri"/>
          <w:b/>
          <w:bCs/>
          <w:sz w:val="32"/>
          <w:szCs w:val="32"/>
        </w:rPr>
        <w:t xml:space="preserve"> were killed</w:t>
      </w:r>
      <w:r w:rsidRPr="00FB0E83">
        <w:rPr>
          <w:rFonts w:ascii="Calibri" w:hAnsi="Calibri" w:cs="Calibri"/>
          <w:sz w:val="32"/>
          <w:szCs w:val="32"/>
        </w:rPr>
        <w:t>.</w:t>
      </w:r>
      <w:r w:rsidRPr="00FB0E83">
        <w:rPr>
          <w:rFonts w:ascii="Calibri" w:hAnsi="Calibri" w:cs="Calibri"/>
          <w:b/>
          <w:bCs/>
          <w:sz w:val="32"/>
          <w:szCs w:val="32"/>
        </w:rPr>
        <w:t xml:space="preserve"> </w:t>
      </w:r>
    </w:p>
    <w:p w14:paraId="20A9F3BE" w14:textId="68222E16" w:rsidR="00BE5357" w:rsidRPr="00FB0E83" w:rsidRDefault="00BE5357" w:rsidP="00BE5357">
      <w:pPr>
        <w:spacing w:line="20" w:lineRule="atLeast"/>
        <w:rPr>
          <w:rFonts w:ascii="Calibri" w:hAnsi="Calibri" w:cs="Calibri"/>
          <w:sz w:val="32"/>
          <w:szCs w:val="32"/>
          <w:lang w:val="es-ES"/>
        </w:rPr>
      </w:pPr>
      <w:r w:rsidRPr="00FB0E83">
        <w:rPr>
          <w:rFonts w:ascii="Calibri" w:hAnsi="Calibri" w:cs="Calibri"/>
          <w:sz w:val="32"/>
          <w:szCs w:val="32"/>
        </w:rPr>
        <w:lastRenderedPageBreak/>
        <w:t>The determination and capacity to make such attacks is underlined by the two attacks on Judge</w:t>
      </w:r>
      <w:r w:rsidRPr="00FB0E83">
        <w:rPr>
          <w:rFonts w:ascii="Calibri" w:hAnsi="Calibri" w:cs="Calibri"/>
          <w:sz w:val="32"/>
          <w:szCs w:val="32"/>
          <w:lang w:val="es-ES"/>
        </w:rPr>
        <w:t xml:space="preserve"> Nataniel Pattingalan. Having survived the first attack</w:t>
      </w:r>
      <w:r w:rsidR="00EE3B39">
        <w:rPr>
          <w:rFonts w:ascii="Calibri" w:hAnsi="Calibri" w:cs="Calibri"/>
          <w:sz w:val="32"/>
          <w:szCs w:val="32"/>
          <w:lang w:val="es-ES"/>
        </w:rPr>
        <w:t xml:space="preserve"> </w:t>
      </w:r>
      <w:r w:rsidRPr="00FB0E83">
        <w:rPr>
          <w:rFonts w:ascii="Calibri" w:hAnsi="Calibri" w:cs="Calibri"/>
          <w:sz w:val="32"/>
          <w:szCs w:val="32"/>
          <w:lang w:val="es-ES"/>
        </w:rPr>
        <w:t xml:space="preserve">he sought </w:t>
      </w:r>
      <w:r w:rsidR="00364B85">
        <w:rPr>
          <w:rFonts w:ascii="Calibri" w:hAnsi="Calibri" w:cs="Calibri"/>
          <w:sz w:val="32"/>
          <w:szCs w:val="32"/>
          <w:lang w:val="es-ES"/>
        </w:rPr>
        <w:t xml:space="preserve">, </w:t>
      </w:r>
      <w:r w:rsidRPr="00FB0E83">
        <w:rPr>
          <w:rFonts w:ascii="Calibri" w:hAnsi="Calibri" w:cs="Calibri"/>
          <w:sz w:val="32"/>
          <w:szCs w:val="32"/>
          <w:lang w:val="es-ES"/>
        </w:rPr>
        <w:t>and was granted</w:t>
      </w:r>
      <w:r w:rsidR="00C0105C">
        <w:rPr>
          <w:rFonts w:ascii="Calibri" w:hAnsi="Calibri" w:cs="Calibri"/>
          <w:sz w:val="32"/>
          <w:szCs w:val="32"/>
          <w:lang w:val="es-ES"/>
        </w:rPr>
        <w:t xml:space="preserve">, </w:t>
      </w:r>
      <w:r w:rsidRPr="00FB0E83">
        <w:rPr>
          <w:rFonts w:ascii="Calibri" w:hAnsi="Calibri" w:cs="Calibri"/>
          <w:sz w:val="32"/>
          <w:szCs w:val="32"/>
          <w:lang w:val="es-ES"/>
        </w:rPr>
        <w:t xml:space="preserve">a transfer to another jurisdiction where it was </w:t>
      </w:r>
      <w:r w:rsidR="00C0105C">
        <w:rPr>
          <w:rFonts w:ascii="Calibri" w:hAnsi="Calibri" w:cs="Calibri"/>
          <w:sz w:val="32"/>
          <w:szCs w:val="32"/>
          <w:lang w:val="es-ES"/>
        </w:rPr>
        <w:t>believed</w:t>
      </w:r>
      <w:r w:rsidRPr="00FB0E83">
        <w:rPr>
          <w:rFonts w:ascii="Calibri" w:hAnsi="Calibri" w:cs="Calibri"/>
          <w:sz w:val="32"/>
          <w:szCs w:val="32"/>
          <w:lang w:val="es-ES"/>
        </w:rPr>
        <w:t xml:space="preserve"> he would be safe(r). Nevertheless he was killed at the second attempt. </w:t>
      </w:r>
    </w:p>
    <w:p w14:paraId="32F87526" w14:textId="77777777" w:rsidR="00BE5357" w:rsidRPr="00FB0E83" w:rsidRDefault="00BE5357" w:rsidP="00BE5357">
      <w:pPr>
        <w:spacing w:line="20" w:lineRule="atLeast"/>
        <w:rPr>
          <w:rFonts w:ascii="Calibri" w:hAnsi="Calibri" w:cs="Calibri"/>
          <w:sz w:val="32"/>
          <w:szCs w:val="32"/>
          <w:lang w:val="es-ES"/>
        </w:rPr>
      </w:pPr>
      <w:r w:rsidRPr="00FB0E83">
        <w:rPr>
          <w:rFonts w:ascii="Calibri" w:hAnsi="Calibri" w:cs="Calibri"/>
          <w:sz w:val="32"/>
          <w:szCs w:val="32"/>
          <w:lang w:val="es-ES"/>
        </w:rPr>
        <w:t xml:space="preserve">Because of their position at the top of the judicial hierarchy we should note that Supreme Court Chief Justice Artemio Panganiban was a survivor of 2 acid attacks on his vehicle; and Chief Justice Romeo Callejo Sr. received a black funeral wreath at his home, a death threat/warning.  </w:t>
      </w:r>
    </w:p>
    <w:p w14:paraId="6F4F48E0" w14:textId="4E8E14FC" w:rsidR="004033C2" w:rsidRPr="00FB0E83" w:rsidRDefault="004033C2" w:rsidP="00BE5357">
      <w:pPr>
        <w:spacing w:line="20" w:lineRule="atLeast"/>
        <w:rPr>
          <w:rFonts w:ascii="Calibri" w:hAnsi="Calibri" w:cs="Calibri"/>
          <w:b/>
          <w:bCs/>
          <w:sz w:val="32"/>
          <w:szCs w:val="32"/>
          <w:lang w:val="es-ES"/>
        </w:rPr>
      </w:pPr>
      <w:r w:rsidRPr="00FB0E83">
        <w:rPr>
          <w:rFonts w:ascii="Calibri" w:hAnsi="Calibri" w:cs="Calibri"/>
          <w:sz w:val="32"/>
          <w:szCs w:val="32"/>
          <w:lang w:val="es-ES"/>
        </w:rPr>
        <w:t>Since 2001</w:t>
      </w:r>
      <w:r w:rsidR="00CA5F77" w:rsidRPr="00FB0E83">
        <w:rPr>
          <w:rFonts w:ascii="Calibri" w:hAnsi="Calibri" w:cs="Calibri"/>
          <w:sz w:val="32"/>
          <w:szCs w:val="32"/>
          <w:lang w:val="es-ES"/>
        </w:rPr>
        <w:t xml:space="preserve"> </w:t>
      </w:r>
      <w:r w:rsidRPr="00FB0E83">
        <w:rPr>
          <w:rFonts w:ascii="Calibri" w:hAnsi="Calibri" w:cs="Calibri"/>
          <w:sz w:val="32"/>
          <w:szCs w:val="32"/>
          <w:lang w:val="es-ES"/>
        </w:rPr>
        <w:t>there have been</w:t>
      </w:r>
      <w:r w:rsidR="00200D81" w:rsidRPr="00FB0E83">
        <w:rPr>
          <w:rFonts w:ascii="Calibri" w:hAnsi="Calibri" w:cs="Calibri"/>
          <w:sz w:val="32"/>
          <w:szCs w:val="32"/>
          <w:lang w:val="es-ES"/>
        </w:rPr>
        <w:t xml:space="preserve"> at  least</w:t>
      </w:r>
      <w:r w:rsidRPr="00FB0E83">
        <w:rPr>
          <w:rFonts w:ascii="Calibri" w:hAnsi="Calibri" w:cs="Calibri"/>
          <w:sz w:val="32"/>
          <w:szCs w:val="32"/>
          <w:lang w:val="es-ES"/>
        </w:rPr>
        <w:t xml:space="preserve"> </w:t>
      </w:r>
      <w:r w:rsidR="000E7FF4" w:rsidRPr="00FB0E83">
        <w:rPr>
          <w:rFonts w:ascii="Calibri" w:hAnsi="Calibri" w:cs="Calibri"/>
          <w:sz w:val="32"/>
          <w:szCs w:val="32"/>
          <w:lang w:val="es-ES"/>
        </w:rPr>
        <w:t xml:space="preserve"> </w:t>
      </w:r>
      <w:r w:rsidR="000E7FF4" w:rsidRPr="00FB0E83">
        <w:rPr>
          <w:rFonts w:ascii="Calibri" w:hAnsi="Calibri" w:cs="Calibri"/>
          <w:b/>
          <w:bCs/>
          <w:sz w:val="32"/>
          <w:szCs w:val="32"/>
          <w:lang w:val="es-ES"/>
        </w:rPr>
        <w:t>31</w:t>
      </w:r>
      <w:r w:rsidRPr="00FB0E83">
        <w:rPr>
          <w:rFonts w:ascii="Calibri" w:hAnsi="Calibri" w:cs="Calibri"/>
          <w:b/>
          <w:bCs/>
          <w:sz w:val="32"/>
          <w:szCs w:val="32"/>
          <w:lang w:val="es-ES"/>
        </w:rPr>
        <w:t xml:space="preserve">  murderous attacks on Prosecutors</w:t>
      </w:r>
      <w:r w:rsidR="004536AF">
        <w:rPr>
          <w:rFonts w:ascii="Calibri" w:hAnsi="Calibri" w:cs="Calibri"/>
          <w:b/>
          <w:bCs/>
          <w:sz w:val="32"/>
          <w:szCs w:val="32"/>
          <w:lang w:val="es-ES"/>
        </w:rPr>
        <w:t>,</w:t>
      </w:r>
      <w:r w:rsidR="00BB06DF" w:rsidRPr="00FB0E83">
        <w:rPr>
          <w:rFonts w:ascii="Calibri" w:hAnsi="Calibri" w:cs="Calibri"/>
          <w:b/>
          <w:bCs/>
          <w:sz w:val="32"/>
          <w:szCs w:val="32"/>
          <w:lang w:val="es-ES"/>
        </w:rPr>
        <w:t xml:space="preserve"> 24 were killed.</w:t>
      </w:r>
    </w:p>
    <w:p w14:paraId="20146D53" w14:textId="4047D94F" w:rsidR="00200D81" w:rsidRPr="00FB0E83" w:rsidRDefault="00200D81" w:rsidP="00BE5357">
      <w:pPr>
        <w:spacing w:line="20" w:lineRule="atLeast"/>
        <w:rPr>
          <w:rFonts w:ascii="Calibri" w:hAnsi="Calibri" w:cs="Calibri"/>
          <w:b/>
          <w:bCs/>
          <w:sz w:val="32"/>
          <w:szCs w:val="32"/>
          <w:lang w:val="es-ES"/>
        </w:rPr>
      </w:pPr>
      <w:r w:rsidRPr="00FB0E83">
        <w:rPr>
          <w:rFonts w:ascii="Calibri" w:hAnsi="Calibri" w:cs="Calibri"/>
          <w:sz w:val="32"/>
          <w:szCs w:val="32"/>
          <w:lang w:val="es-ES"/>
        </w:rPr>
        <w:t>Since 2001 there have been at least</w:t>
      </w:r>
      <w:r w:rsidR="00884B8E" w:rsidRPr="00FB0E83">
        <w:rPr>
          <w:rFonts w:ascii="Calibri" w:hAnsi="Calibri" w:cs="Calibri"/>
          <w:sz w:val="32"/>
          <w:szCs w:val="32"/>
          <w:lang w:val="es-ES"/>
        </w:rPr>
        <w:t xml:space="preserve"> </w:t>
      </w:r>
      <w:r w:rsidR="00884B8E" w:rsidRPr="00FB0E83">
        <w:rPr>
          <w:rFonts w:ascii="Calibri" w:hAnsi="Calibri" w:cs="Calibri"/>
          <w:b/>
          <w:bCs/>
          <w:sz w:val="32"/>
          <w:szCs w:val="32"/>
          <w:lang w:val="es-ES"/>
        </w:rPr>
        <w:t>167</w:t>
      </w:r>
      <w:r w:rsidR="00884B8E" w:rsidRPr="00FB0E83">
        <w:rPr>
          <w:rFonts w:ascii="Calibri" w:hAnsi="Calibri" w:cs="Calibri"/>
          <w:sz w:val="32"/>
          <w:szCs w:val="32"/>
          <w:lang w:val="es-ES"/>
        </w:rPr>
        <w:t xml:space="preserve"> </w:t>
      </w:r>
      <w:r w:rsidR="00884B8E" w:rsidRPr="00FB0E83">
        <w:rPr>
          <w:rFonts w:ascii="Calibri" w:hAnsi="Calibri" w:cs="Calibri"/>
          <w:b/>
          <w:bCs/>
          <w:sz w:val="32"/>
          <w:szCs w:val="32"/>
          <w:lang w:val="es-ES"/>
        </w:rPr>
        <w:t>murderous attacks</w:t>
      </w:r>
      <w:r w:rsidR="00F62A6B" w:rsidRPr="00FB0E83">
        <w:rPr>
          <w:rFonts w:ascii="Calibri" w:hAnsi="Calibri" w:cs="Calibri"/>
          <w:b/>
          <w:bCs/>
          <w:sz w:val="32"/>
          <w:szCs w:val="32"/>
          <w:lang w:val="es-ES"/>
        </w:rPr>
        <w:t xml:space="preserve"> on Attoneys</w:t>
      </w:r>
      <w:r w:rsidR="00523643">
        <w:rPr>
          <w:rFonts w:ascii="Calibri" w:hAnsi="Calibri" w:cs="Calibri"/>
          <w:b/>
          <w:bCs/>
          <w:sz w:val="32"/>
          <w:szCs w:val="32"/>
          <w:lang w:val="es-ES"/>
        </w:rPr>
        <w:t xml:space="preserve">, </w:t>
      </w:r>
      <w:r w:rsidR="006C5DBA" w:rsidRPr="00FB0E83">
        <w:rPr>
          <w:rFonts w:ascii="Calibri" w:hAnsi="Calibri" w:cs="Calibri"/>
          <w:b/>
          <w:bCs/>
          <w:sz w:val="32"/>
          <w:szCs w:val="32"/>
          <w:lang w:val="es-ES"/>
        </w:rPr>
        <w:t>145 were killed</w:t>
      </w:r>
      <w:r w:rsidR="00C74479" w:rsidRPr="00FB0E83">
        <w:rPr>
          <w:rFonts w:ascii="Calibri" w:hAnsi="Calibri" w:cs="Calibri"/>
          <w:b/>
          <w:bCs/>
          <w:sz w:val="32"/>
          <w:szCs w:val="32"/>
          <w:lang w:val="es-ES"/>
        </w:rPr>
        <w:t>.</w:t>
      </w:r>
    </w:p>
    <w:p w14:paraId="6363F552" w14:textId="13C2EDE6" w:rsidR="00DD3095" w:rsidRPr="00FB0E83" w:rsidRDefault="00DD3095" w:rsidP="00BE5357">
      <w:pPr>
        <w:spacing w:line="20" w:lineRule="atLeast"/>
        <w:rPr>
          <w:rFonts w:ascii="Calibri" w:hAnsi="Calibri" w:cs="Calibri"/>
          <w:b/>
          <w:bCs/>
          <w:sz w:val="32"/>
          <w:szCs w:val="32"/>
          <w:lang w:val="es-ES"/>
        </w:rPr>
      </w:pPr>
      <w:r w:rsidRPr="00FB0E83">
        <w:rPr>
          <w:rFonts w:ascii="Calibri" w:hAnsi="Calibri" w:cs="Calibri"/>
          <w:b/>
          <w:bCs/>
          <w:sz w:val="32"/>
          <w:szCs w:val="32"/>
          <w:lang w:val="es-ES"/>
        </w:rPr>
        <w:t xml:space="preserve">Thus </w:t>
      </w:r>
      <w:r w:rsidR="00523643">
        <w:rPr>
          <w:rFonts w:ascii="Calibri" w:hAnsi="Calibri" w:cs="Calibri"/>
          <w:b/>
          <w:bCs/>
          <w:sz w:val="32"/>
          <w:szCs w:val="32"/>
          <w:lang w:val="es-ES"/>
        </w:rPr>
        <w:t>in</w:t>
      </w:r>
      <w:r w:rsidRPr="00FB0E83">
        <w:rPr>
          <w:rFonts w:ascii="Calibri" w:hAnsi="Calibri" w:cs="Calibri"/>
          <w:b/>
          <w:bCs/>
          <w:sz w:val="32"/>
          <w:szCs w:val="32"/>
          <w:lang w:val="es-ES"/>
        </w:rPr>
        <w:t xml:space="preserve"> 239 attacks</w:t>
      </w:r>
      <w:r w:rsidR="00F347C9">
        <w:rPr>
          <w:rFonts w:ascii="Calibri" w:hAnsi="Calibri" w:cs="Calibri"/>
          <w:b/>
          <w:bCs/>
          <w:sz w:val="32"/>
          <w:szCs w:val="32"/>
          <w:lang w:val="es-ES"/>
        </w:rPr>
        <w:t>,</w:t>
      </w:r>
      <w:r w:rsidR="004F1F18" w:rsidRPr="00FB0E83">
        <w:rPr>
          <w:rFonts w:ascii="Calibri" w:hAnsi="Calibri" w:cs="Calibri"/>
          <w:b/>
          <w:bCs/>
          <w:sz w:val="32"/>
          <w:szCs w:val="32"/>
          <w:lang w:val="es-ES"/>
        </w:rPr>
        <w:t xml:space="preserve"> 204 lawyers killed since 2001.</w:t>
      </w:r>
    </w:p>
    <w:p w14:paraId="15AAC669" w14:textId="058583C6" w:rsidR="00CD51D2" w:rsidRPr="00FB0E83" w:rsidRDefault="00CD51D2" w:rsidP="00BE5357">
      <w:pPr>
        <w:spacing w:line="20" w:lineRule="atLeast"/>
        <w:rPr>
          <w:rFonts w:ascii="Calibri" w:hAnsi="Calibri" w:cs="Calibri"/>
          <w:sz w:val="32"/>
          <w:szCs w:val="32"/>
          <w:lang w:val="es-ES"/>
        </w:rPr>
      </w:pPr>
      <w:r w:rsidRPr="00FB0E83">
        <w:rPr>
          <w:rFonts w:ascii="Calibri" w:hAnsi="Calibri" w:cs="Calibri"/>
          <w:sz w:val="32"/>
          <w:szCs w:val="32"/>
          <w:lang w:val="es-ES"/>
        </w:rPr>
        <w:t xml:space="preserve">That is </w:t>
      </w:r>
      <w:r w:rsidR="008E0592" w:rsidRPr="00FB0E83">
        <w:rPr>
          <w:rFonts w:ascii="Calibri" w:hAnsi="Calibri" w:cs="Calibri"/>
          <w:sz w:val="32"/>
          <w:szCs w:val="32"/>
          <w:lang w:val="es-ES"/>
        </w:rPr>
        <w:t>nearly</w:t>
      </w:r>
      <w:r w:rsidR="00FC22E9" w:rsidRPr="00FB0E83">
        <w:rPr>
          <w:rFonts w:ascii="Calibri" w:hAnsi="Calibri" w:cs="Calibri"/>
          <w:sz w:val="32"/>
          <w:szCs w:val="32"/>
          <w:lang w:val="es-ES"/>
        </w:rPr>
        <w:t xml:space="preserve"> 1</w:t>
      </w:r>
      <w:r w:rsidR="00F42460" w:rsidRPr="00FB0E83">
        <w:rPr>
          <w:rFonts w:ascii="Calibri" w:hAnsi="Calibri" w:cs="Calibri"/>
          <w:sz w:val="32"/>
          <w:szCs w:val="32"/>
          <w:lang w:val="es-ES"/>
        </w:rPr>
        <w:t xml:space="preserve"> murderous attack each</w:t>
      </w:r>
      <w:r w:rsidR="008E0592" w:rsidRPr="00FB0E83">
        <w:rPr>
          <w:rFonts w:ascii="Calibri" w:hAnsi="Calibri" w:cs="Calibri"/>
          <w:sz w:val="32"/>
          <w:szCs w:val="32"/>
          <w:lang w:val="es-ES"/>
        </w:rPr>
        <w:t xml:space="preserve"> </w:t>
      </w:r>
      <w:r w:rsidR="00FC22E9" w:rsidRPr="00FB0E83">
        <w:rPr>
          <w:rFonts w:ascii="Calibri" w:hAnsi="Calibri" w:cs="Calibri"/>
          <w:sz w:val="32"/>
          <w:szCs w:val="32"/>
          <w:lang w:val="es-ES"/>
        </w:rPr>
        <w:t xml:space="preserve">month </w:t>
      </w:r>
      <w:r w:rsidR="00846FFD">
        <w:rPr>
          <w:rFonts w:ascii="Calibri" w:hAnsi="Calibri" w:cs="Calibri"/>
          <w:sz w:val="32"/>
          <w:szCs w:val="32"/>
          <w:lang w:val="es-ES"/>
        </w:rPr>
        <w:t>for</w:t>
      </w:r>
      <w:r w:rsidR="00FC22E9" w:rsidRPr="00FB0E83">
        <w:rPr>
          <w:rFonts w:ascii="Calibri" w:hAnsi="Calibri" w:cs="Calibri"/>
          <w:sz w:val="32"/>
          <w:szCs w:val="32"/>
          <w:lang w:val="es-ES"/>
        </w:rPr>
        <w:t xml:space="preserve"> 22 years</w:t>
      </w:r>
      <w:r w:rsidR="0045056B">
        <w:rPr>
          <w:rFonts w:ascii="Calibri" w:hAnsi="Calibri" w:cs="Calibri"/>
          <w:sz w:val="32"/>
          <w:szCs w:val="32"/>
          <w:lang w:val="es-ES"/>
        </w:rPr>
        <w:t>,</w:t>
      </w:r>
      <w:r w:rsidR="009E2BA8" w:rsidRPr="00FB0E83">
        <w:rPr>
          <w:rFonts w:ascii="Calibri" w:hAnsi="Calibri" w:cs="Calibri"/>
          <w:sz w:val="32"/>
          <w:szCs w:val="32"/>
          <w:lang w:val="es-ES"/>
        </w:rPr>
        <w:t xml:space="preserve"> enough to be a</w:t>
      </w:r>
      <w:r w:rsidR="0047707D">
        <w:rPr>
          <w:rFonts w:ascii="Calibri" w:hAnsi="Calibri" w:cs="Calibri"/>
          <w:sz w:val="32"/>
          <w:szCs w:val="32"/>
          <w:lang w:val="es-ES"/>
        </w:rPr>
        <w:t xml:space="preserve"> serious</w:t>
      </w:r>
      <w:r w:rsidR="009E2BA8" w:rsidRPr="00FB0E83">
        <w:rPr>
          <w:rFonts w:ascii="Calibri" w:hAnsi="Calibri" w:cs="Calibri"/>
          <w:sz w:val="32"/>
          <w:szCs w:val="32"/>
          <w:lang w:val="es-ES"/>
        </w:rPr>
        <w:t xml:space="preserve"> challenge to independence</w:t>
      </w:r>
      <w:r w:rsidR="00435F07" w:rsidRPr="00FB0E83">
        <w:rPr>
          <w:rFonts w:ascii="Calibri" w:hAnsi="Calibri" w:cs="Calibri"/>
          <w:sz w:val="32"/>
          <w:szCs w:val="32"/>
          <w:lang w:val="es-ES"/>
        </w:rPr>
        <w:t>.</w:t>
      </w:r>
    </w:p>
    <w:p w14:paraId="19A4A0F6" w14:textId="21BB47E0" w:rsidR="00BB767E" w:rsidRDefault="00435F07" w:rsidP="00BE5357">
      <w:pPr>
        <w:spacing w:line="20" w:lineRule="atLeast"/>
        <w:rPr>
          <w:rFonts w:ascii="Calibri" w:hAnsi="Calibri" w:cs="Calibri"/>
          <w:sz w:val="32"/>
          <w:szCs w:val="32"/>
          <w:lang w:val="es-ES"/>
        </w:rPr>
      </w:pPr>
      <w:r w:rsidRPr="00FB0E83">
        <w:rPr>
          <w:rFonts w:ascii="Calibri" w:hAnsi="Calibri" w:cs="Calibri"/>
          <w:sz w:val="32"/>
          <w:szCs w:val="32"/>
          <w:lang w:val="es-ES"/>
        </w:rPr>
        <w:t xml:space="preserve">The Philippines </w:t>
      </w:r>
      <w:r w:rsidR="00B90D01">
        <w:rPr>
          <w:rFonts w:ascii="Calibri" w:hAnsi="Calibri" w:cs="Calibri"/>
          <w:sz w:val="32"/>
          <w:szCs w:val="32"/>
          <w:lang w:val="es-ES"/>
        </w:rPr>
        <w:t>b</w:t>
      </w:r>
      <w:r w:rsidR="000435C6">
        <w:rPr>
          <w:rFonts w:ascii="Calibri" w:hAnsi="Calibri" w:cs="Calibri"/>
          <w:sz w:val="32"/>
          <w:szCs w:val="32"/>
          <w:lang w:val="es-ES"/>
        </w:rPr>
        <w:t>ecame</w:t>
      </w:r>
      <w:r w:rsidR="00B90D01">
        <w:rPr>
          <w:rFonts w:ascii="Calibri" w:hAnsi="Calibri" w:cs="Calibri"/>
          <w:sz w:val="32"/>
          <w:szCs w:val="32"/>
          <w:lang w:val="es-ES"/>
        </w:rPr>
        <w:t>, and remains,</w:t>
      </w:r>
      <w:r w:rsidRPr="00FB0E83">
        <w:rPr>
          <w:rFonts w:ascii="Calibri" w:hAnsi="Calibri" w:cs="Calibri"/>
          <w:sz w:val="32"/>
          <w:szCs w:val="32"/>
          <w:lang w:val="es-ES"/>
        </w:rPr>
        <w:t xml:space="preserve"> one of the most dangerous</w:t>
      </w:r>
      <w:r w:rsidR="00376ACE" w:rsidRPr="00FB0E83">
        <w:rPr>
          <w:rFonts w:ascii="Calibri" w:hAnsi="Calibri" w:cs="Calibri"/>
          <w:sz w:val="32"/>
          <w:szCs w:val="32"/>
          <w:lang w:val="es-ES"/>
        </w:rPr>
        <w:t xml:space="preserve"> countries in the world for lawyers.</w:t>
      </w:r>
    </w:p>
    <w:p w14:paraId="63F30002" w14:textId="38F3AC3B" w:rsidR="00BB767E" w:rsidRPr="00AD5EDD" w:rsidRDefault="00AD5EDD" w:rsidP="00BE5357">
      <w:pPr>
        <w:spacing w:line="20" w:lineRule="atLeast"/>
        <w:rPr>
          <w:rFonts w:ascii="Calibri" w:hAnsi="Calibri" w:cs="Calibri"/>
          <w:b/>
          <w:bCs/>
          <w:sz w:val="32"/>
          <w:szCs w:val="32"/>
          <w:lang w:val="es-ES"/>
        </w:rPr>
      </w:pPr>
      <w:r w:rsidRPr="00AD5EDD">
        <w:rPr>
          <w:rFonts w:ascii="Calibri" w:hAnsi="Calibri" w:cs="Calibri"/>
          <w:b/>
          <w:bCs/>
          <w:sz w:val="32"/>
          <w:szCs w:val="32"/>
          <w:lang w:val="es-ES"/>
        </w:rPr>
        <w:t>What is to be done?</w:t>
      </w:r>
    </w:p>
    <w:p w14:paraId="4670CF85" w14:textId="77777777" w:rsidR="00687450" w:rsidRPr="008D6672" w:rsidRDefault="00687450" w:rsidP="00687450">
      <w:pPr>
        <w:pStyle w:val="BodyText"/>
        <w:jc w:val="both"/>
        <w:rPr>
          <w:rFonts w:ascii="Calibri" w:hAnsi="Calibri" w:cs="Calibri"/>
          <w:sz w:val="28"/>
          <w:szCs w:val="28"/>
        </w:rPr>
      </w:pPr>
      <w:r w:rsidRPr="008D6672">
        <w:rPr>
          <w:rFonts w:ascii="Calibri" w:hAnsi="Calibri" w:cs="Calibri"/>
          <w:b/>
          <w:bCs/>
          <w:sz w:val="28"/>
          <w:szCs w:val="28"/>
        </w:rPr>
        <w:t>ON PROTECTION</w:t>
      </w:r>
      <w:r w:rsidRPr="008D6672">
        <w:rPr>
          <w:rFonts w:ascii="Calibri" w:hAnsi="Calibri" w:cs="Calibri"/>
          <w:sz w:val="28"/>
          <w:szCs w:val="28"/>
        </w:rPr>
        <w:t xml:space="preserve"> </w:t>
      </w:r>
      <w:r w:rsidRPr="008D6672">
        <w:rPr>
          <w:rFonts w:ascii="Calibri" w:hAnsi="Calibri" w:cs="Calibri"/>
          <w:b/>
          <w:bCs/>
          <w:sz w:val="28"/>
          <w:szCs w:val="28"/>
        </w:rPr>
        <w:t>and DEFENCE</w:t>
      </w:r>
      <w:r w:rsidRPr="008D6672">
        <w:rPr>
          <w:rFonts w:ascii="Calibri" w:hAnsi="Calibri" w:cs="Calibri"/>
          <w:sz w:val="28"/>
          <w:szCs w:val="28"/>
        </w:rPr>
        <w:t xml:space="preserve">                      </w:t>
      </w:r>
    </w:p>
    <w:p w14:paraId="70D5F768" w14:textId="77777777" w:rsidR="00687450" w:rsidRPr="00846FFD" w:rsidRDefault="00687450" w:rsidP="00687450">
      <w:pPr>
        <w:ind w:right="-154"/>
        <w:jc w:val="both"/>
        <w:rPr>
          <w:rFonts w:ascii="Calibri" w:hAnsi="Calibri" w:cs="Calibri"/>
          <w:sz w:val="32"/>
          <w:szCs w:val="32"/>
        </w:rPr>
      </w:pPr>
      <w:r w:rsidRPr="00846FFD">
        <w:rPr>
          <w:rFonts w:ascii="Calibri" w:hAnsi="Calibri" w:cs="Calibri"/>
          <w:sz w:val="32"/>
          <w:szCs w:val="32"/>
        </w:rPr>
        <w:t>It has long been recognized that lawyers in the Philippines are at great risk. With at least 239 murderous attacks on lawyers since 2001, in which 204 were killed, the Philippines has for years remained one of the most dangerous countries in the world for lawyers.</w:t>
      </w:r>
    </w:p>
    <w:p w14:paraId="5B8145AB" w14:textId="77777777" w:rsidR="00687450" w:rsidRPr="00846FFD" w:rsidRDefault="00687450" w:rsidP="00687450">
      <w:pPr>
        <w:ind w:right="-154"/>
        <w:jc w:val="both"/>
        <w:rPr>
          <w:rFonts w:ascii="Calibri" w:hAnsi="Calibri" w:cs="Calibri"/>
          <w:sz w:val="32"/>
          <w:szCs w:val="32"/>
        </w:rPr>
      </w:pPr>
      <w:r w:rsidRPr="00846FFD">
        <w:rPr>
          <w:rFonts w:ascii="Calibri" w:hAnsi="Calibri" w:cs="Calibri"/>
          <w:sz w:val="32"/>
          <w:szCs w:val="32"/>
        </w:rPr>
        <w:t xml:space="preserve"> Since at least the Arroyo Presidency, Judges have sought more and better provisions for their safety, usually to be armed, especially during election periods. The position of the PNP has been “if you receive death threats, notify us and we will provide you with police escorts.” At one point the Supreme Court instituted a Security program, under which </w:t>
      </w:r>
      <w:r w:rsidRPr="00846FFD">
        <w:rPr>
          <w:rFonts w:ascii="Calibri" w:hAnsi="Calibri" w:cs="Calibri"/>
          <w:i/>
          <w:iCs/>
          <w:sz w:val="32"/>
          <w:szCs w:val="32"/>
        </w:rPr>
        <w:t>inter alia</w:t>
      </w:r>
      <w:r w:rsidRPr="00846FFD">
        <w:rPr>
          <w:rFonts w:ascii="Calibri" w:hAnsi="Calibri" w:cs="Calibri"/>
          <w:sz w:val="32"/>
          <w:szCs w:val="32"/>
        </w:rPr>
        <w:t xml:space="preserve"> lawyers could apply for a loan to purchase a firearm. For years </w:t>
      </w:r>
      <w:r w:rsidRPr="00846FFD">
        <w:rPr>
          <w:rFonts w:ascii="Calibri" w:hAnsi="Calibri" w:cs="Calibri"/>
          <w:sz w:val="32"/>
          <w:szCs w:val="32"/>
        </w:rPr>
        <w:lastRenderedPageBreak/>
        <w:t>Judges, in some instances, hired their own security officers. And in at least one instance we have found a Judge did arm himself with a firearm sadly with fatal consequences to himself, as detailed  below (Judge Hassan).above.</w:t>
      </w:r>
    </w:p>
    <w:p w14:paraId="095A98C0" w14:textId="77777777" w:rsidR="00687450" w:rsidRPr="00846FFD" w:rsidRDefault="00687450" w:rsidP="00687450">
      <w:pPr>
        <w:ind w:right="-154"/>
        <w:jc w:val="both"/>
        <w:rPr>
          <w:rFonts w:ascii="Calibri" w:hAnsi="Calibri" w:cs="Calibri"/>
          <w:sz w:val="32"/>
          <w:szCs w:val="32"/>
        </w:rPr>
      </w:pPr>
      <w:r w:rsidRPr="00846FFD">
        <w:rPr>
          <w:rFonts w:ascii="Calibri" w:hAnsi="Calibri" w:cs="Calibri"/>
          <w:sz w:val="32"/>
          <w:szCs w:val="32"/>
        </w:rPr>
        <w:t xml:space="preserve">In recent years, a number of measures for protecting lawyers have been considered and, in the case of the attackers’ riding-in-tandem </w:t>
      </w:r>
      <w:r w:rsidRPr="00846FFD">
        <w:rPr>
          <w:rFonts w:ascii="Calibri" w:hAnsi="Calibri" w:cs="Calibri"/>
          <w:i/>
          <w:iCs/>
          <w:sz w:val="32"/>
          <w:szCs w:val="32"/>
        </w:rPr>
        <w:t>modus operandi</w:t>
      </w:r>
      <w:r w:rsidRPr="00846FFD">
        <w:rPr>
          <w:rFonts w:ascii="Calibri" w:hAnsi="Calibri" w:cs="Calibri"/>
          <w:sz w:val="32"/>
          <w:szCs w:val="32"/>
        </w:rPr>
        <w:t>, Senator Gordon’s determination to try to substantially mitigate the danger has paid off in the passage of legislation. After some years of delay the idea of a Marshall’s Service to protect Judges, modelled on the USA Federal agency, has been established. But the murderous attacks continue.</w:t>
      </w:r>
    </w:p>
    <w:p w14:paraId="3E51DE33" w14:textId="77777777" w:rsidR="001C5396" w:rsidRPr="00846FFD" w:rsidRDefault="001C5396" w:rsidP="001C5396">
      <w:pPr>
        <w:jc w:val="both"/>
        <w:rPr>
          <w:rFonts w:ascii="Calibri" w:hAnsi="Calibri" w:cs="Calibri"/>
          <w:sz w:val="32"/>
          <w:szCs w:val="32"/>
        </w:rPr>
      </w:pPr>
      <w:r w:rsidRPr="00846FFD">
        <w:rPr>
          <w:rFonts w:ascii="Calibri" w:hAnsi="Calibri" w:cs="Calibri"/>
          <w:sz w:val="32"/>
          <w:szCs w:val="32"/>
        </w:rPr>
        <w:t>From the above it can be seen that having armed security, formal or coincidental, resulted in:</w:t>
      </w:r>
    </w:p>
    <w:p w14:paraId="65C61108" w14:textId="77777777" w:rsidR="001C5396" w:rsidRPr="00846FFD" w:rsidRDefault="001C5396" w:rsidP="0043131A">
      <w:pPr>
        <w:pStyle w:val="ListParagraph"/>
        <w:jc w:val="both"/>
        <w:rPr>
          <w:rFonts w:ascii="Calibri" w:hAnsi="Calibri" w:cs="Calibri"/>
          <w:sz w:val="32"/>
          <w:szCs w:val="32"/>
        </w:rPr>
      </w:pPr>
      <w:r w:rsidRPr="00846FFD">
        <w:rPr>
          <w:rFonts w:ascii="Calibri" w:hAnsi="Calibri" w:cs="Calibri"/>
          <w:sz w:val="32"/>
          <w:szCs w:val="32"/>
        </w:rPr>
        <w:t>2 Judges/Prosecutors lives saved</w:t>
      </w:r>
    </w:p>
    <w:p w14:paraId="7A885D2F" w14:textId="77777777" w:rsidR="001C5396" w:rsidRPr="00846FFD" w:rsidRDefault="001C5396" w:rsidP="0043131A">
      <w:pPr>
        <w:pStyle w:val="ListParagraph"/>
        <w:jc w:val="both"/>
        <w:rPr>
          <w:rFonts w:ascii="Calibri" w:hAnsi="Calibri" w:cs="Calibri"/>
          <w:sz w:val="32"/>
          <w:szCs w:val="32"/>
        </w:rPr>
      </w:pPr>
      <w:r w:rsidRPr="00846FFD">
        <w:rPr>
          <w:rFonts w:ascii="Calibri" w:hAnsi="Calibri" w:cs="Calibri"/>
          <w:sz w:val="32"/>
          <w:szCs w:val="32"/>
        </w:rPr>
        <w:t xml:space="preserve"> reduced consequential harm: 2 passengers lives saved</w:t>
      </w:r>
      <w:r w:rsidRPr="00846FFD">
        <w:rPr>
          <w:rFonts w:ascii="Calibri" w:hAnsi="Calibri" w:cs="Calibri"/>
          <w:sz w:val="32"/>
          <w:szCs w:val="32"/>
        </w:rPr>
        <w:tab/>
      </w:r>
    </w:p>
    <w:p w14:paraId="5C6BC8E3" w14:textId="77777777" w:rsidR="001C5396" w:rsidRPr="00846FFD" w:rsidRDefault="001C5396" w:rsidP="0043131A">
      <w:pPr>
        <w:pStyle w:val="ListParagraph"/>
        <w:jc w:val="both"/>
        <w:rPr>
          <w:rFonts w:ascii="Calibri" w:hAnsi="Calibri" w:cs="Calibri"/>
          <w:sz w:val="32"/>
          <w:szCs w:val="32"/>
        </w:rPr>
      </w:pPr>
      <w:r w:rsidRPr="00846FFD">
        <w:rPr>
          <w:rFonts w:ascii="Calibri" w:hAnsi="Calibri" w:cs="Calibri"/>
          <w:sz w:val="32"/>
          <w:szCs w:val="32"/>
        </w:rPr>
        <w:t>3 Judges killed</w:t>
      </w:r>
    </w:p>
    <w:p w14:paraId="2E068D33" w14:textId="77777777" w:rsidR="001C5396" w:rsidRPr="00846FFD" w:rsidRDefault="001C5396" w:rsidP="0043131A">
      <w:pPr>
        <w:pStyle w:val="ListParagraph"/>
        <w:jc w:val="both"/>
        <w:rPr>
          <w:rFonts w:ascii="Calibri" w:hAnsi="Calibri" w:cs="Calibri"/>
          <w:sz w:val="32"/>
          <w:szCs w:val="32"/>
        </w:rPr>
      </w:pPr>
      <w:r w:rsidRPr="00846FFD">
        <w:rPr>
          <w:rFonts w:ascii="Calibri" w:hAnsi="Calibri" w:cs="Calibri"/>
          <w:sz w:val="32"/>
          <w:szCs w:val="32"/>
        </w:rPr>
        <w:t>1 Prosecutor killed</w:t>
      </w:r>
    </w:p>
    <w:p w14:paraId="4C63A41C" w14:textId="77777777" w:rsidR="001C5396" w:rsidRPr="00846FFD" w:rsidRDefault="001C5396" w:rsidP="0043131A">
      <w:pPr>
        <w:pStyle w:val="ListParagraph"/>
        <w:jc w:val="both"/>
        <w:rPr>
          <w:rFonts w:ascii="Calibri" w:hAnsi="Calibri" w:cs="Calibri"/>
          <w:sz w:val="32"/>
          <w:szCs w:val="32"/>
        </w:rPr>
      </w:pPr>
      <w:r w:rsidRPr="00846FFD">
        <w:rPr>
          <w:rFonts w:ascii="Calibri" w:hAnsi="Calibri" w:cs="Calibri"/>
          <w:sz w:val="32"/>
          <w:szCs w:val="32"/>
        </w:rPr>
        <w:t>4 Prosecutors wounded</w:t>
      </w:r>
    </w:p>
    <w:p w14:paraId="259BA40F" w14:textId="0F5C08CF" w:rsidR="001C5396" w:rsidRPr="00846FFD" w:rsidRDefault="001C5396" w:rsidP="0083079F">
      <w:pPr>
        <w:pStyle w:val="ListParagraph"/>
        <w:numPr>
          <w:ilvl w:val="0"/>
          <w:numId w:val="3"/>
        </w:numPr>
        <w:jc w:val="both"/>
        <w:rPr>
          <w:rFonts w:ascii="Calibri" w:hAnsi="Calibri" w:cs="Calibri"/>
          <w:sz w:val="32"/>
          <w:szCs w:val="32"/>
        </w:rPr>
      </w:pPr>
      <w:r w:rsidRPr="00846FFD">
        <w:rPr>
          <w:rFonts w:ascii="Calibri" w:hAnsi="Calibri" w:cs="Calibri"/>
          <w:sz w:val="32"/>
          <w:szCs w:val="32"/>
        </w:rPr>
        <w:t>perpetrators dead</w:t>
      </w:r>
    </w:p>
    <w:p w14:paraId="5EF19DC7" w14:textId="14ED39D8" w:rsidR="001C5396" w:rsidRPr="00846FFD" w:rsidRDefault="0083079F" w:rsidP="0083079F">
      <w:pPr>
        <w:jc w:val="both"/>
        <w:rPr>
          <w:rFonts w:ascii="Calibri" w:hAnsi="Calibri" w:cs="Calibri"/>
          <w:sz w:val="32"/>
          <w:szCs w:val="32"/>
        </w:rPr>
      </w:pPr>
      <w:r w:rsidRPr="00846FFD">
        <w:rPr>
          <w:rFonts w:ascii="Calibri" w:hAnsi="Calibri" w:cs="Calibri"/>
          <w:sz w:val="32"/>
          <w:szCs w:val="32"/>
        </w:rPr>
        <w:t xml:space="preserve">             1 </w:t>
      </w:r>
      <w:r w:rsidR="001C5396" w:rsidRPr="00846FFD">
        <w:rPr>
          <w:rFonts w:ascii="Calibri" w:hAnsi="Calibri" w:cs="Calibri"/>
          <w:sz w:val="32"/>
          <w:szCs w:val="32"/>
        </w:rPr>
        <w:t>perpetrator arrested</w:t>
      </w:r>
    </w:p>
    <w:p w14:paraId="763EBC52" w14:textId="362D5693" w:rsidR="001C5396" w:rsidRPr="00846FFD" w:rsidRDefault="0083079F" w:rsidP="0043131A">
      <w:pPr>
        <w:ind w:left="360"/>
        <w:jc w:val="both"/>
        <w:rPr>
          <w:rFonts w:ascii="Calibri" w:hAnsi="Calibri" w:cs="Calibri"/>
          <w:sz w:val="32"/>
          <w:szCs w:val="32"/>
        </w:rPr>
      </w:pPr>
      <w:r w:rsidRPr="00846FFD">
        <w:rPr>
          <w:rFonts w:ascii="Calibri" w:hAnsi="Calibri" w:cs="Calibri"/>
          <w:sz w:val="32"/>
          <w:szCs w:val="32"/>
        </w:rPr>
        <w:t xml:space="preserve">       </w:t>
      </w:r>
      <w:r w:rsidR="001C5396" w:rsidRPr="00846FFD">
        <w:rPr>
          <w:rFonts w:ascii="Calibri" w:hAnsi="Calibri" w:cs="Calibri"/>
          <w:sz w:val="32"/>
          <w:szCs w:val="32"/>
        </w:rPr>
        <w:t>1 Attorney and his colleagues charged for various firearms offences</w:t>
      </w:r>
    </w:p>
    <w:p w14:paraId="3F968516" w14:textId="77777777" w:rsidR="005743FB" w:rsidRPr="00846FFD" w:rsidRDefault="005743FB" w:rsidP="00413B8C">
      <w:pPr>
        <w:ind w:left="360"/>
        <w:rPr>
          <w:rFonts w:ascii="Calibri" w:hAnsi="Calibri" w:cs="Calibri"/>
          <w:b/>
          <w:bCs/>
          <w:sz w:val="32"/>
          <w:szCs w:val="32"/>
          <w:lang w:val="en-GB"/>
        </w:rPr>
      </w:pPr>
      <w:r w:rsidRPr="00846FFD">
        <w:rPr>
          <w:rFonts w:ascii="Calibri" w:hAnsi="Calibri" w:cs="Calibri"/>
          <w:b/>
          <w:bCs/>
          <w:sz w:val="32"/>
          <w:szCs w:val="32"/>
          <w:lang w:val="en-GB"/>
        </w:rPr>
        <w:t>ISSUES ARISING FROM THE RESEARCH</w:t>
      </w:r>
    </w:p>
    <w:p w14:paraId="0C7C6899" w14:textId="77777777" w:rsidR="005743FB" w:rsidRPr="00846FFD" w:rsidRDefault="005743FB" w:rsidP="00413B8C">
      <w:pPr>
        <w:pStyle w:val="ListParagraph"/>
        <w:rPr>
          <w:rFonts w:ascii="Calibri" w:hAnsi="Calibri" w:cs="Calibri"/>
          <w:b/>
          <w:bCs/>
          <w:sz w:val="32"/>
          <w:szCs w:val="32"/>
          <w:lang w:val="en-GB"/>
        </w:rPr>
      </w:pPr>
      <w:r w:rsidRPr="00846FFD">
        <w:rPr>
          <w:rFonts w:ascii="Calibri" w:hAnsi="Calibri" w:cs="Calibri"/>
          <w:b/>
          <w:bCs/>
          <w:sz w:val="32"/>
          <w:szCs w:val="32"/>
          <w:lang w:val="en-GB"/>
        </w:rPr>
        <w:t>A pattern of Impunity</w:t>
      </w:r>
    </w:p>
    <w:p w14:paraId="1BC573A0" w14:textId="77777777" w:rsidR="005743FB" w:rsidRPr="00846FFD" w:rsidRDefault="005743FB" w:rsidP="00413B8C">
      <w:pPr>
        <w:pStyle w:val="ListParagraph"/>
        <w:rPr>
          <w:rFonts w:ascii="Calibri" w:hAnsi="Calibri" w:cs="Calibri"/>
          <w:sz w:val="32"/>
          <w:szCs w:val="32"/>
          <w:lang w:val="en-GB"/>
        </w:rPr>
      </w:pPr>
      <w:r w:rsidRPr="00846FFD">
        <w:rPr>
          <w:rFonts w:ascii="Calibri" w:hAnsi="Calibri" w:cs="Calibri"/>
          <w:sz w:val="32"/>
          <w:szCs w:val="32"/>
          <w:lang w:val="en-GB"/>
        </w:rPr>
        <w:t xml:space="preserve">In a country where almost 6,700 “drug suspects” have been killed by police officers according  to the police, while others report the number is at least 30,000, it is surprising that less than a handful of police have been convicted of such a killing. </w:t>
      </w:r>
    </w:p>
    <w:p w14:paraId="00F183E4" w14:textId="77777777" w:rsidR="005743FB" w:rsidRPr="00846FFD" w:rsidRDefault="005743FB" w:rsidP="00413B8C">
      <w:pPr>
        <w:pStyle w:val="ListParagraph"/>
        <w:rPr>
          <w:rFonts w:ascii="Calibri" w:hAnsi="Calibri" w:cs="Calibri"/>
          <w:sz w:val="32"/>
          <w:szCs w:val="32"/>
          <w:lang w:val="en-GB"/>
        </w:rPr>
      </w:pPr>
      <w:r w:rsidRPr="00846FFD">
        <w:rPr>
          <w:rFonts w:ascii="Calibri" w:hAnsi="Calibri" w:cs="Calibri"/>
          <w:sz w:val="32"/>
          <w:szCs w:val="32"/>
          <w:lang w:val="en-GB"/>
        </w:rPr>
        <w:t xml:space="preserve">It is not surprising, given such a failure of the institutions of the state-law enforcement, prosecutorial and judicial- that the </w:t>
      </w:r>
      <w:r w:rsidRPr="00846FFD">
        <w:rPr>
          <w:rFonts w:ascii="Calibri" w:hAnsi="Calibri" w:cs="Calibri"/>
          <w:sz w:val="32"/>
          <w:szCs w:val="32"/>
          <w:lang w:val="en-GB"/>
        </w:rPr>
        <w:lastRenderedPageBreak/>
        <w:t xml:space="preserve">same pattern of impunity exists when we examine attacks on judges. </w:t>
      </w:r>
    </w:p>
    <w:p w14:paraId="4C5D6F3C" w14:textId="77777777" w:rsidR="005743FB" w:rsidRPr="00846FFD" w:rsidRDefault="005743FB" w:rsidP="00413B8C">
      <w:pPr>
        <w:pStyle w:val="ListParagraph"/>
        <w:rPr>
          <w:rFonts w:ascii="Calibri" w:hAnsi="Calibri" w:cs="Calibri"/>
          <w:sz w:val="32"/>
          <w:szCs w:val="32"/>
          <w:lang w:val="en-GB"/>
        </w:rPr>
      </w:pPr>
      <w:r w:rsidRPr="00846FFD">
        <w:rPr>
          <w:rFonts w:ascii="Calibri" w:hAnsi="Calibri" w:cs="Calibri"/>
          <w:sz w:val="32"/>
          <w:szCs w:val="32"/>
          <w:lang w:val="en-GB"/>
        </w:rPr>
        <w:t>In eight cases there were no perpetrators arrested. These involved 5 cases drug-related. In two other cases, the judges had found the case mounted by the prosecution for the murder of AFP soldiers insufficient to find (1) the alleged Communist/NPA defendant, and (2) the Human rights activists, guilty. In another, a political bombing case, no arrest was made, while the police denied it was political apparently because it would have reflected poorly on their efficiency.</w:t>
      </w:r>
    </w:p>
    <w:p w14:paraId="37812D7C" w14:textId="77777777" w:rsidR="005743FB" w:rsidRPr="00846FFD" w:rsidRDefault="005743FB" w:rsidP="00413B8C">
      <w:pPr>
        <w:pStyle w:val="ListParagraph"/>
        <w:rPr>
          <w:rFonts w:ascii="Calibri" w:hAnsi="Calibri" w:cs="Calibri"/>
          <w:sz w:val="32"/>
          <w:szCs w:val="32"/>
          <w:lang w:val="en-GB"/>
        </w:rPr>
      </w:pPr>
      <w:r w:rsidRPr="00846FFD">
        <w:rPr>
          <w:rFonts w:ascii="Calibri" w:hAnsi="Calibri" w:cs="Calibri"/>
          <w:sz w:val="32"/>
          <w:szCs w:val="32"/>
          <w:lang w:val="en-GB"/>
        </w:rPr>
        <w:t>In four cases where the attacker became known, leading to one conviction,  they were low hanging fruit, or what I have referred to elsewhere as “sitting duck” cases.</w:t>
      </w:r>
    </w:p>
    <w:p w14:paraId="71BAC76F" w14:textId="77777777" w:rsidR="005743FB" w:rsidRPr="00846FFD" w:rsidRDefault="005743FB" w:rsidP="000A299B">
      <w:pPr>
        <w:pStyle w:val="ListParagraph"/>
        <w:rPr>
          <w:rFonts w:ascii="Calibri" w:hAnsi="Calibri" w:cs="Calibri"/>
          <w:sz w:val="32"/>
          <w:szCs w:val="32"/>
          <w:lang w:val="en-GB"/>
        </w:rPr>
      </w:pPr>
      <w:r w:rsidRPr="00846FFD">
        <w:rPr>
          <w:rFonts w:ascii="Calibri" w:hAnsi="Calibri" w:cs="Calibri"/>
          <w:sz w:val="32"/>
          <w:szCs w:val="32"/>
          <w:lang w:val="en-GB"/>
        </w:rPr>
        <w:t>In the two cases where the perpetrator was identified and arrested (no trial as yet) these were personal grudge cases and it was not difficult to investigate. In one case the Mastermind was caught on CCTV, the last person to have seen the victim; in the other the perpetrator was a neighbor in a land dispute with the victim’s family.</w:t>
      </w:r>
    </w:p>
    <w:p w14:paraId="2581E1EA" w14:textId="77C0E308" w:rsidR="005743FB" w:rsidRPr="00846FFD" w:rsidRDefault="00C2342E" w:rsidP="000A299B">
      <w:pPr>
        <w:pStyle w:val="ListParagraph"/>
        <w:rPr>
          <w:rFonts w:ascii="Calibri" w:hAnsi="Calibri" w:cs="Calibri"/>
          <w:sz w:val="32"/>
          <w:szCs w:val="32"/>
          <w:lang w:val="en-GB"/>
        </w:rPr>
      </w:pPr>
      <w:r>
        <w:rPr>
          <w:rFonts w:ascii="Calibri" w:hAnsi="Calibri" w:cs="Calibri"/>
          <w:sz w:val="32"/>
          <w:szCs w:val="32"/>
          <w:lang w:val="en-GB"/>
        </w:rPr>
        <w:t>I</w:t>
      </w:r>
      <w:r w:rsidR="005743FB" w:rsidRPr="00846FFD">
        <w:rPr>
          <w:rFonts w:ascii="Calibri" w:hAnsi="Calibri" w:cs="Calibri"/>
          <w:sz w:val="32"/>
          <w:szCs w:val="32"/>
          <w:lang w:val="en-GB"/>
        </w:rPr>
        <w:t>n another case the suspect killed the judge and committed suicide on the spot.</w:t>
      </w:r>
    </w:p>
    <w:p w14:paraId="02C499C4" w14:textId="3DD2B37A" w:rsidR="005743FB" w:rsidRPr="00846FFD" w:rsidRDefault="005743FB" w:rsidP="000A299B">
      <w:pPr>
        <w:pStyle w:val="ListParagraph"/>
        <w:rPr>
          <w:rFonts w:ascii="Calibri" w:hAnsi="Calibri" w:cs="Calibri"/>
          <w:sz w:val="32"/>
          <w:szCs w:val="32"/>
          <w:lang w:val="en-GB"/>
        </w:rPr>
      </w:pPr>
      <w:r w:rsidRPr="00846FFD">
        <w:rPr>
          <w:rFonts w:ascii="Calibri" w:hAnsi="Calibri" w:cs="Calibri"/>
          <w:sz w:val="32"/>
          <w:szCs w:val="32"/>
          <w:lang w:val="en-GB"/>
        </w:rPr>
        <w:t>In the one case where the Mastermind was convicted, he was under suspicion of corruptly deciding drug cases. The victim was the man who was audit</w:t>
      </w:r>
      <w:r w:rsidR="00C2342E">
        <w:rPr>
          <w:rFonts w:ascii="Calibri" w:hAnsi="Calibri" w:cs="Calibri"/>
          <w:sz w:val="32"/>
          <w:szCs w:val="32"/>
          <w:lang w:val="en-GB"/>
        </w:rPr>
        <w:t>i</w:t>
      </w:r>
      <w:r w:rsidRPr="00846FFD">
        <w:rPr>
          <w:rFonts w:ascii="Calibri" w:hAnsi="Calibri" w:cs="Calibri"/>
          <w:sz w:val="32"/>
          <w:szCs w:val="32"/>
          <w:lang w:val="en-GB"/>
        </w:rPr>
        <w:t>ng his work and had reported the wrongful behavior.</w:t>
      </w:r>
    </w:p>
    <w:p w14:paraId="4B4B99D1" w14:textId="77777777" w:rsidR="005743FB" w:rsidRPr="00846FFD" w:rsidRDefault="005743FB" w:rsidP="000A299B">
      <w:pPr>
        <w:pStyle w:val="ListParagraph"/>
        <w:rPr>
          <w:rFonts w:ascii="Calibri" w:hAnsi="Calibri" w:cs="Calibri"/>
          <w:b/>
          <w:bCs/>
          <w:sz w:val="32"/>
          <w:szCs w:val="32"/>
        </w:rPr>
      </w:pPr>
      <w:r w:rsidRPr="00846FFD">
        <w:rPr>
          <w:rFonts w:ascii="Calibri" w:hAnsi="Calibri" w:cs="Calibri"/>
          <w:b/>
          <w:bCs/>
          <w:sz w:val="32"/>
          <w:szCs w:val="32"/>
        </w:rPr>
        <w:t>Lack of deterrence</w:t>
      </w:r>
    </w:p>
    <w:p w14:paraId="2E58C7D0" w14:textId="5684EA5A" w:rsidR="005743FB" w:rsidRPr="00846FFD" w:rsidRDefault="005743FB" w:rsidP="000A299B">
      <w:pPr>
        <w:pStyle w:val="ListParagraph"/>
        <w:rPr>
          <w:rFonts w:ascii="Calibri" w:hAnsi="Calibri" w:cs="Calibri"/>
          <w:sz w:val="32"/>
          <w:szCs w:val="32"/>
        </w:rPr>
      </w:pPr>
      <w:r w:rsidRPr="00846FFD">
        <w:rPr>
          <w:rFonts w:ascii="Calibri" w:hAnsi="Calibri" w:cs="Calibri"/>
          <w:sz w:val="32"/>
          <w:szCs w:val="32"/>
        </w:rPr>
        <w:t xml:space="preserve">One of the most important factors in protecting legal professionals is the effectiveness of the judicial system. An accepted, well established principle in the discipline of Criminology is that the most effective deterrent to offending is not the severity of sanctions – offenders do not believe they will be caught – but the certainty of conviction. By that measure the Philippine judicial system has been a notable failure for </w:t>
      </w:r>
      <w:r w:rsidRPr="00846FFD">
        <w:rPr>
          <w:rFonts w:ascii="Calibri" w:hAnsi="Calibri" w:cs="Calibri"/>
          <w:sz w:val="32"/>
          <w:szCs w:val="32"/>
        </w:rPr>
        <w:lastRenderedPageBreak/>
        <w:t>decades. As Prof. John Molo, also an Attorney, commented: “The legal profession is suffering from a silent epidemic, its members stalked by assassins who have stopped being afraid of the Rule of Law… If the members of a powerful profession can be gunned down with impunity, where does that leave the less fortunate?”</w:t>
      </w:r>
      <w:r w:rsidR="00841211">
        <w:rPr>
          <w:rFonts w:ascii="Calibri" w:hAnsi="Calibri" w:cs="Calibri"/>
          <w:sz w:val="32"/>
          <w:szCs w:val="32"/>
        </w:rPr>
        <w:t>.</w:t>
      </w:r>
      <w:r w:rsidR="00154982">
        <w:rPr>
          <w:rStyle w:val="FootnoteReference"/>
          <w:rFonts w:ascii="Calibri" w:hAnsi="Calibri" w:cs="Calibri"/>
          <w:sz w:val="32"/>
          <w:szCs w:val="32"/>
        </w:rPr>
        <w:footnoteReference w:id="9"/>
      </w:r>
      <w:r w:rsidRPr="00846FFD">
        <w:rPr>
          <w:rFonts w:ascii="Calibri" w:hAnsi="Calibri" w:cs="Calibri"/>
          <w:sz w:val="32"/>
          <w:szCs w:val="32"/>
        </w:rPr>
        <w:t xml:space="preserve">  Rappler Nov. 24, 2020].</w:t>
      </w:r>
    </w:p>
    <w:p w14:paraId="1EF63BB9" w14:textId="77777777" w:rsidR="005743FB" w:rsidRPr="00846FFD" w:rsidRDefault="005743FB" w:rsidP="000A299B">
      <w:pPr>
        <w:pStyle w:val="ListParagraph"/>
        <w:rPr>
          <w:rFonts w:ascii="Calibri" w:hAnsi="Calibri" w:cs="Calibri"/>
          <w:sz w:val="32"/>
          <w:szCs w:val="32"/>
        </w:rPr>
      </w:pPr>
      <w:r w:rsidRPr="00846FFD">
        <w:rPr>
          <w:rFonts w:ascii="Calibri" w:hAnsi="Calibri" w:cs="Calibri"/>
          <w:sz w:val="32"/>
          <w:szCs w:val="32"/>
        </w:rPr>
        <w:t xml:space="preserve">While it is true that under President Arroyo there were numerous murder charges filed against arrested suspects, some trials and a few convictions, that low standard was never met under President Benigno Aquino III, while In the reign of President Duterte the results have been exceedingly poor. </w:t>
      </w:r>
    </w:p>
    <w:p w14:paraId="675DF4C8" w14:textId="1408B998" w:rsidR="005743FB" w:rsidRPr="00846FFD" w:rsidRDefault="005743FB" w:rsidP="000A299B">
      <w:pPr>
        <w:pStyle w:val="ListParagraph"/>
        <w:rPr>
          <w:rFonts w:ascii="Calibri" w:hAnsi="Calibri" w:cs="Calibri"/>
          <w:b/>
          <w:bCs/>
          <w:sz w:val="32"/>
          <w:szCs w:val="32"/>
        </w:rPr>
      </w:pPr>
      <w:r w:rsidRPr="00846FFD">
        <w:rPr>
          <w:rFonts w:ascii="Calibri" w:hAnsi="Calibri" w:cs="Calibri"/>
          <w:sz w:val="32"/>
          <w:szCs w:val="32"/>
        </w:rPr>
        <w:t>According to a Rappler report, only 5 cases have been brought to the courts, and these are   among the small number of cases that do not involve killings by any of the “dark forces” suspected of responsibility for attacks on human rights lawyers and critics of the government.</w:t>
      </w:r>
      <w:r w:rsidR="00DA647B">
        <w:rPr>
          <w:rStyle w:val="FootnoteReference"/>
          <w:rFonts w:ascii="Calibri" w:hAnsi="Calibri" w:cs="Calibri"/>
          <w:sz w:val="32"/>
          <w:szCs w:val="32"/>
        </w:rPr>
        <w:footnoteReference w:id="10"/>
      </w:r>
      <w:r w:rsidRPr="00846FFD">
        <w:rPr>
          <w:rFonts w:ascii="Calibri" w:hAnsi="Calibri" w:cs="Calibri"/>
          <w:sz w:val="32"/>
          <w:szCs w:val="32"/>
        </w:rPr>
        <w:t xml:space="preserve"> [ See Lian Buan, “Only 5 cases reached the courts in 54 lawyer killings since 2016” Rappler Dec. 1, 2020; see also ibid, “In alarming rise of PH lawyer killings, what is being done?’ Rappler Nov. 25, 2020. And see on EJKs generally, ibid, “DOJ’s task force vs EJKs: Few convicted, most perpetrators cleared” Rappler Sept. 3, 2020). </w:t>
      </w:r>
    </w:p>
    <w:p w14:paraId="1A848EED" w14:textId="77777777" w:rsidR="005743FB" w:rsidRPr="00846FFD" w:rsidRDefault="005743FB" w:rsidP="000A299B">
      <w:pPr>
        <w:pStyle w:val="Heading2"/>
        <w:ind w:left="720"/>
        <w:rPr>
          <w:rFonts w:ascii="Calibri" w:hAnsi="Calibri" w:cs="Calibri"/>
          <w:b/>
          <w:bCs/>
          <w:color w:val="auto"/>
        </w:rPr>
      </w:pPr>
      <w:r w:rsidRPr="00846FFD">
        <w:rPr>
          <w:rFonts w:ascii="Calibri" w:hAnsi="Calibri" w:cs="Calibri"/>
          <w:b/>
          <w:bCs/>
          <w:color w:val="auto"/>
        </w:rPr>
        <w:t>Inadequate Investigations</w:t>
      </w:r>
    </w:p>
    <w:p w14:paraId="6A6BCDA5" w14:textId="093CF98E" w:rsidR="005743FB" w:rsidRPr="00846FFD" w:rsidRDefault="005743FB" w:rsidP="000A299B">
      <w:pPr>
        <w:pStyle w:val="BodyText"/>
        <w:ind w:left="720"/>
        <w:jc w:val="both"/>
        <w:rPr>
          <w:rFonts w:ascii="Calibri" w:hAnsi="Calibri" w:cs="Calibri"/>
          <w:sz w:val="32"/>
          <w:szCs w:val="32"/>
        </w:rPr>
      </w:pPr>
      <w:r w:rsidRPr="00846FFD">
        <w:rPr>
          <w:rFonts w:ascii="Calibri" w:hAnsi="Calibri" w:cs="Calibri"/>
          <w:sz w:val="32"/>
          <w:szCs w:val="32"/>
        </w:rPr>
        <w:t xml:space="preserve">Thorough and comprehensive investigations are the </w:t>
      </w:r>
      <w:r w:rsidRPr="00846FFD">
        <w:rPr>
          <w:rFonts w:ascii="Calibri" w:hAnsi="Calibri" w:cs="Calibri"/>
          <w:i/>
          <w:iCs/>
          <w:sz w:val="32"/>
          <w:szCs w:val="32"/>
        </w:rPr>
        <w:t>sine qua non</w:t>
      </w:r>
      <w:r w:rsidRPr="00846FFD">
        <w:rPr>
          <w:rFonts w:ascii="Calibri" w:hAnsi="Calibri" w:cs="Calibri"/>
          <w:sz w:val="32"/>
          <w:szCs w:val="32"/>
        </w:rPr>
        <w:t xml:space="preserve"> of a judicial system that supports a functioning rule of law. Unfortunately this basic activity has been missing, according to the Report of an International Fact Finding Mission, organized by the Day of the Endangered Lawyer Foundation, Netherlands and including representatives from a number of legal profession </w:t>
      </w:r>
      <w:r w:rsidRPr="00846FFD">
        <w:rPr>
          <w:rFonts w:ascii="Calibri" w:hAnsi="Calibri" w:cs="Calibri"/>
          <w:sz w:val="32"/>
          <w:szCs w:val="32"/>
        </w:rPr>
        <w:lastRenderedPageBreak/>
        <w:t>groups from Europe and the USA.</w:t>
      </w:r>
      <w:r w:rsidR="00DA647B">
        <w:rPr>
          <w:rStyle w:val="FootnoteReference"/>
          <w:rFonts w:ascii="Calibri" w:hAnsi="Calibri" w:cs="Calibri"/>
          <w:sz w:val="32"/>
          <w:szCs w:val="32"/>
        </w:rPr>
        <w:footnoteReference w:id="11"/>
      </w:r>
      <w:r w:rsidRPr="00846FFD">
        <w:rPr>
          <w:rFonts w:ascii="Calibri" w:hAnsi="Calibri" w:cs="Calibri"/>
          <w:sz w:val="32"/>
          <w:szCs w:val="32"/>
        </w:rPr>
        <w:t xml:space="preserve"> [See Lian Buan, “International probers: No effective investigation of lawyer killings in PH” Rappler Mar. 8, 2019.].    Why this is so is beyond the scope of this Submission, but there are suspicions, based on past incidents, that police and military operatives have been involved in many  cases and that a lack of investigation required is a protective shield for those institutions.</w:t>
      </w:r>
    </w:p>
    <w:p w14:paraId="44BD31F2" w14:textId="46950399" w:rsidR="005743FB" w:rsidRPr="00846FFD" w:rsidRDefault="005743FB" w:rsidP="000A299B">
      <w:pPr>
        <w:pStyle w:val="BodyText"/>
        <w:ind w:left="720"/>
        <w:jc w:val="both"/>
        <w:rPr>
          <w:rFonts w:ascii="Calibri" w:hAnsi="Calibri" w:cs="Calibri"/>
          <w:sz w:val="32"/>
          <w:szCs w:val="32"/>
        </w:rPr>
      </w:pPr>
      <w:r w:rsidRPr="00846FFD">
        <w:rPr>
          <w:rFonts w:ascii="Calibri" w:hAnsi="Calibri" w:cs="Calibri"/>
          <w:sz w:val="32"/>
          <w:szCs w:val="32"/>
        </w:rPr>
        <w:t>It is interesting that in a number of cases involving human rights paralegals (William Bugatti, Richard Mayumi and Brandon Lee) and NUPL lawyers (e.g. Atty. Cr</w:t>
      </w:r>
      <w:r w:rsidR="007F0939">
        <w:rPr>
          <w:rFonts w:ascii="Calibri" w:hAnsi="Calibri" w:cs="Calibri"/>
          <w:sz w:val="32"/>
          <w:szCs w:val="32"/>
        </w:rPr>
        <w:t>i</w:t>
      </w:r>
      <w:r w:rsidRPr="00846FFD">
        <w:rPr>
          <w:rFonts w:ascii="Calibri" w:hAnsi="Calibri" w:cs="Calibri"/>
          <w:sz w:val="32"/>
          <w:szCs w:val="32"/>
        </w:rPr>
        <w:t xml:space="preserve">selda </w:t>
      </w:r>
      <w:r w:rsidR="007F0939">
        <w:rPr>
          <w:rFonts w:ascii="Calibri" w:hAnsi="Calibri" w:cs="Calibri"/>
          <w:sz w:val="32"/>
          <w:szCs w:val="32"/>
        </w:rPr>
        <w:t>Azarcon</w:t>
      </w:r>
      <w:r w:rsidRPr="00846FFD">
        <w:rPr>
          <w:rFonts w:ascii="Calibri" w:hAnsi="Calibri" w:cs="Calibri"/>
          <w:sz w:val="32"/>
          <w:szCs w:val="32"/>
        </w:rPr>
        <w:t>) in which the first two died and the latter two were survivors, military operatives surveilled, threatened and told them to stop their human rights work. None of those cases, and others similar, resulted in arrests or charges.</w:t>
      </w:r>
    </w:p>
    <w:p w14:paraId="2931E62F" w14:textId="77777777" w:rsidR="005743FB" w:rsidRPr="00846FFD" w:rsidRDefault="005743FB" w:rsidP="005743FB">
      <w:pPr>
        <w:pStyle w:val="BodyText"/>
        <w:numPr>
          <w:ilvl w:val="0"/>
          <w:numId w:val="1"/>
        </w:numPr>
        <w:jc w:val="both"/>
        <w:rPr>
          <w:rFonts w:ascii="Calibri" w:hAnsi="Calibri" w:cs="Calibri"/>
          <w:sz w:val="32"/>
          <w:szCs w:val="32"/>
        </w:rPr>
      </w:pPr>
      <w:r w:rsidRPr="00846FFD">
        <w:rPr>
          <w:rFonts w:ascii="Calibri" w:hAnsi="Calibri" w:cs="Calibri"/>
          <w:b/>
          <w:bCs/>
          <w:sz w:val="32"/>
          <w:szCs w:val="32"/>
        </w:rPr>
        <w:t>Prosecutorial decisions</w:t>
      </w:r>
    </w:p>
    <w:p w14:paraId="7A5867AC" w14:textId="2F634023" w:rsidR="005743FB" w:rsidRPr="00846FFD" w:rsidRDefault="005743FB" w:rsidP="005743FB">
      <w:pPr>
        <w:pStyle w:val="BodyText"/>
        <w:numPr>
          <w:ilvl w:val="0"/>
          <w:numId w:val="1"/>
        </w:numPr>
        <w:jc w:val="both"/>
        <w:rPr>
          <w:rFonts w:ascii="Calibri" w:hAnsi="Calibri" w:cs="Calibri"/>
          <w:sz w:val="32"/>
          <w:szCs w:val="32"/>
        </w:rPr>
      </w:pPr>
      <w:r w:rsidRPr="00846FFD">
        <w:rPr>
          <w:rFonts w:ascii="Calibri" w:hAnsi="Calibri" w:cs="Calibri"/>
          <w:sz w:val="32"/>
          <w:szCs w:val="32"/>
        </w:rPr>
        <w:t>There are also concerns that prosecutorial decisions not to prosecute alleged perpetrators because of “insufficient evidence” may have been tainted in cases involving suspects who are police officers (e.g. in the cases of Prosecutor  Rogelio Velasco and Atty. Edilberto Golla). These cases are often compared by critics to the ease with which trumped up charges are filed against lawyers and other human rights and environmental rights defenders, labor and other activists and critics of the government.</w:t>
      </w:r>
      <w:r w:rsidR="0043314D">
        <w:rPr>
          <w:rStyle w:val="FootnoteReference"/>
          <w:rFonts w:ascii="Calibri" w:hAnsi="Calibri" w:cs="Calibri"/>
          <w:sz w:val="32"/>
          <w:szCs w:val="32"/>
        </w:rPr>
        <w:footnoteReference w:id="12"/>
      </w:r>
      <w:r w:rsidRPr="00846FFD">
        <w:rPr>
          <w:rFonts w:ascii="Calibri" w:hAnsi="Calibri" w:cs="Calibri"/>
          <w:sz w:val="32"/>
          <w:szCs w:val="32"/>
        </w:rPr>
        <w:t xml:space="preserve"> [ See generally Lian Buan, “Lawyers to question before Supreme Court role of prosecutors in EJKs” Rappler Nov. 20, 2017.]</w:t>
      </w:r>
    </w:p>
    <w:p w14:paraId="2C8E2014" w14:textId="77777777" w:rsidR="005743FB" w:rsidRPr="00846FFD" w:rsidRDefault="005743FB" w:rsidP="000A299B">
      <w:pPr>
        <w:pStyle w:val="BodyText"/>
        <w:ind w:left="720"/>
        <w:rPr>
          <w:rFonts w:ascii="Calibri" w:hAnsi="Calibri" w:cs="Calibri"/>
          <w:b/>
          <w:bCs/>
          <w:sz w:val="32"/>
          <w:szCs w:val="32"/>
        </w:rPr>
      </w:pPr>
      <w:r w:rsidRPr="00846FFD">
        <w:rPr>
          <w:rFonts w:ascii="Calibri" w:hAnsi="Calibri" w:cs="Calibri"/>
          <w:b/>
          <w:bCs/>
          <w:sz w:val="32"/>
          <w:szCs w:val="32"/>
        </w:rPr>
        <w:t>The President’s role</w:t>
      </w:r>
    </w:p>
    <w:p w14:paraId="63717D00" w14:textId="77777777" w:rsidR="005743FB" w:rsidRPr="00846FFD" w:rsidRDefault="005743FB" w:rsidP="000A299B">
      <w:pPr>
        <w:pStyle w:val="BodyText"/>
        <w:ind w:left="720"/>
        <w:jc w:val="both"/>
        <w:rPr>
          <w:rFonts w:ascii="Calibri" w:hAnsi="Calibri" w:cs="Calibri"/>
          <w:sz w:val="32"/>
          <w:szCs w:val="32"/>
        </w:rPr>
      </w:pPr>
      <w:r w:rsidRPr="00846FFD">
        <w:rPr>
          <w:rFonts w:ascii="Calibri" w:hAnsi="Calibri" w:cs="Calibri"/>
          <w:sz w:val="32"/>
          <w:szCs w:val="32"/>
        </w:rPr>
        <w:t xml:space="preserve">President Duterte played a particularly distinctive role in establishing the system of impunity. He ruled by fear to a considerable extent. When he promised to have the backs of </w:t>
      </w:r>
      <w:r w:rsidRPr="00846FFD">
        <w:rPr>
          <w:rFonts w:ascii="Calibri" w:hAnsi="Calibri" w:cs="Calibri"/>
          <w:sz w:val="32"/>
          <w:szCs w:val="32"/>
        </w:rPr>
        <w:lastRenderedPageBreak/>
        <w:t xml:space="preserve">those who kill, promised that they will not go to prison, oversaw a system-particularly in the Philippine National Police- that rewards those who obey and punishes those who do not carry out his wishes, we were observing a state provided system of impunity. </w:t>
      </w:r>
    </w:p>
    <w:p w14:paraId="13D54BC2" w14:textId="77777777" w:rsidR="005743FB" w:rsidRPr="00846FFD" w:rsidRDefault="005743FB" w:rsidP="000A299B">
      <w:pPr>
        <w:pStyle w:val="BodyText"/>
        <w:ind w:left="720"/>
        <w:jc w:val="both"/>
        <w:rPr>
          <w:rFonts w:ascii="Calibri" w:hAnsi="Calibri" w:cs="Calibri"/>
          <w:sz w:val="32"/>
          <w:szCs w:val="32"/>
        </w:rPr>
      </w:pPr>
      <w:r w:rsidRPr="00846FFD">
        <w:rPr>
          <w:rFonts w:ascii="Calibri" w:hAnsi="Calibri" w:cs="Calibri"/>
          <w:sz w:val="32"/>
          <w:szCs w:val="32"/>
        </w:rPr>
        <w:t>Add to that a second segment of the system: the superheated campaign of “red tagging” by the military and the National Task Force to End Local Communist Armed Conflict (NTFELCAC).  Thus the attacks on human rights defenders and lawyers critical of or litigating against the  government by military operatives  are unsurprising. The military perpetrators were simply   following the narrative that human rights defenders = communists or are their supporters.</w:t>
      </w:r>
    </w:p>
    <w:p w14:paraId="78C81462" w14:textId="1E3D2874" w:rsidR="005743FB" w:rsidRPr="00846FFD" w:rsidRDefault="005743FB" w:rsidP="009E765B">
      <w:pPr>
        <w:pStyle w:val="ListParagraph"/>
        <w:jc w:val="both"/>
        <w:rPr>
          <w:rFonts w:ascii="Calibri" w:hAnsi="Calibri" w:cs="Calibri"/>
          <w:bCs/>
          <w:sz w:val="32"/>
          <w:szCs w:val="32"/>
        </w:rPr>
      </w:pPr>
      <w:r w:rsidRPr="00846FFD">
        <w:rPr>
          <w:rFonts w:ascii="Calibri" w:hAnsi="Calibri" w:cs="Calibri"/>
          <w:sz w:val="32"/>
          <w:szCs w:val="32"/>
        </w:rPr>
        <w:t xml:space="preserve"> </w:t>
      </w:r>
      <w:r w:rsidR="007E652D">
        <w:rPr>
          <w:rFonts w:ascii="Calibri" w:hAnsi="Calibri" w:cs="Calibri"/>
          <w:sz w:val="32"/>
          <w:szCs w:val="32"/>
        </w:rPr>
        <w:t>T</w:t>
      </w:r>
      <w:r w:rsidRPr="00846FFD">
        <w:rPr>
          <w:rFonts w:ascii="Calibri" w:hAnsi="Calibri" w:cs="Calibri"/>
          <w:sz w:val="32"/>
          <w:szCs w:val="32"/>
        </w:rPr>
        <w:t>he role of the President in inspiring human rights violations was a major factor in creating impunity for those who commit such violations, especially those in state forces. His often</w:t>
      </w:r>
      <w:r w:rsidR="009E765B" w:rsidRPr="00846FFD">
        <w:rPr>
          <w:rFonts w:ascii="Calibri" w:hAnsi="Calibri" w:cs="Calibri"/>
          <w:sz w:val="32"/>
          <w:szCs w:val="32"/>
        </w:rPr>
        <w:t xml:space="preserve"> </w:t>
      </w:r>
      <w:r w:rsidRPr="00846FFD">
        <w:rPr>
          <w:rFonts w:ascii="Calibri" w:hAnsi="Calibri" w:cs="Calibri"/>
          <w:sz w:val="32"/>
          <w:szCs w:val="32"/>
        </w:rPr>
        <w:t>repeated statements criticising human rights and their supporters, that he would protect those alleged to have violated human rights e.g that he would have their back, that they would not go to prison,  “had inspired PNP officers to commit human rights violations”, as admitted by a PNP spokesperson on ABS-CBN TV</w:t>
      </w:r>
      <w:r w:rsidR="004D1ACC">
        <w:rPr>
          <w:rFonts w:ascii="Calibri" w:hAnsi="Calibri" w:cs="Calibri"/>
          <w:sz w:val="32"/>
          <w:szCs w:val="32"/>
        </w:rPr>
        <w:t>.</w:t>
      </w:r>
      <w:r w:rsidR="004D1ACC">
        <w:rPr>
          <w:rStyle w:val="FootnoteReference"/>
          <w:rFonts w:ascii="Calibri" w:hAnsi="Calibri" w:cs="Calibri"/>
          <w:sz w:val="32"/>
          <w:szCs w:val="32"/>
        </w:rPr>
        <w:footnoteReference w:id="13"/>
      </w:r>
      <w:r w:rsidRPr="00846FFD">
        <w:rPr>
          <w:rFonts w:ascii="Calibri" w:hAnsi="Calibri" w:cs="Calibri"/>
          <w:sz w:val="32"/>
          <w:szCs w:val="32"/>
        </w:rPr>
        <w:t xml:space="preserve"> (Karen Davila morning show). [See</w:t>
      </w:r>
      <w:r w:rsidR="000A208E">
        <w:rPr>
          <w:rFonts w:ascii="Calibri" w:hAnsi="Calibri" w:cs="Calibri"/>
          <w:sz w:val="32"/>
          <w:szCs w:val="32"/>
        </w:rPr>
        <w:t xml:space="preserve"> </w:t>
      </w:r>
      <w:r w:rsidRPr="00846FFD">
        <w:rPr>
          <w:rFonts w:ascii="Calibri" w:hAnsi="Calibri" w:cs="Calibri"/>
          <w:sz w:val="32"/>
          <w:szCs w:val="32"/>
        </w:rPr>
        <w:t>my</w:t>
      </w:r>
      <w:r w:rsidR="0027111B">
        <w:rPr>
          <w:rFonts w:ascii="Calibri" w:hAnsi="Calibri" w:cs="Calibri"/>
          <w:sz w:val="32"/>
          <w:szCs w:val="32"/>
        </w:rPr>
        <w:t xml:space="preserve"> attached paper</w:t>
      </w:r>
      <w:r w:rsidRPr="00846FFD">
        <w:rPr>
          <w:rFonts w:ascii="Calibri" w:hAnsi="Calibri" w:cs="Calibri"/>
          <w:sz w:val="32"/>
          <w:szCs w:val="32"/>
        </w:rPr>
        <w:t xml:space="preserve"> </w:t>
      </w:r>
      <w:r w:rsidRPr="00846FFD">
        <w:rPr>
          <w:rFonts w:ascii="Calibri" w:hAnsi="Calibri" w:cs="Calibri"/>
          <w:i/>
          <w:iCs/>
          <w:sz w:val="32"/>
          <w:szCs w:val="32"/>
        </w:rPr>
        <w:t xml:space="preserve">Affidavit </w:t>
      </w:r>
      <w:r w:rsidRPr="00846FFD">
        <w:rPr>
          <w:rFonts w:ascii="Calibri" w:hAnsi="Calibri" w:cs="Calibri"/>
          <w:bCs/>
          <w:i/>
          <w:iCs/>
          <w:sz w:val="32"/>
          <w:szCs w:val="32"/>
        </w:rPr>
        <w:t>to the International People’s Tribunal on the Crimes of the Duterte Regime</w:t>
      </w:r>
      <w:r w:rsidRPr="00846FFD">
        <w:rPr>
          <w:rFonts w:ascii="Calibri" w:hAnsi="Calibri" w:cs="Calibri"/>
          <w:bCs/>
          <w:sz w:val="32"/>
          <w:szCs w:val="32"/>
        </w:rPr>
        <w:t>, Brussels, Belgium, September 18-19, 2018]</w:t>
      </w:r>
    </w:p>
    <w:p w14:paraId="2EC2FBAC" w14:textId="2B429D91" w:rsidR="005743FB" w:rsidRPr="00846FFD" w:rsidRDefault="000C4BF8" w:rsidP="009E765B">
      <w:pPr>
        <w:pStyle w:val="BodyText"/>
        <w:ind w:left="720"/>
        <w:jc w:val="both"/>
        <w:rPr>
          <w:rFonts w:ascii="Calibri" w:hAnsi="Calibri" w:cs="Calibri"/>
          <w:sz w:val="32"/>
          <w:szCs w:val="32"/>
        </w:rPr>
      </w:pPr>
      <w:r>
        <w:rPr>
          <w:rFonts w:ascii="Calibri" w:hAnsi="Calibri" w:cs="Calibri"/>
          <w:sz w:val="32"/>
          <w:szCs w:val="32"/>
        </w:rPr>
        <w:t>T</w:t>
      </w:r>
      <w:r w:rsidR="005743FB" w:rsidRPr="00846FFD">
        <w:rPr>
          <w:rFonts w:ascii="Calibri" w:hAnsi="Calibri" w:cs="Calibri"/>
          <w:sz w:val="32"/>
          <w:szCs w:val="32"/>
        </w:rPr>
        <w:t xml:space="preserve">he Philippine Commission on Human Rights found that the “grim reality” of being a human rights defender in the Philippines was that “they faced constant undermining and delegitimization of their work which lead to systematic attacks that place their ‘life, liberty, and security…at great risk”. </w:t>
      </w:r>
    </w:p>
    <w:p w14:paraId="093DC9EF" w14:textId="7217DB0F" w:rsidR="005743FB" w:rsidRPr="00846FFD" w:rsidRDefault="005743FB" w:rsidP="009E765B">
      <w:pPr>
        <w:pStyle w:val="BodyText"/>
        <w:ind w:left="720"/>
        <w:jc w:val="both"/>
        <w:rPr>
          <w:rFonts w:ascii="Calibri" w:hAnsi="Calibri" w:cs="Calibri"/>
          <w:sz w:val="32"/>
          <w:szCs w:val="32"/>
        </w:rPr>
      </w:pPr>
      <w:r w:rsidRPr="00846FFD">
        <w:rPr>
          <w:rFonts w:ascii="Calibri" w:hAnsi="Calibri" w:cs="Calibri"/>
          <w:sz w:val="32"/>
          <w:szCs w:val="32"/>
        </w:rPr>
        <w:lastRenderedPageBreak/>
        <w:t>According to the report “The President through his pronouncements created a dangerous fiction that it is legitimate to hunt down and commit atrocities against HRDs because they are enemies of the state’ and that his allies and supporters “demonize” human rights work”.</w:t>
      </w:r>
      <w:r w:rsidR="00DE5D28">
        <w:rPr>
          <w:rStyle w:val="FootnoteReference"/>
          <w:rFonts w:ascii="Calibri" w:hAnsi="Calibri" w:cs="Calibri"/>
          <w:sz w:val="32"/>
          <w:szCs w:val="32"/>
        </w:rPr>
        <w:footnoteReference w:id="14"/>
      </w:r>
      <w:r w:rsidRPr="00846FFD">
        <w:rPr>
          <w:rFonts w:ascii="Calibri" w:hAnsi="Calibri" w:cs="Calibri"/>
          <w:sz w:val="32"/>
          <w:szCs w:val="32"/>
        </w:rPr>
        <w:t xml:space="preserve"> </w:t>
      </w:r>
    </w:p>
    <w:p w14:paraId="22787E23" w14:textId="5D50714F" w:rsidR="005743FB" w:rsidRPr="00846FFD" w:rsidRDefault="005743FB" w:rsidP="009E765B">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 xml:space="preserve">When a President claims that “criminals have no rights” and specifically identifies lawyers with their clients, alleged suspects, </w:t>
      </w:r>
      <w:r w:rsidR="00C96E0A">
        <w:rPr>
          <w:rFonts w:ascii="Calibri" w:hAnsi="Calibri" w:cs="Calibri"/>
          <w:sz w:val="32"/>
          <w:szCs w:val="32"/>
        </w:rPr>
        <w:t>it</w:t>
      </w:r>
      <w:r w:rsidR="00E96452">
        <w:rPr>
          <w:rFonts w:ascii="Calibri" w:hAnsi="Calibri" w:cs="Calibri"/>
          <w:sz w:val="32"/>
          <w:szCs w:val="32"/>
        </w:rPr>
        <w:t xml:space="preserve"> </w:t>
      </w:r>
      <w:r w:rsidRPr="00846FFD">
        <w:rPr>
          <w:rFonts w:ascii="Calibri" w:hAnsi="Calibri" w:cs="Calibri"/>
          <w:sz w:val="32"/>
          <w:szCs w:val="32"/>
        </w:rPr>
        <w:t>invite</w:t>
      </w:r>
      <w:r w:rsidR="00BC5778">
        <w:rPr>
          <w:rFonts w:ascii="Calibri" w:hAnsi="Calibri" w:cs="Calibri"/>
          <w:sz w:val="32"/>
          <w:szCs w:val="32"/>
        </w:rPr>
        <w:t>s</w:t>
      </w:r>
      <w:r w:rsidRPr="00846FFD">
        <w:rPr>
          <w:rFonts w:ascii="Calibri" w:hAnsi="Calibri" w:cs="Calibri"/>
          <w:sz w:val="32"/>
          <w:szCs w:val="32"/>
        </w:rPr>
        <w:t xml:space="preserve"> attacks on those whose legal professional duty is to protect the accused. </w:t>
      </w:r>
      <w:r w:rsidR="00A041C8">
        <w:rPr>
          <w:rFonts w:ascii="Calibri" w:hAnsi="Calibri" w:cs="Calibri"/>
          <w:sz w:val="32"/>
          <w:szCs w:val="32"/>
        </w:rPr>
        <w:t>D</w:t>
      </w:r>
      <w:r w:rsidR="005227A6">
        <w:rPr>
          <w:rFonts w:ascii="Calibri" w:hAnsi="Calibri" w:cs="Calibri"/>
          <w:sz w:val="32"/>
          <w:szCs w:val="32"/>
        </w:rPr>
        <w:t>uterte</w:t>
      </w:r>
      <w:r w:rsidRPr="00846FFD">
        <w:rPr>
          <w:rFonts w:ascii="Calibri" w:hAnsi="Calibri" w:cs="Calibri"/>
          <w:sz w:val="32"/>
          <w:szCs w:val="32"/>
        </w:rPr>
        <w:t xml:space="preserve"> violated the UN Basic Principles on the Role of Lawyers which states unequivocally that lawyers must not be identified with their clients</w:t>
      </w:r>
      <w:r w:rsidR="00C76537">
        <w:rPr>
          <w:rFonts w:ascii="Calibri" w:hAnsi="Calibri" w:cs="Calibri"/>
          <w:sz w:val="32"/>
          <w:szCs w:val="32"/>
        </w:rPr>
        <w:t>,</w:t>
      </w:r>
      <w:r w:rsidRPr="00846FFD">
        <w:rPr>
          <w:rFonts w:ascii="Calibri" w:hAnsi="Calibri" w:cs="Calibri"/>
          <w:sz w:val="32"/>
          <w:szCs w:val="32"/>
        </w:rPr>
        <w:t xml:space="preserve"> that governments have a responsibility to protect them and to see that they can perform their professional duties.</w:t>
      </w:r>
    </w:p>
    <w:p w14:paraId="1B56DD3B" w14:textId="43498E2F" w:rsidR="006705E5" w:rsidRDefault="008B1E20" w:rsidP="007A07FC">
      <w:pPr>
        <w:spacing w:line="240" w:lineRule="auto"/>
        <w:rPr>
          <w:rFonts w:ascii="Calibri" w:hAnsi="Calibri" w:cs="Calibri"/>
          <w:sz w:val="32"/>
          <w:szCs w:val="32"/>
        </w:rPr>
      </w:pPr>
      <w:r>
        <w:rPr>
          <w:rFonts w:ascii="Calibri" w:hAnsi="Calibri" w:cs="Calibri"/>
          <w:sz w:val="32"/>
          <w:szCs w:val="32"/>
        </w:rPr>
        <w:t xml:space="preserve">         </w:t>
      </w:r>
      <w:r w:rsidR="00E62913">
        <w:rPr>
          <w:rFonts w:ascii="Calibri" w:hAnsi="Calibri" w:cs="Calibri"/>
          <w:sz w:val="32"/>
          <w:szCs w:val="32"/>
        </w:rPr>
        <w:t xml:space="preserve"> </w:t>
      </w:r>
      <w:r w:rsidR="001E5CFB" w:rsidRPr="008B37AF">
        <w:rPr>
          <w:rFonts w:ascii="Calibri" w:hAnsi="Calibri" w:cs="Calibri"/>
          <w:b/>
          <w:bCs/>
          <w:sz w:val="32"/>
          <w:szCs w:val="32"/>
        </w:rPr>
        <w:t>RE</w:t>
      </w:r>
      <w:r w:rsidR="00AD2F70">
        <w:rPr>
          <w:rFonts w:ascii="Calibri" w:hAnsi="Calibri" w:cs="Calibri"/>
          <w:b/>
          <w:bCs/>
          <w:sz w:val="32"/>
          <w:szCs w:val="32"/>
        </w:rPr>
        <w:t>COMMENDATIONS</w:t>
      </w:r>
      <w:r w:rsidR="00081567" w:rsidRPr="008B37AF">
        <w:rPr>
          <w:rFonts w:ascii="Calibri" w:hAnsi="Calibri" w:cs="Calibri"/>
          <w:b/>
          <w:bCs/>
          <w:sz w:val="32"/>
          <w:szCs w:val="32"/>
        </w:rPr>
        <w:t xml:space="preserve"> ON TH</w:t>
      </w:r>
      <w:r w:rsidR="00AD2F70">
        <w:rPr>
          <w:rFonts w:ascii="Calibri" w:hAnsi="Calibri" w:cs="Calibri"/>
          <w:b/>
          <w:bCs/>
          <w:sz w:val="32"/>
          <w:szCs w:val="32"/>
        </w:rPr>
        <w:t>E</w:t>
      </w:r>
      <w:r w:rsidR="00081567" w:rsidRPr="008B37AF">
        <w:rPr>
          <w:rFonts w:ascii="Calibri" w:hAnsi="Calibri" w:cs="Calibri"/>
          <w:b/>
          <w:bCs/>
          <w:sz w:val="32"/>
          <w:szCs w:val="32"/>
        </w:rPr>
        <w:t xml:space="preserve"> WAY FORWARD</w:t>
      </w:r>
      <w:r w:rsidR="003D224C">
        <w:rPr>
          <w:rFonts w:ascii="Calibri" w:hAnsi="Calibri" w:cs="Calibri"/>
          <w:sz w:val="32"/>
          <w:szCs w:val="32"/>
        </w:rPr>
        <w:t xml:space="preserve">    </w:t>
      </w:r>
    </w:p>
    <w:p w14:paraId="0A566004" w14:textId="440240DE" w:rsidR="00502D37" w:rsidRDefault="00662501" w:rsidP="00502D37">
      <w:pPr>
        <w:spacing w:line="240" w:lineRule="auto"/>
        <w:rPr>
          <w:rFonts w:ascii="Calibri" w:hAnsi="Calibri" w:cs="Calibri"/>
          <w:sz w:val="32"/>
          <w:szCs w:val="32"/>
        </w:rPr>
      </w:pPr>
      <w:r>
        <w:rPr>
          <w:rFonts w:ascii="Calibri" w:hAnsi="Calibri" w:cs="Calibri"/>
          <w:sz w:val="32"/>
          <w:szCs w:val="32"/>
        </w:rPr>
        <w:t xml:space="preserve">          </w:t>
      </w:r>
      <w:r w:rsidR="00502D37">
        <w:rPr>
          <w:rFonts w:ascii="Calibri" w:hAnsi="Calibri" w:cs="Calibri"/>
          <w:sz w:val="32"/>
          <w:szCs w:val="32"/>
        </w:rPr>
        <w:t>G</w:t>
      </w:r>
      <w:r w:rsidR="00502D37" w:rsidRPr="00846FFD">
        <w:rPr>
          <w:rFonts w:ascii="Calibri" w:hAnsi="Calibri" w:cs="Calibri"/>
          <w:sz w:val="32"/>
          <w:szCs w:val="32"/>
        </w:rPr>
        <w:t>overnment</w:t>
      </w:r>
      <w:r w:rsidR="00502D37">
        <w:rPr>
          <w:rFonts w:ascii="Calibri" w:hAnsi="Calibri" w:cs="Calibri"/>
          <w:sz w:val="32"/>
          <w:szCs w:val="32"/>
        </w:rPr>
        <w:t>s must</w:t>
      </w:r>
      <w:r w:rsidR="00502D37" w:rsidRPr="00846FFD">
        <w:rPr>
          <w:rFonts w:ascii="Calibri" w:hAnsi="Calibri" w:cs="Calibri"/>
          <w:sz w:val="32"/>
          <w:szCs w:val="32"/>
        </w:rPr>
        <w:t xml:space="preserve"> ensure that lawyers are able</w:t>
      </w:r>
    </w:p>
    <w:p w14:paraId="2EAE2750" w14:textId="77777777" w:rsidR="00502D37" w:rsidRPr="00846FFD" w:rsidRDefault="00502D37" w:rsidP="00502D37">
      <w:pPr>
        <w:spacing w:line="240" w:lineRule="auto"/>
        <w:rPr>
          <w:rFonts w:ascii="Calibri" w:hAnsi="Calibri" w:cs="Calibri"/>
          <w:sz w:val="32"/>
          <w:szCs w:val="32"/>
        </w:rPr>
      </w:pPr>
      <w:r>
        <w:rPr>
          <w:rFonts w:ascii="Calibri" w:hAnsi="Calibri" w:cs="Calibri"/>
          <w:sz w:val="32"/>
          <w:szCs w:val="32"/>
        </w:rPr>
        <w:t xml:space="preserve">          </w:t>
      </w:r>
      <w:r w:rsidRPr="00846FFD">
        <w:rPr>
          <w:rFonts w:ascii="Calibri" w:hAnsi="Calibri" w:cs="Calibri"/>
          <w:sz w:val="32"/>
          <w:szCs w:val="32"/>
        </w:rPr>
        <w:t>to perform all of their professional functions without</w:t>
      </w:r>
      <w:r>
        <w:rPr>
          <w:rFonts w:ascii="Calibri" w:hAnsi="Calibri" w:cs="Calibri"/>
          <w:sz w:val="32"/>
          <w:szCs w:val="32"/>
        </w:rPr>
        <w:t xml:space="preserve">           </w:t>
      </w:r>
    </w:p>
    <w:p w14:paraId="38A62618" w14:textId="77777777" w:rsidR="00FE3E00" w:rsidRDefault="00502D37" w:rsidP="00785000">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intimidation, hindrance, harassment or improper interference.</w:t>
      </w:r>
      <w:r>
        <w:rPr>
          <w:rFonts w:ascii="Calibri" w:hAnsi="Calibri" w:cs="Calibri"/>
          <w:sz w:val="32"/>
          <w:szCs w:val="32"/>
        </w:rPr>
        <w:t xml:space="preserve"> </w:t>
      </w:r>
    </w:p>
    <w:p w14:paraId="5F69E10B" w14:textId="77777777" w:rsidR="00FE3E00" w:rsidRDefault="00426549" w:rsidP="00785000">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Lawyers shall not be identified with their clients or their clients' causes as a result of discharging their professional functions.</w:t>
      </w:r>
    </w:p>
    <w:p w14:paraId="0B83C42B" w14:textId="77777777" w:rsidR="00FE3E00" w:rsidRDefault="00426549" w:rsidP="00785000">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 xml:space="preserve"> Lawyers should not be threatened with prosecution or administrative, economic or other sanctions for any action taken in accordance with their work as lawyers.  </w:t>
      </w:r>
    </w:p>
    <w:p w14:paraId="54A0BD4A" w14:textId="77777777" w:rsidR="00FE3E00" w:rsidRDefault="00426549" w:rsidP="00785000">
      <w:pPr>
        <w:pStyle w:val="BodyText"/>
        <w:pBdr>
          <w:bottom w:val="dotted" w:sz="24" w:space="0" w:color="auto"/>
        </w:pBdr>
        <w:spacing w:line="240" w:lineRule="auto"/>
        <w:ind w:left="720"/>
        <w:jc w:val="both"/>
        <w:rPr>
          <w:rFonts w:ascii="Calibri" w:hAnsi="Calibri" w:cs="Calibri"/>
          <w:sz w:val="32"/>
          <w:szCs w:val="32"/>
        </w:rPr>
      </w:pPr>
      <w:r>
        <w:rPr>
          <w:rFonts w:ascii="Calibri" w:hAnsi="Calibri" w:cs="Calibri"/>
          <w:sz w:val="32"/>
          <w:szCs w:val="32"/>
        </w:rPr>
        <w:t>G</w:t>
      </w:r>
      <w:r w:rsidRPr="00846FFD">
        <w:rPr>
          <w:rFonts w:ascii="Calibri" w:hAnsi="Calibri" w:cs="Calibri"/>
          <w:sz w:val="32"/>
          <w:szCs w:val="32"/>
        </w:rPr>
        <w:t>overnment</w:t>
      </w:r>
      <w:r>
        <w:rPr>
          <w:rFonts w:ascii="Calibri" w:hAnsi="Calibri" w:cs="Calibri"/>
          <w:sz w:val="32"/>
          <w:szCs w:val="32"/>
        </w:rPr>
        <w:t>s</w:t>
      </w:r>
      <w:r w:rsidRPr="00846FFD">
        <w:rPr>
          <w:rFonts w:ascii="Calibri" w:hAnsi="Calibri" w:cs="Calibri"/>
          <w:sz w:val="32"/>
          <w:szCs w:val="32"/>
        </w:rPr>
        <w:t xml:space="preserve"> shall secure the freedom of expression, belief, association and assembly for lawyers. </w:t>
      </w:r>
    </w:p>
    <w:p w14:paraId="5ABCA6BD" w14:textId="77777777" w:rsidR="00FB7F51" w:rsidRDefault="00426549" w:rsidP="003F1243">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 xml:space="preserve">Lawyers should have the right to take part in public discussion of all matters, especially concerning the law, politics, the government and the administration, without suffering </w:t>
      </w:r>
      <w:r>
        <w:rPr>
          <w:rFonts w:ascii="Calibri" w:hAnsi="Calibri" w:cs="Calibri"/>
          <w:sz w:val="32"/>
          <w:szCs w:val="32"/>
        </w:rPr>
        <w:t xml:space="preserve">murderous  or other attacks. </w:t>
      </w:r>
    </w:p>
    <w:p w14:paraId="743AF2D1" w14:textId="77777777" w:rsidR="00FB7F51" w:rsidRDefault="003F1243" w:rsidP="003F1243">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lastRenderedPageBreak/>
        <w:t xml:space="preserve">Lawyers shall not be identified with their clients or their clients' causes as a result of discharging their professional functions. </w:t>
      </w:r>
    </w:p>
    <w:p w14:paraId="608F0F16" w14:textId="77777777" w:rsidR="00FB7F51" w:rsidRDefault="003F1243" w:rsidP="003F1243">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 xml:space="preserve">Lawyers should not be threatened with prosecution or administrative, economic or other sanctions for any action taken in accordance with their work as lawyers.  </w:t>
      </w:r>
    </w:p>
    <w:p w14:paraId="75750EF8" w14:textId="77777777" w:rsidR="00FB7F51" w:rsidRDefault="003F1243" w:rsidP="003F1243">
      <w:pPr>
        <w:pStyle w:val="BodyText"/>
        <w:pBdr>
          <w:bottom w:val="dotted" w:sz="24" w:space="0" w:color="auto"/>
        </w:pBdr>
        <w:spacing w:line="240" w:lineRule="auto"/>
        <w:ind w:left="720"/>
        <w:jc w:val="both"/>
        <w:rPr>
          <w:rFonts w:ascii="Calibri" w:hAnsi="Calibri" w:cs="Calibri"/>
          <w:sz w:val="32"/>
          <w:szCs w:val="32"/>
        </w:rPr>
      </w:pPr>
      <w:r>
        <w:rPr>
          <w:rFonts w:ascii="Calibri" w:hAnsi="Calibri" w:cs="Calibri"/>
          <w:sz w:val="32"/>
          <w:szCs w:val="32"/>
        </w:rPr>
        <w:t>G</w:t>
      </w:r>
      <w:r w:rsidRPr="00846FFD">
        <w:rPr>
          <w:rFonts w:ascii="Calibri" w:hAnsi="Calibri" w:cs="Calibri"/>
          <w:sz w:val="32"/>
          <w:szCs w:val="32"/>
        </w:rPr>
        <w:t>overnment</w:t>
      </w:r>
      <w:r>
        <w:rPr>
          <w:rFonts w:ascii="Calibri" w:hAnsi="Calibri" w:cs="Calibri"/>
          <w:sz w:val="32"/>
          <w:szCs w:val="32"/>
        </w:rPr>
        <w:t>s</w:t>
      </w:r>
      <w:r w:rsidRPr="00846FFD">
        <w:rPr>
          <w:rFonts w:ascii="Calibri" w:hAnsi="Calibri" w:cs="Calibri"/>
          <w:sz w:val="32"/>
          <w:szCs w:val="32"/>
        </w:rPr>
        <w:t xml:space="preserve"> shall secure the freedom of expression, belief, association and assembly for lawyers. </w:t>
      </w:r>
    </w:p>
    <w:p w14:paraId="11DB1517" w14:textId="4963DFCB" w:rsidR="00EB6C78" w:rsidRDefault="003F1243" w:rsidP="00385465">
      <w:pPr>
        <w:pStyle w:val="BodyText"/>
        <w:pBdr>
          <w:bottom w:val="dotted" w:sz="24" w:space="0" w:color="auto"/>
        </w:pBdr>
        <w:spacing w:line="240" w:lineRule="auto"/>
        <w:ind w:left="720"/>
        <w:jc w:val="both"/>
        <w:rPr>
          <w:rFonts w:ascii="Calibri" w:hAnsi="Calibri" w:cs="Calibri"/>
          <w:sz w:val="32"/>
          <w:szCs w:val="32"/>
        </w:rPr>
      </w:pPr>
      <w:r w:rsidRPr="00846FFD">
        <w:rPr>
          <w:rFonts w:ascii="Calibri" w:hAnsi="Calibri" w:cs="Calibri"/>
          <w:sz w:val="32"/>
          <w:szCs w:val="32"/>
        </w:rPr>
        <w:t xml:space="preserve">Lawyers should have the right to take part in public discussion of all matters, especially concerning the law, politics, the government and the administration, without suffering </w:t>
      </w:r>
      <w:r>
        <w:rPr>
          <w:rFonts w:ascii="Calibri" w:hAnsi="Calibri" w:cs="Calibri"/>
          <w:sz w:val="32"/>
          <w:szCs w:val="32"/>
        </w:rPr>
        <w:t xml:space="preserve">murderous  or other attacks. </w:t>
      </w:r>
    </w:p>
    <w:p w14:paraId="36EBA71E" w14:textId="044C0F2E" w:rsidR="006705E5" w:rsidRDefault="000D5D7D" w:rsidP="00AC6FC2">
      <w:pPr>
        <w:rPr>
          <w:rFonts w:ascii="Calibri" w:hAnsi="Calibri" w:cs="Calibri"/>
          <w:sz w:val="32"/>
          <w:szCs w:val="32"/>
        </w:rPr>
      </w:pPr>
      <w:r>
        <w:rPr>
          <w:rFonts w:ascii="Calibri" w:hAnsi="Calibri" w:cs="Calibri"/>
          <w:sz w:val="32"/>
          <w:szCs w:val="32"/>
        </w:rPr>
        <w:t xml:space="preserve">          </w:t>
      </w:r>
      <w:r w:rsidR="00AC6FC2" w:rsidRPr="00846FFD">
        <w:rPr>
          <w:rFonts w:ascii="Calibri" w:hAnsi="Calibri" w:cs="Calibri"/>
          <w:sz w:val="32"/>
          <w:szCs w:val="32"/>
        </w:rPr>
        <w:t xml:space="preserve">The Philippine government </w:t>
      </w:r>
      <w:r w:rsidR="00CA4200">
        <w:rPr>
          <w:rFonts w:ascii="Calibri" w:hAnsi="Calibri" w:cs="Calibri"/>
          <w:sz w:val="32"/>
          <w:szCs w:val="32"/>
        </w:rPr>
        <w:t>must</w:t>
      </w:r>
      <w:r w:rsidR="00AC6FC2" w:rsidRPr="00846FFD">
        <w:rPr>
          <w:rFonts w:ascii="Calibri" w:hAnsi="Calibri" w:cs="Calibri"/>
          <w:sz w:val="32"/>
          <w:szCs w:val="32"/>
        </w:rPr>
        <w:t xml:space="preserve"> ensure the safety of lawyers </w:t>
      </w:r>
    </w:p>
    <w:p w14:paraId="6C6CC9F7" w14:textId="74EF0437" w:rsidR="00AC6FC2" w:rsidRPr="00846FFD" w:rsidRDefault="001C3214" w:rsidP="00AC6FC2">
      <w:pPr>
        <w:rPr>
          <w:rFonts w:ascii="Calibri" w:hAnsi="Calibri" w:cs="Calibri"/>
          <w:sz w:val="32"/>
          <w:szCs w:val="32"/>
        </w:rPr>
      </w:pPr>
      <w:r>
        <w:rPr>
          <w:rFonts w:ascii="Calibri" w:hAnsi="Calibri" w:cs="Calibri"/>
          <w:sz w:val="32"/>
          <w:szCs w:val="32"/>
        </w:rPr>
        <w:t xml:space="preserve">          </w:t>
      </w:r>
      <w:r w:rsidRPr="00846FFD">
        <w:rPr>
          <w:rFonts w:ascii="Calibri" w:hAnsi="Calibri" w:cs="Calibri"/>
          <w:sz w:val="32"/>
          <w:szCs w:val="32"/>
        </w:rPr>
        <w:t xml:space="preserve">threatened as a result of discharging their functions. </w:t>
      </w:r>
      <w:r w:rsidR="000D5D7D">
        <w:rPr>
          <w:rFonts w:ascii="Calibri" w:hAnsi="Calibri" w:cs="Calibri"/>
          <w:sz w:val="32"/>
          <w:szCs w:val="32"/>
        </w:rPr>
        <w:t xml:space="preserve"> </w:t>
      </w:r>
      <w:r w:rsidR="001246F9">
        <w:rPr>
          <w:rFonts w:ascii="Calibri" w:hAnsi="Calibri" w:cs="Calibri"/>
          <w:sz w:val="32"/>
          <w:szCs w:val="32"/>
        </w:rPr>
        <w:t xml:space="preserve">  </w:t>
      </w:r>
      <w:r w:rsidR="00AC6FC2" w:rsidRPr="00846FFD">
        <w:rPr>
          <w:rFonts w:ascii="Calibri" w:hAnsi="Calibri" w:cs="Calibri"/>
          <w:sz w:val="32"/>
          <w:szCs w:val="32"/>
        </w:rPr>
        <w:t xml:space="preserve"> </w:t>
      </w:r>
      <w:r w:rsidR="001246F9">
        <w:rPr>
          <w:rFonts w:ascii="Calibri" w:hAnsi="Calibri" w:cs="Calibri"/>
          <w:sz w:val="32"/>
          <w:szCs w:val="32"/>
        </w:rPr>
        <w:t xml:space="preserve">  </w:t>
      </w:r>
      <w:r w:rsidR="00683611">
        <w:rPr>
          <w:rFonts w:ascii="Calibri" w:hAnsi="Calibri" w:cs="Calibri"/>
          <w:sz w:val="32"/>
          <w:szCs w:val="32"/>
        </w:rPr>
        <w:t xml:space="preserve"> </w:t>
      </w:r>
    </w:p>
    <w:p w14:paraId="2E0E0F46" w14:textId="77777777" w:rsidR="00AC6FC2" w:rsidRDefault="00AC6FC2" w:rsidP="00385465">
      <w:pPr>
        <w:pStyle w:val="BodyText"/>
        <w:pBdr>
          <w:bottom w:val="dotted" w:sz="24" w:space="0" w:color="auto"/>
        </w:pBdr>
        <w:spacing w:line="240" w:lineRule="auto"/>
        <w:ind w:left="720"/>
        <w:jc w:val="both"/>
        <w:rPr>
          <w:rFonts w:ascii="Calibri" w:hAnsi="Calibri" w:cs="Calibri"/>
          <w:sz w:val="32"/>
          <w:szCs w:val="32"/>
        </w:rPr>
      </w:pPr>
    </w:p>
    <w:p w14:paraId="707D0794" w14:textId="7A6CD135" w:rsidR="005743FB" w:rsidRPr="00846FFD" w:rsidRDefault="005743FB" w:rsidP="00905AE2">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The Philippine government should work with local chapters of the Integrated Bar of the Philippines, all other organizations of the legal profession, and organizations using and defending paralegals (e.g. Karapatan and its affiliates) in order to develop more comprehensive programs for the protection and defence of all legal professionals and paralegals.</w:t>
      </w:r>
    </w:p>
    <w:p w14:paraId="0798AC3C" w14:textId="7EAD3F72" w:rsidR="005743FB" w:rsidRPr="00846FFD" w:rsidRDefault="005743FB" w:rsidP="00F86A61">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 xml:space="preserve">While in a number of cases the PNP has announced </w:t>
      </w:r>
      <w:r w:rsidRPr="00846FFD">
        <w:rPr>
          <w:rFonts w:ascii="Calibri" w:hAnsi="Calibri" w:cs="Calibri"/>
          <w:i/>
          <w:iCs/>
          <w:sz w:val="32"/>
          <w:szCs w:val="32"/>
        </w:rPr>
        <w:t>ad hoc</w:t>
      </w:r>
      <w:r w:rsidRPr="00846FFD">
        <w:rPr>
          <w:rFonts w:ascii="Calibri" w:hAnsi="Calibri" w:cs="Calibri"/>
          <w:sz w:val="32"/>
          <w:szCs w:val="32"/>
        </w:rPr>
        <w:t xml:space="preserve"> Special Task Forces to investigate the attack,</w:t>
      </w:r>
      <w:r w:rsidR="003B5B5D">
        <w:rPr>
          <w:rFonts w:ascii="Calibri" w:hAnsi="Calibri" w:cs="Calibri"/>
          <w:sz w:val="32"/>
          <w:szCs w:val="32"/>
        </w:rPr>
        <w:t xml:space="preserve"> </w:t>
      </w:r>
      <w:r w:rsidRPr="00846FFD">
        <w:rPr>
          <w:rFonts w:ascii="Calibri" w:hAnsi="Calibri" w:cs="Calibri"/>
          <w:sz w:val="32"/>
          <w:szCs w:val="32"/>
        </w:rPr>
        <w:t>there should be  Region</w:t>
      </w:r>
      <w:r w:rsidR="009F7D8B">
        <w:rPr>
          <w:rFonts w:ascii="Calibri" w:hAnsi="Calibri" w:cs="Calibri"/>
          <w:sz w:val="32"/>
          <w:szCs w:val="32"/>
        </w:rPr>
        <w:t>al</w:t>
      </w:r>
      <w:r w:rsidRPr="00846FFD">
        <w:rPr>
          <w:rFonts w:ascii="Calibri" w:hAnsi="Calibri" w:cs="Calibri"/>
          <w:sz w:val="32"/>
          <w:szCs w:val="32"/>
        </w:rPr>
        <w:t xml:space="preserve">  Special Task Force</w:t>
      </w:r>
      <w:r w:rsidR="009F7D8B">
        <w:rPr>
          <w:rFonts w:ascii="Calibri" w:hAnsi="Calibri" w:cs="Calibri"/>
          <w:sz w:val="32"/>
          <w:szCs w:val="32"/>
        </w:rPr>
        <w:t>s</w:t>
      </w:r>
      <w:r w:rsidRPr="00846FFD">
        <w:rPr>
          <w:rFonts w:ascii="Calibri" w:hAnsi="Calibri" w:cs="Calibri"/>
          <w:sz w:val="32"/>
          <w:szCs w:val="32"/>
        </w:rPr>
        <w:t xml:space="preserve"> </w:t>
      </w:r>
      <w:r w:rsidR="00497D80">
        <w:rPr>
          <w:rFonts w:ascii="Calibri" w:hAnsi="Calibri" w:cs="Calibri"/>
          <w:sz w:val="32"/>
          <w:szCs w:val="32"/>
        </w:rPr>
        <w:t xml:space="preserve">to </w:t>
      </w:r>
      <w:r w:rsidRPr="00846FFD">
        <w:rPr>
          <w:rFonts w:ascii="Calibri" w:hAnsi="Calibri" w:cs="Calibri"/>
          <w:sz w:val="32"/>
          <w:szCs w:val="32"/>
        </w:rPr>
        <w:t>investigat</w:t>
      </w:r>
      <w:r w:rsidR="00497D80">
        <w:rPr>
          <w:rFonts w:ascii="Calibri" w:hAnsi="Calibri" w:cs="Calibri"/>
          <w:sz w:val="32"/>
          <w:szCs w:val="32"/>
        </w:rPr>
        <w:t>e</w:t>
      </w:r>
      <w:r w:rsidRPr="00846FFD">
        <w:rPr>
          <w:rFonts w:ascii="Calibri" w:hAnsi="Calibri" w:cs="Calibri"/>
          <w:sz w:val="32"/>
          <w:szCs w:val="32"/>
        </w:rPr>
        <w:t xml:space="preserve"> </w:t>
      </w:r>
      <w:r w:rsidR="009A3115">
        <w:rPr>
          <w:rFonts w:ascii="Calibri" w:hAnsi="Calibri" w:cs="Calibri"/>
          <w:sz w:val="32"/>
          <w:szCs w:val="32"/>
        </w:rPr>
        <w:t>such</w:t>
      </w:r>
      <w:r w:rsidRPr="00846FFD">
        <w:rPr>
          <w:rFonts w:ascii="Calibri" w:hAnsi="Calibri" w:cs="Calibri"/>
          <w:sz w:val="32"/>
          <w:szCs w:val="32"/>
        </w:rPr>
        <w:t xml:space="preserve"> attacks</w:t>
      </w:r>
      <w:r w:rsidR="009A3115">
        <w:rPr>
          <w:rFonts w:ascii="Calibri" w:hAnsi="Calibri" w:cs="Calibri"/>
          <w:sz w:val="32"/>
          <w:szCs w:val="32"/>
        </w:rPr>
        <w:t>.</w:t>
      </w:r>
      <w:r w:rsidRPr="00846FFD">
        <w:rPr>
          <w:rFonts w:ascii="Calibri" w:hAnsi="Calibri" w:cs="Calibri"/>
          <w:sz w:val="32"/>
          <w:szCs w:val="32"/>
        </w:rPr>
        <w:t xml:space="preserve"> </w:t>
      </w:r>
    </w:p>
    <w:p w14:paraId="071429D4" w14:textId="3FB6DE1A" w:rsidR="005743FB" w:rsidRPr="00846FFD" w:rsidRDefault="005743FB" w:rsidP="009E765B">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The Commission on Human Rights should be funded in order to increase its capacity to monitor  attacks on lawyers and review the government’s performance in investigating</w:t>
      </w:r>
      <w:r w:rsidR="003E56EA">
        <w:rPr>
          <w:rFonts w:ascii="Calibri" w:hAnsi="Calibri" w:cs="Calibri"/>
          <w:sz w:val="32"/>
          <w:szCs w:val="32"/>
        </w:rPr>
        <w:t>,</w:t>
      </w:r>
      <w:r w:rsidRPr="00846FFD">
        <w:rPr>
          <w:rFonts w:ascii="Calibri" w:hAnsi="Calibri" w:cs="Calibri"/>
          <w:sz w:val="32"/>
          <w:szCs w:val="32"/>
        </w:rPr>
        <w:t xml:space="preserve"> apprehending perpetrators</w:t>
      </w:r>
      <w:r w:rsidR="003E56EA">
        <w:rPr>
          <w:rFonts w:ascii="Calibri" w:hAnsi="Calibri" w:cs="Calibri"/>
          <w:sz w:val="32"/>
          <w:szCs w:val="32"/>
        </w:rPr>
        <w:t>,</w:t>
      </w:r>
      <w:r w:rsidRPr="00846FFD">
        <w:rPr>
          <w:rFonts w:ascii="Calibri" w:hAnsi="Calibri" w:cs="Calibri"/>
          <w:sz w:val="32"/>
          <w:szCs w:val="32"/>
        </w:rPr>
        <w:t xml:space="preserve"> and  prosecution</w:t>
      </w:r>
      <w:r w:rsidR="005859B1">
        <w:rPr>
          <w:rFonts w:ascii="Calibri" w:hAnsi="Calibri" w:cs="Calibri"/>
          <w:sz w:val="32"/>
          <w:szCs w:val="32"/>
        </w:rPr>
        <w:t>.</w:t>
      </w:r>
    </w:p>
    <w:p w14:paraId="2B956E0D" w14:textId="5767E249" w:rsidR="005743FB" w:rsidRPr="00846FFD" w:rsidRDefault="005743FB" w:rsidP="009E765B">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 xml:space="preserve">Honest publicity and a commitment to transparency serve the interests of the people. There is considerable scepticism </w:t>
      </w:r>
      <w:r w:rsidR="000416DB">
        <w:rPr>
          <w:rFonts w:ascii="Calibri" w:hAnsi="Calibri" w:cs="Calibri"/>
          <w:sz w:val="32"/>
          <w:szCs w:val="32"/>
        </w:rPr>
        <w:t>about</w:t>
      </w:r>
      <w:r w:rsidRPr="00846FFD">
        <w:rPr>
          <w:rFonts w:ascii="Calibri" w:hAnsi="Calibri" w:cs="Calibri"/>
          <w:sz w:val="32"/>
          <w:szCs w:val="32"/>
        </w:rPr>
        <w:t xml:space="preserve"> the data produced about the EJKS in the drug war</w:t>
      </w:r>
      <w:r w:rsidR="006D7DED">
        <w:rPr>
          <w:rFonts w:ascii="Calibri" w:hAnsi="Calibri" w:cs="Calibri"/>
          <w:sz w:val="32"/>
          <w:szCs w:val="32"/>
        </w:rPr>
        <w:t xml:space="preserve">. </w:t>
      </w:r>
      <w:r w:rsidR="00DC1C15">
        <w:rPr>
          <w:rFonts w:ascii="Calibri" w:hAnsi="Calibri" w:cs="Calibri"/>
          <w:sz w:val="32"/>
          <w:szCs w:val="32"/>
        </w:rPr>
        <w:t>That</w:t>
      </w:r>
      <w:r w:rsidRPr="00846FFD">
        <w:rPr>
          <w:rFonts w:ascii="Calibri" w:hAnsi="Calibri" w:cs="Calibri"/>
          <w:sz w:val="32"/>
          <w:szCs w:val="32"/>
        </w:rPr>
        <w:t xml:space="preserve"> also applies to the killing of lawyers. There is significant difficulty in </w:t>
      </w:r>
      <w:r w:rsidRPr="00846FFD">
        <w:rPr>
          <w:rFonts w:ascii="Calibri" w:hAnsi="Calibri" w:cs="Calibri"/>
          <w:sz w:val="32"/>
          <w:szCs w:val="32"/>
        </w:rPr>
        <w:lastRenderedPageBreak/>
        <w:t>trying to establish the number of attacks on lawyers. This is reflected in the different numbers produced by non-governmental monitoring groups.</w:t>
      </w:r>
    </w:p>
    <w:p w14:paraId="1EABBFDE" w14:textId="725026CC" w:rsidR="005743FB" w:rsidRDefault="005743FB" w:rsidP="009E765B">
      <w:pPr>
        <w:pStyle w:val="BodyText"/>
        <w:pBdr>
          <w:bottom w:val="dotted" w:sz="24" w:space="0" w:color="auto"/>
        </w:pBdr>
        <w:ind w:left="720"/>
        <w:jc w:val="both"/>
        <w:rPr>
          <w:rFonts w:ascii="Calibri" w:hAnsi="Calibri" w:cs="Calibri"/>
          <w:sz w:val="32"/>
          <w:szCs w:val="32"/>
        </w:rPr>
      </w:pPr>
      <w:r w:rsidRPr="00846FFD">
        <w:rPr>
          <w:rFonts w:ascii="Calibri" w:hAnsi="Calibri" w:cs="Calibri"/>
          <w:sz w:val="32"/>
          <w:szCs w:val="32"/>
        </w:rPr>
        <w:t xml:space="preserve">A glaring example that makes the scepticism understandable is the “re-calibration” of the numbers killed in the first 6 months of the “drug war” Having triumphally claimed about 6,000 “drug suspects “ killed, the  PNP was forced to reduce that number by about half as a result of </w:t>
      </w:r>
      <w:r w:rsidR="0026525E">
        <w:rPr>
          <w:rFonts w:ascii="Calibri" w:hAnsi="Calibri" w:cs="Calibri"/>
          <w:sz w:val="32"/>
          <w:szCs w:val="32"/>
        </w:rPr>
        <w:t>publicity about</w:t>
      </w:r>
      <w:r w:rsidR="00DB2503">
        <w:rPr>
          <w:rFonts w:ascii="Calibri" w:hAnsi="Calibri" w:cs="Calibri"/>
          <w:sz w:val="32"/>
          <w:szCs w:val="32"/>
        </w:rPr>
        <w:t xml:space="preserve"> </w:t>
      </w:r>
      <w:r w:rsidRPr="00846FFD">
        <w:rPr>
          <w:rFonts w:ascii="Calibri" w:hAnsi="Calibri" w:cs="Calibri"/>
          <w:sz w:val="32"/>
          <w:szCs w:val="32"/>
        </w:rPr>
        <w:t>cases in which the police had murdered people entirely unconnected with drugs</w:t>
      </w:r>
      <w:r w:rsidR="00FF39BE">
        <w:rPr>
          <w:rFonts w:ascii="Calibri" w:hAnsi="Calibri" w:cs="Calibri"/>
          <w:sz w:val="32"/>
          <w:szCs w:val="32"/>
        </w:rPr>
        <w:t>.</w:t>
      </w:r>
    </w:p>
    <w:p w14:paraId="1B8F02C3" w14:textId="77777777" w:rsidR="0008335D" w:rsidRDefault="0008335D" w:rsidP="009E765B">
      <w:pPr>
        <w:pStyle w:val="BodyText"/>
        <w:pBdr>
          <w:bottom w:val="dotted" w:sz="24" w:space="0" w:color="auto"/>
        </w:pBdr>
        <w:ind w:left="720"/>
        <w:jc w:val="both"/>
        <w:rPr>
          <w:rFonts w:ascii="Calibri" w:hAnsi="Calibri" w:cs="Calibri"/>
          <w:sz w:val="32"/>
          <w:szCs w:val="32"/>
        </w:rPr>
      </w:pPr>
    </w:p>
    <w:p w14:paraId="5A805D10" w14:textId="3491A39A" w:rsidR="0079170E" w:rsidRPr="00846FFD" w:rsidRDefault="00D828E8" w:rsidP="0079170E">
      <w:pPr>
        <w:rPr>
          <w:rFonts w:ascii="Calibri" w:hAnsi="Calibri" w:cs="Calibri"/>
          <w:sz w:val="32"/>
          <w:szCs w:val="32"/>
        </w:rPr>
      </w:pPr>
      <w:r>
        <w:rPr>
          <w:rFonts w:ascii="Calibri" w:hAnsi="Calibri" w:cs="Calibri"/>
          <w:sz w:val="32"/>
          <w:szCs w:val="32"/>
        </w:rPr>
        <w:t>Given the situation</w:t>
      </w:r>
      <w:r w:rsidR="00F2021A">
        <w:rPr>
          <w:rFonts w:ascii="Calibri" w:hAnsi="Calibri" w:cs="Calibri"/>
          <w:sz w:val="32"/>
          <w:szCs w:val="32"/>
        </w:rPr>
        <w:t xml:space="preserve"> </w:t>
      </w:r>
      <w:r w:rsidR="0079170E" w:rsidRPr="00846FFD">
        <w:rPr>
          <w:rFonts w:ascii="Calibri" w:hAnsi="Calibri" w:cs="Calibri"/>
          <w:sz w:val="32"/>
          <w:szCs w:val="32"/>
        </w:rPr>
        <w:t xml:space="preserve">in the Philippines today, the authorities </w:t>
      </w:r>
      <w:r w:rsidR="00F2021A">
        <w:rPr>
          <w:rFonts w:ascii="Calibri" w:hAnsi="Calibri" w:cs="Calibri"/>
          <w:sz w:val="32"/>
          <w:szCs w:val="32"/>
        </w:rPr>
        <w:t>must</w:t>
      </w:r>
      <w:r w:rsidR="0079170E" w:rsidRPr="00846FFD">
        <w:rPr>
          <w:rFonts w:ascii="Calibri" w:hAnsi="Calibri" w:cs="Calibri"/>
          <w:sz w:val="32"/>
          <w:szCs w:val="32"/>
        </w:rPr>
        <w:t xml:space="preserve"> accept an official visit of the Special Rapporteur on the Independence of Judges and lawyers in order to assess the critical situation.</w:t>
      </w:r>
    </w:p>
    <w:p w14:paraId="593E4B3A" w14:textId="2D000BCF" w:rsidR="0000499B" w:rsidRPr="00846FFD" w:rsidRDefault="0000499B" w:rsidP="0079170E">
      <w:pPr>
        <w:rPr>
          <w:rFonts w:ascii="Calibri" w:hAnsi="Calibri" w:cs="Calibri"/>
          <w:sz w:val="32"/>
          <w:szCs w:val="32"/>
        </w:rPr>
      </w:pPr>
    </w:p>
    <w:p w14:paraId="0DE61D89" w14:textId="2F11FC0A" w:rsidR="0000499B" w:rsidRPr="00846FFD" w:rsidRDefault="0000499B" w:rsidP="0000499B">
      <w:pPr>
        <w:pStyle w:val="NormalWeb"/>
        <w:shd w:val="clear" w:color="auto" w:fill="FFFFFF"/>
        <w:spacing w:before="0" w:after="0"/>
        <w:rPr>
          <w:rFonts w:ascii="Calibri" w:hAnsi="Calibri" w:cs="Calibri"/>
          <w:color w:val="242424"/>
          <w:sz w:val="32"/>
          <w:szCs w:val="32"/>
        </w:rPr>
      </w:pPr>
      <w:r w:rsidRPr="00846FFD">
        <w:rPr>
          <w:rFonts w:ascii="Calibri" w:hAnsi="Calibri" w:cs="Calibri"/>
          <w:i/>
          <w:iCs/>
          <w:color w:val="000000"/>
          <w:sz w:val="32"/>
          <w:szCs w:val="32"/>
          <w:bdr w:val="none" w:sz="0" w:space="0" w:color="auto" w:frame="1"/>
        </w:rPr>
        <w:br/>
      </w:r>
    </w:p>
    <w:p w14:paraId="5007B87B" w14:textId="77777777" w:rsidR="0000499B" w:rsidRPr="00846FFD" w:rsidRDefault="0000499B" w:rsidP="0000499B">
      <w:pPr>
        <w:pStyle w:val="NormalWeb"/>
        <w:shd w:val="clear" w:color="auto" w:fill="FFFFFF"/>
        <w:spacing w:before="0" w:after="0"/>
        <w:rPr>
          <w:rFonts w:ascii="Calibri" w:hAnsi="Calibri" w:cs="Calibri"/>
          <w:color w:val="242424"/>
          <w:sz w:val="32"/>
          <w:szCs w:val="32"/>
        </w:rPr>
      </w:pPr>
      <w:r w:rsidRPr="00846FFD">
        <w:rPr>
          <w:rStyle w:val="Emphasis"/>
          <w:rFonts w:ascii="Calibri" w:eastAsiaTheme="majorEastAsia" w:hAnsi="Calibri" w:cs="Calibri"/>
          <w:color w:val="000000"/>
          <w:sz w:val="32"/>
          <w:szCs w:val="32"/>
          <w:bdr w:val="none" w:sz="0" w:space="0" w:color="auto" w:frame="1"/>
        </w:rPr>
        <w:t> </w:t>
      </w:r>
    </w:p>
    <w:p w14:paraId="533D2ADD" w14:textId="77777777" w:rsidR="0000499B" w:rsidRPr="00846FFD" w:rsidRDefault="0000499B" w:rsidP="0000499B">
      <w:pPr>
        <w:pStyle w:val="NormalWeb"/>
        <w:shd w:val="clear" w:color="auto" w:fill="FFFFFF"/>
        <w:spacing w:before="0" w:after="0"/>
        <w:rPr>
          <w:rFonts w:ascii="Calibri" w:hAnsi="Calibri" w:cs="Calibri"/>
          <w:color w:val="242424"/>
          <w:sz w:val="32"/>
          <w:szCs w:val="32"/>
        </w:rPr>
      </w:pPr>
      <w:r w:rsidRPr="00846FFD">
        <w:rPr>
          <w:rFonts w:ascii="Calibri" w:hAnsi="Calibri" w:cs="Calibri"/>
          <w:color w:val="000000"/>
          <w:sz w:val="32"/>
          <w:szCs w:val="32"/>
          <w:bdr w:val="none" w:sz="0" w:space="0" w:color="auto" w:frame="1"/>
        </w:rPr>
        <w:t> </w:t>
      </w:r>
    </w:p>
    <w:sectPr w:rsidR="0000499B" w:rsidRPr="00846F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2255" w14:textId="77777777" w:rsidR="004611B1" w:rsidRDefault="004611B1" w:rsidP="00F37265">
      <w:pPr>
        <w:spacing w:after="0" w:line="240" w:lineRule="auto"/>
      </w:pPr>
      <w:r>
        <w:separator/>
      </w:r>
    </w:p>
  </w:endnote>
  <w:endnote w:type="continuationSeparator" w:id="0">
    <w:p w14:paraId="4D80A960" w14:textId="77777777" w:rsidR="004611B1" w:rsidRDefault="004611B1" w:rsidP="00F3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4992" w14:textId="77777777" w:rsidR="00F37265" w:rsidRDefault="00F3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42646"/>
      <w:docPartObj>
        <w:docPartGallery w:val="Page Numbers (Bottom of Page)"/>
        <w:docPartUnique/>
      </w:docPartObj>
    </w:sdtPr>
    <w:sdtContent>
      <w:p w14:paraId="633C6455" w14:textId="5D6EF593" w:rsidR="00F37265" w:rsidRDefault="00F37265">
        <w:pPr>
          <w:pStyle w:val="Footer"/>
          <w:jc w:val="right"/>
        </w:pPr>
        <w:r>
          <w:fldChar w:fldCharType="begin"/>
        </w:r>
        <w:r>
          <w:instrText>PAGE   \* MERGEFORMAT</w:instrText>
        </w:r>
        <w:r>
          <w:fldChar w:fldCharType="separate"/>
        </w:r>
        <w:r>
          <w:rPr>
            <w:lang w:val="en-GB"/>
          </w:rPr>
          <w:t>2</w:t>
        </w:r>
        <w:r>
          <w:fldChar w:fldCharType="end"/>
        </w:r>
      </w:p>
    </w:sdtContent>
  </w:sdt>
  <w:p w14:paraId="3C3C2D3E" w14:textId="77777777" w:rsidR="00F37265" w:rsidRDefault="00F37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0A1" w14:textId="77777777" w:rsidR="00F37265" w:rsidRDefault="00F3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D113" w14:textId="77777777" w:rsidR="004611B1" w:rsidRDefault="004611B1" w:rsidP="00F37265">
      <w:pPr>
        <w:spacing w:after="0" w:line="240" w:lineRule="auto"/>
      </w:pPr>
      <w:r>
        <w:separator/>
      </w:r>
    </w:p>
  </w:footnote>
  <w:footnote w:type="continuationSeparator" w:id="0">
    <w:p w14:paraId="5C28343A" w14:textId="77777777" w:rsidR="004611B1" w:rsidRDefault="004611B1" w:rsidP="00F37265">
      <w:pPr>
        <w:spacing w:after="0" w:line="240" w:lineRule="auto"/>
      </w:pPr>
      <w:r>
        <w:continuationSeparator/>
      </w:r>
    </w:p>
  </w:footnote>
  <w:footnote w:id="1">
    <w:p w14:paraId="7CC421B3" w14:textId="3207CC8B" w:rsidR="00606422" w:rsidRDefault="00606422">
      <w:pPr>
        <w:pStyle w:val="FootnoteText"/>
      </w:pPr>
      <w:r>
        <w:rPr>
          <w:rStyle w:val="FootnoteReference"/>
        </w:rPr>
        <w:footnoteRef/>
      </w:r>
      <w:r>
        <w:t xml:space="preserve"> </w:t>
      </w:r>
      <w:hyperlink r:id="rId1" w:history="1">
        <w:r w:rsidR="00516BDF" w:rsidRPr="005C6CD2">
          <w:rPr>
            <w:rStyle w:val="Hyperlink"/>
          </w:rPr>
          <w:t>https://www.ohchr.org/en/instruments-mechanisms/instruments/basic-principles-role-lawyers</w:t>
        </w:r>
      </w:hyperlink>
    </w:p>
    <w:p w14:paraId="770783ED" w14:textId="77777777" w:rsidR="00516BDF" w:rsidRPr="00606422" w:rsidRDefault="00516BDF">
      <w:pPr>
        <w:pStyle w:val="FootnoteText"/>
        <w:rPr>
          <w:lang w:val="en-GB"/>
        </w:rPr>
      </w:pPr>
    </w:p>
  </w:footnote>
  <w:footnote w:id="2">
    <w:p w14:paraId="32869105" w14:textId="77777777" w:rsidR="008C0773" w:rsidRDefault="00EA0915" w:rsidP="008C0773">
      <w:r>
        <w:rPr>
          <w:rStyle w:val="FootnoteReference"/>
        </w:rPr>
        <w:footnoteRef/>
      </w:r>
      <w:r>
        <w:t xml:space="preserve"> </w:t>
      </w:r>
      <w:r w:rsidR="008C0773" w:rsidRPr="008C0773">
        <w:rPr>
          <w:rFonts w:ascii="Calibri" w:hAnsi="Calibri" w:cs="Calibri"/>
          <w:sz w:val="20"/>
          <w:szCs w:val="20"/>
        </w:rPr>
        <w:t xml:space="preserve">Boehringer, G. and Russell, S. (2008) “Globalization, Lawyers and the State” (2008) </w:t>
      </w:r>
      <w:r w:rsidR="008C0773" w:rsidRPr="008C0773">
        <w:rPr>
          <w:rFonts w:ascii="Calibri" w:hAnsi="Calibri" w:cs="Calibri"/>
          <w:b/>
          <w:i/>
          <w:sz w:val="20"/>
          <w:szCs w:val="20"/>
        </w:rPr>
        <w:t>Alternative Law Journal</w:t>
      </w:r>
      <w:r w:rsidR="008C0773" w:rsidRPr="008C0773">
        <w:rPr>
          <w:rFonts w:ascii="Calibri" w:hAnsi="Calibri" w:cs="Calibri"/>
          <w:b/>
          <w:sz w:val="20"/>
          <w:szCs w:val="20"/>
        </w:rPr>
        <w:t xml:space="preserve"> </w:t>
      </w:r>
      <w:r w:rsidR="008C0773" w:rsidRPr="008C0773">
        <w:rPr>
          <w:rFonts w:ascii="Calibri" w:hAnsi="Calibri" w:cs="Calibri"/>
          <w:sz w:val="20"/>
          <w:szCs w:val="20"/>
        </w:rPr>
        <w:t xml:space="preserve"> v. 33:3, 169-72</w:t>
      </w:r>
      <w:r w:rsidR="008C0773" w:rsidRPr="00C24DCA">
        <w:rPr>
          <w:i/>
          <w:iCs/>
        </w:rPr>
        <w:t xml:space="preserve"> </w:t>
      </w:r>
      <w:r w:rsidR="008C0773" w:rsidRPr="00C24DCA">
        <w:t xml:space="preserve"> </w:t>
      </w:r>
    </w:p>
    <w:p w14:paraId="4D538DB6" w14:textId="6F763831" w:rsidR="00EA0915" w:rsidRPr="00EA0915" w:rsidRDefault="00EA0915">
      <w:pPr>
        <w:pStyle w:val="FootnoteText"/>
        <w:rPr>
          <w:lang w:val="en-GB"/>
        </w:rPr>
      </w:pPr>
    </w:p>
  </w:footnote>
  <w:footnote w:id="3">
    <w:p w14:paraId="5BA2F423" w14:textId="4EA1E9B2" w:rsidR="003B49FF" w:rsidRPr="003B49FF" w:rsidRDefault="003B49FF">
      <w:pPr>
        <w:pStyle w:val="FootnoteText"/>
        <w:rPr>
          <w:lang w:val="en-GB"/>
        </w:rPr>
      </w:pPr>
      <w:r>
        <w:rPr>
          <w:rStyle w:val="FootnoteReference"/>
        </w:rPr>
        <w:footnoteRef/>
      </w:r>
      <w:r>
        <w:t xml:space="preserve"> </w:t>
      </w:r>
      <w:r w:rsidR="00516BDF">
        <w:t xml:space="preserve"> </w:t>
      </w:r>
      <w:r w:rsidR="000B130F">
        <w:t xml:space="preserve">See e.g. Rodes, R. E. “Greatness Thrust Upon </w:t>
      </w:r>
      <w:r w:rsidR="00811129">
        <w:t>Them</w:t>
      </w:r>
      <w:r w:rsidR="000002C9">
        <w:t>:</w:t>
      </w:r>
      <w:r w:rsidR="00811129">
        <w:t xml:space="preserve"> Class Biases in Ame</w:t>
      </w:r>
      <w:r w:rsidR="00596FC9">
        <w:t>r</w:t>
      </w:r>
      <w:r w:rsidR="00811129">
        <w:t>ican Law</w:t>
      </w:r>
      <w:r w:rsidR="00821878">
        <w:t>” (1983) 28 American J. of Jurisprudence</w:t>
      </w:r>
      <w:r w:rsidR="000002C9">
        <w:t xml:space="preserve"> 1-</w:t>
      </w:r>
      <w:r w:rsidR="00550A2B">
        <w:t>15</w:t>
      </w:r>
      <w:r w:rsidR="00A156B3">
        <w:t>, at 1.</w:t>
      </w:r>
    </w:p>
  </w:footnote>
  <w:footnote w:id="4">
    <w:p w14:paraId="75C025A8" w14:textId="170BF7F6" w:rsidR="00107065" w:rsidRDefault="00107065">
      <w:pPr>
        <w:pStyle w:val="FootnoteText"/>
        <w:rPr>
          <w:lang w:val="en-GB"/>
        </w:rPr>
      </w:pPr>
      <w:r>
        <w:rPr>
          <w:rStyle w:val="FootnoteReference"/>
        </w:rPr>
        <w:footnoteRef/>
      </w:r>
      <w:r>
        <w:t xml:space="preserve"> </w:t>
      </w:r>
      <w:r w:rsidR="004C791C">
        <w:rPr>
          <w:lang w:val="en-GB"/>
        </w:rPr>
        <w:t>Cameron, Jasmine D. “Lawyers under Threat</w:t>
      </w:r>
      <w:r w:rsidR="00457A43">
        <w:rPr>
          <w:lang w:val="en-GB"/>
        </w:rPr>
        <w:t>: Highlighting Their Plight”</w:t>
      </w:r>
      <w:r w:rsidR="00705060">
        <w:rPr>
          <w:lang w:val="en-GB"/>
        </w:rPr>
        <w:t xml:space="preserve"> </w:t>
      </w:r>
      <w:hyperlink r:id="rId2" w:history="1">
        <w:r w:rsidR="00B55B0F" w:rsidRPr="00582F28">
          <w:rPr>
            <w:rStyle w:val="Hyperlink"/>
            <w:lang w:val="en-GB"/>
          </w:rPr>
          <w:t>https://www.justsecurity.org/84880/lawyers-under-threat-highlighting-their-plight/</w:t>
        </w:r>
      </w:hyperlink>
      <w:r w:rsidR="00B55B0F">
        <w:rPr>
          <w:lang w:val="en-GB"/>
        </w:rPr>
        <w:t xml:space="preserve"> p.1</w:t>
      </w:r>
      <w:r w:rsidR="007837C0">
        <w:rPr>
          <w:lang w:val="en-GB"/>
        </w:rPr>
        <w:t xml:space="preserve"> Jan. 24, 2023</w:t>
      </w:r>
      <w:r w:rsidR="00D01E7F">
        <w:rPr>
          <w:lang w:val="en-GB"/>
        </w:rPr>
        <w:t>.</w:t>
      </w:r>
    </w:p>
    <w:p w14:paraId="532C4B80" w14:textId="77777777" w:rsidR="00B55B0F" w:rsidRPr="00107065" w:rsidRDefault="00B55B0F">
      <w:pPr>
        <w:pStyle w:val="FootnoteText"/>
        <w:rPr>
          <w:lang w:val="en-GB"/>
        </w:rPr>
      </w:pPr>
    </w:p>
  </w:footnote>
  <w:footnote w:id="5">
    <w:p w14:paraId="4D330C3A" w14:textId="2BA0FD0B" w:rsidR="00593250" w:rsidRPr="00593250" w:rsidRDefault="00593250">
      <w:pPr>
        <w:pStyle w:val="FootnoteText"/>
        <w:rPr>
          <w:lang w:val="en-GB"/>
        </w:rPr>
      </w:pPr>
      <w:r>
        <w:rPr>
          <w:rStyle w:val="FootnoteReference"/>
        </w:rPr>
        <w:footnoteRef/>
      </w:r>
      <w:r>
        <w:t xml:space="preserve"> </w:t>
      </w:r>
      <w:r w:rsidR="000F5654">
        <w:t>Ibid.</w:t>
      </w:r>
    </w:p>
  </w:footnote>
  <w:footnote w:id="6">
    <w:p w14:paraId="1943FFC8" w14:textId="7A778E87" w:rsidR="00D64FF2" w:rsidRPr="00D64FF2" w:rsidRDefault="00D64FF2">
      <w:pPr>
        <w:pStyle w:val="FootnoteText"/>
        <w:rPr>
          <w:lang w:val="en-GB"/>
        </w:rPr>
      </w:pPr>
      <w:r>
        <w:rPr>
          <w:rStyle w:val="FootnoteReference"/>
        </w:rPr>
        <w:footnoteRef/>
      </w:r>
      <w:r>
        <w:t xml:space="preserve"> </w:t>
      </w:r>
      <w:r w:rsidR="00D90FAE">
        <w:t>See Boehringer</w:t>
      </w:r>
      <w:r w:rsidR="000E7166">
        <w:t xml:space="preserve"> et al in </w:t>
      </w:r>
      <w:hyperlink r:id="rId3" w:tgtFrame="_blank" w:tooltip="Protected by Outlook: https://www.cak.cz/assets/komora/dissent-special-issue-attacks-on-lawyers.pdf. Click or tap to follow the link." w:history="1">
        <w:r w:rsidR="000E7166">
          <w:rPr>
            <w:rStyle w:val="Hyperlink"/>
            <w:rFonts w:ascii="Segoe UI" w:hAnsi="Segoe UI" w:cs="Segoe UI"/>
            <w:sz w:val="23"/>
            <w:szCs w:val="23"/>
            <w:bdr w:val="none" w:sz="0" w:space="0" w:color="auto" w:frame="1"/>
            <w:shd w:val="clear" w:color="auto" w:fill="FFFFFF"/>
          </w:rPr>
          <w:t>https://www.cak.cz/assets/komora/dissent-special-issue-attacks-on-lawyers.pdf</w:t>
        </w:r>
      </w:hyperlink>
    </w:p>
  </w:footnote>
  <w:footnote w:id="7">
    <w:p w14:paraId="5FBCB0BF" w14:textId="1352BBFF" w:rsidR="00F229FA" w:rsidRPr="0027655B" w:rsidRDefault="00400375">
      <w:pPr>
        <w:pStyle w:val="FootnoteText"/>
      </w:pPr>
      <w:r>
        <w:rPr>
          <w:rStyle w:val="FootnoteReference"/>
        </w:rPr>
        <w:footnoteRef/>
      </w:r>
      <w:r>
        <w:t xml:space="preserve"> </w:t>
      </w:r>
      <w:r w:rsidR="001B5165">
        <w:t xml:space="preserve"> </w:t>
      </w:r>
      <w:r w:rsidR="00CA3CDC">
        <w:t>See</w:t>
      </w:r>
      <w:r w:rsidR="006C521F">
        <w:t xml:space="preserve"> </w:t>
      </w:r>
      <w:r w:rsidR="001B5165">
        <w:t>Orenlichter</w:t>
      </w:r>
      <w:r w:rsidR="006C521F">
        <w:t>, D.</w:t>
      </w:r>
      <w:r w:rsidR="005601A5">
        <w:t>F. “Lawyers under Siege”</w:t>
      </w:r>
      <w:r w:rsidR="006C521F">
        <w:t xml:space="preserve"> </w:t>
      </w:r>
      <w:hyperlink r:id="rId4" w:history="1">
        <w:r w:rsidR="00880E10" w:rsidRPr="00D04C1C">
          <w:rPr>
            <w:rStyle w:val="Hyperlink"/>
          </w:rPr>
          <w:t>https://journals.sagepub.com/doi/pdf/10.1080/03064228508533956</w:t>
        </w:r>
      </w:hyperlink>
      <w:r w:rsidR="000C7A0D">
        <w:rPr>
          <w:rStyle w:val="Hyperlink"/>
        </w:rPr>
        <w:t xml:space="preserve">;   </w:t>
      </w:r>
      <w:r w:rsidR="000C7A0D" w:rsidRPr="006456EB">
        <w:rPr>
          <w:rStyle w:val="Hyperlink"/>
          <w:color w:val="auto"/>
          <w:u w:val="none"/>
        </w:rPr>
        <w:t>see also</w:t>
      </w:r>
      <w:r w:rsidR="00BB00F2">
        <w:rPr>
          <w:rStyle w:val="Hyperlink"/>
          <w:u w:val="none"/>
        </w:rPr>
        <w:t xml:space="preserve"> </w:t>
      </w:r>
      <w:r w:rsidR="00A146D6">
        <w:rPr>
          <w:rStyle w:val="Hyperlink"/>
          <w:u w:val="none"/>
        </w:rPr>
        <w:t>“</w:t>
      </w:r>
      <w:r w:rsidR="00BB00F2" w:rsidRPr="0027655B">
        <w:rPr>
          <w:rStyle w:val="Hyperlink"/>
          <w:color w:val="auto"/>
          <w:u w:val="none"/>
        </w:rPr>
        <w:t>Report:</w:t>
      </w:r>
      <w:r w:rsidR="00D539D5" w:rsidRPr="0027655B">
        <w:rPr>
          <w:rStyle w:val="Hyperlink"/>
          <w:color w:val="auto"/>
          <w:u w:val="none"/>
        </w:rPr>
        <w:t xml:space="preserve"> </w:t>
      </w:r>
      <w:r w:rsidR="00BB00F2" w:rsidRPr="0027655B">
        <w:rPr>
          <w:rStyle w:val="Hyperlink"/>
          <w:color w:val="auto"/>
          <w:u w:val="none"/>
        </w:rPr>
        <w:t>The Philippine</w:t>
      </w:r>
      <w:r w:rsidR="0027655B">
        <w:rPr>
          <w:rStyle w:val="Hyperlink"/>
          <w:color w:val="auto"/>
          <w:u w:val="none"/>
        </w:rPr>
        <w:t>s</w:t>
      </w:r>
      <w:r w:rsidR="00BB00F2" w:rsidRPr="0027655B">
        <w:rPr>
          <w:rStyle w:val="Hyperlink"/>
          <w:color w:val="auto"/>
          <w:u w:val="none"/>
        </w:rPr>
        <w:t xml:space="preserve"> a Country in Crisis</w:t>
      </w:r>
      <w:r w:rsidR="00F229FA">
        <w:rPr>
          <w:rStyle w:val="Hyperlink"/>
          <w:color w:val="auto"/>
          <w:u w:val="none"/>
        </w:rPr>
        <w:t xml:space="preserve">” </w:t>
      </w:r>
      <w:hyperlink r:id="rId5" w:history="1">
        <w:r w:rsidR="00F229FA" w:rsidRPr="00D04C1C">
          <w:rPr>
            <w:rStyle w:val="Hyperlink"/>
          </w:rPr>
          <w:t>https://digitalcommons.wcl.american.edu/cgi/viewcontent.cgi?article=2728&amp;context=facsch_lawrev</w:t>
        </w:r>
      </w:hyperlink>
    </w:p>
    <w:p w14:paraId="7718D0A6" w14:textId="32471E96" w:rsidR="00400375" w:rsidRPr="0027655B" w:rsidRDefault="001B5165">
      <w:pPr>
        <w:pStyle w:val="FootnoteText"/>
        <w:rPr>
          <w:lang w:val="en-GB"/>
        </w:rPr>
      </w:pPr>
      <w:r w:rsidRPr="0027655B">
        <w:t xml:space="preserve"> </w:t>
      </w:r>
    </w:p>
  </w:footnote>
  <w:footnote w:id="8">
    <w:p w14:paraId="3F6C0E79" w14:textId="0967BA66" w:rsidR="00B75FC8" w:rsidRPr="00B75FC8" w:rsidRDefault="00B75FC8">
      <w:pPr>
        <w:pStyle w:val="FootnoteText"/>
        <w:rPr>
          <w:lang w:val="en-GB"/>
        </w:rPr>
      </w:pPr>
      <w:r>
        <w:rPr>
          <w:rStyle w:val="FootnoteReference"/>
        </w:rPr>
        <w:footnoteRef/>
      </w:r>
      <w:r>
        <w:t xml:space="preserve"> </w:t>
      </w:r>
      <w:r w:rsidR="002B25B4">
        <w:t>Fuller, K.</w:t>
      </w:r>
      <w:r w:rsidR="0094072F">
        <w:t xml:space="preserve"> </w:t>
      </w:r>
      <w:r w:rsidR="00971B43">
        <w:t>The Long Crisis: Gloria Macapagal</w:t>
      </w:r>
      <w:r w:rsidR="00B75225">
        <w:t>-Arroyo and Philippine Underdevelopment</w:t>
      </w:r>
      <w:r w:rsidR="000F5051">
        <w:t xml:space="preserve"> ,Ottawa: Flipside Publishers, 2013</w:t>
      </w:r>
    </w:p>
  </w:footnote>
  <w:footnote w:id="9">
    <w:p w14:paraId="5EDC8BB2" w14:textId="77777777" w:rsidR="001F1C49" w:rsidRPr="001F1C49" w:rsidRDefault="00154982" w:rsidP="001F1C49">
      <w:pPr>
        <w:rPr>
          <w:b/>
          <w:bCs/>
          <w:sz w:val="20"/>
          <w:szCs w:val="20"/>
          <w:lang w:eastAsia="en-AU"/>
        </w:rPr>
      </w:pPr>
      <w:r>
        <w:rPr>
          <w:rStyle w:val="FootnoteReference"/>
        </w:rPr>
        <w:footnoteRef/>
      </w:r>
      <w:r>
        <w:t xml:space="preserve"> Molo, J</w:t>
      </w:r>
      <w:r w:rsidRPr="000D5EF8">
        <w:rPr>
          <w:rFonts w:ascii="Calibri" w:hAnsi="Calibri" w:cs="Calibri"/>
          <w:sz w:val="20"/>
          <w:szCs w:val="20"/>
        </w:rPr>
        <w:t>.</w:t>
      </w:r>
      <w:r w:rsidR="002837BA" w:rsidRPr="000D5EF8">
        <w:rPr>
          <w:rFonts w:ascii="Calibri" w:hAnsi="Calibri" w:cs="Calibri"/>
          <w:sz w:val="20"/>
          <w:szCs w:val="20"/>
        </w:rPr>
        <w:t xml:space="preserve"> ““The silent epidemic stalking Filipino lawyers</w:t>
      </w:r>
      <w:r w:rsidR="000D5EF8">
        <w:rPr>
          <w:rFonts w:ascii="Calibri" w:hAnsi="Calibri" w:cs="Calibri"/>
        </w:rPr>
        <w:t>”</w:t>
      </w:r>
      <w:r w:rsidR="00AA01AA">
        <w:rPr>
          <w:rFonts w:ascii="Calibri" w:hAnsi="Calibri" w:cs="Calibri"/>
        </w:rPr>
        <w:t xml:space="preserve"> </w:t>
      </w:r>
      <w:hyperlink r:id="rId6" w:history="1">
        <w:r w:rsidR="001F1C49" w:rsidRPr="001F1C49">
          <w:rPr>
            <w:rStyle w:val="Hyperlink"/>
            <w:b/>
            <w:bCs/>
            <w:sz w:val="20"/>
            <w:szCs w:val="20"/>
            <w:lang w:eastAsia="en-AU"/>
          </w:rPr>
          <w:t>https://www.rappler.com/voices/thought-leaders/opinion-silent-epidemic-stalking-filipino-lawyers?utm_medium=Social&amp;utm_source=Facebook&amp;fbclid=IwAR3JR61i25SZb7P</w:t>
        </w:r>
      </w:hyperlink>
    </w:p>
    <w:p w14:paraId="360E026D" w14:textId="4DE81C35" w:rsidR="00154982" w:rsidRPr="001F1C49" w:rsidRDefault="00154982">
      <w:pPr>
        <w:pStyle w:val="FootnoteText"/>
        <w:rPr>
          <w:rFonts w:ascii="Calibri" w:hAnsi="Calibri" w:cs="Calibri"/>
          <w:lang w:val="en-GB"/>
        </w:rPr>
      </w:pPr>
    </w:p>
  </w:footnote>
  <w:footnote w:id="10">
    <w:p w14:paraId="2DC4A6DB" w14:textId="4AF73870" w:rsidR="00DA647B" w:rsidRPr="00DA647B" w:rsidRDefault="00DA647B">
      <w:pPr>
        <w:pStyle w:val="FootnoteText"/>
        <w:rPr>
          <w:lang w:val="en-GB"/>
        </w:rPr>
      </w:pPr>
      <w:r>
        <w:rPr>
          <w:rStyle w:val="FootnoteReference"/>
        </w:rPr>
        <w:footnoteRef/>
      </w:r>
      <w:r>
        <w:t xml:space="preserve"> </w:t>
      </w:r>
      <w:r>
        <w:rPr>
          <w:lang w:val="en-GB"/>
        </w:rPr>
        <w:t>Lian Buan</w:t>
      </w:r>
    </w:p>
  </w:footnote>
  <w:footnote w:id="11">
    <w:p w14:paraId="033E8066" w14:textId="3E7F2961" w:rsidR="00DA647B" w:rsidRPr="00DA647B" w:rsidRDefault="00DA647B">
      <w:pPr>
        <w:pStyle w:val="FootnoteText"/>
        <w:rPr>
          <w:lang w:val="en-GB"/>
        </w:rPr>
      </w:pPr>
      <w:r>
        <w:rPr>
          <w:rStyle w:val="FootnoteReference"/>
        </w:rPr>
        <w:footnoteRef/>
      </w:r>
      <w:r>
        <w:t xml:space="preserve"> </w:t>
      </w:r>
      <w:r w:rsidR="0043314D">
        <w:rPr>
          <w:lang w:val="en-GB"/>
        </w:rPr>
        <w:t xml:space="preserve">Ibid  </w:t>
      </w:r>
    </w:p>
  </w:footnote>
  <w:footnote w:id="12">
    <w:p w14:paraId="0DA046A6" w14:textId="0DAD3CF0" w:rsidR="0043314D" w:rsidRPr="0043314D" w:rsidRDefault="0043314D">
      <w:pPr>
        <w:pStyle w:val="FootnoteText"/>
        <w:rPr>
          <w:lang w:val="en-GB"/>
        </w:rPr>
      </w:pPr>
      <w:r>
        <w:rPr>
          <w:rStyle w:val="FootnoteReference"/>
        </w:rPr>
        <w:footnoteRef/>
      </w:r>
      <w:r>
        <w:t xml:space="preserve"> </w:t>
      </w:r>
      <w:r w:rsidR="004D1ACC">
        <w:rPr>
          <w:lang w:val="en-GB"/>
        </w:rPr>
        <w:t>Ibid.</w:t>
      </w:r>
    </w:p>
  </w:footnote>
  <w:footnote w:id="13">
    <w:p w14:paraId="2B45B479" w14:textId="35D1707E" w:rsidR="004D1ACC" w:rsidRPr="004D1ACC" w:rsidRDefault="00AE7AE2">
      <w:pPr>
        <w:pStyle w:val="FootnoteText"/>
        <w:rPr>
          <w:lang w:val="en-GB"/>
        </w:rPr>
      </w:pPr>
      <w:r>
        <w:t xml:space="preserve">                  </w:t>
      </w:r>
      <w:r w:rsidR="004D1ACC">
        <w:rPr>
          <w:rStyle w:val="FootnoteReference"/>
        </w:rPr>
        <w:footnoteRef/>
      </w:r>
      <w:r w:rsidR="004D1ACC">
        <w:t xml:space="preserve"> </w:t>
      </w:r>
      <w:r>
        <w:t xml:space="preserve"> Karen Davila </w:t>
      </w:r>
      <w:r w:rsidR="00E05CC1">
        <w:t xml:space="preserve">morning show in which she interviewed </w:t>
      </w:r>
      <w:r w:rsidR="00113934">
        <w:t>a spokesperson for the PNP</w:t>
      </w:r>
      <w:r w:rsidR="00DD7E6C">
        <w:t>.</w:t>
      </w:r>
      <w:r w:rsidR="0079515F">
        <w:t xml:space="preserve"> </w:t>
      </w:r>
    </w:p>
  </w:footnote>
  <w:footnote w:id="14">
    <w:p w14:paraId="512F9238" w14:textId="180817AF" w:rsidR="00DE5D28" w:rsidRPr="00DE5D28" w:rsidRDefault="00DE5D28" w:rsidP="002E73AA">
      <w:pPr>
        <w:pStyle w:val="BodyText"/>
        <w:ind w:left="720"/>
        <w:jc w:val="both"/>
        <w:rPr>
          <w:lang w:val="en-GB"/>
        </w:rPr>
      </w:pPr>
      <w:r>
        <w:rPr>
          <w:rStyle w:val="FootnoteReference"/>
        </w:rPr>
        <w:footnoteRef/>
      </w:r>
      <w:r>
        <w:t xml:space="preserve"> </w:t>
      </w:r>
      <w:r w:rsidR="000D149B">
        <w:rPr>
          <w:lang w:val="en-GB"/>
        </w:rPr>
        <w:t xml:space="preserve"> </w:t>
      </w:r>
      <w:r w:rsidR="000D149B" w:rsidRPr="000D149B">
        <w:rPr>
          <w:rFonts w:ascii="Calibri" w:hAnsi="Calibri" w:cs="Calibri"/>
          <w:sz w:val="18"/>
          <w:szCs w:val="18"/>
        </w:rPr>
        <w:t>See Jodesz Gavilan</w:t>
      </w:r>
      <w:r w:rsidR="00994E90">
        <w:rPr>
          <w:rFonts w:ascii="Calibri" w:hAnsi="Calibri" w:cs="Calibri"/>
          <w:sz w:val="18"/>
          <w:szCs w:val="18"/>
        </w:rPr>
        <w:t xml:space="preserve"> </w:t>
      </w:r>
      <w:r w:rsidR="0035469B" w:rsidRPr="0035469B">
        <w:rPr>
          <w:rFonts w:ascii="Calibri" w:hAnsi="Calibri" w:cs="Calibri"/>
          <w:sz w:val="18"/>
          <w:szCs w:val="18"/>
        </w:rPr>
        <w:t>https://www.rappler.com/nation/266216-duterte-dangerous-fiction-against-defenders-chr-report/</w:t>
      </w:r>
      <w:r w:rsidR="00550492">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563D" w14:textId="77777777" w:rsidR="00F37265" w:rsidRDefault="00F3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1B07" w14:textId="77777777" w:rsidR="00F37265" w:rsidRDefault="00F37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C3DD" w14:textId="77777777" w:rsidR="00F37265" w:rsidRDefault="00F3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27F5"/>
    <w:multiLevelType w:val="hybridMultilevel"/>
    <w:tmpl w:val="65DC3F0E"/>
    <w:lvl w:ilvl="0" w:tplc="8AA66D94">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5B40A05"/>
    <w:multiLevelType w:val="hybridMultilevel"/>
    <w:tmpl w:val="DAB61B64"/>
    <w:lvl w:ilvl="0" w:tplc="672EF0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5EF234F"/>
    <w:multiLevelType w:val="hybridMultilevel"/>
    <w:tmpl w:val="A5203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CE7822"/>
    <w:multiLevelType w:val="hybridMultilevel"/>
    <w:tmpl w:val="0E10F80E"/>
    <w:lvl w:ilvl="0" w:tplc="0BBA374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2685053">
    <w:abstractNumId w:val="3"/>
  </w:num>
  <w:num w:numId="2" w16cid:durableId="1271086772">
    <w:abstractNumId w:val="1"/>
  </w:num>
  <w:num w:numId="3" w16cid:durableId="1954895502">
    <w:abstractNumId w:val="0"/>
  </w:num>
  <w:num w:numId="4" w16cid:durableId="167202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D0"/>
    <w:rsid w:val="000002C9"/>
    <w:rsid w:val="0000094A"/>
    <w:rsid w:val="0000499B"/>
    <w:rsid w:val="00007C49"/>
    <w:rsid w:val="00012AFA"/>
    <w:rsid w:val="000257CC"/>
    <w:rsid w:val="00026DDD"/>
    <w:rsid w:val="00035163"/>
    <w:rsid w:val="000416DB"/>
    <w:rsid w:val="00042802"/>
    <w:rsid w:val="000435C6"/>
    <w:rsid w:val="00044289"/>
    <w:rsid w:val="00062895"/>
    <w:rsid w:val="00067750"/>
    <w:rsid w:val="000705F6"/>
    <w:rsid w:val="0007491E"/>
    <w:rsid w:val="00077157"/>
    <w:rsid w:val="0008033B"/>
    <w:rsid w:val="00081567"/>
    <w:rsid w:val="000817F9"/>
    <w:rsid w:val="0008335D"/>
    <w:rsid w:val="00084BD0"/>
    <w:rsid w:val="00092C52"/>
    <w:rsid w:val="0009492C"/>
    <w:rsid w:val="000A03BF"/>
    <w:rsid w:val="000A208E"/>
    <w:rsid w:val="000A299B"/>
    <w:rsid w:val="000B0FDD"/>
    <w:rsid w:val="000B130F"/>
    <w:rsid w:val="000B5BBA"/>
    <w:rsid w:val="000C01E7"/>
    <w:rsid w:val="000C3317"/>
    <w:rsid w:val="000C382E"/>
    <w:rsid w:val="000C4BF8"/>
    <w:rsid w:val="000C722F"/>
    <w:rsid w:val="000C7800"/>
    <w:rsid w:val="000C7A0D"/>
    <w:rsid w:val="000D149B"/>
    <w:rsid w:val="000D5D7D"/>
    <w:rsid w:val="000D5EF8"/>
    <w:rsid w:val="000D6687"/>
    <w:rsid w:val="000E2815"/>
    <w:rsid w:val="000E7166"/>
    <w:rsid w:val="000E7FF4"/>
    <w:rsid w:val="000F220C"/>
    <w:rsid w:val="000F5051"/>
    <w:rsid w:val="000F5654"/>
    <w:rsid w:val="000F7066"/>
    <w:rsid w:val="0010151A"/>
    <w:rsid w:val="00107065"/>
    <w:rsid w:val="001072CC"/>
    <w:rsid w:val="0011339E"/>
    <w:rsid w:val="00113934"/>
    <w:rsid w:val="00121EFB"/>
    <w:rsid w:val="001246F9"/>
    <w:rsid w:val="0012535A"/>
    <w:rsid w:val="001311C0"/>
    <w:rsid w:val="00144533"/>
    <w:rsid w:val="00145568"/>
    <w:rsid w:val="001537D9"/>
    <w:rsid w:val="00154982"/>
    <w:rsid w:val="00162FF0"/>
    <w:rsid w:val="00163022"/>
    <w:rsid w:val="00175D36"/>
    <w:rsid w:val="001764D5"/>
    <w:rsid w:val="00187914"/>
    <w:rsid w:val="00195C3D"/>
    <w:rsid w:val="0019622A"/>
    <w:rsid w:val="0019772A"/>
    <w:rsid w:val="001B06C7"/>
    <w:rsid w:val="001B278D"/>
    <w:rsid w:val="001B28EE"/>
    <w:rsid w:val="001B3AD7"/>
    <w:rsid w:val="001B40C2"/>
    <w:rsid w:val="001B5165"/>
    <w:rsid w:val="001C142D"/>
    <w:rsid w:val="001C3214"/>
    <w:rsid w:val="001C5396"/>
    <w:rsid w:val="001C5D31"/>
    <w:rsid w:val="001C6A5D"/>
    <w:rsid w:val="001D6C18"/>
    <w:rsid w:val="001E27E5"/>
    <w:rsid w:val="001E5CFB"/>
    <w:rsid w:val="001F0E66"/>
    <w:rsid w:val="001F1B47"/>
    <w:rsid w:val="001F1C49"/>
    <w:rsid w:val="001F4F7F"/>
    <w:rsid w:val="00200D81"/>
    <w:rsid w:val="00201B60"/>
    <w:rsid w:val="00202BDF"/>
    <w:rsid w:val="00204543"/>
    <w:rsid w:val="00222665"/>
    <w:rsid w:val="00225D13"/>
    <w:rsid w:val="00235F3E"/>
    <w:rsid w:val="0026525E"/>
    <w:rsid w:val="00266CF7"/>
    <w:rsid w:val="0027111B"/>
    <w:rsid w:val="0027655B"/>
    <w:rsid w:val="002837BA"/>
    <w:rsid w:val="00284106"/>
    <w:rsid w:val="0028552F"/>
    <w:rsid w:val="002A0065"/>
    <w:rsid w:val="002B25B4"/>
    <w:rsid w:val="002B282F"/>
    <w:rsid w:val="002B6399"/>
    <w:rsid w:val="002C32B3"/>
    <w:rsid w:val="002D61F7"/>
    <w:rsid w:val="002D6AD0"/>
    <w:rsid w:val="002E0A48"/>
    <w:rsid w:val="002E1137"/>
    <w:rsid w:val="002E1EBC"/>
    <w:rsid w:val="002E421D"/>
    <w:rsid w:val="002E4E43"/>
    <w:rsid w:val="002E73AA"/>
    <w:rsid w:val="002E75BF"/>
    <w:rsid w:val="002F2827"/>
    <w:rsid w:val="002F3138"/>
    <w:rsid w:val="002F6402"/>
    <w:rsid w:val="002F727C"/>
    <w:rsid w:val="0030661E"/>
    <w:rsid w:val="00312B09"/>
    <w:rsid w:val="003358DD"/>
    <w:rsid w:val="00341EF4"/>
    <w:rsid w:val="00353001"/>
    <w:rsid w:val="0035469B"/>
    <w:rsid w:val="003643B7"/>
    <w:rsid w:val="00364B85"/>
    <w:rsid w:val="0036771B"/>
    <w:rsid w:val="00376ACE"/>
    <w:rsid w:val="00384A52"/>
    <w:rsid w:val="00385465"/>
    <w:rsid w:val="003B0240"/>
    <w:rsid w:val="003B248E"/>
    <w:rsid w:val="003B49FF"/>
    <w:rsid w:val="003B54F2"/>
    <w:rsid w:val="003B5B5D"/>
    <w:rsid w:val="003C07EB"/>
    <w:rsid w:val="003C3BE3"/>
    <w:rsid w:val="003C40BB"/>
    <w:rsid w:val="003D224C"/>
    <w:rsid w:val="003D4BD2"/>
    <w:rsid w:val="003D4D3F"/>
    <w:rsid w:val="003D712B"/>
    <w:rsid w:val="003D7503"/>
    <w:rsid w:val="003E56EA"/>
    <w:rsid w:val="003F1243"/>
    <w:rsid w:val="003F2834"/>
    <w:rsid w:val="003F73AD"/>
    <w:rsid w:val="00400008"/>
    <w:rsid w:val="00400375"/>
    <w:rsid w:val="00402B6A"/>
    <w:rsid w:val="004033C2"/>
    <w:rsid w:val="00406104"/>
    <w:rsid w:val="00413B8C"/>
    <w:rsid w:val="00426549"/>
    <w:rsid w:val="00430CAD"/>
    <w:rsid w:val="0043131A"/>
    <w:rsid w:val="0043314D"/>
    <w:rsid w:val="00435F07"/>
    <w:rsid w:val="004404FE"/>
    <w:rsid w:val="0045056B"/>
    <w:rsid w:val="004536AF"/>
    <w:rsid w:val="004548E9"/>
    <w:rsid w:val="00457A43"/>
    <w:rsid w:val="00460C26"/>
    <w:rsid w:val="004611B1"/>
    <w:rsid w:val="0047707D"/>
    <w:rsid w:val="0047789D"/>
    <w:rsid w:val="004819CB"/>
    <w:rsid w:val="00481A3C"/>
    <w:rsid w:val="00486793"/>
    <w:rsid w:val="00497D80"/>
    <w:rsid w:val="004A66F0"/>
    <w:rsid w:val="004C4E3D"/>
    <w:rsid w:val="004C791C"/>
    <w:rsid w:val="004D1ACC"/>
    <w:rsid w:val="004D492A"/>
    <w:rsid w:val="004D50BF"/>
    <w:rsid w:val="004E13DF"/>
    <w:rsid w:val="004F1F18"/>
    <w:rsid w:val="005009E6"/>
    <w:rsid w:val="00502D37"/>
    <w:rsid w:val="005041B7"/>
    <w:rsid w:val="00504905"/>
    <w:rsid w:val="00510535"/>
    <w:rsid w:val="005136CA"/>
    <w:rsid w:val="00516BDF"/>
    <w:rsid w:val="00517F94"/>
    <w:rsid w:val="005227A6"/>
    <w:rsid w:val="00523643"/>
    <w:rsid w:val="005275FB"/>
    <w:rsid w:val="0053324F"/>
    <w:rsid w:val="005365BC"/>
    <w:rsid w:val="005419EB"/>
    <w:rsid w:val="00543A41"/>
    <w:rsid w:val="00543DDB"/>
    <w:rsid w:val="005446A8"/>
    <w:rsid w:val="00544D8C"/>
    <w:rsid w:val="00550492"/>
    <w:rsid w:val="00550A2B"/>
    <w:rsid w:val="005560B7"/>
    <w:rsid w:val="005571B7"/>
    <w:rsid w:val="005578E3"/>
    <w:rsid w:val="00557C9C"/>
    <w:rsid w:val="005601A5"/>
    <w:rsid w:val="005643D3"/>
    <w:rsid w:val="00571861"/>
    <w:rsid w:val="00573A77"/>
    <w:rsid w:val="005743FB"/>
    <w:rsid w:val="00577D51"/>
    <w:rsid w:val="005847AA"/>
    <w:rsid w:val="005859B1"/>
    <w:rsid w:val="00593250"/>
    <w:rsid w:val="00596FC9"/>
    <w:rsid w:val="005A1101"/>
    <w:rsid w:val="005A529C"/>
    <w:rsid w:val="005B4E12"/>
    <w:rsid w:val="005C1500"/>
    <w:rsid w:val="005C39CB"/>
    <w:rsid w:val="005C4587"/>
    <w:rsid w:val="005D1EFA"/>
    <w:rsid w:val="005D3EE2"/>
    <w:rsid w:val="005D4385"/>
    <w:rsid w:val="005D65ED"/>
    <w:rsid w:val="005E65AA"/>
    <w:rsid w:val="005F1976"/>
    <w:rsid w:val="00600CE0"/>
    <w:rsid w:val="00606422"/>
    <w:rsid w:val="00622D41"/>
    <w:rsid w:val="00625026"/>
    <w:rsid w:val="00633A41"/>
    <w:rsid w:val="00643678"/>
    <w:rsid w:val="006456EB"/>
    <w:rsid w:val="006576CC"/>
    <w:rsid w:val="00662501"/>
    <w:rsid w:val="00667CBD"/>
    <w:rsid w:val="00670498"/>
    <w:rsid w:val="006705E5"/>
    <w:rsid w:val="00676260"/>
    <w:rsid w:val="00683611"/>
    <w:rsid w:val="006866F9"/>
    <w:rsid w:val="00687450"/>
    <w:rsid w:val="006911DF"/>
    <w:rsid w:val="006932F3"/>
    <w:rsid w:val="006945FF"/>
    <w:rsid w:val="0069779D"/>
    <w:rsid w:val="006A0AA7"/>
    <w:rsid w:val="006A1847"/>
    <w:rsid w:val="006C3385"/>
    <w:rsid w:val="006C4539"/>
    <w:rsid w:val="006C45C5"/>
    <w:rsid w:val="006C521F"/>
    <w:rsid w:val="006C5DBA"/>
    <w:rsid w:val="006D1B68"/>
    <w:rsid w:val="006D5A66"/>
    <w:rsid w:val="006D7B5D"/>
    <w:rsid w:val="006D7DED"/>
    <w:rsid w:val="006E4EB5"/>
    <w:rsid w:val="00703A1D"/>
    <w:rsid w:val="00705060"/>
    <w:rsid w:val="00707A80"/>
    <w:rsid w:val="00711011"/>
    <w:rsid w:val="007128C4"/>
    <w:rsid w:val="00712A25"/>
    <w:rsid w:val="0071391A"/>
    <w:rsid w:val="007247AC"/>
    <w:rsid w:val="0073285A"/>
    <w:rsid w:val="007340A7"/>
    <w:rsid w:val="00737285"/>
    <w:rsid w:val="007443C9"/>
    <w:rsid w:val="00755229"/>
    <w:rsid w:val="0075563A"/>
    <w:rsid w:val="007626DF"/>
    <w:rsid w:val="00772063"/>
    <w:rsid w:val="0077466C"/>
    <w:rsid w:val="00781EDA"/>
    <w:rsid w:val="00782827"/>
    <w:rsid w:val="007837C0"/>
    <w:rsid w:val="00785000"/>
    <w:rsid w:val="0079170E"/>
    <w:rsid w:val="0079515F"/>
    <w:rsid w:val="007A07FC"/>
    <w:rsid w:val="007A30D0"/>
    <w:rsid w:val="007A4C61"/>
    <w:rsid w:val="007A5CA3"/>
    <w:rsid w:val="007B10FC"/>
    <w:rsid w:val="007B3B72"/>
    <w:rsid w:val="007C2D38"/>
    <w:rsid w:val="007D6FEB"/>
    <w:rsid w:val="007D754F"/>
    <w:rsid w:val="007E652D"/>
    <w:rsid w:val="007E71D3"/>
    <w:rsid w:val="007F0939"/>
    <w:rsid w:val="007F10DE"/>
    <w:rsid w:val="00801756"/>
    <w:rsid w:val="00803822"/>
    <w:rsid w:val="008072B5"/>
    <w:rsid w:val="00810296"/>
    <w:rsid w:val="00810F0D"/>
    <w:rsid w:val="00811129"/>
    <w:rsid w:val="0081597E"/>
    <w:rsid w:val="0081728A"/>
    <w:rsid w:val="00821878"/>
    <w:rsid w:val="00822ACD"/>
    <w:rsid w:val="0083079F"/>
    <w:rsid w:val="0083314C"/>
    <w:rsid w:val="00835CBB"/>
    <w:rsid w:val="00841211"/>
    <w:rsid w:val="00845096"/>
    <w:rsid w:val="00846FFD"/>
    <w:rsid w:val="0086006D"/>
    <w:rsid w:val="00862ECA"/>
    <w:rsid w:val="00866FA1"/>
    <w:rsid w:val="00880E10"/>
    <w:rsid w:val="00884ADE"/>
    <w:rsid w:val="00884B8E"/>
    <w:rsid w:val="0088578C"/>
    <w:rsid w:val="008858C1"/>
    <w:rsid w:val="008B1E20"/>
    <w:rsid w:val="008B37AF"/>
    <w:rsid w:val="008B542A"/>
    <w:rsid w:val="008C0773"/>
    <w:rsid w:val="008D1B9C"/>
    <w:rsid w:val="008D6F03"/>
    <w:rsid w:val="008E0592"/>
    <w:rsid w:val="008E184D"/>
    <w:rsid w:val="008E60D8"/>
    <w:rsid w:val="008F1DB5"/>
    <w:rsid w:val="008F4836"/>
    <w:rsid w:val="00905AE2"/>
    <w:rsid w:val="00911372"/>
    <w:rsid w:val="00911A70"/>
    <w:rsid w:val="0091321E"/>
    <w:rsid w:val="00913298"/>
    <w:rsid w:val="009160A5"/>
    <w:rsid w:val="00916761"/>
    <w:rsid w:val="0091728D"/>
    <w:rsid w:val="00924C63"/>
    <w:rsid w:val="00935893"/>
    <w:rsid w:val="0094072F"/>
    <w:rsid w:val="009452C9"/>
    <w:rsid w:val="009548EF"/>
    <w:rsid w:val="009624B2"/>
    <w:rsid w:val="00971B43"/>
    <w:rsid w:val="0098429C"/>
    <w:rsid w:val="009906A4"/>
    <w:rsid w:val="00994E90"/>
    <w:rsid w:val="009965AB"/>
    <w:rsid w:val="009A0C8B"/>
    <w:rsid w:val="009A199D"/>
    <w:rsid w:val="009A1F27"/>
    <w:rsid w:val="009A3115"/>
    <w:rsid w:val="009B0F32"/>
    <w:rsid w:val="009B265E"/>
    <w:rsid w:val="009C1528"/>
    <w:rsid w:val="009C18A1"/>
    <w:rsid w:val="009C303D"/>
    <w:rsid w:val="009C4621"/>
    <w:rsid w:val="009E2BA8"/>
    <w:rsid w:val="009E486F"/>
    <w:rsid w:val="009E765B"/>
    <w:rsid w:val="009F0D95"/>
    <w:rsid w:val="009F20FF"/>
    <w:rsid w:val="009F7D8B"/>
    <w:rsid w:val="00A00E51"/>
    <w:rsid w:val="00A041C8"/>
    <w:rsid w:val="00A04D74"/>
    <w:rsid w:val="00A1087D"/>
    <w:rsid w:val="00A146D6"/>
    <w:rsid w:val="00A156B3"/>
    <w:rsid w:val="00A27A71"/>
    <w:rsid w:val="00A33F6D"/>
    <w:rsid w:val="00A34963"/>
    <w:rsid w:val="00A3528D"/>
    <w:rsid w:val="00A35948"/>
    <w:rsid w:val="00A35D07"/>
    <w:rsid w:val="00A44480"/>
    <w:rsid w:val="00A45AEB"/>
    <w:rsid w:val="00A53AB4"/>
    <w:rsid w:val="00A56971"/>
    <w:rsid w:val="00A61AAC"/>
    <w:rsid w:val="00A66C0B"/>
    <w:rsid w:val="00A73B52"/>
    <w:rsid w:val="00A924DF"/>
    <w:rsid w:val="00A9750F"/>
    <w:rsid w:val="00AA01AA"/>
    <w:rsid w:val="00AA420F"/>
    <w:rsid w:val="00AA484F"/>
    <w:rsid w:val="00AA693B"/>
    <w:rsid w:val="00AB1699"/>
    <w:rsid w:val="00AB1E2D"/>
    <w:rsid w:val="00AB2E5A"/>
    <w:rsid w:val="00AB3C93"/>
    <w:rsid w:val="00AB4EE6"/>
    <w:rsid w:val="00AB572C"/>
    <w:rsid w:val="00AC6FC2"/>
    <w:rsid w:val="00AD2F70"/>
    <w:rsid w:val="00AD5EDD"/>
    <w:rsid w:val="00AD6E7A"/>
    <w:rsid w:val="00AE067C"/>
    <w:rsid w:val="00AE2694"/>
    <w:rsid w:val="00AE4957"/>
    <w:rsid w:val="00AE7AE2"/>
    <w:rsid w:val="00AF01E6"/>
    <w:rsid w:val="00AF3035"/>
    <w:rsid w:val="00B05F32"/>
    <w:rsid w:val="00B06A4E"/>
    <w:rsid w:val="00B16474"/>
    <w:rsid w:val="00B22283"/>
    <w:rsid w:val="00B30FB3"/>
    <w:rsid w:val="00B32733"/>
    <w:rsid w:val="00B4285B"/>
    <w:rsid w:val="00B42F3C"/>
    <w:rsid w:val="00B4601D"/>
    <w:rsid w:val="00B55B0F"/>
    <w:rsid w:val="00B601B9"/>
    <w:rsid w:val="00B67171"/>
    <w:rsid w:val="00B67399"/>
    <w:rsid w:val="00B71021"/>
    <w:rsid w:val="00B7231A"/>
    <w:rsid w:val="00B750DB"/>
    <w:rsid w:val="00B75225"/>
    <w:rsid w:val="00B755AE"/>
    <w:rsid w:val="00B75FC8"/>
    <w:rsid w:val="00B76611"/>
    <w:rsid w:val="00B84D7A"/>
    <w:rsid w:val="00B90D01"/>
    <w:rsid w:val="00B92936"/>
    <w:rsid w:val="00B97E7A"/>
    <w:rsid w:val="00BA2AF3"/>
    <w:rsid w:val="00BA348B"/>
    <w:rsid w:val="00BA434C"/>
    <w:rsid w:val="00BB00F2"/>
    <w:rsid w:val="00BB06DF"/>
    <w:rsid w:val="00BB15E7"/>
    <w:rsid w:val="00BB1AE2"/>
    <w:rsid w:val="00BB3753"/>
    <w:rsid w:val="00BB3D03"/>
    <w:rsid w:val="00BB671C"/>
    <w:rsid w:val="00BB767E"/>
    <w:rsid w:val="00BC2146"/>
    <w:rsid w:val="00BC525C"/>
    <w:rsid w:val="00BC5778"/>
    <w:rsid w:val="00BC64EE"/>
    <w:rsid w:val="00BE5357"/>
    <w:rsid w:val="00BF0E37"/>
    <w:rsid w:val="00BF5EA1"/>
    <w:rsid w:val="00BF7644"/>
    <w:rsid w:val="00C0105C"/>
    <w:rsid w:val="00C02A9F"/>
    <w:rsid w:val="00C06E1C"/>
    <w:rsid w:val="00C1507E"/>
    <w:rsid w:val="00C1688E"/>
    <w:rsid w:val="00C2325B"/>
    <w:rsid w:val="00C2342E"/>
    <w:rsid w:val="00C37C1D"/>
    <w:rsid w:val="00C41163"/>
    <w:rsid w:val="00C42A0B"/>
    <w:rsid w:val="00C4360A"/>
    <w:rsid w:val="00C530CD"/>
    <w:rsid w:val="00C662D6"/>
    <w:rsid w:val="00C67417"/>
    <w:rsid w:val="00C74479"/>
    <w:rsid w:val="00C7463C"/>
    <w:rsid w:val="00C76537"/>
    <w:rsid w:val="00C800E3"/>
    <w:rsid w:val="00C85591"/>
    <w:rsid w:val="00C96E0A"/>
    <w:rsid w:val="00CA15A1"/>
    <w:rsid w:val="00CA27A8"/>
    <w:rsid w:val="00CA2E0E"/>
    <w:rsid w:val="00CA3CDC"/>
    <w:rsid w:val="00CA4200"/>
    <w:rsid w:val="00CA5F77"/>
    <w:rsid w:val="00CB7BE1"/>
    <w:rsid w:val="00CD51D2"/>
    <w:rsid w:val="00CE6B77"/>
    <w:rsid w:val="00D01E7F"/>
    <w:rsid w:val="00D0595E"/>
    <w:rsid w:val="00D10D69"/>
    <w:rsid w:val="00D12C67"/>
    <w:rsid w:val="00D2105A"/>
    <w:rsid w:val="00D27756"/>
    <w:rsid w:val="00D3619B"/>
    <w:rsid w:val="00D37711"/>
    <w:rsid w:val="00D41048"/>
    <w:rsid w:val="00D41444"/>
    <w:rsid w:val="00D50707"/>
    <w:rsid w:val="00D539D5"/>
    <w:rsid w:val="00D64FF2"/>
    <w:rsid w:val="00D6587C"/>
    <w:rsid w:val="00D82483"/>
    <w:rsid w:val="00D828E8"/>
    <w:rsid w:val="00D90FAE"/>
    <w:rsid w:val="00D933CC"/>
    <w:rsid w:val="00D93DC4"/>
    <w:rsid w:val="00DA647B"/>
    <w:rsid w:val="00DB2503"/>
    <w:rsid w:val="00DB2A6A"/>
    <w:rsid w:val="00DB334C"/>
    <w:rsid w:val="00DB57F0"/>
    <w:rsid w:val="00DB7D72"/>
    <w:rsid w:val="00DC1C15"/>
    <w:rsid w:val="00DC21BF"/>
    <w:rsid w:val="00DD3095"/>
    <w:rsid w:val="00DD7E6C"/>
    <w:rsid w:val="00DE3821"/>
    <w:rsid w:val="00DE3B29"/>
    <w:rsid w:val="00DE5D28"/>
    <w:rsid w:val="00DF4887"/>
    <w:rsid w:val="00DF5616"/>
    <w:rsid w:val="00E01A3A"/>
    <w:rsid w:val="00E05CC1"/>
    <w:rsid w:val="00E07D09"/>
    <w:rsid w:val="00E23E8C"/>
    <w:rsid w:val="00E25D80"/>
    <w:rsid w:val="00E26D77"/>
    <w:rsid w:val="00E37276"/>
    <w:rsid w:val="00E441E7"/>
    <w:rsid w:val="00E53602"/>
    <w:rsid w:val="00E5504F"/>
    <w:rsid w:val="00E626CE"/>
    <w:rsid w:val="00E62913"/>
    <w:rsid w:val="00E6551B"/>
    <w:rsid w:val="00E66DC2"/>
    <w:rsid w:val="00E72090"/>
    <w:rsid w:val="00E75B82"/>
    <w:rsid w:val="00E77D18"/>
    <w:rsid w:val="00E87558"/>
    <w:rsid w:val="00E93FB2"/>
    <w:rsid w:val="00E96452"/>
    <w:rsid w:val="00E97BE1"/>
    <w:rsid w:val="00EA0915"/>
    <w:rsid w:val="00EA1599"/>
    <w:rsid w:val="00EA6921"/>
    <w:rsid w:val="00EA700D"/>
    <w:rsid w:val="00EB4046"/>
    <w:rsid w:val="00EB44DF"/>
    <w:rsid w:val="00EB6C78"/>
    <w:rsid w:val="00EC31FB"/>
    <w:rsid w:val="00EC5AC4"/>
    <w:rsid w:val="00ED21B6"/>
    <w:rsid w:val="00ED32EE"/>
    <w:rsid w:val="00EE0452"/>
    <w:rsid w:val="00EE053C"/>
    <w:rsid w:val="00EE20C8"/>
    <w:rsid w:val="00EE3B39"/>
    <w:rsid w:val="00EE6700"/>
    <w:rsid w:val="00EE7C61"/>
    <w:rsid w:val="00EF21FD"/>
    <w:rsid w:val="00EF7945"/>
    <w:rsid w:val="00F045A9"/>
    <w:rsid w:val="00F06500"/>
    <w:rsid w:val="00F06C08"/>
    <w:rsid w:val="00F2021A"/>
    <w:rsid w:val="00F229FA"/>
    <w:rsid w:val="00F273A3"/>
    <w:rsid w:val="00F347C9"/>
    <w:rsid w:val="00F37265"/>
    <w:rsid w:val="00F42460"/>
    <w:rsid w:val="00F42966"/>
    <w:rsid w:val="00F526B4"/>
    <w:rsid w:val="00F572E9"/>
    <w:rsid w:val="00F615A0"/>
    <w:rsid w:val="00F62A6B"/>
    <w:rsid w:val="00F7343E"/>
    <w:rsid w:val="00F806C8"/>
    <w:rsid w:val="00F86A61"/>
    <w:rsid w:val="00F901F5"/>
    <w:rsid w:val="00F9192F"/>
    <w:rsid w:val="00F91F95"/>
    <w:rsid w:val="00FA2A24"/>
    <w:rsid w:val="00FA6464"/>
    <w:rsid w:val="00FB09AA"/>
    <w:rsid w:val="00FB0E83"/>
    <w:rsid w:val="00FB1705"/>
    <w:rsid w:val="00FB2230"/>
    <w:rsid w:val="00FB7772"/>
    <w:rsid w:val="00FB7F51"/>
    <w:rsid w:val="00FC22E9"/>
    <w:rsid w:val="00FD3403"/>
    <w:rsid w:val="00FD4969"/>
    <w:rsid w:val="00FE3E00"/>
    <w:rsid w:val="00FE50A4"/>
    <w:rsid w:val="00FF3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3DA6"/>
  <w15:chartTrackingRefBased/>
  <w15:docId w15:val="{9A4B6282-2A08-4949-992D-2DDC5667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3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0D0"/>
    <w:rPr>
      <w:rFonts w:eastAsiaTheme="majorEastAsia" w:cstheme="majorBidi"/>
      <w:color w:val="272727" w:themeColor="text1" w:themeTint="D8"/>
    </w:rPr>
  </w:style>
  <w:style w:type="paragraph" w:styleId="Title">
    <w:name w:val="Title"/>
    <w:basedOn w:val="Normal"/>
    <w:next w:val="Normal"/>
    <w:link w:val="TitleChar"/>
    <w:uiPriority w:val="10"/>
    <w:qFormat/>
    <w:rsid w:val="007A3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0D0"/>
    <w:pPr>
      <w:spacing w:before="160"/>
      <w:jc w:val="center"/>
    </w:pPr>
    <w:rPr>
      <w:i/>
      <w:iCs/>
      <w:color w:val="404040" w:themeColor="text1" w:themeTint="BF"/>
    </w:rPr>
  </w:style>
  <w:style w:type="character" w:customStyle="1" w:styleId="QuoteChar">
    <w:name w:val="Quote Char"/>
    <w:basedOn w:val="DefaultParagraphFont"/>
    <w:link w:val="Quote"/>
    <w:uiPriority w:val="29"/>
    <w:rsid w:val="007A30D0"/>
    <w:rPr>
      <w:i/>
      <w:iCs/>
      <w:color w:val="404040" w:themeColor="text1" w:themeTint="BF"/>
    </w:rPr>
  </w:style>
  <w:style w:type="paragraph" w:styleId="ListParagraph">
    <w:name w:val="List Paragraph"/>
    <w:basedOn w:val="Normal"/>
    <w:uiPriority w:val="34"/>
    <w:qFormat/>
    <w:rsid w:val="007A30D0"/>
    <w:pPr>
      <w:ind w:left="720"/>
      <w:contextualSpacing/>
    </w:pPr>
  </w:style>
  <w:style w:type="character" w:styleId="IntenseEmphasis">
    <w:name w:val="Intense Emphasis"/>
    <w:basedOn w:val="DefaultParagraphFont"/>
    <w:uiPriority w:val="21"/>
    <w:qFormat/>
    <w:rsid w:val="007A30D0"/>
    <w:rPr>
      <w:i/>
      <w:iCs/>
      <w:color w:val="0F4761" w:themeColor="accent1" w:themeShade="BF"/>
    </w:rPr>
  </w:style>
  <w:style w:type="paragraph" w:styleId="IntenseQuote">
    <w:name w:val="Intense Quote"/>
    <w:basedOn w:val="Normal"/>
    <w:next w:val="Normal"/>
    <w:link w:val="IntenseQuoteChar"/>
    <w:uiPriority w:val="30"/>
    <w:qFormat/>
    <w:rsid w:val="007A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0D0"/>
    <w:rPr>
      <w:i/>
      <w:iCs/>
      <w:color w:val="0F4761" w:themeColor="accent1" w:themeShade="BF"/>
    </w:rPr>
  </w:style>
  <w:style w:type="character" w:styleId="IntenseReference">
    <w:name w:val="Intense Reference"/>
    <w:basedOn w:val="DefaultParagraphFont"/>
    <w:uiPriority w:val="32"/>
    <w:qFormat/>
    <w:rsid w:val="007A30D0"/>
    <w:rPr>
      <w:b/>
      <w:bCs/>
      <w:smallCaps/>
      <w:color w:val="0F4761" w:themeColor="accent1" w:themeShade="BF"/>
      <w:spacing w:val="5"/>
    </w:rPr>
  </w:style>
  <w:style w:type="paragraph" w:styleId="Header">
    <w:name w:val="header"/>
    <w:basedOn w:val="Normal"/>
    <w:link w:val="HeaderChar"/>
    <w:uiPriority w:val="99"/>
    <w:unhideWhenUsed/>
    <w:rsid w:val="00F37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265"/>
  </w:style>
  <w:style w:type="paragraph" w:styleId="Footer">
    <w:name w:val="footer"/>
    <w:basedOn w:val="Normal"/>
    <w:link w:val="FooterChar"/>
    <w:uiPriority w:val="99"/>
    <w:unhideWhenUsed/>
    <w:rsid w:val="00F37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265"/>
  </w:style>
  <w:style w:type="paragraph" w:styleId="BodyText">
    <w:name w:val="Body Text"/>
    <w:basedOn w:val="Normal"/>
    <w:link w:val="BodyTextChar"/>
    <w:uiPriority w:val="99"/>
    <w:unhideWhenUsed/>
    <w:rsid w:val="00687450"/>
    <w:pPr>
      <w:spacing w:after="120" w:line="256" w:lineRule="auto"/>
    </w:pPr>
  </w:style>
  <w:style w:type="character" w:customStyle="1" w:styleId="BodyTextChar">
    <w:name w:val="Body Text Char"/>
    <w:basedOn w:val="DefaultParagraphFont"/>
    <w:link w:val="BodyText"/>
    <w:uiPriority w:val="99"/>
    <w:rsid w:val="00687450"/>
  </w:style>
  <w:style w:type="paragraph" w:styleId="NoSpacing">
    <w:name w:val="No Spacing"/>
    <w:uiPriority w:val="1"/>
    <w:qFormat/>
    <w:rsid w:val="005743FB"/>
    <w:pPr>
      <w:spacing w:after="0" w:line="240" w:lineRule="auto"/>
    </w:pPr>
  </w:style>
  <w:style w:type="character" w:styleId="Hyperlink">
    <w:name w:val="Hyperlink"/>
    <w:basedOn w:val="DefaultParagraphFont"/>
    <w:uiPriority w:val="99"/>
    <w:unhideWhenUsed/>
    <w:rsid w:val="005743FB"/>
    <w:rPr>
      <w:color w:val="467886" w:themeColor="hyperlink"/>
      <w:u w:val="single"/>
    </w:rPr>
  </w:style>
  <w:style w:type="paragraph" w:styleId="NormalWeb">
    <w:name w:val="Normal (Web)"/>
    <w:basedOn w:val="Normal"/>
    <w:uiPriority w:val="99"/>
    <w:semiHidden/>
    <w:unhideWhenUsed/>
    <w:rsid w:val="0000499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00499B"/>
    <w:rPr>
      <w:i/>
      <w:iCs/>
    </w:rPr>
  </w:style>
  <w:style w:type="character" w:styleId="Strong">
    <w:name w:val="Strong"/>
    <w:basedOn w:val="DefaultParagraphFont"/>
    <w:uiPriority w:val="22"/>
    <w:qFormat/>
    <w:rsid w:val="0000499B"/>
    <w:rPr>
      <w:b/>
      <w:bCs/>
    </w:rPr>
  </w:style>
  <w:style w:type="paragraph" w:styleId="FootnoteText">
    <w:name w:val="footnote text"/>
    <w:basedOn w:val="Normal"/>
    <w:link w:val="FootnoteTextChar"/>
    <w:uiPriority w:val="99"/>
    <w:semiHidden/>
    <w:unhideWhenUsed/>
    <w:rsid w:val="0010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065"/>
    <w:rPr>
      <w:sz w:val="20"/>
      <w:szCs w:val="20"/>
    </w:rPr>
  </w:style>
  <w:style w:type="character" w:styleId="FootnoteReference">
    <w:name w:val="footnote reference"/>
    <w:basedOn w:val="DefaultParagraphFont"/>
    <w:uiPriority w:val="99"/>
    <w:semiHidden/>
    <w:unhideWhenUsed/>
    <w:rsid w:val="00107065"/>
    <w:rPr>
      <w:vertAlign w:val="superscript"/>
    </w:rPr>
  </w:style>
  <w:style w:type="character" w:styleId="UnresolvedMention">
    <w:name w:val="Unresolved Mention"/>
    <w:basedOn w:val="DefaultParagraphFont"/>
    <w:uiPriority w:val="99"/>
    <w:semiHidden/>
    <w:unhideWhenUsed/>
    <w:rsid w:val="00B5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us01.safelinks.protection.outlook.com/?url=https%3A%2F%2Fwww.cak.cz%2Fassets%2Fkomora%2Fdissent-special-issue-attacks-on-lawyers.pdf&amp;data=05%7C02%7C%7C9db910c8ff414611a9ae08dc207cddd7%7C84df9e7fe9f640afb435aaaaaaaaaaaa%7C1%7C0%7C638420967899186071%7CUnknown%7CTWFpbGZsb3d8eyJWIjoiMC4wLjAwMDAiLCJQIjoiV2luMzIiLCJBTiI6Ik1haWwiLCJXVCI6Mn0%3D%7C0%7C%7C%7C&amp;sdata=AZMtoY0XgKuPs65Vuni7Oy7cpqNB41ymLFLM44atnuw%3D&amp;reserved=0" TargetMode="External"/><Relationship Id="rId2" Type="http://schemas.openxmlformats.org/officeDocument/2006/relationships/hyperlink" Target="https://www.justsecurity.org/84880/lawyers-under-threat-highlighting-their-plight/" TargetMode="External"/><Relationship Id="rId1" Type="http://schemas.openxmlformats.org/officeDocument/2006/relationships/hyperlink" Target="https://www.ohchr.org/en/instruments-mechanisms/instruments/basic-principles-role-lawyers" TargetMode="External"/><Relationship Id="rId6" Type="http://schemas.openxmlformats.org/officeDocument/2006/relationships/hyperlink" Target="https://www.rappler.com/voices/thought-leaders/opinion-silent-epidemic-stalking-filipino-lawyers?utm_medium=Social&amp;utm_source=Facebook&amp;fbclid=IwAR3JR61i25SZb7P" TargetMode="External"/><Relationship Id="rId5" Type="http://schemas.openxmlformats.org/officeDocument/2006/relationships/hyperlink" Target="https://digitalcommons.wcl.american.edu/cgi/viewcontent.cgi?article=2728&amp;context=facsch_lawrev" TargetMode="External"/><Relationship Id="rId4" Type="http://schemas.openxmlformats.org/officeDocument/2006/relationships/hyperlink" Target="https://journals.sagepub.com/doi/pdf/10.1080/03064228508533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Gill Boehringer</Contributor>
    <Filename xmlns="d42e65b2-cf21-49c1-b27d-d23f90380c0e" xsi:nil="true"/>
  </documentManagement>
</p:properties>
</file>

<file path=customXml/itemProps1.xml><?xml version="1.0" encoding="utf-8"?>
<ds:datastoreItem xmlns:ds="http://schemas.openxmlformats.org/officeDocument/2006/customXml" ds:itemID="{8FC25F25-D7C2-4C50-AED4-71AB1B112BE8}">
  <ds:schemaRefs>
    <ds:schemaRef ds:uri="http://schemas.openxmlformats.org/officeDocument/2006/bibliography"/>
  </ds:schemaRefs>
</ds:datastoreItem>
</file>

<file path=customXml/itemProps2.xml><?xml version="1.0" encoding="utf-8"?>
<ds:datastoreItem xmlns:ds="http://schemas.openxmlformats.org/officeDocument/2006/customXml" ds:itemID="{20EA8A9A-02A6-42E3-9582-AF4029B25486}"/>
</file>

<file path=customXml/itemProps3.xml><?xml version="1.0" encoding="utf-8"?>
<ds:datastoreItem xmlns:ds="http://schemas.openxmlformats.org/officeDocument/2006/customXml" ds:itemID="{14E844DF-6A55-414F-8CD3-83C82654D97E}"/>
</file>

<file path=customXml/itemProps4.xml><?xml version="1.0" encoding="utf-8"?>
<ds:datastoreItem xmlns:ds="http://schemas.openxmlformats.org/officeDocument/2006/customXml" ds:itemID="{75AD5151-1AA5-455D-8EB5-460EC5B5A67C}"/>
</file>

<file path=docProps/app.xml><?xml version="1.0" encoding="utf-8"?>
<Properties xmlns="http://schemas.openxmlformats.org/officeDocument/2006/extended-properties" xmlns:vt="http://schemas.openxmlformats.org/officeDocument/2006/docPropsVTypes">
  <Template>Normal.dotm</Template>
  <TotalTime>461</TotalTime>
  <Pages>13</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Boehringer</dc:creator>
  <cp:keywords/>
  <dc:description/>
  <cp:lastModifiedBy>Gill Boehringer</cp:lastModifiedBy>
  <cp:revision>573</cp:revision>
  <dcterms:created xsi:type="dcterms:W3CDTF">2024-01-25T00:07:00Z</dcterms:created>
  <dcterms:modified xsi:type="dcterms:W3CDTF">2024-01-29T22:18:00Z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