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4642" w14:textId="77777777" w:rsidR="000D1316" w:rsidRDefault="000D1316" w:rsidP="005D4DE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SUBSECRETARÍA DE ACCESO A LA JUSTICIA</w:t>
      </w:r>
      <w:r w:rsidR="00240094">
        <w:rPr>
          <w:rFonts w:ascii="Arial" w:hAnsi="Arial" w:cs="Arial"/>
          <w:b/>
          <w:sz w:val="24"/>
          <w:szCs w:val="24"/>
        </w:rPr>
        <w:t xml:space="preserve"> – MINISTERIO DE JUSTICIA Y DERECHOS HUMANOS DE LA NACIÓN</w:t>
      </w:r>
    </w:p>
    <w:p w14:paraId="21E13569" w14:textId="77777777" w:rsidR="000D1316" w:rsidRDefault="000D1316" w:rsidP="005D4DE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CAB21E" w14:textId="77777777" w:rsidR="00B34052" w:rsidRDefault="00B34052" w:rsidP="005D4DE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5D4DE2">
        <w:rPr>
          <w:rFonts w:ascii="Arial" w:hAnsi="Arial" w:cs="Arial"/>
          <w:b/>
          <w:sz w:val="24"/>
          <w:szCs w:val="24"/>
        </w:rPr>
        <w:t>Llamado a aportar información</w:t>
      </w:r>
      <w:r w:rsidR="00240094">
        <w:rPr>
          <w:rFonts w:ascii="Arial" w:hAnsi="Arial" w:cs="Arial"/>
          <w:b/>
          <w:sz w:val="24"/>
          <w:szCs w:val="24"/>
        </w:rPr>
        <w:t xml:space="preserve"> </w:t>
      </w:r>
      <w:r w:rsidRPr="005D4DE2">
        <w:rPr>
          <w:rFonts w:ascii="Arial" w:hAnsi="Arial" w:cs="Arial"/>
          <w:b/>
          <w:sz w:val="24"/>
          <w:szCs w:val="24"/>
        </w:rPr>
        <w:t>—</w:t>
      </w:r>
      <w:r w:rsidR="00240094">
        <w:rPr>
          <w:rFonts w:ascii="Arial" w:hAnsi="Arial" w:cs="Arial"/>
          <w:b/>
          <w:sz w:val="24"/>
          <w:szCs w:val="24"/>
        </w:rPr>
        <w:t xml:space="preserve"> </w:t>
      </w:r>
      <w:r w:rsidRPr="005D4DE2">
        <w:rPr>
          <w:rFonts w:ascii="Arial" w:hAnsi="Arial" w:cs="Arial"/>
          <w:b/>
          <w:sz w:val="24"/>
          <w:szCs w:val="24"/>
        </w:rPr>
        <w:t>próximo informe sobre el</w:t>
      </w:r>
      <w:r w:rsidRPr="005D4DE2">
        <w:rPr>
          <w:rFonts w:ascii="Arial" w:hAnsi="Arial" w:cs="Arial"/>
          <w:b/>
          <w:sz w:val="24"/>
          <w:szCs w:val="24"/>
        </w:rPr>
        <w:br/>
        <w:t>empoderamiento legal de la Relatora Especial de las Naciones Unidas sobre</w:t>
      </w:r>
      <w:r w:rsidR="000D1316">
        <w:rPr>
          <w:rFonts w:ascii="Arial" w:hAnsi="Arial" w:cs="Arial"/>
          <w:b/>
          <w:sz w:val="24"/>
          <w:szCs w:val="24"/>
        </w:rPr>
        <w:t xml:space="preserve"> </w:t>
      </w:r>
      <w:r w:rsidRPr="005D4DE2">
        <w:rPr>
          <w:rFonts w:ascii="Arial" w:hAnsi="Arial" w:cs="Arial"/>
          <w:b/>
          <w:sz w:val="24"/>
          <w:szCs w:val="24"/>
        </w:rPr>
        <w:t>la independencia de magistrados y abogados</w:t>
      </w:r>
    </w:p>
    <w:p w14:paraId="162012DA" w14:textId="77777777" w:rsidR="000D1316" w:rsidRPr="005D4DE2" w:rsidRDefault="000D1316" w:rsidP="005D4DE2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7FE286" w14:textId="77777777" w:rsidR="0023343A" w:rsidRPr="005D4DE2" w:rsidRDefault="0079197E" w:rsidP="005D4DE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La </w:t>
      </w:r>
      <w:r w:rsidR="0023343A" w:rsidRPr="005D4DE2">
        <w:rPr>
          <w:rFonts w:ascii="Arial" w:hAnsi="Arial" w:cs="Arial"/>
          <w:sz w:val="24"/>
          <w:szCs w:val="24"/>
        </w:rPr>
        <w:t xml:space="preserve">Subsecretaría de Acceso a la Justicia </w:t>
      </w:r>
      <w:r w:rsidR="00736F08">
        <w:rPr>
          <w:rFonts w:ascii="Arial" w:hAnsi="Arial" w:cs="Arial"/>
          <w:sz w:val="24"/>
          <w:szCs w:val="24"/>
        </w:rPr>
        <w:t xml:space="preserve">se </w:t>
      </w:r>
      <w:r w:rsidR="0023343A" w:rsidRPr="005D4DE2">
        <w:rPr>
          <w:rFonts w:ascii="Arial" w:hAnsi="Arial" w:cs="Arial"/>
          <w:sz w:val="24"/>
          <w:szCs w:val="24"/>
        </w:rPr>
        <w:t>refiere a los siguientes puntos: “Ejemplos sobre las modalidades e innovaciones de empoderamiento legal a nivel comunitario, local, nacional e internacional” y “Enfoques prometedores para la asociación entre abogados y asistentes jurídicos y otros defensores de la justicia de base”.</w:t>
      </w:r>
    </w:p>
    <w:p w14:paraId="30222AC3" w14:textId="77777777" w:rsidR="005D4DE2" w:rsidRPr="005D4DE2" w:rsidRDefault="0023343A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Al respecto, describiremos las experiencias surgidas de la implementación del Programa </w:t>
      </w:r>
      <w:proofErr w:type="spellStart"/>
      <w:r w:rsidRPr="005D4DE2">
        <w:rPr>
          <w:rFonts w:ascii="Arial" w:hAnsi="Arial" w:cs="Arial"/>
          <w:sz w:val="24"/>
          <w:szCs w:val="24"/>
        </w:rPr>
        <w:t>PatrocinAr</w:t>
      </w:r>
      <w:proofErr w:type="spellEnd"/>
      <w:r w:rsidRPr="005D4DE2">
        <w:rPr>
          <w:rFonts w:ascii="Arial" w:hAnsi="Arial" w:cs="Arial"/>
          <w:sz w:val="24"/>
          <w:szCs w:val="24"/>
        </w:rPr>
        <w:t xml:space="preserve">, </w:t>
      </w:r>
      <w:r w:rsidR="005D4DE2" w:rsidRPr="005D4DE2">
        <w:rPr>
          <w:rFonts w:ascii="Arial" w:hAnsi="Arial" w:cs="Arial"/>
          <w:sz w:val="24"/>
          <w:szCs w:val="24"/>
        </w:rPr>
        <w:t xml:space="preserve">de los 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Dispositivos Duales </w:t>
      </w:r>
      <w:r w:rsidR="005D4DE2">
        <w:rPr>
          <w:rFonts w:ascii="Arial" w:eastAsia="Roboto" w:hAnsi="Arial" w:cs="Arial"/>
          <w:sz w:val="24"/>
          <w:szCs w:val="24"/>
        </w:rPr>
        <w:t>de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Supervisión, Monitoreo </w:t>
      </w:r>
      <w:r w:rsidR="005D4DE2">
        <w:rPr>
          <w:rFonts w:ascii="Arial" w:eastAsia="Roboto" w:hAnsi="Arial" w:cs="Arial"/>
          <w:sz w:val="24"/>
          <w:szCs w:val="24"/>
        </w:rPr>
        <w:t>y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Rastreo </w:t>
      </w:r>
      <w:r w:rsidR="005D4DE2">
        <w:rPr>
          <w:rFonts w:ascii="Arial" w:eastAsia="Roboto" w:hAnsi="Arial" w:cs="Arial"/>
          <w:sz w:val="24"/>
          <w:szCs w:val="24"/>
        </w:rPr>
        <w:t>de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Agresores </w:t>
      </w:r>
      <w:r w:rsidR="005D4DE2">
        <w:rPr>
          <w:rFonts w:ascii="Arial" w:eastAsia="Roboto" w:hAnsi="Arial" w:cs="Arial"/>
          <w:sz w:val="24"/>
          <w:szCs w:val="24"/>
        </w:rPr>
        <w:t>y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Víctimas </w:t>
      </w:r>
      <w:r w:rsidR="005D4DE2">
        <w:rPr>
          <w:rFonts w:ascii="Arial" w:eastAsia="Roboto" w:hAnsi="Arial" w:cs="Arial"/>
          <w:sz w:val="24"/>
          <w:szCs w:val="24"/>
        </w:rPr>
        <w:t>de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Violencia </w:t>
      </w:r>
      <w:r w:rsidR="005D4DE2">
        <w:rPr>
          <w:rFonts w:ascii="Arial" w:eastAsia="Roboto" w:hAnsi="Arial" w:cs="Arial"/>
          <w:sz w:val="24"/>
          <w:szCs w:val="24"/>
        </w:rPr>
        <w:t>de</w:t>
      </w:r>
      <w:r w:rsidR="005D4DE2" w:rsidRPr="005D4DE2">
        <w:rPr>
          <w:rFonts w:ascii="Arial" w:eastAsia="Roboto" w:hAnsi="Arial" w:cs="Arial"/>
          <w:sz w:val="24"/>
          <w:szCs w:val="24"/>
        </w:rPr>
        <w:t xml:space="preserve"> Género, de las </w:t>
      </w:r>
      <w:r w:rsidR="005D4DE2" w:rsidRPr="005D4DE2">
        <w:rPr>
          <w:rFonts w:ascii="Arial" w:hAnsi="Arial" w:cs="Arial"/>
          <w:sz w:val="24"/>
          <w:szCs w:val="24"/>
        </w:rPr>
        <w:t xml:space="preserve">Redes Federales </w:t>
      </w:r>
      <w:r w:rsidR="005D4DE2">
        <w:rPr>
          <w:rFonts w:ascii="Arial" w:hAnsi="Arial" w:cs="Arial"/>
          <w:sz w:val="24"/>
          <w:szCs w:val="24"/>
        </w:rPr>
        <w:t>de</w:t>
      </w:r>
      <w:r w:rsidR="005D4DE2" w:rsidRPr="005D4DE2">
        <w:rPr>
          <w:rFonts w:ascii="Arial" w:hAnsi="Arial" w:cs="Arial"/>
          <w:sz w:val="24"/>
          <w:szCs w:val="24"/>
        </w:rPr>
        <w:t xml:space="preserve"> Centros </w:t>
      </w:r>
      <w:r w:rsidR="005D4DE2">
        <w:rPr>
          <w:rFonts w:ascii="Arial" w:hAnsi="Arial" w:cs="Arial"/>
          <w:sz w:val="24"/>
          <w:szCs w:val="24"/>
        </w:rPr>
        <w:t>de</w:t>
      </w:r>
      <w:r w:rsidR="005D4DE2" w:rsidRPr="005D4DE2">
        <w:rPr>
          <w:rFonts w:ascii="Arial" w:hAnsi="Arial" w:cs="Arial"/>
          <w:sz w:val="24"/>
          <w:szCs w:val="24"/>
        </w:rPr>
        <w:t xml:space="preserve"> Mediación Comunitaria </w:t>
      </w:r>
      <w:r w:rsidR="005D4DE2">
        <w:rPr>
          <w:rFonts w:ascii="Arial" w:hAnsi="Arial" w:cs="Arial"/>
          <w:sz w:val="24"/>
          <w:szCs w:val="24"/>
        </w:rPr>
        <w:t>y</w:t>
      </w:r>
      <w:r w:rsidR="005D4DE2" w:rsidRPr="005D4DE2">
        <w:rPr>
          <w:rFonts w:ascii="Arial" w:hAnsi="Arial" w:cs="Arial"/>
          <w:sz w:val="24"/>
          <w:szCs w:val="24"/>
        </w:rPr>
        <w:t xml:space="preserve"> </w:t>
      </w:r>
      <w:r w:rsidR="005D4DE2">
        <w:rPr>
          <w:rFonts w:ascii="Arial" w:hAnsi="Arial" w:cs="Arial"/>
          <w:sz w:val="24"/>
          <w:szCs w:val="24"/>
        </w:rPr>
        <w:t>de</w:t>
      </w:r>
      <w:r w:rsidR="005D4DE2" w:rsidRPr="005D4DE2">
        <w:rPr>
          <w:rFonts w:ascii="Arial" w:hAnsi="Arial" w:cs="Arial"/>
          <w:sz w:val="24"/>
          <w:szCs w:val="24"/>
        </w:rPr>
        <w:t xml:space="preserve"> Formación Escolar, y del Programa de Mediación, Métodos de Gestión Participativa de Conflictos y Reducción de Violencia en Ámbitos Penitenciarios.</w:t>
      </w:r>
    </w:p>
    <w:p w14:paraId="29CF4CE3" w14:textId="77777777" w:rsidR="005D4DE2" w:rsidRPr="005D4DE2" w:rsidRDefault="005D4DE2" w:rsidP="005D4DE2">
      <w:pPr>
        <w:jc w:val="both"/>
        <w:rPr>
          <w:rFonts w:ascii="Arial" w:hAnsi="Arial" w:cs="Arial"/>
          <w:sz w:val="24"/>
          <w:szCs w:val="24"/>
        </w:rPr>
      </w:pPr>
    </w:p>
    <w:p w14:paraId="10C57656" w14:textId="77777777" w:rsidR="00CD3805" w:rsidRPr="00FD6510" w:rsidRDefault="005D4DE2" w:rsidP="005D4DE2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D6510">
        <w:rPr>
          <w:rFonts w:ascii="Arial" w:eastAsia="Arial" w:hAnsi="Arial" w:cs="Arial"/>
          <w:b/>
          <w:color w:val="000000"/>
          <w:sz w:val="24"/>
          <w:szCs w:val="24"/>
        </w:rPr>
        <w:t xml:space="preserve">PROGRAMA </w:t>
      </w:r>
      <w:r w:rsidR="00CD3805" w:rsidRPr="00FD6510">
        <w:rPr>
          <w:rFonts w:ascii="Arial" w:eastAsia="Arial" w:hAnsi="Arial" w:cs="Arial"/>
          <w:b/>
          <w:color w:val="000000"/>
          <w:sz w:val="24"/>
          <w:szCs w:val="24"/>
        </w:rPr>
        <w:t>PATROCINAR</w:t>
      </w:r>
    </w:p>
    <w:p w14:paraId="02597ADE" w14:textId="77777777" w:rsidR="00CD3805" w:rsidRPr="005D4DE2" w:rsidRDefault="009E5FF5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>En relación al punto “</w:t>
      </w:r>
      <w:r w:rsidRPr="005D4DE2">
        <w:rPr>
          <w:rFonts w:ascii="Arial" w:hAnsi="Arial" w:cs="Arial"/>
          <w:sz w:val="24"/>
          <w:szCs w:val="24"/>
        </w:rPr>
        <w:t xml:space="preserve">Enfoques prometedores para la asociación entre abogados y asistentes jurídicos otros defensores de la justicia de base”, consideramos importante destacar la experiencia recogida </w:t>
      </w:r>
      <w:r w:rsidR="00FD6510">
        <w:rPr>
          <w:rFonts w:ascii="Arial" w:hAnsi="Arial" w:cs="Arial"/>
          <w:sz w:val="24"/>
          <w:szCs w:val="24"/>
        </w:rPr>
        <w:t xml:space="preserve">a partir de la creación </w:t>
      </w:r>
      <w:r w:rsidRPr="005D4DE2">
        <w:rPr>
          <w:rFonts w:ascii="Arial" w:hAnsi="Arial" w:cs="Arial"/>
          <w:sz w:val="24"/>
          <w:szCs w:val="24"/>
        </w:rPr>
        <w:t xml:space="preserve">del </w:t>
      </w:r>
      <w:r w:rsidR="00114CC1" w:rsidRPr="005D4DE2">
        <w:rPr>
          <w:rFonts w:ascii="Arial" w:eastAsia="Arial" w:hAnsi="Arial" w:cs="Arial"/>
          <w:color w:val="000000"/>
          <w:sz w:val="24"/>
          <w:szCs w:val="24"/>
        </w:rPr>
        <w:t>Programa de Patrocinio Jurídico y Acompañamiento Interdisciplinario para Niñas, Niños y Adolescentes Víctimas de Abuso Sexual (</w:t>
      </w:r>
      <w:proofErr w:type="spellStart"/>
      <w:r w:rsidR="00114CC1" w:rsidRPr="005D4DE2">
        <w:rPr>
          <w:rFonts w:ascii="Arial" w:eastAsia="Arial" w:hAnsi="Arial" w:cs="Arial"/>
          <w:color w:val="000000"/>
          <w:sz w:val="24"/>
          <w:szCs w:val="24"/>
        </w:rPr>
        <w:t>PatrocinAR</w:t>
      </w:r>
      <w:proofErr w:type="spellEnd"/>
      <w:r w:rsidR="00114CC1" w:rsidRPr="005D4DE2">
        <w:rPr>
          <w:rFonts w:ascii="Arial" w:eastAsia="Arial" w:hAnsi="Arial" w:cs="Arial"/>
          <w:color w:val="000000"/>
          <w:sz w:val="24"/>
          <w:szCs w:val="24"/>
        </w:rPr>
        <w:t>)</w:t>
      </w:r>
      <w:r w:rsidR="00114CC1">
        <w:rPr>
          <w:rFonts w:ascii="Arial" w:eastAsia="Arial" w:hAnsi="Arial" w:cs="Arial"/>
          <w:color w:val="000000"/>
          <w:sz w:val="24"/>
          <w:szCs w:val="24"/>
        </w:rPr>
        <w:t>, concretada el 1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3 de mayo de 2022 por Resolución N° 471/22, a partir del convenio celebrado entre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el Ministerio de Justicia y Derechos Humanos de la Nación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, UNICEF y la Secretaria Nacional de Niñez, Adolescencia y Familia (SENAF), en el marco de las políticas de prevención de embarazo adolescente y abuso sexual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contra niñas/os y/o adolescente.</w:t>
      </w:r>
    </w:p>
    <w:p w14:paraId="3DCB3DE9" w14:textId="77777777" w:rsidR="00CD3805" w:rsidRPr="005D4DE2" w:rsidRDefault="009E5FF5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Actualmente el Programa funciona en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22 provincias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y en la Ciudad de Buenos Aires, y brinda patrocinio ju</w:t>
      </w:r>
      <w:r w:rsidR="00114CC1">
        <w:rPr>
          <w:rFonts w:ascii="Arial" w:eastAsia="Arial" w:hAnsi="Arial" w:cs="Arial"/>
          <w:color w:val="000000"/>
          <w:sz w:val="24"/>
          <w:szCs w:val="24"/>
        </w:rPr>
        <w:t>rídico gratuito e integral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114CC1">
        <w:rPr>
          <w:rFonts w:ascii="Arial" w:eastAsia="Arial" w:hAnsi="Arial" w:cs="Arial"/>
          <w:color w:val="000000"/>
          <w:sz w:val="24"/>
          <w:szCs w:val="24"/>
        </w:rPr>
        <w:t>niñas, niños y adolescentes, y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a personas adultas que hayan padecido situaciones de abuso durante la infancia y la adolescencia. Para</w:t>
      </w:r>
      <w:r w:rsidR="00114CC1">
        <w:rPr>
          <w:rFonts w:ascii="Arial" w:eastAsia="Arial" w:hAnsi="Arial" w:cs="Arial"/>
          <w:color w:val="000000"/>
          <w:sz w:val="24"/>
          <w:szCs w:val="24"/>
        </w:rPr>
        <w:t xml:space="preserve"> ello, a cada jurisdicción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cuenta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un</w:t>
      </w:r>
      <w:r w:rsidR="00114CC1">
        <w:rPr>
          <w:rFonts w:ascii="Arial" w:eastAsia="Arial" w:hAnsi="Arial" w:cs="Arial"/>
          <w:color w:val="000000"/>
          <w:sz w:val="24"/>
          <w:szCs w:val="24"/>
        </w:rPr>
        <w:t>/a abogad/a especializado/a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en la materia,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que no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sólo representa a las personas en las causas penales motivadas por el abuso sexual, sino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también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en todas aquellas derivadas del mismo, como por las que tiene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n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por objeto e</w:t>
      </w:r>
      <w:r w:rsidR="00114CC1">
        <w:rPr>
          <w:rFonts w:ascii="Arial" w:eastAsia="Arial" w:hAnsi="Arial" w:cs="Arial"/>
          <w:color w:val="000000"/>
          <w:sz w:val="24"/>
          <w:szCs w:val="24"/>
        </w:rPr>
        <w:t>l régimen de cuidado personal y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alimentos, entre otras</w:t>
      </w:r>
      <w:r w:rsidR="00114CC1">
        <w:rPr>
          <w:rFonts w:ascii="Arial" w:eastAsia="Arial" w:hAnsi="Arial" w:cs="Arial"/>
          <w:color w:val="000000"/>
          <w:sz w:val="24"/>
          <w:szCs w:val="24"/>
        </w:rPr>
        <w:t>. E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l P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rograma </w:t>
      </w:r>
      <w:r w:rsidR="00114CC1">
        <w:rPr>
          <w:rFonts w:ascii="Arial" w:eastAsia="Arial" w:hAnsi="Arial" w:cs="Arial"/>
          <w:color w:val="000000"/>
          <w:sz w:val="24"/>
          <w:szCs w:val="24"/>
        </w:rPr>
        <w:t xml:space="preserve">también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cuenta en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su sede central con un equipo interdisciplinario compuesto por psicólogas, psiquiatra </w:t>
      </w:r>
      <w:proofErr w:type="spellStart"/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infanto</w:t>
      </w:r>
      <w:proofErr w:type="spellEnd"/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juvenil, abogadas y psicólogas sociales, que </w:t>
      </w:r>
      <w:r w:rsidR="00114CC1">
        <w:rPr>
          <w:rFonts w:ascii="Arial" w:eastAsia="Arial" w:hAnsi="Arial" w:cs="Arial"/>
          <w:color w:val="000000"/>
          <w:sz w:val="24"/>
          <w:szCs w:val="24"/>
        </w:rPr>
        <w:t>brindan soporte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a las abogadas del territorio y a las personas patrocina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da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s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, y establece 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articulaciones </w:t>
      </w:r>
      <w:r w:rsidR="00114CC1">
        <w:rPr>
          <w:rFonts w:ascii="Arial" w:eastAsia="Arial" w:hAnsi="Arial" w:cs="Arial"/>
          <w:color w:val="000000"/>
          <w:sz w:val="24"/>
          <w:szCs w:val="24"/>
        </w:rPr>
        <w:t>con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organismos local</w:t>
      </w:r>
      <w:r w:rsidR="00114CC1">
        <w:rPr>
          <w:rFonts w:ascii="Arial" w:eastAsia="Arial" w:hAnsi="Arial" w:cs="Arial"/>
          <w:color w:val="000000"/>
          <w:sz w:val="24"/>
          <w:szCs w:val="24"/>
        </w:rPr>
        <w:t>es del sistema de protección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12F461" w14:textId="77777777" w:rsidR="00CD3805" w:rsidRPr="005D4DE2" w:rsidRDefault="00CD3805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El Programa </w:t>
      </w:r>
      <w:r w:rsidR="009E5FF5" w:rsidRPr="005D4DE2">
        <w:rPr>
          <w:rFonts w:ascii="Arial" w:eastAsia="Arial" w:hAnsi="Arial" w:cs="Arial"/>
          <w:color w:val="000000"/>
          <w:sz w:val="24"/>
          <w:szCs w:val="24"/>
        </w:rPr>
        <w:t>también r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ealiza un relevamiento estadístico interno de las personas patrocinadas, en razón de edad, género, estudios, ocupación, relación con el agresor, entre otras categorías</w:t>
      </w:r>
      <w:r w:rsidR="00114CC1">
        <w:rPr>
          <w:rFonts w:ascii="Arial" w:eastAsia="Arial" w:hAnsi="Arial" w:cs="Arial"/>
          <w:color w:val="000000"/>
          <w:sz w:val="24"/>
          <w:szCs w:val="24"/>
        </w:rPr>
        <w:t>,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14CC1">
        <w:rPr>
          <w:rFonts w:ascii="Arial" w:eastAsia="Arial" w:hAnsi="Arial" w:cs="Arial"/>
          <w:color w:val="000000"/>
          <w:sz w:val="24"/>
          <w:szCs w:val="24"/>
        </w:rPr>
        <w:t xml:space="preserve">con el objeto de promover </w:t>
      </w:r>
      <w:r w:rsidR="009E5FF5" w:rsidRPr="005D4DE2">
        <w:rPr>
          <w:rFonts w:ascii="Arial" w:eastAsia="Arial" w:hAnsi="Arial" w:cs="Arial"/>
          <w:color w:val="000000"/>
          <w:sz w:val="24"/>
          <w:szCs w:val="24"/>
        </w:rPr>
        <w:t xml:space="preserve">un adecuado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abordaje integral</w:t>
      </w:r>
      <w:r w:rsidR="00114CC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E5FF5" w:rsidRPr="005D4DE2">
        <w:rPr>
          <w:rFonts w:ascii="Arial" w:eastAsia="Arial" w:hAnsi="Arial" w:cs="Arial"/>
          <w:color w:val="000000"/>
          <w:sz w:val="24"/>
          <w:szCs w:val="24"/>
        </w:rPr>
        <w:t xml:space="preserve">revisar y adaptar sus intervenciones y </w:t>
      </w:r>
      <w:r w:rsidR="00114CC1">
        <w:rPr>
          <w:rFonts w:ascii="Arial" w:eastAsia="Arial" w:hAnsi="Arial" w:cs="Arial"/>
          <w:color w:val="000000"/>
          <w:sz w:val="24"/>
          <w:szCs w:val="24"/>
        </w:rPr>
        <w:t>perfeccionar la política pública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7360AD3" w14:textId="77777777" w:rsidR="006C0FD2" w:rsidRPr="005D4DE2" w:rsidRDefault="00CD3805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Las </w:t>
      </w:r>
      <w:r w:rsidR="006C0FD2" w:rsidRPr="005D4DE2">
        <w:rPr>
          <w:rFonts w:ascii="Arial" w:eastAsia="Arial" w:hAnsi="Arial" w:cs="Arial"/>
          <w:color w:val="000000"/>
          <w:sz w:val="24"/>
          <w:szCs w:val="24"/>
        </w:rPr>
        <w:t xml:space="preserve">principales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vías de ingreso de los casos </w:t>
      </w:r>
      <w:r w:rsidR="00114CC1">
        <w:rPr>
          <w:rFonts w:ascii="Arial" w:eastAsia="Arial" w:hAnsi="Arial" w:cs="Arial"/>
          <w:color w:val="000000"/>
          <w:sz w:val="24"/>
          <w:szCs w:val="24"/>
        </w:rPr>
        <w:t xml:space="preserve">son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Línea 149 de la Dirección Nacion</w:t>
      </w:r>
      <w:r w:rsidR="009E5FF5" w:rsidRPr="005D4DE2">
        <w:rPr>
          <w:rFonts w:ascii="Arial" w:eastAsia="Arial" w:hAnsi="Arial" w:cs="Arial"/>
          <w:color w:val="000000"/>
          <w:sz w:val="24"/>
          <w:szCs w:val="24"/>
        </w:rPr>
        <w:t xml:space="preserve">al de Asistencia a las Víctimas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y de los Centros de Acceso a la Justicia (CAJ)</w:t>
      </w:r>
      <w:r w:rsidR="006C0FD2" w:rsidRPr="005D4DE2">
        <w:rPr>
          <w:rFonts w:ascii="Arial" w:eastAsia="Arial" w:hAnsi="Arial" w:cs="Arial"/>
          <w:color w:val="000000"/>
          <w:sz w:val="24"/>
          <w:szCs w:val="24"/>
        </w:rPr>
        <w:t xml:space="preserve"> del Ministerio de Justicia y Derechos Humanos de la Nación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6C0FD2" w:rsidRPr="005D4DE2">
        <w:rPr>
          <w:rFonts w:ascii="Arial" w:eastAsia="Arial" w:hAnsi="Arial" w:cs="Arial"/>
          <w:color w:val="000000"/>
          <w:sz w:val="24"/>
          <w:szCs w:val="24"/>
        </w:rPr>
        <w:t>También ingresan ca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sos </w:t>
      </w:r>
      <w:r w:rsidR="006C0FD2" w:rsidRPr="005D4DE2">
        <w:rPr>
          <w:rFonts w:ascii="Arial" w:eastAsia="Arial" w:hAnsi="Arial" w:cs="Arial"/>
          <w:color w:val="000000"/>
          <w:sz w:val="24"/>
          <w:szCs w:val="24"/>
        </w:rPr>
        <w:t xml:space="preserve">a través de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organismos externos, como los servicios locales de protección y hospitales públicos, entre otro</w:t>
      </w:r>
      <w:r w:rsidR="006C0FD2" w:rsidRPr="005D4DE2"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F4A1578" w14:textId="77777777" w:rsidR="00CD3805" w:rsidRPr="005D4DE2" w:rsidRDefault="006C0FD2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En relación específica a la interrelación que se da entre el Programa, sus profesionales y los demás asistentes jurídicos que abordan la temática, debemos destacar la valiosa experiencia de las Mesas Territoriales sobre Abordaje del Abuso Sexual contra las Infancias (ASI) y el Embarazo Forzado (EF). Organizadas conjuntamente entre el Programa, SENAF y UNICEF, estas instancias se realizan </w:t>
      </w:r>
      <w:r w:rsidR="00030A58">
        <w:rPr>
          <w:rFonts w:ascii="Arial" w:eastAsia="Arial" w:hAnsi="Arial" w:cs="Arial"/>
          <w:color w:val="000000"/>
          <w:sz w:val="24"/>
          <w:szCs w:val="24"/>
        </w:rPr>
        <w:t xml:space="preserve">a nivel federal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y convocan a tod</w:t>
      </w:r>
      <w:r w:rsidR="00030A58">
        <w:rPr>
          <w:rFonts w:ascii="Arial" w:eastAsia="Arial" w:hAnsi="Arial" w:cs="Arial"/>
          <w:color w:val="000000"/>
          <w:sz w:val="24"/>
          <w:szCs w:val="24"/>
        </w:rPr>
        <w:t>as/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os l</w:t>
      </w:r>
      <w:r w:rsidR="00030A58">
        <w:rPr>
          <w:rFonts w:ascii="Arial" w:eastAsia="Arial" w:hAnsi="Arial" w:cs="Arial"/>
          <w:color w:val="000000"/>
          <w:sz w:val="24"/>
          <w:szCs w:val="24"/>
        </w:rPr>
        <w:t>as/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os actor</w:t>
      </w:r>
      <w:r w:rsidR="00030A58">
        <w:rPr>
          <w:rFonts w:ascii="Arial" w:eastAsia="Arial" w:hAnsi="Arial" w:cs="Arial"/>
          <w:color w:val="000000"/>
          <w:sz w:val="24"/>
          <w:szCs w:val="24"/>
        </w:rPr>
        <w:t>as/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es del sistema de protección (P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oder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es J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>udicial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es locales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efector</w:t>
      </w:r>
      <w:r w:rsidR="00030A58">
        <w:rPr>
          <w:rFonts w:ascii="Arial" w:eastAsia="Arial" w:hAnsi="Arial" w:cs="Arial"/>
          <w:color w:val="000000"/>
          <w:sz w:val="24"/>
          <w:szCs w:val="24"/>
        </w:rPr>
        <w:t>as/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es de la salud y la educación, organismos de niñez y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 organizaciones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de la sociedad civil</w:t>
      </w:r>
      <w:r w:rsidR="00CD3805" w:rsidRPr="005D4DE2">
        <w:rPr>
          <w:rFonts w:ascii="Arial" w:eastAsia="Arial" w:hAnsi="Arial" w:cs="Arial"/>
          <w:color w:val="000000"/>
          <w:sz w:val="24"/>
          <w:szCs w:val="24"/>
        </w:rPr>
        <w:t xml:space="preserve">). </w:t>
      </w:r>
    </w:p>
    <w:p w14:paraId="38268E1C" w14:textId="77777777" w:rsidR="005D4DE2" w:rsidRPr="005D4DE2" w:rsidRDefault="00CD3805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D4DE2">
        <w:rPr>
          <w:rFonts w:ascii="Arial" w:eastAsia="Arial" w:hAnsi="Arial" w:cs="Arial"/>
          <w:color w:val="000000"/>
          <w:sz w:val="24"/>
          <w:szCs w:val="24"/>
        </w:rPr>
        <w:t>Finalmente</w:t>
      </w:r>
      <w:r w:rsidR="00030A5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el Programa </w:t>
      </w:r>
      <w:r w:rsidR="00030A58">
        <w:rPr>
          <w:rFonts w:ascii="Arial" w:eastAsia="Arial" w:hAnsi="Arial" w:cs="Arial"/>
          <w:color w:val="000000"/>
          <w:sz w:val="24"/>
          <w:szCs w:val="24"/>
        </w:rPr>
        <w:t>t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>ambién capacita</w:t>
      </w:r>
      <w:r w:rsidR="00030A58">
        <w:rPr>
          <w:rFonts w:ascii="Arial" w:eastAsia="Arial" w:hAnsi="Arial" w:cs="Arial"/>
          <w:color w:val="000000"/>
          <w:sz w:val="24"/>
          <w:szCs w:val="24"/>
        </w:rPr>
        <w:t xml:space="preserve"> y genera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espacios de formación profesional técnica y práctica, de actualización normativa y de sensibilización, para personal y func</w:t>
      </w:r>
      <w:r w:rsidR="00030A58">
        <w:rPr>
          <w:rFonts w:ascii="Arial" w:eastAsia="Arial" w:hAnsi="Arial" w:cs="Arial"/>
          <w:color w:val="000000"/>
          <w:sz w:val="24"/>
          <w:szCs w:val="24"/>
        </w:rPr>
        <w:t>ionarias/os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del Poder Judicial y de los sistemas de salud y</w:t>
      </w:r>
      <w:r w:rsidR="00030A58">
        <w:rPr>
          <w:rFonts w:ascii="Arial" w:eastAsia="Arial" w:hAnsi="Arial" w:cs="Arial"/>
          <w:color w:val="000000"/>
          <w:sz w:val="24"/>
          <w:szCs w:val="24"/>
        </w:rPr>
        <w:t xml:space="preserve"> educación y/o cualquier otra/o</w:t>
      </w:r>
      <w:r w:rsidRPr="005D4DE2">
        <w:rPr>
          <w:rFonts w:ascii="Arial" w:eastAsia="Arial" w:hAnsi="Arial" w:cs="Arial"/>
          <w:color w:val="000000"/>
          <w:sz w:val="24"/>
          <w:szCs w:val="24"/>
        </w:rPr>
        <w:t xml:space="preserve"> profesional que se desempeñe en </w:t>
      </w:r>
      <w:r w:rsidR="00030A58">
        <w:rPr>
          <w:rFonts w:ascii="Arial" w:eastAsia="Arial" w:hAnsi="Arial" w:cs="Arial"/>
          <w:color w:val="000000"/>
          <w:sz w:val="24"/>
          <w:szCs w:val="24"/>
        </w:rPr>
        <w:t>la temática.</w:t>
      </w:r>
    </w:p>
    <w:p w14:paraId="3A26A921" w14:textId="77777777" w:rsidR="005D4DE2" w:rsidRPr="005D4DE2" w:rsidRDefault="005D4DE2" w:rsidP="005D4DE2">
      <w:p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333279" w14:textId="77777777" w:rsidR="00CD3805" w:rsidRPr="00030A58" w:rsidRDefault="00CD3805" w:rsidP="005D4DE2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0A58">
        <w:rPr>
          <w:rFonts w:ascii="Arial" w:eastAsia="Roboto" w:hAnsi="Arial" w:cs="Arial"/>
          <w:b/>
          <w:sz w:val="24"/>
          <w:szCs w:val="24"/>
        </w:rPr>
        <w:t>DISPOSITIVOS DUALES DE SUPERVISIÓN, MONITOREO Y RASTREO DE AGRESORES Y VÍCTIMAS DE VIOLENCIA DE GÉNERO</w:t>
      </w:r>
    </w:p>
    <w:p w14:paraId="5F2443D7" w14:textId="77777777" w:rsidR="008E0D39" w:rsidRPr="005D4DE2" w:rsidRDefault="006C0FD2" w:rsidP="005D4DE2">
      <w:pPr>
        <w:jc w:val="both"/>
        <w:rPr>
          <w:rFonts w:ascii="Arial" w:eastAsia="Roboto" w:hAnsi="Arial" w:cs="Arial"/>
          <w:sz w:val="24"/>
          <w:szCs w:val="24"/>
        </w:rPr>
      </w:pPr>
      <w:r w:rsidRPr="005D4DE2">
        <w:rPr>
          <w:rFonts w:ascii="Arial" w:eastAsia="Roboto" w:hAnsi="Arial" w:cs="Arial"/>
          <w:sz w:val="24"/>
          <w:szCs w:val="24"/>
        </w:rPr>
        <w:t xml:space="preserve">La articulación interinstitucional </w:t>
      </w:r>
      <w:r w:rsidR="00030A58">
        <w:rPr>
          <w:rFonts w:ascii="Arial" w:eastAsia="Roboto" w:hAnsi="Arial" w:cs="Arial"/>
          <w:sz w:val="24"/>
          <w:szCs w:val="24"/>
        </w:rPr>
        <w:t xml:space="preserve">ya constituye un </w:t>
      </w:r>
      <w:r w:rsidRPr="005D4DE2">
        <w:rPr>
          <w:rFonts w:ascii="Arial" w:eastAsia="Roboto" w:hAnsi="Arial" w:cs="Arial"/>
          <w:sz w:val="24"/>
          <w:szCs w:val="24"/>
        </w:rPr>
        <w:t>paradigma que permite profundiza</w:t>
      </w:r>
      <w:r w:rsidR="00030A58">
        <w:rPr>
          <w:rFonts w:ascii="Arial" w:eastAsia="Roboto" w:hAnsi="Arial" w:cs="Arial"/>
          <w:sz w:val="24"/>
          <w:szCs w:val="24"/>
        </w:rPr>
        <w:t>r el alcance y la eficiencia de las políticas públicas</w:t>
      </w:r>
      <w:r w:rsidR="008E0D39" w:rsidRPr="005D4DE2">
        <w:rPr>
          <w:rFonts w:ascii="Arial" w:eastAsia="Roboto" w:hAnsi="Arial" w:cs="Arial"/>
          <w:sz w:val="24"/>
          <w:szCs w:val="24"/>
        </w:rPr>
        <w:t xml:space="preserve">, y esta gestión ha impulsado su </w:t>
      </w:r>
      <w:proofErr w:type="spellStart"/>
      <w:r w:rsidR="008E0D39" w:rsidRPr="005D4DE2">
        <w:rPr>
          <w:rFonts w:ascii="Arial" w:eastAsia="Roboto" w:hAnsi="Arial" w:cs="Arial"/>
          <w:sz w:val="24"/>
          <w:szCs w:val="24"/>
        </w:rPr>
        <w:t>transverzalición</w:t>
      </w:r>
      <w:proofErr w:type="spellEnd"/>
      <w:r w:rsidR="008E0D39" w:rsidRPr="005D4DE2">
        <w:rPr>
          <w:rFonts w:ascii="Arial" w:eastAsia="Roboto" w:hAnsi="Arial" w:cs="Arial"/>
          <w:sz w:val="24"/>
          <w:szCs w:val="24"/>
        </w:rPr>
        <w:t xml:space="preserve"> a nivel federal, a los organismos nacionales y locales, a los diferentes poderes y jerarquías del Estado, al ámbito académico y a las organizaciones de la sociedad civil.</w:t>
      </w:r>
    </w:p>
    <w:p w14:paraId="0D4B80ED" w14:textId="77777777" w:rsidR="006C0FD2" w:rsidRPr="005D4DE2" w:rsidRDefault="008E0D39" w:rsidP="005D4DE2">
      <w:pPr>
        <w:jc w:val="both"/>
        <w:rPr>
          <w:rFonts w:ascii="Arial" w:eastAsia="Roboto" w:hAnsi="Arial" w:cs="Arial"/>
          <w:sz w:val="24"/>
          <w:szCs w:val="24"/>
        </w:rPr>
      </w:pPr>
      <w:r w:rsidRPr="005D4DE2">
        <w:rPr>
          <w:rFonts w:ascii="Arial" w:eastAsia="Roboto" w:hAnsi="Arial" w:cs="Arial"/>
          <w:sz w:val="24"/>
          <w:szCs w:val="24"/>
        </w:rPr>
        <w:t xml:space="preserve">Este enfoque incluso ha influido en el modo de gestionar los </w:t>
      </w:r>
      <w:r w:rsidRPr="005D4DE2">
        <w:rPr>
          <w:rFonts w:ascii="Arial" w:hAnsi="Arial" w:cs="Arial"/>
          <w:sz w:val="24"/>
          <w:szCs w:val="24"/>
        </w:rPr>
        <w:t>Dispositivos Duales de Supervisión, Monitoreo y Rastreo de Agresores y Víctimas de Violencia de Género</w:t>
      </w:r>
      <w:r w:rsidR="00030A58">
        <w:rPr>
          <w:rFonts w:ascii="Arial" w:hAnsi="Arial" w:cs="Arial"/>
          <w:sz w:val="24"/>
          <w:szCs w:val="24"/>
        </w:rPr>
        <w:t xml:space="preserve">, que se utilizan </w:t>
      </w:r>
      <w:r w:rsidRPr="005D4DE2">
        <w:rPr>
          <w:rFonts w:ascii="Arial" w:hAnsi="Arial" w:cs="Arial"/>
          <w:sz w:val="24"/>
          <w:szCs w:val="24"/>
        </w:rPr>
        <w:t>para garantizar el cumplimiento de las restricciones de acercamiento dictadas por la justicia en casos de alto riesgo de violencia de género.</w:t>
      </w:r>
    </w:p>
    <w:p w14:paraId="249DB434" w14:textId="77777777" w:rsidR="008E0D39" w:rsidRPr="005D4DE2" w:rsidRDefault="008E0D39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lastRenderedPageBreak/>
        <w:t xml:space="preserve">Es necesario describir brevemente su funcionamiento para </w:t>
      </w:r>
      <w:r w:rsidR="00B951CA" w:rsidRPr="005D4DE2">
        <w:rPr>
          <w:rFonts w:ascii="Arial" w:hAnsi="Arial" w:cs="Arial"/>
          <w:sz w:val="24"/>
          <w:szCs w:val="24"/>
        </w:rPr>
        <w:t>explicar luego el modo en que estos Dispositivos permiten promover importantes articulaciones interinstitucionales que jerarquizan y mejoran el abordaje de las violencias.</w:t>
      </w:r>
    </w:p>
    <w:p w14:paraId="5116F9E5" w14:textId="77777777" w:rsidR="00CD3805" w:rsidRPr="005D4DE2" w:rsidRDefault="00CD3805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Por medio de esta tecnología, a través de un sistema de geolocalización satelital se monitorea a la </w:t>
      </w:r>
      <w:r w:rsidR="00030A58">
        <w:rPr>
          <w:rFonts w:ascii="Arial" w:hAnsi="Arial" w:cs="Arial"/>
          <w:sz w:val="24"/>
          <w:szCs w:val="24"/>
        </w:rPr>
        <w:t xml:space="preserve">persona protegida y al agresor </w:t>
      </w:r>
      <w:r w:rsidRPr="005D4DE2">
        <w:rPr>
          <w:rFonts w:ascii="Arial" w:hAnsi="Arial" w:cs="Arial"/>
          <w:sz w:val="24"/>
          <w:szCs w:val="24"/>
        </w:rPr>
        <w:t>de manera permanente y continua. Cuando el agresor se acerca a la víctima, o cuando se separa del dispositivo asignado, obstruye su funcionamiento o lo rompe, se activa una alarma que genera la intervención inmediata desde los Centros de Monitoreo, que de ser necesario ordenan la movilización de personal policial.</w:t>
      </w:r>
    </w:p>
    <w:p w14:paraId="797D9935" w14:textId="77777777" w:rsidR="00CD3805" w:rsidRPr="005D4DE2" w:rsidRDefault="00CD3805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Estos dispositivos, además de </w:t>
      </w:r>
      <w:r w:rsidR="00030A58">
        <w:rPr>
          <w:rFonts w:ascii="Arial" w:hAnsi="Arial" w:cs="Arial"/>
          <w:sz w:val="24"/>
          <w:szCs w:val="24"/>
        </w:rPr>
        <w:t>brindar protección</w:t>
      </w:r>
      <w:r w:rsidRPr="005D4DE2">
        <w:rPr>
          <w:rFonts w:ascii="Arial" w:hAnsi="Arial" w:cs="Arial"/>
          <w:sz w:val="24"/>
          <w:szCs w:val="24"/>
        </w:rPr>
        <w:t xml:space="preserve">, liberan a la </w:t>
      </w:r>
      <w:r w:rsidR="00030A58">
        <w:rPr>
          <w:rFonts w:ascii="Arial" w:hAnsi="Arial" w:cs="Arial"/>
          <w:sz w:val="24"/>
          <w:szCs w:val="24"/>
        </w:rPr>
        <w:t xml:space="preserve">mujer </w:t>
      </w:r>
      <w:r w:rsidRPr="005D4DE2">
        <w:rPr>
          <w:rFonts w:ascii="Arial" w:hAnsi="Arial" w:cs="Arial"/>
          <w:sz w:val="24"/>
          <w:szCs w:val="24"/>
        </w:rPr>
        <w:t xml:space="preserve">de </w:t>
      </w:r>
      <w:r w:rsidR="00356C17">
        <w:rPr>
          <w:rFonts w:ascii="Arial" w:hAnsi="Arial" w:cs="Arial"/>
          <w:sz w:val="24"/>
          <w:szCs w:val="24"/>
        </w:rPr>
        <w:t>la carga de procurarse su propio</w:t>
      </w:r>
      <w:r w:rsidRPr="005D4DE2">
        <w:rPr>
          <w:rFonts w:ascii="Arial" w:hAnsi="Arial" w:cs="Arial"/>
          <w:sz w:val="24"/>
          <w:szCs w:val="24"/>
        </w:rPr>
        <w:t xml:space="preserve"> </w:t>
      </w:r>
      <w:r w:rsidR="00356C17">
        <w:rPr>
          <w:rFonts w:ascii="Arial" w:hAnsi="Arial" w:cs="Arial"/>
          <w:sz w:val="24"/>
          <w:szCs w:val="24"/>
        </w:rPr>
        <w:t>resguardo</w:t>
      </w:r>
      <w:r w:rsidRPr="005D4DE2">
        <w:rPr>
          <w:rFonts w:ascii="Arial" w:hAnsi="Arial" w:cs="Arial"/>
          <w:sz w:val="24"/>
          <w:szCs w:val="24"/>
        </w:rPr>
        <w:t xml:space="preserve">, como ocurre con el botón antipánico. </w:t>
      </w:r>
      <w:r w:rsidR="00356C17">
        <w:rPr>
          <w:rFonts w:ascii="Arial" w:hAnsi="Arial" w:cs="Arial"/>
          <w:sz w:val="24"/>
          <w:szCs w:val="24"/>
        </w:rPr>
        <w:t>A través de esta herramienta</w:t>
      </w:r>
      <w:r w:rsidRPr="005D4DE2">
        <w:rPr>
          <w:rFonts w:ascii="Arial" w:hAnsi="Arial" w:cs="Arial"/>
          <w:sz w:val="24"/>
          <w:szCs w:val="24"/>
        </w:rPr>
        <w:t>, los Estados provinciales asumen la responsabilidad de la protección. Asimismo, al suplantar a la consigna policial como mecanismo de protección, los Dispositivos Duales evitan la revictimización y facilitan el empoderamiento de la persona protegida, permitiéndole restablecer su vida cotidiana de manera autónoma, a la vez que optimizan el funcionamiento de los recursos policiales, que pueden destinarse a otras tareas mientras no reciban una alerta que requiera su intervención en la urgencia.</w:t>
      </w:r>
      <w:r w:rsidR="00B951CA" w:rsidRPr="005D4DE2">
        <w:rPr>
          <w:rFonts w:ascii="Arial" w:hAnsi="Arial" w:cs="Arial"/>
          <w:sz w:val="24"/>
          <w:szCs w:val="24"/>
        </w:rPr>
        <w:t xml:space="preserve"> </w:t>
      </w:r>
      <w:r w:rsidRPr="005D4DE2">
        <w:rPr>
          <w:rFonts w:ascii="Arial" w:hAnsi="Arial" w:cs="Arial"/>
          <w:sz w:val="24"/>
          <w:szCs w:val="24"/>
        </w:rPr>
        <w:t>Desde su implementación, los Dispositivos Duales han d</w:t>
      </w:r>
      <w:r w:rsidR="00356C17">
        <w:rPr>
          <w:rFonts w:ascii="Arial" w:hAnsi="Arial" w:cs="Arial"/>
          <w:sz w:val="24"/>
          <w:szCs w:val="24"/>
        </w:rPr>
        <w:t xml:space="preserve">emostrado una total efectividad, ya que </w:t>
      </w:r>
      <w:r w:rsidRPr="005D4DE2">
        <w:rPr>
          <w:rFonts w:ascii="Arial" w:hAnsi="Arial" w:cs="Arial"/>
          <w:sz w:val="24"/>
          <w:szCs w:val="24"/>
        </w:rPr>
        <w:t xml:space="preserve">un agresor ha podido acceder a </w:t>
      </w:r>
      <w:r w:rsidR="00356C17">
        <w:rPr>
          <w:rFonts w:ascii="Arial" w:hAnsi="Arial" w:cs="Arial"/>
          <w:sz w:val="24"/>
          <w:szCs w:val="24"/>
        </w:rPr>
        <w:t>la persona protegida</w:t>
      </w:r>
      <w:r w:rsidRPr="005D4DE2">
        <w:rPr>
          <w:rFonts w:ascii="Arial" w:hAnsi="Arial" w:cs="Arial"/>
          <w:sz w:val="24"/>
          <w:szCs w:val="24"/>
        </w:rPr>
        <w:t>.</w:t>
      </w:r>
      <w:r w:rsidR="00B951CA" w:rsidRPr="005D4DE2">
        <w:rPr>
          <w:rFonts w:ascii="Arial" w:hAnsi="Arial" w:cs="Arial"/>
          <w:sz w:val="24"/>
          <w:szCs w:val="24"/>
        </w:rPr>
        <w:t xml:space="preserve"> </w:t>
      </w:r>
      <w:r w:rsidRPr="005D4DE2">
        <w:rPr>
          <w:rFonts w:ascii="Arial" w:hAnsi="Arial" w:cs="Arial"/>
          <w:sz w:val="24"/>
          <w:szCs w:val="24"/>
        </w:rPr>
        <w:t xml:space="preserve">Además, la certeza de que se activará la inmediata intervención del personal policial en caso de </w:t>
      </w:r>
      <w:r w:rsidR="00356C17">
        <w:rPr>
          <w:rFonts w:ascii="Arial" w:hAnsi="Arial" w:cs="Arial"/>
          <w:sz w:val="24"/>
          <w:szCs w:val="24"/>
        </w:rPr>
        <w:t>se active la alarma</w:t>
      </w:r>
      <w:r w:rsidRPr="005D4DE2">
        <w:rPr>
          <w:rFonts w:ascii="Arial" w:hAnsi="Arial" w:cs="Arial"/>
          <w:sz w:val="24"/>
          <w:szCs w:val="24"/>
        </w:rPr>
        <w:t xml:space="preserve">, hace que opere sobre el agresor un </w:t>
      </w:r>
      <w:r w:rsidR="00356C17">
        <w:rPr>
          <w:rFonts w:ascii="Arial" w:hAnsi="Arial" w:cs="Arial"/>
          <w:sz w:val="24"/>
          <w:szCs w:val="24"/>
        </w:rPr>
        <w:t>fuerte</w:t>
      </w:r>
      <w:r w:rsidRPr="005D4DE2">
        <w:rPr>
          <w:rFonts w:ascii="Arial" w:hAnsi="Arial" w:cs="Arial"/>
          <w:sz w:val="24"/>
          <w:szCs w:val="24"/>
        </w:rPr>
        <w:t xml:space="preserve"> efecto disuasorio que favorece el cu</w:t>
      </w:r>
      <w:r w:rsidR="00356C17">
        <w:rPr>
          <w:rFonts w:ascii="Arial" w:hAnsi="Arial" w:cs="Arial"/>
          <w:sz w:val="24"/>
          <w:szCs w:val="24"/>
        </w:rPr>
        <w:t>mplimiento de la orden judicial</w:t>
      </w:r>
      <w:r w:rsidRPr="005D4DE2">
        <w:rPr>
          <w:rFonts w:ascii="Arial" w:hAnsi="Arial" w:cs="Arial"/>
          <w:sz w:val="24"/>
          <w:szCs w:val="24"/>
        </w:rPr>
        <w:t>.</w:t>
      </w:r>
    </w:p>
    <w:p w14:paraId="626B9058" w14:textId="77777777" w:rsidR="00B951CA" w:rsidRPr="005D4DE2" w:rsidRDefault="00B951CA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Ahora bien, </w:t>
      </w:r>
      <w:r w:rsidR="00356C17">
        <w:rPr>
          <w:rFonts w:ascii="Arial" w:hAnsi="Arial" w:cs="Arial"/>
          <w:sz w:val="24"/>
          <w:szCs w:val="24"/>
        </w:rPr>
        <w:t>estos</w:t>
      </w:r>
      <w:r w:rsidRPr="005D4DE2">
        <w:rPr>
          <w:rFonts w:ascii="Arial" w:hAnsi="Arial" w:cs="Arial"/>
          <w:sz w:val="24"/>
          <w:szCs w:val="24"/>
        </w:rPr>
        <w:t xml:space="preserve"> Dispositivos exigen la articulación del gobierno nacional, a </w:t>
      </w:r>
      <w:r w:rsidR="00356C17">
        <w:rPr>
          <w:rFonts w:ascii="Arial" w:hAnsi="Arial" w:cs="Arial"/>
          <w:sz w:val="24"/>
          <w:szCs w:val="24"/>
        </w:rPr>
        <w:t>través del Ministerio de Justicia</w:t>
      </w:r>
      <w:r w:rsidRPr="005D4DE2">
        <w:rPr>
          <w:rFonts w:ascii="Arial" w:hAnsi="Arial" w:cs="Arial"/>
          <w:sz w:val="24"/>
          <w:szCs w:val="24"/>
        </w:rPr>
        <w:t xml:space="preserve">, con los </w:t>
      </w:r>
      <w:r w:rsidR="00356C17">
        <w:rPr>
          <w:rFonts w:ascii="Arial" w:hAnsi="Arial" w:cs="Arial"/>
          <w:sz w:val="24"/>
          <w:szCs w:val="24"/>
        </w:rPr>
        <w:t>poderes ejecutivos provinciales</w:t>
      </w:r>
      <w:r w:rsidRPr="005D4DE2">
        <w:rPr>
          <w:rFonts w:ascii="Arial" w:hAnsi="Arial" w:cs="Arial"/>
          <w:sz w:val="24"/>
          <w:szCs w:val="24"/>
        </w:rPr>
        <w:t xml:space="preserve"> que los implementan en cada jurisdicción. Pero también requieren un</w:t>
      </w:r>
      <w:r w:rsidR="00356C17">
        <w:rPr>
          <w:rFonts w:ascii="Arial" w:hAnsi="Arial" w:cs="Arial"/>
          <w:sz w:val="24"/>
          <w:szCs w:val="24"/>
        </w:rPr>
        <w:t xml:space="preserve">a estrecha </w:t>
      </w:r>
      <w:r w:rsidRPr="005D4DE2">
        <w:rPr>
          <w:rFonts w:ascii="Arial" w:hAnsi="Arial" w:cs="Arial"/>
          <w:sz w:val="24"/>
          <w:szCs w:val="24"/>
        </w:rPr>
        <w:t xml:space="preserve">comunicación con jueces y juezas, que son </w:t>
      </w:r>
      <w:r w:rsidR="00356C17">
        <w:rPr>
          <w:rFonts w:ascii="Arial" w:hAnsi="Arial" w:cs="Arial"/>
          <w:sz w:val="24"/>
          <w:szCs w:val="24"/>
        </w:rPr>
        <w:t>quienes</w:t>
      </w:r>
      <w:r w:rsidRPr="005D4DE2">
        <w:rPr>
          <w:rFonts w:ascii="Arial" w:hAnsi="Arial" w:cs="Arial"/>
          <w:sz w:val="24"/>
          <w:szCs w:val="24"/>
        </w:rPr>
        <w:t xml:space="preserve"> ordenan la aplicación en los casos concretos, y con las áreas de género, que deben realizar los informes de riesgo y el seguimiento de la evolución de la medida a los fines de determinar su pertinencia, su prórroga o su interrupción. </w:t>
      </w:r>
      <w:r w:rsidR="00356C17">
        <w:rPr>
          <w:rFonts w:ascii="Arial" w:hAnsi="Arial" w:cs="Arial"/>
          <w:sz w:val="24"/>
          <w:szCs w:val="24"/>
        </w:rPr>
        <w:t>Las Fuerzas de Seguridad tiene</w:t>
      </w:r>
      <w:r w:rsidRPr="005D4DE2">
        <w:rPr>
          <w:rFonts w:ascii="Arial" w:hAnsi="Arial" w:cs="Arial"/>
          <w:sz w:val="24"/>
          <w:szCs w:val="24"/>
        </w:rPr>
        <w:t xml:space="preserve">n </w:t>
      </w:r>
      <w:r w:rsidR="00356C17">
        <w:rPr>
          <w:rFonts w:ascii="Arial" w:hAnsi="Arial" w:cs="Arial"/>
          <w:sz w:val="24"/>
          <w:szCs w:val="24"/>
        </w:rPr>
        <w:t xml:space="preserve">un </w:t>
      </w:r>
      <w:r w:rsidRPr="005D4DE2">
        <w:rPr>
          <w:rFonts w:ascii="Arial" w:hAnsi="Arial" w:cs="Arial"/>
          <w:sz w:val="24"/>
          <w:szCs w:val="24"/>
        </w:rPr>
        <w:t xml:space="preserve">rol esencial, </w:t>
      </w:r>
      <w:r w:rsidR="00356C17">
        <w:rPr>
          <w:rFonts w:ascii="Arial" w:hAnsi="Arial" w:cs="Arial"/>
          <w:sz w:val="24"/>
          <w:szCs w:val="24"/>
        </w:rPr>
        <w:t xml:space="preserve">ya </w:t>
      </w:r>
      <w:r w:rsidRPr="005D4DE2">
        <w:rPr>
          <w:rFonts w:ascii="Arial" w:hAnsi="Arial" w:cs="Arial"/>
          <w:sz w:val="24"/>
          <w:szCs w:val="24"/>
        </w:rPr>
        <w:t xml:space="preserve">que </w:t>
      </w:r>
      <w:r w:rsidR="00356C17">
        <w:rPr>
          <w:rFonts w:ascii="Arial" w:hAnsi="Arial" w:cs="Arial"/>
          <w:sz w:val="24"/>
          <w:szCs w:val="24"/>
        </w:rPr>
        <w:t xml:space="preserve">realizan </w:t>
      </w:r>
      <w:r w:rsidRPr="005D4DE2">
        <w:rPr>
          <w:rFonts w:ascii="Arial" w:hAnsi="Arial" w:cs="Arial"/>
          <w:sz w:val="24"/>
          <w:szCs w:val="24"/>
        </w:rPr>
        <w:t>el monitoreo propiamente dicho</w:t>
      </w:r>
      <w:r w:rsidR="00356C17">
        <w:rPr>
          <w:rFonts w:ascii="Arial" w:hAnsi="Arial" w:cs="Arial"/>
          <w:sz w:val="24"/>
          <w:szCs w:val="24"/>
        </w:rPr>
        <w:t xml:space="preserve"> e </w:t>
      </w:r>
      <w:r w:rsidRPr="005D4DE2">
        <w:rPr>
          <w:rFonts w:ascii="Arial" w:hAnsi="Arial" w:cs="Arial"/>
          <w:sz w:val="24"/>
          <w:szCs w:val="24"/>
        </w:rPr>
        <w:t xml:space="preserve">intervienen en caso de </w:t>
      </w:r>
      <w:r w:rsidR="00356C17">
        <w:rPr>
          <w:rFonts w:ascii="Arial" w:hAnsi="Arial" w:cs="Arial"/>
          <w:sz w:val="24"/>
          <w:szCs w:val="24"/>
        </w:rPr>
        <w:t>una alerta lo determine</w:t>
      </w:r>
      <w:r w:rsidRPr="005D4DE2">
        <w:rPr>
          <w:rFonts w:ascii="Arial" w:hAnsi="Arial" w:cs="Arial"/>
          <w:sz w:val="24"/>
          <w:szCs w:val="24"/>
        </w:rPr>
        <w:t xml:space="preserve">. También deben conocer </w:t>
      </w:r>
      <w:r w:rsidR="00356C17">
        <w:rPr>
          <w:rFonts w:ascii="Arial" w:hAnsi="Arial" w:cs="Arial"/>
          <w:sz w:val="24"/>
          <w:szCs w:val="24"/>
        </w:rPr>
        <w:t xml:space="preserve">el </w:t>
      </w:r>
      <w:r w:rsidRPr="005D4DE2">
        <w:rPr>
          <w:rFonts w:ascii="Arial" w:hAnsi="Arial" w:cs="Arial"/>
          <w:sz w:val="24"/>
          <w:szCs w:val="24"/>
        </w:rPr>
        <w:t xml:space="preserve">funcionamiento </w:t>
      </w:r>
      <w:r w:rsidR="00356C17">
        <w:rPr>
          <w:rFonts w:ascii="Arial" w:hAnsi="Arial" w:cs="Arial"/>
          <w:sz w:val="24"/>
          <w:szCs w:val="24"/>
        </w:rPr>
        <w:t xml:space="preserve">de los Dispositivos </w:t>
      </w:r>
      <w:r w:rsidRPr="005D4DE2">
        <w:rPr>
          <w:rFonts w:ascii="Arial" w:hAnsi="Arial" w:cs="Arial"/>
          <w:sz w:val="24"/>
          <w:szCs w:val="24"/>
        </w:rPr>
        <w:t>y sus implicancias las/os abogadas/os, fiscalas/es y defensoras/es, y todas/os las/os funcionarias/os y agentes de los sistemas de protección, porque se t</w:t>
      </w:r>
      <w:r w:rsidR="00356C17">
        <w:rPr>
          <w:rFonts w:ascii="Arial" w:hAnsi="Arial" w:cs="Arial"/>
          <w:sz w:val="24"/>
          <w:szCs w:val="24"/>
        </w:rPr>
        <w:t>rata de una herramienta compleja,</w:t>
      </w:r>
      <w:r w:rsidRPr="005D4DE2">
        <w:rPr>
          <w:rFonts w:ascii="Arial" w:hAnsi="Arial" w:cs="Arial"/>
          <w:sz w:val="24"/>
          <w:szCs w:val="24"/>
        </w:rPr>
        <w:t xml:space="preserve"> cuya mal implementación puede generar graves consecuencias.</w:t>
      </w:r>
    </w:p>
    <w:p w14:paraId="538D772E" w14:textId="77777777" w:rsidR="005D4DE2" w:rsidRPr="005D4DE2" w:rsidRDefault="00B951CA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A los fines de profundizar estas articulaciones </w:t>
      </w:r>
      <w:proofErr w:type="spellStart"/>
      <w:r w:rsidRPr="005D4DE2">
        <w:rPr>
          <w:rFonts w:ascii="Arial" w:hAnsi="Arial" w:cs="Arial"/>
          <w:sz w:val="24"/>
          <w:szCs w:val="24"/>
        </w:rPr>
        <w:t>intepersonales</w:t>
      </w:r>
      <w:proofErr w:type="spellEnd"/>
      <w:r w:rsidRPr="005D4DE2">
        <w:rPr>
          <w:rFonts w:ascii="Arial" w:hAnsi="Arial" w:cs="Arial"/>
          <w:sz w:val="24"/>
          <w:szCs w:val="24"/>
        </w:rPr>
        <w:t xml:space="preserve"> e interinstitucionales, desde la Subsecretaría de Acceso a la Justicia</w:t>
      </w:r>
      <w:r w:rsidR="006D20C3" w:rsidRPr="005D4DE2">
        <w:rPr>
          <w:rFonts w:ascii="Arial" w:hAnsi="Arial" w:cs="Arial"/>
          <w:sz w:val="24"/>
          <w:szCs w:val="24"/>
        </w:rPr>
        <w:t xml:space="preserve">, en todas las provincias, realizamos jornadas virtuales y presenciales de capacitación e intercambio de saberes y experiencias. Estos encuentros convocan a miembros de los Poderes Judiciales y Ejecutivos locales con competencia en la materia, </w:t>
      </w:r>
      <w:r w:rsidR="006D20C3" w:rsidRPr="005D4DE2">
        <w:rPr>
          <w:rFonts w:ascii="Arial" w:hAnsi="Arial" w:cs="Arial"/>
          <w:sz w:val="24"/>
          <w:szCs w:val="24"/>
        </w:rPr>
        <w:lastRenderedPageBreak/>
        <w:t>Defensorías, Fiscalías, abogadas/os, Fuerzas de Seguridad, áreas de género y a todas/os quienes estén interesados. A partir de la experiencia recogida en estos encuentros, cuyo objetivo principal es fortalecer y perfeccionar el uso de la herramienta, hemos confeccionado un Protocolo Modelo de Actuación, que constituye un aporte a cada jurisdicción para que puedan mod</w:t>
      </w:r>
      <w:r w:rsidR="00356C17">
        <w:rPr>
          <w:rFonts w:ascii="Arial" w:hAnsi="Arial" w:cs="Arial"/>
          <w:sz w:val="24"/>
          <w:szCs w:val="24"/>
        </w:rPr>
        <w:t>ificar los propios instrumentos</w:t>
      </w:r>
      <w:r w:rsidR="006D20C3" w:rsidRPr="005D4DE2">
        <w:rPr>
          <w:rFonts w:ascii="Arial" w:hAnsi="Arial" w:cs="Arial"/>
          <w:sz w:val="24"/>
          <w:szCs w:val="24"/>
        </w:rPr>
        <w:t xml:space="preserve"> en aquello que consideren conveniente, y que fue publicado por el Servicio Argentino de Información Jurídica (SAIJ), también dependiente de la Secretaría de Justicia, en el marco de la última reunión del </w:t>
      </w:r>
      <w:r w:rsidR="006D20C3" w:rsidRPr="005D4DE2">
        <w:rPr>
          <w:rFonts w:ascii="Arial" w:hAnsi="Arial" w:cs="Arial"/>
          <w:bCs/>
          <w:color w:val="1F1F1F"/>
          <w:sz w:val="24"/>
          <w:szCs w:val="24"/>
        </w:rPr>
        <w:t xml:space="preserve">Consejo Federal para la Prevención y el Abordaje de Femicidios, </w:t>
      </w:r>
      <w:proofErr w:type="spellStart"/>
      <w:r w:rsidR="006D20C3" w:rsidRPr="005D4DE2">
        <w:rPr>
          <w:rFonts w:ascii="Arial" w:hAnsi="Arial" w:cs="Arial"/>
          <w:bCs/>
          <w:color w:val="1F1F1F"/>
          <w:sz w:val="24"/>
          <w:szCs w:val="24"/>
        </w:rPr>
        <w:t>Travesticidios</w:t>
      </w:r>
      <w:proofErr w:type="spellEnd"/>
      <w:r w:rsidR="006D20C3" w:rsidRPr="005D4DE2">
        <w:rPr>
          <w:rFonts w:ascii="Arial" w:hAnsi="Arial" w:cs="Arial"/>
          <w:bCs/>
          <w:color w:val="1F1F1F"/>
          <w:sz w:val="24"/>
          <w:szCs w:val="24"/>
        </w:rPr>
        <w:t xml:space="preserve"> y </w:t>
      </w:r>
      <w:proofErr w:type="spellStart"/>
      <w:r w:rsidR="006D20C3" w:rsidRPr="005D4DE2">
        <w:rPr>
          <w:rFonts w:ascii="Arial" w:hAnsi="Arial" w:cs="Arial"/>
          <w:bCs/>
          <w:color w:val="1F1F1F"/>
          <w:sz w:val="24"/>
          <w:szCs w:val="24"/>
        </w:rPr>
        <w:t>Transfemicidios</w:t>
      </w:r>
      <w:proofErr w:type="spellEnd"/>
      <w:r w:rsidR="006D20C3" w:rsidRPr="005D4DE2">
        <w:rPr>
          <w:rFonts w:ascii="Arial" w:hAnsi="Arial" w:cs="Arial"/>
          <w:bCs/>
          <w:color w:val="1F1F1F"/>
          <w:sz w:val="24"/>
          <w:szCs w:val="24"/>
        </w:rPr>
        <w:t>.</w:t>
      </w:r>
    </w:p>
    <w:p w14:paraId="7521F92C" w14:textId="77777777" w:rsidR="005D4DE2" w:rsidRPr="005D4DE2" w:rsidRDefault="005D4DE2" w:rsidP="005D4DE2">
      <w:pPr>
        <w:jc w:val="both"/>
        <w:rPr>
          <w:rFonts w:ascii="Arial" w:hAnsi="Arial" w:cs="Arial"/>
          <w:sz w:val="24"/>
          <w:szCs w:val="24"/>
        </w:rPr>
      </w:pPr>
    </w:p>
    <w:p w14:paraId="3361088B" w14:textId="77777777" w:rsidR="00B34052" w:rsidRPr="00356C17" w:rsidRDefault="00CD3805" w:rsidP="005D4DE2">
      <w:pPr>
        <w:jc w:val="both"/>
        <w:rPr>
          <w:rFonts w:ascii="Arial" w:hAnsi="Arial" w:cs="Arial"/>
          <w:b/>
          <w:sz w:val="24"/>
          <w:szCs w:val="24"/>
        </w:rPr>
      </w:pPr>
      <w:r w:rsidRPr="00356C17">
        <w:rPr>
          <w:rFonts w:ascii="Arial" w:hAnsi="Arial" w:cs="Arial"/>
          <w:b/>
          <w:sz w:val="24"/>
          <w:szCs w:val="24"/>
        </w:rPr>
        <w:t>RED FEDERAL DE CENTROS DE MEDIACIÓN COMUNITARIA</w:t>
      </w:r>
      <w:r w:rsidR="00B34052" w:rsidRPr="00356C17">
        <w:rPr>
          <w:rFonts w:ascii="Arial" w:hAnsi="Arial" w:cs="Arial"/>
          <w:b/>
          <w:sz w:val="24"/>
          <w:szCs w:val="24"/>
        </w:rPr>
        <w:t xml:space="preserve"> Y RED FEDERAL DE FORMACIÓ</w:t>
      </w:r>
      <w:r w:rsidRPr="00356C17">
        <w:rPr>
          <w:rFonts w:ascii="Arial" w:hAnsi="Arial" w:cs="Arial"/>
          <w:b/>
          <w:sz w:val="24"/>
          <w:szCs w:val="24"/>
        </w:rPr>
        <w:t>N ESCOLAR</w:t>
      </w:r>
    </w:p>
    <w:p w14:paraId="2C918434" w14:textId="77777777" w:rsidR="00693AC2" w:rsidRPr="005D4DE2" w:rsidRDefault="00B34052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Desde la Dirección Nacional de Mediación y Métodos Participativos de Resolución de Conflictos</w:t>
      </w:r>
      <w:r w:rsidR="00402855" w:rsidRPr="005D4DE2">
        <w:rPr>
          <w:rFonts w:ascii="Arial" w:hAnsi="Arial" w:cs="Arial"/>
          <w:sz w:val="24"/>
          <w:szCs w:val="24"/>
        </w:rPr>
        <w:t xml:space="preserve"> (DNMYMPRC)</w:t>
      </w:r>
      <w:r w:rsidRPr="005D4DE2">
        <w:rPr>
          <w:rFonts w:ascii="Arial" w:hAnsi="Arial" w:cs="Arial"/>
          <w:sz w:val="24"/>
          <w:szCs w:val="24"/>
        </w:rPr>
        <w:t>, dependiente de la Subsecretaría de Acceso a la Justicia, de la Secretaría de Justicia, del Ministerio de Justicia y Derechos Humanos de la Nación</w:t>
      </w:r>
      <w:r w:rsidR="00693AC2" w:rsidRPr="005D4DE2">
        <w:rPr>
          <w:rFonts w:ascii="Arial" w:hAnsi="Arial" w:cs="Arial"/>
          <w:sz w:val="24"/>
          <w:szCs w:val="24"/>
        </w:rPr>
        <w:t>, se sostiene la Red Federal de Centros de Mediación Comunitaria y la Red Federal de Formación Escolar. Ambas redes fueron creadas por la Resolución Ministerial N° 1404/12, y se han constituido como políticas públicas fundamentales a los fines de impulsar el empoderamiento legal de la ciudadanía, dinamizando los procesos de intercambio de saberes y experiencias entre el Estado y la sociedad civil</w:t>
      </w:r>
      <w:r w:rsidR="00402855" w:rsidRPr="005D4DE2">
        <w:rPr>
          <w:rFonts w:ascii="Arial" w:hAnsi="Arial" w:cs="Arial"/>
          <w:sz w:val="24"/>
          <w:szCs w:val="24"/>
        </w:rPr>
        <w:t xml:space="preserve">, en torno a los </w:t>
      </w:r>
      <w:r w:rsidR="00693AC2" w:rsidRPr="005D4DE2">
        <w:rPr>
          <w:rFonts w:ascii="Arial" w:hAnsi="Arial" w:cs="Arial"/>
          <w:sz w:val="24"/>
          <w:szCs w:val="24"/>
        </w:rPr>
        <w:t>métodos participativos de Resolución de Conflictos (MARC)</w:t>
      </w:r>
      <w:r w:rsidR="00402855" w:rsidRPr="005D4DE2">
        <w:rPr>
          <w:rFonts w:ascii="Arial" w:hAnsi="Arial" w:cs="Arial"/>
          <w:sz w:val="24"/>
          <w:szCs w:val="24"/>
        </w:rPr>
        <w:t>,</w:t>
      </w:r>
      <w:r w:rsidR="00693AC2" w:rsidRPr="005D4DE2">
        <w:rPr>
          <w:rFonts w:ascii="Arial" w:hAnsi="Arial" w:cs="Arial"/>
          <w:sz w:val="24"/>
          <w:szCs w:val="24"/>
        </w:rPr>
        <w:t xml:space="preserve"> en el</w:t>
      </w:r>
      <w:r w:rsidR="00813957">
        <w:rPr>
          <w:rFonts w:ascii="Arial" w:hAnsi="Arial" w:cs="Arial"/>
          <w:sz w:val="24"/>
          <w:szCs w:val="24"/>
        </w:rPr>
        <w:t xml:space="preserve"> ámbito comunitario y educativo.</w:t>
      </w:r>
    </w:p>
    <w:p w14:paraId="65899235" w14:textId="77777777" w:rsidR="00402855" w:rsidRPr="005D4DE2" w:rsidRDefault="00402855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En virtud de los </w:t>
      </w:r>
      <w:r w:rsidR="00693AC2" w:rsidRPr="005D4DE2">
        <w:rPr>
          <w:rFonts w:ascii="Arial" w:hAnsi="Arial" w:cs="Arial"/>
          <w:sz w:val="24"/>
          <w:szCs w:val="24"/>
        </w:rPr>
        <w:t>convenios</w:t>
      </w:r>
      <w:r w:rsidRPr="005D4DE2">
        <w:rPr>
          <w:rFonts w:ascii="Arial" w:hAnsi="Arial" w:cs="Arial"/>
          <w:sz w:val="24"/>
          <w:szCs w:val="24"/>
        </w:rPr>
        <w:t xml:space="preserve"> celebrados en el marco de las Redes</w:t>
      </w:r>
      <w:r w:rsidR="00813957">
        <w:rPr>
          <w:rFonts w:ascii="Arial" w:hAnsi="Arial" w:cs="Arial"/>
          <w:sz w:val="24"/>
          <w:szCs w:val="24"/>
        </w:rPr>
        <w:t>, con organismos públicos y</w:t>
      </w:r>
      <w:r w:rsidRPr="005D4DE2">
        <w:rPr>
          <w:rFonts w:ascii="Arial" w:hAnsi="Arial" w:cs="Arial"/>
          <w:sz w:val="24"/>
          <w:szCs w:val="24"/>
        </w:rPr>
        <w:t xml:space="preserve"> con entidades de la sociedad civil, e</w:t>
      </w:r>
      <w:r w:rsidR="00813957">
        <w:rPr>
          <w:rFonts w:ascii="Arial" w:hAnsi="Arial" w:cs="Arial"/>
          <w:sz w:val="24"/>
          <w:szCs w:val="24"/>
        </w:rPr>
        <w:t xml:space="preserve">ste </w:t>
      </w:r>
      <w:r w:rsidRPr="005D4DE2">
        <w:rPr>
          <w:rFonts w:ascii="Arial" w:hAnsi="Arial" w:cs="Arial"/>
          <w:sz w:val="24"/>
          <w:szCs w:val="24"/>
        </w:rPr>
        <w:t xml:space="preserve">Ministerio brinda capacitación y asistencia técnica y práctica, y organiza jornadas de intercambio, dirigidas a los miembros de los Centros de Mediación Comunitaria y de la comunidad educativa, con el objeto de promover y fortalecer </w:t>
      </w:r>
      <w:r w:rsidR="008323DF" w:rsidRPr="005D4DE2">
        <w:rPr>
          <w:rFonts w:ascii="Arial" w:hAnsi="Arial" w:cs="Arial"/>
          <w:sz w:val="24"/>
          <w:szCs w:val="24"/>
        </w:rPr>
        <w:t xml:space="preserve">las prácticas restaurativas y </w:t>
      </w:r>
      <w:r w:rsidRPr="005D4DE2">
        <w:rPr>
          <w:rFonts w:ascii="Arial" w:hAnsi="Arial" w:cs="Arial"/>
          <w:sz w:val="24"/>
          <w:szCs w:val="24"/>
        </w:rPr>
        <w:t xml:space="preserve">los </w:t>
      </w:r>
      <w:r w:rsidR="00693AC2" w:rsidRPr="005D4DE2">
        <w:rPr>
          <w:rFonts w:ascii="Arial" w:hAnsi="Arial" w:cs="Arial"/>
          <w:sz w:val="24"/>
          <w:szCs w:val="24"/>
        </w:rPr>
        <w:t xml:space="preserve">métodos </w:t>
      </w:r>
      <w:r w:rsidRPr="005D4DE2">
        <w:rPr>
          <w:rFonts w:ascii="Arial" w:hAnsi="Arial" w:cs="Arial"/>
          <w:sz w:val="24"/>
          <w:szCs w:val="24"/>
        </w:rPr>
        <w:t xml:space="preserve">alternativos </w:t>
      </w:r>
      <w:r w:rsidR="00693AC2" w:rsidRPr="005D4DE2">
        <w:rPr>
          <w:rFonts w:ascii="Arial" w:hAnsi="Arial" w:cs="Arial"/>
          <w:sz w:val="24"/>
          <w:szCs w:val="24"/>
        </w:rPr>
        <w:t>de resolución de conflictos.</w:t>
      </w:r>
    </w:p>
    <w:p w14:paraId="69BAFADB" w14:textId="77777777" w:rsidR="00693AC2" w:rsidRPr="005D4DE2" w:rsidRDefault="008A16B7" w:rsidP="00813957">
      <w:pPr>
        <w:pStyle w:val="NormalWeb"/>
        <w:spacing w:after="200" w:line="276" w:lineRule="auto"/>
        <w:jc w:val="both"/>
        <w:rPr>
          <w:rFonts w:ascii="Arial" w:hAnsi="Arial" w:cs="Arial"/>
        </w:rPr>
      </w:pPr>
      <w:r w:rsidRPr="005D4DE2">
        <w:rPr>
          <w:rFonts w:ascii="Arial" w:hAnsi="Arial" w:cs="Arial"/>
        </w:rPr>
        <w:t>El aporte de esta política pública resulta fundamental para fortalecer las capacidades ciudadanas e institucionales para la prevención y el abordaje de los conflictos comunitarios y vecinales, pero también de los conflictos sociales complejos, que afectan particularmente a las poblaciones que se encuentran en situación de vulnerabilidad. A tales fines es necesario brindar</w:t>
      </w:r>
      <w:r w:rsidR="00443EA6" w:rsidRPr="005D4DE2">
        <w:rPr>
          <w:rFonts w:ascii="Arial" w:hAnsi="Arial" w:cs="Arial"/>
        </w:rPr>
        <w:t>, tanto a la comunidad en su conjunto, como a sus referentes y a los agentes y funcionarios de organismos públicos,</w:t>
      </w:r>
      <w:r w:rsidRPr="005D4DE2">
        <w:rPr>
          <w:rFonts w:ascii="Arial" w:hAnsi="Arial" w:cs="Arial"/>
        </w:rPr>
        <w:t xml:space="preserve"> herramientas teóricas y prácticas para la promoción del diálogo y la búsqueda de consensos,</w:t>
      </w:r>
      <w:r w:rsidR="00443EA6" w:rsidRPr="005D4DE2">
        <w:rPr>
          <w:rFonts w:ascii="Arial" w:hAnsi="Arial" w:cs="Arial"/>
        </w:rPr>
        <w:t xml:space="preserve"> y para el desarrollo de habilidades que les permitan diseñar y conducir con eficacia mecanismos de prevención y abordaje de la conflictividad.</w:t>
      </w:r>
      <w:r w:rsidR="00813957">
        <w:rPr>
          <w:rFonts w:ascii="Arial" w:hAnsi="Arial" w:cs="Arial"/>
        </w:rPr>
        <w:t xml:space="preserve"> Est</w:t>
      </w:r>
      <w:r w:rsidR="00402855" w:rsidRPr="005D4DE2">
        <w:rPr>
          <w:rFonts w:ascii="Arial" w:hAnsi="Arial" w:cs="Arial"/>
        </w:rPr>
        <w:t xml:space="preserve">as capacitaciones están a cargo </w:t>
      </w:r>
      <w:r w:rsidR="00402855" w:rsidRPr="005D4DE2">
        <w:rPr>
          <w:rFonts w:ascii="Arial" w:hAnsi="Arial" w:cs="Arial"/>
        </w:rPr>
        <w:lastRenderedPageBreak/>
        <w:t>del equipo docente de la DNMYMPRC</w:t>
      </w:r>
      <w:r w:rsidR="008323DF" w:rsidRPr="005D4DE2">
        <w:rPr>
          <w:rFonts w:ascii="Arial" w:hAnsi="Arial" w:cs="Arial"/>
        </w:rPr>
        <w:t xml:space="preserve">, que organiza los talleres y otorga los certificados de </w:t>
      </w:r>
      <w:r w:rsidR="00813957">
        <w:rPr>
          <w:rFonts w:ascii="Arial" w:hAnsi="Arial" w:cs="Arial"/>
        </w:rPr>
        <w:t>participación correspondientes.</w:t>
      </w:r>
      <w:r w:rsidR="00693AC2" w:rsidRPr="005D4DE2">
        <w:rPr>
          <w:rFonts w:ascii="Arial" w:hAnsi="Arial" w:cs="Arial"/>
        </w:rPr>
        <w:t xml:space="preserve"> </w:t>
      </w:r>
    </w:p>
    <w:p w14:paraId="45368A36" w14:textId="77777777" w:rsidR="008323DF" w:rsidRPr="005D4DE2" w:rsidRDefault="008323DF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Es importante destacar que todos los miembros del equipo docente están capacitados con perspectiva de género, diversidad y derechos humanos, y que en los talleres que dictan transmiten a los participantes</w:t>
      </w:r>
      <w:r w:rsidR="00443EA6" w:rsidRPr="005D4DE2">
        <w:rPr>
          <w:rFonts w:ascii="Arial" w:hAnsi="Arial" w:cs="Arial"/>
          <w:sz w:val="24"/>
          <w:szCs w:val="24"/>
        </w:rPr>
        <w:t xml:space="preserve"> estas aptitudes y la importancia de su aplicación</w:t>
      </w:r>
      <w:r w:rsidRPr="005D4DE2">
        <w:rPr>
          <w:rFonts w:ascii="Arial" w:hAnsi="Arial" w:cs="Arial"/>
          <w:sz w:val="24"/>
          <w:szCs w:val="24"/>
        </w:rPr>
        <w:t>.</w:t>
      </w:r>
    </w:p>
    <w:p w14:paraId="58610D9C" w14:textId="77777777" w:rsidR="004727F8" w:rsidRPr="005D4DE2" w:rsidRDefault="008323DF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Un aspecto fundamental de</w:t>
      </w:r>
      <w:r w:rsidR="004727F8" w:rsidRPr="005D4DE2">
        <w:rPr>
          <w:rFonts w:ascii="Arial" w:hAnsi="Arial" w:cs="Arial"/>
          <w:sz w:val="24"/>
          <w:szCs w:val="24"/>
        </w:rPr>
        <w:t xml:space="preserve">l trabajo de </w:t>
      </w:r>
      <w:r w:rsidR="00443EA6" w:rsidRPr="005D4DE2">
        <w:rPr>
          <w:rFonts w:ascii="Arial" w:hAnsi="Arial" w:cs="Arial"/>
          <w:sz w:val="24"/>
          <w:szCs w:val="24"/>
        </w:rPr>
        <w:t>l</w:t>
      </w:r>
      <w:r w:rsidR="004727F8" w:rsidRPr="005D4DE2">
        <w:rPr>
          <w:rFonts w:ascii="Arial" w:hAnsi="Arial" w:cs="Arial"/>
          <w:sz w:val="24"/>
          <w:szCs w:val="24"/>
        </w:rPr>
        <w:t xml:space="preserve">as Redes en relación al empoderamiento legal, es que a partir de su sostenimiento se deja una capacidad instalada en la comunidad, </w:t>
      </w:r>
      <w:r w:rsidR="00813957">
        <w:rPr>
          <w:rFonts w:ascii="Arial" w:hAnsi="Arial" w:cs="Arial"/>
          <w:sz w:val="24"/>
          <w:szCs w:val="24"/>
        </w:rPr>
        <w:t xml:space="preserve">para </w:t>
      </w:r>
      <w:r w:rsidR="004727F8" w:rsidRPr="005D4DE2">
        <w:rPr>
          <w:rFonts w:ascii="Arial" w:hAnsi="Arial" w:cs="Arial"/>
          <w:sz w:val="24"/>
          <w:szCs w:val="24"/>
        </w:rPr>
        <w:t>tanto de la conflictividad interpersonal y vecinal, como de los conflictos sociales complejos. En este sentido, el desarrollo por parte de la propia comunidad de las prácticas restaurativas y de los métodos alternativos de resolución de conflictos, contribuye a la pacificación y a la desjudicialización.</w:t>
      </w:r>
    </w:p>
    <w:p w14:paraId="1E540B44" w14:textId="77777777" w:rsidR="008A16B7" w:rsidRPr="005D4DE2" w:rsidRDefault="004727F8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En relación al abordaje de los conflictos sociales complejos, debemos destacar que la actualización permanente de conocimientos que </w:t>
      </w:r>
      <w:r w:rsidR="00963FE8" w:rsidRPr="005D4DE2">
        <w:rPr>
          <w:rFonts w:ascii="Arial" w:hAnsi="Arial" w:cs="Arial"/>
          <w:sz w:val="24"/>
          <w:szCs w:val="24"/>
        </w:rPr>
        <w:t>realiza el propio equipo docente de la DNMYMPRC, permite incorporar nuevas temáticas para el abordaje, acompañando el devenir del desarrollo social y las nuevas conflictividades que implica</w:t>
      </w:r>
      <w:r w:rsidR="00443EA6" w:rsidRPr="005D4DE2">
        <w:rPr>
          <w:rFonts w:ascii="Arial" w:hAnsi="Arial" w:cs="Arial"/>
          <w:sz w:val="24"/>
          <w:szCs w:val="24"/>
        </w:rPr>
        <w:t>, y jerarquizando las capacidades de intervención de las personas capacitadas</w:t>
      </w:r>
      <w:r w:rsidR="00963FE8" w:rsidRPr="005D4DE2">
        <w:rPr>
          <w:rFonts w:ascii="Arial" w:hAnsi="Arial" w:cs="Arial"/>
          <w:sz w:val="24"/>
          <w:szCs w:val="24"/>
        </w:rPr>
        <w:t xml:space="preserve">. Al respecto, </w:t>
      </w:r>
      <w:r w:rsidR="00813957">
        <w:rPr>
          <w:rFonts w:ascii="Arial" w:hAnsi="Arial" w:cs="Arial"/>
          <w:sz w:val="24"/>
          <w:szCs w:val="24"/>
        </w:rPr>
        <w:t>merece</w:t>
      </w:r>
      <w:r w:rsidR="00963FE8" w:rsidRPr="005D4DE2">
        <w:rPr>
          <w:rFonts w:ascii="Arial" w:hAnsi="Arial" w:cs="Arial"/>
          <w:sz w:val="24"/>
          <w:szCs w:val="24"/>
        </w:rPr>
        <w:t xml:space="preserve"> destacar</w:t>
      </w:r>
      <w:r w:rsidR="00813957">
        <w:rPr>
          <w:rFonts w:ascii="Arial" w:hAnsi="Arial" w:cs="Arial"/>
          <w:sz w:val="24"/>
          <w:szCs w:val="24"/>
        </w:rPr>
        <w:t>se</w:t>
      </w:r>
      <w:r w:rsidR="00963FE8" w:rsidRPr="005D4DE2">
        <w:rPr>
          <w:rFonts w:ascii="Arial" w:hAnsi="Arial" w:cs="Arial"/>
          <w:sz w:val="24"/>
          <w:szCs w:val="24"/>
        </w:rPr>
        <w:t xml:space="preserve"> el trabajo realizado en función de</w:t>
      </w:r>
      <w:r w:rsidR="00443EA6" w:rsidRPr="005D4DE2">
        <w:rPr>
          <w:rFonts w:ascii="Arial" w:hAnsi="Arial" w:cs="Arial"/>
          <w:sz w:val="24"/>
          <w:szCs w:val="24"/>
        </w:rPr>
        <w:t xml:space="preserve">l abordaje de los </w:t>
      </w:r>
      <w:r w:rsidR="00963FE8" w:rsidRPr="005D4DE2">
        <w:rPr>
          <w:rFonts w:ascii="Arial" w:hAnsi="Arial" w:cs="Arial"/>
          <w:sz w:val="24"/>
          <w:szCs w:val="24"/>
        </w:rPr>
        <w:t>conflictos am</w:t>
      </w:r>
      <w:r w:rsidR="00813957">
        <w:rPr>
          <w:rFonts w:ascii="Arial" w:hAnsi="Arial" w:cs="Arial"/>
          <w:sz w:val="24"/>
          <w:szCs w:val="24"/>
        </w:rPr>
        <w:t>bientales, en cuya especificidad</w:t>
      </w:r>
      <w:r w:rsidR="00963FE8" w:rsidRPr="005D4DE2">
        <w:rPr>
          <w:rFonts w:ascii="Arial" w:hAnsi="Arial" w:cs="Arial"/>
          <w:sz w:val="24"/>
          <w:szCs w:val="24"/>
        </w:rPr>
        <w:t xml:space="preserve"> ha comenzado a focalizarse en los talleres de la Red Federal de Centros de Mediación Comunitaria</w:t>
      </w:r>
      <w:r w:rsidR="00813957">
        <w:rPr>
          <w:rFonts w:ascii="Arial" w:hAnsi="Arial" w:cs="Arial"/>
          <w:sz w:val="24"/>
          <w:szCs w:val="24"/>
        </w:rPr>
        <w:t>.</w:t>
      </w:r>
    </w:p>
    <w:p w14:paraId="1940F145" w14:textId="77777777" w:rsidR="005D4DE2" w:rsidRPr="005D4DE2" w:rsidRDefault="008A16B7" w:rsidP="005D4DE2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Esta acción</w:t>
      </w:r>
      <w:r w:rsidR="00443EA6" w:rsidRPr="005D4DE2">
        <w:rPr>
          <w:rFonts w:ascii="Arial" w:hAnsi="Arial" w:cs="Arial"/>
          <w:sz w:val="24"/>
          <w:szCs w:val="24"/>
        </w:rPr>
        <w:t>, que también f</w:t>
      </w:r>
      <w:r w:rsidR="00813957">
        <w:rPr>
          <w:rFonts w:ascii="Arial" w:hAnsi="Arial" w:cs="Arial"/>
          <w:sz w:val="24"/>
          <w:szCs w:val="24"/>
        </w:rPr>
        <w:t>orma parte del aporte</w:t>
      </w:r>
      <w:r w:rsidR="00443EA6" w:rsidRPr="005D4DE2">
        <w:rPr>
          <w:rFonts w:ascii="Arial" w:hAnsi="Arial" w:cs="Arial"/>
          <w:sz w:val="24"/>
          <w:szCs w:val="24"/>
        </w:rPr>
        <w:t xml:space="preserve"> del Ministerio de Justicia al </w:t>
      </w:r>
      <w:r w:rsidR="00C462E2" w:rsidRPr="005D4DE2">
        <w:rPr>
          <w:rFonts w:ascii="Arial" w:hAnsi="Arial" w:cs="Arial"/>
          <w:sz w:val="24"/>
          <w:szCs w:val="24"/>
        </w:rPr>
        <w:t>Plan Nacional de Adaptación y Mitigación del Cambio Climático de la República Argentina (</w:t>
      </w:r>
      <w:proofErr w:type="spellStart"/>
      <w:r w:rsidR="00C462E2" w:rsidRPr="005D4DE2">
        <w:rPr>
          <w:rFonts w:ascii="Arial" w:hAnsi="Arial" w:cs="Arial"/>
          <w:sz w:val="24"/>
          <w:szCs w:val="24"/>
        </w:rPr>
        <w:t>PNAyMCC</w:t>
      </w:r>
      <w:proofErr w:type="spellEnd"/>
      <w:r w:rsidR="00C462E2" w:rsidRPr="005D4DE2">
        <w:rPr>
          <w:rFonts w:ascii="Arial" w:hAnsi="Arial" w:cs="Arial"/>
          <w:sz w:val="24"/>
          <w:szCs w:val="24"/>
        </w:rPr>
        <w:t>), elaborado en el marco del Gabinete Nacional de Cambio Climático,</w:t>
      </w:r>
      <w:r w:rsidRPr="005D4DE2">
        <w:rPr>
          <w:rFonts w:ascii="Arial" w:hAnsi="Arial" w:cs="Arial"/>
          <w:sz w:val="24"/>
          <w:szCs w:val="24"/>
        </w:rPr>
        <w:t xml:space="preserve"> potencia la exitosa experiencia iniciada en 2021 con la celebración del Convenio Marco de Cooperación entre este Ministerio y su par de Desarrollo Productivo, que impulsa el “fortalecimiento institucional de las capacidades de los organismos públicos provinciales y municipales para la gestión, negociación y facilitación del diálogo y comunicación en pos de la prevención de potenciales conflictos y gestión de los existentes vinculados con la actividad minera”, la “intervención y asistencia coordinada a requerimiento de las provincias y municipios, para facilitar procesos de diálogo”, las “capacitaciones para representantes de los organismos mineros provinciales” y la “planificación estratégica para coordinar la implementación de los derechos de acceso a la información ambiental, la participación pública en los procesos de toma de decisiones y el acceso a la justicia en asuntos ambientales, así como la creación y el fortalecimiento de las capacidades y la cooperación, para la protección del derecho de cada persona, de las generaciones presentes y futuras, a vivir en un medio ambiente sano y al desarrollo sostenible”.</w:t>
      </w:r>
    </w:p>
    <w:p w14:paraId="6B749511" w14:textId="77777777" w:rsidR="005D4DE2" w:rsidRPr="005D4DE2" w:rsidRDefault="005D4DE2" w:rsidP="005D4DE2">
      <w:pPr>
        <w:jc w:val="both"/>
        <w:rPr>
          <w:rFonts w:ascii="Arial" w:hAnsi="Arial" w:cs="Arial"/>
          <w:sz w:val="24"/>
          <w:szCs w:val="24"/>
        </w:rPr>
      </w:pPr>
    </w:p>
    <w:p w14:paraId="7287A56F" w14:textId="77777777" w:rsidR="00CD3805" w:rsidRPr="00813957" w:rsidRDefault="00CD3805" w:rsidP="005D4DE2">
      <w:pPr>
        <w:jc w:val="both"/>
        <w:rPr>
          <w:rFonts w:ascii="Arial" w:hAnsi="Arial" w:cs="Arial"/>
          <w:b/>
          <w:sz w:val="24"/>
          <w:szCs w:val="24"/>
        </w:rPr>
      </w:pPr>
      <w:r w:rsidRPr="00813957">
        <w:rPr>
          <w:rFonts w:ascii="Arial" w:hAnsi="Arial" w:cs="Arial"/>
          <w:b/>
          <w:sz w:val="24"/>
          <w:szCs w:val="24"/>
        </w:rPr>
        <w:lastRenderedPageBreak/>
        <w:t>Programa de Mediación, Métodos de Gestión Participativa de Conflictos y Reducción de Violencia en Ámbitos Penitenciarios</w:t>
      </w:r>
    </w:p>
    <w:p w14:paraId="58E281B1" w14:textId="77777777" w:rsidR="007F4922" w:rsidRDefault="005E0D61" w:rsidP="000D1316">
      <w:pPr>
        <w:ind w:right="14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Este Programa, diseñado por la Dirección Nacional de Mediación y Métodos Participativos de Resolución de Conflictos (DNMYMPRC), conjuntamente con la Dirección del Servicio Penitenciario Federal, </w:t>
      </w:r>
      <w:r w:rsidR="000D1316">
        <w:rPr>
          <w:rFonts w:ascii="Arial" w:hAnsi="Arial" w:cs="Arial"/>
          <w:sz w:val="24"/>
          <w:szCs w:val="24"/>
        </w:rPr>
        <w:t xml:space="preserve">que </w:t>
      </w:r>
      <w:r w:rsidRPr="005D4DE2">
        <w:rPr>
          <w:rFonts w:ascii="Arial" w:hAnsi="Arial" w:cs="Arial"/>
          <w:sz w:val="24"/>
          <w:szCs w:val="24"/>
        </w:rPr>
        <w:t>desarrolla otra acción fundamental dirigida al empoderamiento legal de la ciudadanía, comenzó a funcionar en agosto de 2011</w:t>
      </w:r>
      <w:r w:rsidR="000D1316">
        <w:rPr>
          <w:rFonts w:ascii="Arial" w:hAnsi="Arial" w:cs="Arial"/>
          <w:sz w:val="24"/>
          <w:szCs w:val="24"/>
        </w:rPr>
        <w:t xml:space="preserve">, impulsando </w:t>
      </w:r>
      <w:r w:rsidRPr="005D4DE2">
        <w:rPr>
          <w:rFonts w:ascii="Arial" w:hAnsi="Arial" w:cs="Arial"/>
          <w:sz w:val="24"/>
          <w:szCs w:val="24"/>
        </w:rPr>
        <w:t xml:space="preserve">el abordaje de los conflictos en el ámbito penitenciario por medio de mecanismos de diálogo y búsqueda de consensos, jerarquizando las capacidades de abordaje institucional </w:t>
      </w:r>
      <w:r w:rsidR="007F4922" w:rsidRPr="005D4DE2">
        <w:rPr>
          <w:rFonts w:ascii="Arial" w:hAnsi="Arial" w:cs="Arial"/>
          <w:sz w:val="24"/>
          <w:szCs w:val="24"/>
        </w:rPr>
        <w:t>con el aporte de herramientas superadoras de las respuestas sancionatorias tradicionales.</w:t>
      </w:r>
    </w:p>
    <w:p w14:paraId="04965293" w14:textId="77777777" w:rsidR="000D1316" w:rsidRPr="005D4DE2" w:rsidRDefault="000D1316" w:rsidP="000D1316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Los principales objetivos del Programa</w:t>
      </w:r>
      <w:r>
        <w:rPr>
          <w:rFonts w:ascii="Arial" w:hAnsi="Arial" w:cs="Arial"/>
          <w:sz w:val="24"/>
          <w:szCs w:val="24"/>
        </w:rPr>
        <w:t xml:space="preserve"> son</w:t>
      </w:r>
      <w:r w:rsidRPr="005D4DE2">
        <w:rPr>
          <w:rFonts w:ascii="Arial" w:hAnsi="Arial" w:cs="Arial"/>
          <w:sz w:val="24"/>
          <w:szCs w:val="24"/>
        </w:rPr>
        <w:t>:</w:t>
      </w:r>
    </w:p>
    <w:p w14:paraId="15EA7AC4" w14:textId="77777777" w:rsidR="000D1316" w:rsidRPr="005D4DE2" w:rsidRDefault="000D1316" w:rsidP="000D1316">
      <w:pPr>
        <w:pStyle w:val="ListParagraph"/>
        <w:numPr>
          <w:ilvl w:val="0"/>
          <w:numId w:val="1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Instaurar prácticas de reducción de violencia en establecimientos carcelarios dependientes del Servicio Penitenciario Federal. </w:t>
      </w:r>
    </w:p>
    <w:p w14:paraId="5F746EDE" w14:textId="77777777" w:rsidR="000D1316" w:rsidRPr="005D4DE2" w:rsidRDefault="000D1316" w:rsidP="000D1316">
      <w:pPr>
        <w:pStyle w:val="ListParagraph"/>
        <w:numPr>
          <w:ilvl w:val="0"/>
          <w:numId w:val="1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Implementar un sistema de Mediación y Gestión Participativa de conflictos en ámbitos penitenciarios.</w:t>
      </w:r>
    </w:p>
    <w:p w14:paraId="10CE274C" w14:textId="77777777" w:rsidR="000D1316" w:rsidRPr="005D4DE2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Incorporar acciones alternativas al uso de medidas sancionatorias</w:t>
      </w:r>
    </w:p>
    <w:p w14:paraId="4FC6509F" w14:textId="77777777" w:rsidR="000D1316" w:rsidRPr="005D4DE2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Promover el aprendizaje de conductas de diálogo y escucha dirigidas a comprender el interés del otro. </w:t>
      </w:r>
    </w:p>
    <w:p w14:paraId="060FBE94" w14:textId="77777777" w:rsidR="000D1316" w:rsidRPr="005D4DE2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Reducir las intervenciones administrativas y judiciales.</w:t>
      </w:r>
    </w:p>
    <w:p w14:paraId="250EECF0" w14:textId="77777777" w:rsidR="000D1316" w:rsidRPr="005D4DE2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Promover la adopción de decisiones personales y autónomas en los conflictos.</w:t>
      </w:r>
    </w:p>
    <w:p w14:paraId="48A47D5E" w14:textId="77777777" w:rsidR="000D1316" w:rsidRPr="005D4DE2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Disminuir los perjuicios de las personas privadas de libertad y su familia.</w:t>
      </w:r>
    </w:p>
    <w:p w14:paraId="696A523E" w14:textId="77777777" w:rsidR="000D1316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>Incorporar las herramientas necesarias para el sostenimiento y cumplimiento de los acuerdos.</w:t>
      </w:r>
    </w:p>
    <w:p w14:paraId="2EE1FF39" w14:textId="77777777" w:rsidR="000D1316" w:rsidRPr="000D1316" w:rsidRDefault="000D1316" w:rsidP="000D1316">
      <w:pPr>
        <w:pStyle w:val="ListParagraph"/>
        <w:numPr>
          <w:ilvl w:val="0"/>
          <w:numId w:val="2"/>
        </w:numPr>
        <w:spacing w:after="20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D1316">
        <w:rPr>
          <w:rFonts w:ascii="Arial" w:hAnsi="Arial" w:cs="Arial"/>
          <w:sz w:val="24"/>
          <w:szCs w:val="24"/>
        </w:rPr>
        <w:t xml:space="preserve">Asumir la responsabilidad en la </w:t>
      </w:r>
      <w:proofErr w:type="spellStart"/>
      <w:r w:rsidRPr="000D1316">
        <w:rPr>
          <w:rFonts w:ascii="Arial" w:hAnsi="Arial" w:cs="Arial"/>
          <w:sz w:val="24"/>
          <w:szCs w:val="24"/>
        </w:rPr>
        <w:t>co-construcción</w:t>
      </w:r>
      <w:proofErr w:type="spellEnd"/>
      <w:r w:rsidRPr="000D1316">
        <w:rPr>
          <w:rFonts w:ascii="Arial" w:hAnsi="Arial" w:cs="Arial"/>
          <w:sz w:val="24"/>
          <w:szCs w:val="24"/>
        </w:rPr>
        <w:t xml:space="preserve"> del conflicto como así también en su resolución.</w:t>
      </w:r>
    </w:p>
    <w:p w14:paraId="2F08FA5C" w14:textId="77777777" w:rsidR="00CD3805" w:rsidRPr="000D1316" w:rsidRDefault="007F4922" w:rsidP="000D1316">
      <w:pPr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El equipo de mediadoras/es </w:t>
      </w:r>
      <w:r w:rsidR="000D1316">
        <w:rPr>
          <w:rFonts w:ascii="Arial" w:hAnsi="Arial" w:cs="Arial"/>
          <w:sz w:val="24"/>
          <w:szCs w:val="24"/>
        </w:rPr>
        <w:t>a cargo del P</w:t>
      </w:r>
      <w:r w:rsidRPr="005D4DE2">
        <w:rPr>
          <w:rFonts w:ascii="Arial" w:hAnsi="Arial" w:cs="Arial"/>
          <w:sz w:val="24"/>
          <w:szCs w:val="24"/>
        </w:rPr>
        <w:t>rograma interviene en conflictos institucionales e interpersonales de los internos entre sí, con su entorno social y familiar externo y con el personal del Servicio Penitenciario,</w:t>
      </w:r>
    </w:p>
    <w:p w14:paraId="06796E4C" w14:textId="77777777" w:rsidR="007F4922" w:rsidRPr="005D4DE2" w:rsidRDefault="000D1316" w:rsidP="005D4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</w:t>
      </w:r>
      <w:r w:rsidR="007F4922" w:rsidRPr="005D4DE2">
        <w:rPr>
          <w:rFonts w:ascii="Arial" w:hAnsi="Arial" w:cs="Arial"/>
          <w:sz w:val="24"/>
          <w:szCs w:val="24"/>
        </w:rPr>
        <w:t>rograma interviene en situaciones conflictivas que involucran a hombres, muje</w:t>
      </w:r>
      <w:r w:rsidR="00A50DE7" w:rsidRPr="005D4DE2">
        <w:rPr>
          <w:rFonts w:ascii="Arial" w:hAnsi="Arial" w:cs="Arial"/>
          <w:sz w:val="24"/>
          <w:szCs w:val="24"/>
        </w:rPr>
        <w:t>res y diversidades, adultas/os,</w:t>
      </w:r>
      <w:r w:rsidR="007F4922" w:rsidRPr="005D4DE2">
        <w:rPr>
          <w:rFonts w:ascii="Arial" w:hAnsi="Arial" w:cs="Arial"/>
          <w:sz w:val="24"/>
          <w:szCs w:val="24"/>
        </w:rPr>
        <w:t xml:space="preserve"> jóvenes adultas/os</w:t>
      </w:r>
      <w:r w:rsidR="00A50DE7" w:rsidRPr="005D4DE2">
        <w:rPr>
          <w:rFonts w:ascii="Arial" w:hAnsi="Arial" w:cs="Arial"/>
          <w:sz w:val="24"/>
          <w:szCs w:val="24"/>
        </w:rPr>
        <w:t xml:space="preserve"> y adultas/os mayores</w:t>
      </w:r>
    </w:p>
    <w:p w14:paraId="7B890909" w14:textId="77777777" w:rsidR="00CD3805" w:rsidRPr="005D4DE2" w:rsidRDefault="00A50DE7" w:rsidP="005D4DE2">
      <w:pPr>
        <w:ind w:right="14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Además de </w:t>
      </w:r>
      <w:r w:rsidR="000D1316">
        <w:rPr>
          <w:rFonts w:ascii="Arial" w:hAnsi="Arial" w:cs="Arial"/>
          <w:sz w:val="24"/>
          <w:szCs w:val="24"/>
        </w:rPr>
        <w:t xml:space="preserve">desarrollar </w:t>
      </w:r>
      <w:r w:rsidRPr="005D4DE2">
        <w:rPr>
          <w:rFonts w:ascii="Arial" w:hAnsi="Arial" w:cs="Arial"/>
          <w:sz w:val="24"/>
          <w:szCs w:val="24"/>
        </w:rPr>
        <w:t>mecanismos de mediación propiamente dichos</w:t>
      </w:r>
      <w:r w:rsidR="000D1316">
        <w:rPr>
          <w:rFonts w:ascii="Arial" w:hAnsi="Arial" w:cs="Arial"/>
          <w:sz w:val="24"/>
          <w:szCs w:val="24"/>
        </w:rPr>
        <w:t xml:space="preserve">, </w:t>
      </w:r>
      <w:r w:rsidRPr="005D4DE2">
        <w:rPr>
          <w:rFonts w:ascii="Arial" w:hAnsi="Arial" w:cs="Arial"/>
          <w:sz w:val="24"/>
          <w:szCs w:val="24"/>
        </w:rPr>
        <w:t xml:space="preserve">las/os profesionales </w:t>
      </w:r>
      <w:r w:rsidR="000D1316">
        <w:rPr>
          <w:rFonts w:ascii="Arial" w:hAnsi="Arial" w:cs="Arial"/>
          <w:sz w:val="24"/>
          <w:szCs w:val="24"/>
        </w:rPr>
        <w:t>r</w:t>
      </w:r>
      <w:r w:rsidRPr="005D4DE2">
        <w:rPr>
          <w:rFonts w:ascii="Arial" w:hAnsi="Arial" w:cs="Arial"/>
          <w:sz w:val="24"/>
          <w:szCs w:val="24"/>
        </w:rPr>
        <w:t xml:space="preserve">ealizan actividades de </w:t>
      </w:r>
      <w:r w:rsidR="000D1316">
        <w:rPr>
          <w:rFonts w:ascii="Arial" w:hAnsi="Arial" w:cs="Arial"/>
          <w:sz w:val="24"/>
          <w:szCs w:val="24"/>
        </w:rPr>
        <w:t xml:space="preserve">capacitación y sensibilización </w:t>
      </w:r>
      <w:r w:rsidRPr="005D4DE2">
        <w:rPr>
          <w:rFonts w:ascii="Arial" w:hAnsi="Arial" w:cs="Arial"/>
          <w:sz w:val="24"/>
          <w:szCs w:val="24"/>
        </w:rPr>
        <w:t>individu</w:t>
      </w:r>
      <w:r w:rsidR="000D1316">
        <w:rPr>
          <w:rFonts w:ascii="Arial" w:hAnsi="Arial" w:cs="Arial"/>
          <w:sz w:val="24"/>
          <w:szCs w:val="24"/>
        </w:rPr>
        <w:t>ales y grupales, dirigidas</w:t>
      </w:r>
      <w:r w:rsidRPr="005D4DE2">
        <w:rPr>
          <w:rFonts w:ascii="Arial" w:hAnsi="Arial" w:cs="Arial"/>
          <w:sz w:val="24"/>
          <w:szCs w:val="24"/>
        </w:rPr>
        <w:t xml:space="preserve"> a los internos </w:t>
      </w:r>
      <w:r w:rsidR="000D1316">
        <w:rPr>
          <w:rFonts w:ascii="Arial" w:hAnsi="Arial" w:cs="Arial"/>
          <w:sz w:val="24"/>
          <w:szCs w:val="24"/>
        </w:rPr>
        <w:t>y</w:t>
      </w:r>
      <w:r w:rsidRPr="005D4DE2">
        <w:rPr>
          <w:rFonts w:ascii="Arial" w:hAnsi="Arial" w:cs="Arial"/>
          <w:sz w:val="24"/>
          <w:szCs w:val="24"/>
        </w:rPr>
        <w:t xml:space="preserve"> al personal del Servicio Penitenciario.</w:t>
      </w:r>
    </w:p>
    <w:p w14:paraId="532C9DA6" w14:textId="77777777" w:rsidR="00CD3805" w:rsidRPr="005D4DE2" w:rsidRDefault="00CD3805" w:rsidP="005D4D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4DE2">
        <w:rPr>
          <w:rFonts w:ascii="Arial" w:hAnsi="Arial" w:cs="Arial"/>
          <w:sz w:val="24"/>
          <w:szCs w:val="24"/>
        </w:rPr>
        <w:t xml:space="preserve">Cabe destacar la importancia del trabajo en </w:t>
      </w:r>
      <w:r w:rsidR="00A50DE7" w:rsidRPr="005D4DE2">
        <w:rPr>
          <w:rFonts w:ascii="Arial" w:hAnsi="Arial" w:cs="Arial"/>
          <w:sz w:val="24"/>
          <w:szCs w:val="24"/>
        </w:rPr>
        <w:t>r</w:t>
      </w:r>
      <w:r w:rsidRPr="005D4DE2">
        <w:rPr>
          <w:rFonts w:ascii="Arial" w:hAnsi="Arial" w:cs="Arial"/>
          <w:sz w:val="24"/>
          <w:szCs w:val="24"/>
        </w:rPr>
        <w:t>e</w:t>
      </w:r>
      <w:r w:rsidR="00A50DE7" w:rsidRPr="005D4DE2">
        <w:rPr>
          <w:rFonts w:ascii="Arial" w:hAnsi="Arial" w:cs="Arial"/>
          <w:sz w:val="24"/>
          <w:szCs w:val="24"/>
        </w:rPr>
        <w:t>d con diferentes organismos</w:t>
      </w:r>
      <w:r w:rsidRPr="005D4DE2">
        <w:rPr>
          <w:rFonts w:ascii="Arial" w:hAnsi="Arial" w:cs="Arial"/>
          <w:sz w:val="24"/>
          <w:szCs w:val="24"/>
        </w:rPr>
        <w:t>: defensorías, fiscalías, juzgados, diferentes áreas del S</w:t>
      </w:r>
      <w:r w:rsidR="00A50DE7" w:rsidRPr="005D4DE2">
        <w:rPr>
          <w:rFonts w:ascii="Arial" w:hAnsi="Arial" w:cs="Arial"/>
          <w:sz w:val="24"/>
          <w:szCs w:val="24"/>
        </w:rPr>
        <w:t xml:space="preserve">ervicio Penitenciario </w:t>
      </w:r>
      <w:r w:rsidR="00A50DE7" w:rsidRPr="005D4DE2">
        <w:rPr>
          <w:rFonts w:ascii="Arial" w:hAnsi="Arial" w:cs="Arial"/>
          <w:sz w:val="24"/>
          <w:szCs w:val="24"/>
        </w:rPr>
        <w:lastRenderedPageBreak/>
        <w:t>Federal,</w:t>
      </w:r>
      <w:r w:rsidRPr="005D4DE2">
        <w:rPr>
          <w:rFonts w:ascii="Arial" w:hAnsi="Arial" w:cs="Arial"/>
          <w:sz w:val="24"/>
          <w:szCs w:val="24"/>
        </w:rPr>
        <w:t xml:space="preserve"> Defensoría General de la Nación: “Programa Piloto para la Asistencia Jurídica a Mujeres Privadas de la libertad”, “Programa Piloto para la Asistencia Jurídica a Hombres Privados de la libertad” y “Programa de Atención a las Problemáticas Sociales y Relaciones con la Comunidad”. También </w:t>
      </w:r>
      <w:r w:rsidR="00A50DE7" w:rsidRPr="005D4DE2">
        <w:rPr>
          <w:rFonts w:ascii="Arial" w:hAnsi="Arial" w:cs="Arial"/>
          <w:sz w:val="24"/>
          <w:szCs w:val="24"/>
        </w:rPr>
        <w:t xml:space="preserve">debemos destacar </w:t>
      </w:r>
      <w:r w:rsidRPr="005D4DE2">
        <w:rPr>
          <w:rFonts w:ascii="Arial" w:hAnsi="Arial" w:cs="Arial"/>
          <w:sz w:val="24"/>
          <w:szCs w:val="24"/>
        </w:rPr>
        <w:t xml:space="preserve">la </w:t>
      </w:r>
      <w:r w:rsidR="00A50DE7" w:rsidRPr="005D4DE2">
        <w:rPr>
          <w:rFonts w:ascii="Arial" w:hAnsi="Arial" w:cs="Arial"/>
          <w:sz w:val="24"/>
          <w:szCs w:val="24"/>
        </w:rPr>
        <w:t>articu</w:t>
      </w:r>
      <w:r w:rsidRPr="005D4DE2">
        <w:rPr>
          <w:rFonts w:ascii="Arial" w:hAnsi="Arial" w:cs="Arial"/>
          <w:sz w:val="24"/>
          <w:szCs w:val="24"/>
        </w:rPr>
        <w:t>lación con otras áreas del Ministerio de Justicia y Derechos Humanos de la Nación</w:t>
      </w:r>
      <w:r w:rsidR="00A50DE7" w:rsidRPr="005D4DE2">
        <w:rPr>
          <w:rFonts w:ascii="Arial" w:hAnsi="Arial" w:cs="Arial"/>
          <w:sz w:val="24"/>
          <w:szCs w:val="24"/>
        </w:rPr>
        <w:t>,</w:t>
      </w:r>
      <w:r w:rsidRPr="005D4DE2">
        <w:rPr>
          <w:rFonts w:ascii="Arial" w:hAnsi="Arial" w:cs="Arial"/>
          <w:sz w:val="24"/>
          <w:szCs w:val="24"/>
        </w:rPr>
        <w:t xml:space="preserve"> como la Dirección Nacional de Readaptación Social,</w:t>
      </w:r>
      <w:r w:rsidRPr="005D4DE2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50DE7" w:rsidRPr="005D4DE2">
        <w:rPr>
          <w:rFonts w:ascii="Arial" w:hAnsi="Arial" w:cs="Arial"/>
          <w:sz w:val="24"/>
          <w:szCs w:val="24"/>
          <w:lang w:eastAsia="es-ES"/>
        </w:rPr>
        <w:t xml:space="preserve">la </w:t>
      </w:r>
      <w:r w:rsidRPr="005D4DE2">
        <w:rPr>
          <w:rFonts w:ascii="Arial" w:hAnsi="Arial" w:cs="Arial"/>
          <w:sz w:val="24"/>
          <w:szCs w:val="24"/>
          <w:lang w:eastAsia="es-ES"/>
        </w:rPr>
        <w:t>Dirección Nacional de Asistencia a Personas bajo Vigilancia Electrónica</w:t>
      </w:r>
      <w:r w:rsidR="00A50DE7" w:rsidRPr="005D4DE2">
        <w:rPr>
          <w:rFonts w:ascii="Arial" w:hAnsi="Arial" w:cs="Arial"/>
          <w:sz w:val="24"/>
          <w:szCs w:val="24"/>
          <w:lang w:eastAsia="es-ES"/>
        </w:rPr>
        <w:t xml:space="preserve"> y</w:t>
      </w:r>
      <w:r w:rsidRPr="005D4DE2">
        <w:rPr>
          <w:rFonts w:ascii="Arial" w:hAnsi="Arial" w:cs="Arial"/>
          <w:sz w:val="24"/>
          <w:szCs w:val="24"/>
          <w:lang w:eastAsia="es-ES"/>
        </w:rPr>
        <w:t xml:space="preserve"> Dirección Nacional de Acceso a la Justicia, entre otras. También, se ha colaborado con la Secretaría Nacional de la Niñez, Adolescencia y Familia</w:t>
      </w:r>
      <w:r w:rsidR="00A50DE7" w:rsidRPr="005D4DE2">
        <w:rPr>
          <w:rFonts w:ascii="Arial" w:hAnsi="Arial" w:cs="Arial"/>
          <w:sz w:val="24"/>
          <w:szCs w:val="24"/>
          <w:lang w:eastAsia="es-ES"/>
        </w:rPr>
        <w:t xml:space="preserve"> (SENAF</w:t>
      </w:r>
      <w:r w:rsidRPr="005D4DE2">
        <w:rPr>
          <w:rFonts w:ascii="Arial" w:hAnsi="Arial" w:cs="Arial"/>
          <w:sz w:val="24"/>
          <w:szCs w:val="24"/>
          <w:lang w:eastAsia="es-ES"/>
        </w:rPr>
        <w:t>) a través del Programa de Protección Integral de los Derechos de Niñas y Niños con Madres Privadas de la Libertad</w:t>
      </w:r>
      <w:r w:rsidR="00A50DE7" w:rsidRPr="005D4DE2">
        <w:rPr>
          <w:rFonts w:ascii="Arial" w:hAnsi="Arial" w:cs="Arial"/>
          <w:sz w:val="24"/>
          <w:szCs w:val="24"/>
          <w:lang w:eastAsia="es-ES"/>
        </w:rPr>
        <w:t>.</w:t>
      </w:r>
    </w:p>
    <w:sectPr w:rsidR="00CD3805" w:rsidRPr="005D4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2EE"/>
    <w:multiLevelType w:val="hybridMultilevel"/>
    <w:tmpl w:val="E0CA647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B59"/>
    <w:multiLevelType w:val="hybridMultilevel"/>
    <w:tmpl w:val="A92CAB54"/>
    <w:lvl w:ilvl="0" w:tplc="0CF2DF44">
      <w:start w:val="1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7499"/>
    <w:multiLevelType w:val="hybridMultilevel"/>
    <w:tmpl w:val="DF544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51C7"/>
    <w:multiLevelType w:val="hybridMultilevel"/>
    <w:tmpl w:val="625CC0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FC2"/>
    <w:multiLevelType w:val="hybridMultilevel"/>
    <w:tmpl w:val="6C66DCC8"/>
    <w:lvl w:ilvl="0" w:tplc="0CF2DF44">
      <w:start w:val="1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30FF"/>
    <w:multiLevelType w:val="hybridMultilevel"/>
    <w:tmpl w:val="005408F8"/>
    <w:lvl w:ilvl="0" w:tplc="0CF2DF44">
      <w:start w:val="1"/>
      <w:numFmt w:val="bullet"/>
      <w:lvlText w:val="-"/>
      <w:lvlJc w:val="left"/>
      <w:pPr>
        <w:ind w:left="777" w:hanging="360"/>
      </w:pPr>
      <w:rPr>
        <w:rFonts w:ascii="Goudy Old Style" w:eastAsia="Times New Roman" w:hAnsi="Goudy Old Style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23284490">
    <w:abstractNumId w:val="1"/>
  </w:num>
  <w:num w:numId="2" w16cid:durableId="1648893701">
    <w:abstractNumId w:val="4"/>
  </w:num>
  <w:num w:numId="3" w16cid:durableId="1689719580">
    <w:abstractNumId w:val="5"/>
  </w:num>
  <w:num w:numId="4" w16cid:durableId="1824466338">
    <w:abstractNumId w:val="2"/>
  </w:num>
  <w:num w:numId="5" w16cid:durableId="1066298806">
    <w:abstractNumId w:val="3"/>
  </w:num>
  <w:num w:numId="6" w16cid:durableId="37705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5"/>
    <w:rsid w:val="00030A58"/>
    <w:rsid w:val="000D1316"/>
    <w:rsid w:val="00114CC1"/>
    <w:rsid w:val="0023343A"/>
    <w:rsid w:val="00240094"/>
    <w:rsid w:val="00356C17"/>
    <w:rsid w:val="003A06D3"/>
    <w:rsid w:val="00402855"/>
    <w:rsid w:val="00443EA6"/>
    <w:rsid w:val="004727F8"/>
    <w:rsid w:val="005D4DE2"/>
    <w:rsid w:val="005E0D61"/>
    <w:rsid w:val="00693AC2"/>
    <w:rsid w:val="006C0FD2"/>
    <w:rsid w:val="006D20C3"/>
    <w:rsid w:val="00736F08"/>
    <w:rsid w:val="0079197E"/>
    <w:rsid w:val="007F4922"/>
    <w:rsid w:val="00813957"/>
    <w:rsid w:val="008323DF"/>
    <w:rsid w:val="008A16B7"/>
    <w:rsid w:val="008E0D39"/>
    <w:rsid w:val="00937D3D"/>
    <w:rsid w:val="00963FE8"/>
    <w:rsid w:val="009E5FF5"/>
    <w:rsid w:val="00A50DE7"/>
    <w:rsid w:val="00B15397"/>
    <w:rsid w:val="00B34052"/>
    <w:rsid w:val="00B951CA"/>
    <w:rsid w:val="00C462E2"/>
    <w:rsid w:val="00CD3805"/>
    <w:rsid w:val="00D2168C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C214"/>
  <w15:docId w15:val="{8A051CD6-15FE-4C67-99B5-D0CA0141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3805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Default">
    <w:name w:val="Default"/>
    <w:rsid w:val="00CD38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3FE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Argentina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B94BBC5F-E9C4-4052-9C51-24DF7418EA4D}"/>
</file>

<file path=customXml/itemProps2.xml><?xml version="1.0" encoding="utf-8"?>
<ds:datastoreItem xmlns:ds="http://schemas.openxmlformats.org/officeDocument/2006/customXml" ds:itemID="{8B7ACB78-1128-47CE-A92B-0C96B82CF492}"/>
</file>

<file path=customXml/itemProps3.xml><?xml version="1.0" encoding="utf-8"?>
<ds:datastoreItem xmlns:ds="http://schemas.openxmlformats.org/officeDocument/2006/customXml" ds:itemID="{7B73E1E3-4570-40C4-A37F-42D072823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Oyarzo</dc:creator>
  <cp:keywords/>
  <dc:description/>
  <cp:lastModifiedBy>Melanie Santizo Sandoval</cp:lastModifiedBy>
  <cp:revision>2</cp:revision>
  <dcterms:created xsi:type="dcterms:W3CDTF">2023-05-09T08:26:00Z</dcterms:created>
  <dcterms:modified xsi:type="dcterms:W3CDTF">2023-05-09T08:26:00Z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