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6D9" w:rsidRPr="00CF63A0" w:rsidRDefault="00CF63A0" w:rsidP="00CF63A0">
      <w:pPr>
        <w:jc w:val="center"/>
        <w:rPr>
          <w:rFonts w:ascii="Times New Roman" w:hAnsi="Times New Roman" w:cs="Times New Roman"/>
          <w:b/>
          <w:sz w:val="24"/>
          <w:szCs w:val="24"/>
          <w:u w:val="single"/>
          <w:lang w:val="en-US"/>
        </w:rPr>
      </w:pPr>
      <w:bookmarkStart w:id="0" w:name="_GoBack"/>
      <w:bookmarkEnd w:id="0"/>
      <w:r w:rsidRPr="00CF63A0">
        <w:rPr>
          <w:rFonts w:ascii="Times New Roman" w:hAnsi="Times New Roman" w:cs="Times New Roman"/>
          <w:b/>
          <w:sz w:val="24"/>
          <w:szCs w:val="24"/>
          <w:u w:val="single"/>
          <w:lang w:val="en-US"/>
        </w:rPr>
        <w:t>Republic of Armenia</w:t>
      </w:r>
    </w:p>
    <w:p w:rsidR="00CF63A0" w:rsidRPr="00CF63A0" w:rsidRDefault="00CF63A0" w:rsidP="00CF63A0">
      <w:pPr>
        <w:jc w:val="center"/>
        <w:rPr>
          <w:rFonts w:ascii="Times New Roman" w:hAnsi="Times New Roman" w:cs="Times New Roman"/>
          <w:b/>
          <w:sz w:val="24"/>
          <w:szCs w:val="24"/>
          <w:u w:val="single"/>
          <w:lang w:val="en-US"/>
        </w:rPr>
      </w:pPr>
      <w:r w:rsidRPr="00CF63A0">
        <w:rPr>
          <w:rFonts w:ascii="Times New Roman" w:hAnsi="Times New Roman" w:cs="Times New Roman"/>
          <w:b/>
          <w:sz w:val="24"/>
          <w:szCs w:val="24"/>
          <w:u w:val="single"/>
          <w:lang w:val="en-US"/>
        </w:rPr>
        <w:t xml:space="preserve">Information </w:t>
      </w:r>
      <w:r w:rsidR="00552FEE">
        <w:rPr>
          <w:rFonts w:ascii="Times New Roman" w:hAnsi="Times New Roman" w:cs="Times New Roman"/>
          <w:b/>
          <w:sz w:val="24"/>
          <w:szCs w:val="24"/>
          <w:u w:val="single"/>
          <w:lang w:val="en-US"/>
        </w:rPr>
        <w:t>submitted</w:t>
      </w:r>
      <w:r w:rsidRPr="00CF63A0">
        <w:rPr>
          <w:rFonts w:ascii="Times New Roman" w:hAnsi="Times New Roman" w:cs="Times New Roman"/>
          <w:b/>
          <w:sz w:val="24"/>
          <w:szCs w:val="24"/>
          <w:u w:val="single"/>
          <w:lang w:val="en-US"/>
        </w:rPr>
        <w:t xml:space="preserve"> for the thematic report on the legal empowerment by the UN Special Rapporteur on independence of judges and lawyers</w:t>
      </w:r>
    </w:p>
    <w:p w:rsidR="00CF63A0" w:rsidRDefault="00CF63A0" w:rsidP="00CF63A0">
      <w:pPr>
        <w:jc w:val="center"/>
        <w:rPr>
          <w:rFonts w:ascii="Times New Roman" w:hAnsi="Times New Roman" w:cs="Times New Roman"/>
          <w:b/>
          <w:sz w:val="24"/>
          <w:szCs w:val="24"/>
          <w:u w:val="single"/>
          <w:lang w:val="en-US"/>
        </w:rPr>
      </w:pPr>
    </w:p>
    <w:p w:rsidR="00F86BFF" w:rsidRDefault="00552FEE" w:rsidP="00CF63A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Comprehensive reform of judiciary is one of the key priorities for Armenia. </w:t>
      </w:r>
      <w:r w:rsidR="00F77ABC">
        <w:rPr>
          <w:rFonts w:ascii="Times New Roman" w:hAnsi="Times New Roman" w:cs="Times New Roman"/>
          <w:sz w:val="24"/>
          <w:szCs w:val="24"/>
          <w:lang w:val="en-US"/>
        </w:rPr>
        <w:t>Enhancing a</w:t>
      </w:r>
      <w:r w:rsidR="002E0C57">
        <w:rPr>
          <w:rFonts w:ascii="Times New Roman" w:hAnsi="Times New Roman" w:cs="Times New Roman"/>
          <w:sz w:val="24"/>
          <w:szCs w:val="24"/>
          <w:lang w:val="en-US"/>
        </w:rPr>
        <w:t xml:space="preserve">ccess to justice through development of alternative dispute resolution methods, regulations on free legal aid, improvement of services such as notary system, as well as </w:t>
      </w:r>
      <w:r w:rsidR="00F77ABC">
        <w:rPr>
          <w:rFonts w:ascii="Times New Roman" w:hAnsi="Times New Roman" w:cs="Times New Roman"/>
          <w:sz w:val="24"/>
          <w:szCs w:val="24"/>
          <w:lang w:val="en-US"/>
        </w:rPr>
        <w:t>electronic management of justice</w:t>
      </w:r>
      <w:r w:rsidR="00F77ABC">
        <w:rPr>
          <w:rFonts w:ascii="Times New Roman" w:hAnsi="Times New Roman" w:cs="Times New Roman"/>
          <w:sz w:val="24"/>
          <w:szCs w:val="24"/>
          <w:lang w:val="hy-AM"/>
        </w:rPr>
        <w:t>,</w:t>
      </w:r>
      <w:r w:rsidR="00F77ABC">
        <w:rPr>
          <w:rFonts w:ascii="Times New Roman" w:hAnsi="Times New Roman" w:cs="Times New Roman"/>
          <w:sz w:val="24"/>
          <w:szCs w:val="24"/>
          <w:lang w:val="en-US"/>
        </w:rPr>
        <w:t xml:space="preserve"> are important directions reflected, among others, in the 2022-2026 Strategy for Judicial and Legal reforms adopted in July 2022</w:t>
      </w:r>
      <w:r w:rsidR="006E4988">
        <w:rPr>
          <w:rStyle w:val="FootnoteReference"/>
          <w:rFonts w:ascii="Times New Roman" w:hAnsi="Times New Roman" w:cs="Times New Roman"/>
          <w:sz w:val="24"/>
          <w:szCs w:val="24"/>
          <w:lang w:val="en-US"/>
        </w:rPr>
        <w:footnoteReference w:id="1"/>
      </w:r>
      <w:r w:rsidR="00F77ABC">
        <w:rPr>
          <w:rFonts w:ascii="Times New Roman" w:hAnsi="Times New Roman" w:cs="Times New Roman"/>
          <w:sz w:val="24"/>
          <w:szCs w:val="24"/>
          <w:lang w:val="en-US"/>
        </w:rPr>
        <w:t>.</w:t>
      </w:r>
    </w:p>
    <w:p w:rsidR="00CF63A0" w:rsidRDefault="00FC7B5D" w:rsidP="00CF63A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Armenia also attaches significant importance to multilateral efforts for legal empowerment of people. In the framework of the Summit for Democracy Armenia joined the Call to Action on the Rule of Law and people centered justice putting forward the following commitments: </w:t>
      </w:r>
    </w:p>
    <w:p w:rsidR="00FC7B5D" w:rsidRDefault="00FC7B5D" w:rsidP="00FC7B5D">
      <w:pPr>
        <w:pStyle w:val="ListParagraph"/>
        <w:numPr>
          <w:ilvl w:val="0"/>
          <w:numId w:val="1"/>
        </w:numPr>
        <w:jc w:val="both"/>
        <w:rPr>
          <w:rFonts w:ascii="Times New Roman" w:hAnsi="Times New Roman" w:cs="Times New Roman"/>
          <w:sz w:val="24"/>
          <w:szCs w:val="24"/>
          <w:lang w:val="en-US"/>
        </w:rPr>
      </w:pPr>
      <w:r w:rsidRPr="00FC7B5D">
        <w:rPr>
          <w:rFonts w:ascii="Times New Roman" w:hAnsi="Times New Roman" w:cs="Times New Roman"/>
          <w:sz w:val="24"/>
          <w:szCs w:val="24"/>
          <w:lang w:val="en-US"/>
        </w:rPr>
        <w:t>Armenia is committed to continue reforms to reduce the workload of judges, thereby ensuring equal access to justice and creating a people-centered judicial system.</w:t>
      </w:r>
    </w:p>
    <w:p w:rsidR="00FC7B5D" w:rsidRDefault="00FC7B5D" w:rsidP="00FC7B5D">
      <w:pPr>
        <w:pStyle w:val="ListParagraph"/>
        <w:numPr>
          <w:ilvl w:val="0"/>
          <w:numId w:val="1"/>
        </w:numPr>
        <w:jc w:val="both"/>
        <w:rPr>
          <w:rFonts w:ascii="Times New Roman" w:hAnsi="Times New Roman" w:cs="Times New Roman"/>
          <w:sz w:val="24"/>
          <w:szCs w:val="24"/>
          <w:lang w:val="en-US"/>
        </w:rPr>
      </w:pPr>
      <w:r w:rsidRPr="00FC7B5D">
        <w:rPr>
          <w:rFonts w:ascii="Times New Roman" w:hAnsi="Times New Roman" w:cs="Times New Roman"/>
          <w:sz w:val="24"/>
          <w:szCs w:val="24"/>
          <w:lang w:val="en-US"/>
        </w:rPr>
        <w:t>Armenia will continue to promote access to justice by improving alternative mechanisms for dispute</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resolution-including</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mediation</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and</w:t>
      </w:r>
      <w:r>
        <w:rPr>
          <w:rFonts w:ascii="Times New Roman" w:hAnsi="Times New Roman" w:cs="Times New Roman"/>
          <w:sz w:val="24"/>
          <w:szCs w:val="24"/>
          <w:lang w:val="en-US"/>
        </w:rPr>
        <w:t xml:space="preserve"> arbitration.</w:t>
      </w:r>
    </w:p>
    <w:p w:rsidR="00FC7B5D" w:rsidRDefault="00FC7B5D" w:rsidP="00FC7B5D">
      <w:pPr>
        <w:pStyle w:val="ListParagraph"/>
        <w:numPr>
          <w:ilvl w:val="0"/>
          <w:numId w:val="1"/>
        </w:numPr>
        <w:jc w:val="both"/>
        <w:rPr>
          <w:rFonts w:ascii="Times New Roman" w:hAnsi="Times New Roman" w:cs="Times New Roman"/>
          <w:sz w:val="24"/>
          <w:szCs w:val="24"/>
          <w:lang w:val="en-US"/>
        </w:rPr>
      </w:pPr>
      <w:r w:rsidRPr="00FC7B5D">
        <w:rPr>
          <w:rFonts w:ascii="Times New Roman" w:hAnsi="Times New Roman" w:cs="Times New Roman"/>
          <w:sz w:val="24"/>
          <w:szCs w:val="24"/>
          <w:lang w:val="en-US"/>
        </w:rPr>
        <w:t>Armenia</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will</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continue</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its</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efforts</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improve</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integrity</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check</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mechanisms</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all</w:t>
      </w:r>
      <w:r>
        <w:rPr>
          <w:rFonts w:ascii="Times New Roman" w:hAnsi="Times New Roman" w:cs="Times New Roman"/>
          <w:sz w:val="24"/>
          <w:szCs w:val="24"/>
          <w:lang w:val="en-US"/>
        </w:rPr>
        <w:t xml:space="preserve"> judges.</w:t>
      </w:r>
    </w:p>
    <w:p w:rsidR="00FC7B5D" w:rsidRDefault="00FC7B5D" w:rsidP="00FC7B5D">
      <w:pPr>
        <w:pStyle w:val="ListParagraph"/>
        <w:numPr>
          <w:ilvl w:val="0"/>
          <w:numId w:val="1"/>
        </w:numPr>
        <w:jc w:val="both"/>
        <w:rPr>
          <w:rFonts w:ascii="Times New Roman" w:hAnsi="Times New Roman" w:cs="Times New Roman"/>
          <w:sz w:val="24"/>
          <w:szCs w:val="24"/>
          <w:lang w:val="en-US"/>
        </w:rPr>
      </w:pPr>
      <w:r w:rsidRPr="00FC7B5D">
        <w:rPr>
          <w:rFonts w:ascii="Times New Roman" w:hAnsi="Times New Roman" w:cs="Times New Roman"/>
          <w:sz w:val="24"/>
          <w:szCs w:val="24"/>
          <w:lang w:val="en-US"/>
        </w:rPr>
        <w:t>Armenia</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maintains</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its</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commitment</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strengthen</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cooperation</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with</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partners</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at</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national and</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international</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level</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further</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promotion</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people-centered</w:t>
      </w:r>
      <w:r>
        <w:rPr>
          <w:rFonts w:ascii="Times New Roman" w:hAnsi="Times New Roman" w:cs="Times New Roman"/>
          <w:sz w:val="24"/>
          <w:szCs w:val="24"/>
          <w:lang w:val="en-US"/>
        </w:rPr>
        <w:t xml:space="preserve"> </w:t>
      </w:r>
      <w:r w:rsidRPr="00FC7B5D">
        <w:rPr>
          <w:rFonts w:ascii="Times New Roman" w:hAnsi="Times New Roman" w:cs="Times New Roman"/>
          <w:sz w:val="24"/>
          <w:szCs w:val="24"/>
          <w:lang w:val="en-US"/>
        </w:rPr>
        <w:t>justice.</w:t>
      </w:r>
    </w:p>
    <w:p w:rsidR="00FC7B5D" w:rsidRDefault="00FC7B5D" w:rsidP="00FC7B5D">
      <w:pPr>
        <w:jc w:val="both"/>
        <w:rPr>
          <w:rFonts w:ascii="Times New Roman" w:hAnsi="Times New Roman" w:cs="Times New Roman"/>
          <w:sz w:val="24"/>
          <w:szCs w:val="24"/>
          <w:lang w:val="hy-AM"/>
        </w:rPr>
      </w:pPr>
    </w:p>
    <w:p w:rsidR="00322356" w:rsidRDefault="00C01E18" w:rsidP="00FC7B5D">
      <w:pPr>
        <w:jc w:val="both"/>
        <w:rPr>
          <w:rFonts w:ascii="Times New Roman" w:hAnsi="Times New Roman" w:cs="Times New Roman"/>
          <w:sz w:val="24"/>
          <w:szCs w:val="24"/>
          <w:lang w:val="en-US"/>
        </w:rPr>
      </w:pPr>
      <w:r>
        <w:rPr>
          <w:rFonts w:ascii="Times New Roman" w:hAnsi="Times New Roman" w:cs="Times New Roman"/>
          <w:sz w:val="24"/>
          <w:szCs w:val="24"/>
          <w:lang w:val="en-US"/>
        </w:rPr>
        <w:t>At domestic level t</w:t>
      </w:r>
      <w:r w:rsidRPr="00C01E18">
        <w:rPr>
          <w:rFonts w:ascii="Times New Roman" w:hAnsi="Times New Roman" w:cs="Times New Roman"/>
          <w:sz w:val="24"/>
          <w:szCs w:val="24"/>
          <w:lang w:val="en-US"/>
        </w:rPr>
        <w:t>he implementation of the actions envisaged by the 2022-2026 Strategy was negatively affected by the emergency due to coronavirus disease and the subsequent announcement of quarantine and application of restrictions, as well as the 44-day war of 2020</w:t>
      </w:r>
      <w:r>
        <w:rPr>
          <w:rFonts w:ascii="Times New Roman" w:hAnsi="Times New Roman" w:cs="Times New Roman"/>
          <w:sz w:val="24"/>
          <w:szCs w:val="24"/>
          <w:lang w:val="en-US"/>
        </w:rPr>
        <w:t xml:space="preserve"> launched by Azerbaijan against people of Nagorno-Karabakh</w:t>
      </w:r>
      <w:r w:rsidRPr="00C01E18">
        <w:rPr>
          <w:rFonts w:ascii="Times New Roman" w:hAnsi="Times New Roman" w:cs="Times New Roman"/>
          <w:sz w:val="24"/>
          <w:szCs w:val="24"/>
          <w:lang w:val="en-US"/>
        </w:rPr>
        <w:t>,</w:t>
      </w:r>
      <w:r>
        <w:rPr>
          <w:rFonts w:ascii="Times New Roman" w:hAnsi="Times New Roman" w:cs="Times New Roman"/>
          <w:sz w:val="24"/>
          <w:szCs w:val="24"/>
          <w:lang w:val="en-US"/>
        </w:rPr>
        <w:t xml:space="preserve"> as well as subsequent aggression against the territory of Armenia</w:t>
      </w:r>
      <w:r w:rsidR="00C95E48">
        <w:rPr>
          <w:rFonts w:ascii="Times New Roman" w:hAnsi="Times New Roman" w:cs="Times New Roman"/>
          <w:sz w:val="24"/>
          <w:szCs w:val="24"/>
          <w:lang w:val="en-US"/>
        </w:rPr>
        <w:t xml:space="preserve"> which resulted in </w:t>
      </w:r>
      <w:r w:rsidRPr="00C01E18">
        <w:rPr>
          <w:rFonts w:ascii="Times New Roman" w:hAnsi="Times New Roman" w:cs="Times New Roman"/>
          <w:sz w:val="24"/>
          <w:szCs w:val="24"/>
          <w:lang w:val="en-US"/>
        </w:rPr>
        <w:t>disruption of normal functioning of state institutions and the impossibility of cooperation between different stakeholders.</w:t>
      </w:r>
      <w:r w:rsidR="00322356">
        <w:rPr>
          <w:rFonts w:ascii="Times New Roman" w:hAnsi="Times New Roman" w:cs="Times New Roman"/>
          <w:sz w:val="24"/>
          <w:szCs w:val="24"/>
          <w:lang w:val="hy-AM"/>
        </w:rPr>
        <w:t xml:space="preserve"> </w:t>
      </w:r>
      <w:r w:rsidR="00322356">
        <w:rPr>
          <w:rFonts w:ascii="Times New Roman" w:hAnsi="Times New Roman" w:cs="Times New Roman"/>
          <w:sz w:val="24"/>
          <w:szCs w:val="24"/>
          <w:lang w:val="en-US"/>
        </w:rPr>
        <w:t>Despite those impediments</w:t>
      </w:r>
      <w:r w:rsidR="00F86BFF">
        <w:rPr>
          <w:rFonts w:ascii="Times New Roman" w:hAnsi="Times New Roman" w:cs="Times New Roman"/>
          <w:sz w:val="24"/>
          <w:szCs w:val="24"/>
          <w:lang w:val="en-US"/>
        </w:rPr>
        <w:t>,</w:t>
      </w:r>
      <w:r w:rsidR="00322356">
        <w:rPr>
          <w:rFonts w:ascii="Times New Roman" w:hAnsi="Times New Roman" w:cs="Times New Roman"/>
          <w:sz w:val="24"/>
          <w:szCs w:val="24"/>
          <w:lang w:val="hy-AM"/>
        </w:rPr>
        <w:t xml:space="preserve"> </w:t>
      </w:r>
      <w:r w:rsidR="00322356">
        <w:rPr>
          <w:rFonts w:ascii="Times New Roman" w:hAnsi="Times New Roman" w:cs="Times New Roman"/>
          <w:sz w:val="24"/>
          <w:szCs w:val="24"/>
          <w:lang w:val="en-US"/>
        </w:rPr>
        <w:t>the Strategy guide</w:t>
      </w:r>
      <w:r w:rsidR="00F86BFF">
        <w:rPr>
          <w:rFonts w:ascii="Times New Roman" w:hAnsi="Times New Roman" w:cs="Times New Roman"/>
          <w:sz w:val="24"/>
          <w:szCs w:val="24"/>
          <w:lang w:val="en-US"/>
        </w:rPr>
        <w:t>s</w:t>
      </w:r>
      <w:r w:rsidR="00322356">
        <w:rPr>
          <w:rFonts w:ascii="Times New Roman" w:hAnsi="Times New Roman" w:cs="Times New Roman"/>
          <w:sz w:val="24"/>
          <w:szCs w:val="24"/>
          <w:lang w:val="en-US"/>
        </w:rPr>
        <w:t xml:space="preserve"> main policy areas for comprehensive reform of justice and sets the main objectives and principles that will inter alia contribute to overall legal empowerment at institutional and operational level. </w:t>
      </w:r>
    </w:p>
    <w:p w:rsidR="00C01E18" w:rsidRDefault="00322356" w:rsidP="00FC7B5D">
      <w:pPr>
        <w:jc w:val="both"/>
        <w:rPr>
          <w:rFonts w:ascii="Times New Roman" w:hAnsi="Times New Roman" w:cs="Times New Roman"/>
          <w:sz w:val="24"/>
          <w:szCs w:val="24"/>
          <w:lang w:val="en-US"/>
        </w:rPr>
      </w:pPr>
      <w:r>
        <w:rPr>
          <w:rFonts w:ascii="Times New Roman" w:hAnsi="Times New Roman" w:cs="Times New Roman"/>
          <w:sz w:val="24"/>
          <w:szCs w:val="24"/>
          <w:lang w:val="en-US"/>
        </w:rPr>
        <w:t>Establishment of unified “E-Justice” management system and ensuring the actability of electronic databases includes creation</w:t>
      </w:r>
      <w:r w:rsidRPr="00322356">
        <w:rPr>
          <w:rFonts w:ascii="Times New Roman" w:hAnsi="Times New Roman" w:cs="Times New Roman"/>
          <w:sz w:val="24"/>
          <w:szCs w:val="24"/>
          <w:lang w:val="en-US"/>
        </w:rPr>
        <w:t xml:space="preserve"> of the unified “e-court” and “e-justice” systems</w:t>
      </w:r>
      <w:r>
        <w:rPr>
          <w:rFonts w:ascii="Times New Roman" w:hAnsi="Times New Roman" w:cs="Times New Roman"/>
          <w:sz w:val="24"/>
          <w:szCs w:val="24"/>
          <w:lang w:val="en-US"/>
        </w:rPr>
        <w:t xml:space="preserve"> which also foresees </w:t>
      </w:r>
      <w:r w:rsidRPr="00322356">
        <w:rPr>
          <w:rFonts w:ascii="Times New Roman" w:hAnsi="Times New Roman" w:cs="Times New Roman"/>
          <w:sz w:val="24"/>
          <w:szCs w:val="24"/>
          <w:lang w:val="en-US"/>
        </w:rPr>
        <w:t xml:space="preserve">the introduction of an electronic platform by ensuring the official correspondence online, electronic documents circulation between all participants of the case, as well as creation of an opportunity for natural and legal persons for contacting state bodies online, submitting applications, complaints, and other documents thereto, </w:t>
      </w:r>
      <w:r w:rsidR="003C6B46">
        <w:rPr>
          <w:rFonts w:ascii="Times New Roman" w:hAnsi="Times New Roman" w:cs="Times New Roman"/>
          <w:sz w:val="24"/>
          <w:szCs w:val="24"/>
          <w:lang w:val="en-US"/>
        </w:rPr>
        <w:t xml:space="preserve">and, </w:t>
      </w:r>
      <w:r w:rsidRPr="00322356">
        <w:rPr>
          <w:rFonts w:ascii="Times New Roman" w:hAnsi="Times New Roman" w:cs="Times New Roman"/>
          <w:sz w:val="24"/>
          <w:szCs w:val="24"/>
          <w:lang w:val="en-US"/>
        </w:rPr>
        <w:t xml:space="preserve">in addition, creation of an opportunity of tracking the </w:t>
      </w:r>
      <w:r w:rsidR="003C6B46">
        <w:rPr>
          <w:rFonts w:ascii="Times New Roman" w:hAnsi="Times New Roman" w:cs="Times New Roman"/>
          <w:sz w:val="24"/>
          <w:szCs w:val="24"/>
          <w:lang w:val="en-US"/>
        </w:rPr>
        <w:t xml:space="preserve">status of the case online. </w:t>
      </w:r>
    </w:p>
    <w:p w:rsidR="00F86BFF" w:rsidRDefault="00F86BFF" w:rsidP="00FC7B5D">
      <w:pPr>
        <w:jc w:val="both"/>
        <w:rPr>
          <w:rFonts w:ascii="Times New Roman" w:hAnsi="Times New Roman" w:cs="Times New Roman"/>
          <w:sz w:val="24"/>
          <w:szCs w:val="24"/>
          <w:lang w:val="en-US"/>
        </w:rPr>
      </w:pPr>
    </w:p>
    <w:p w:rsidR="00C95E48" w:rsidRDefault="00F86BFF" w:rsidP="00FC7B5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important direction is application of transitional justice toolkits to detect systematic human rights violations through fact-finding activities. </w:t>
      </w:r>
      <w:r w:rsidRPr="00F86BFF">
        <w:rPr>
          <w:rFonts w:ascii="Times New Roman" w:hAnsi="Times New Roman" w:cs="Times New Roman"/>
          <w:sz w:val="24"/>
          <w:szCs w:val="24"/>
          <w:lang w:val="en-US"/>
        </w:rPr>
        <w:t>The guiding principle for introduction and implementation of transitional justice toolkit should be the compliance of these processes with the Constitution of the Republic of Armenia, the laws and the international obligations assumed by the Republic of Armenia, and as a result of which it will be possible to ensure their adequacy, legality and efficiency.</w:t>
      </w:r>
    </w:p>
    <w:p w:rsidR="00F86BFF" w:rsidRDefault="00F86BFF" w:rsidP="00FC7B5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Strategy also </w:t>
      </w:r>
      <w:proofErr w:type="spellStart"/>
      <w:r>
        <w:rPr>
          <w:rFonts w:ascii="Times New Roman" w:hAnsi="Times New Roman" w:cs="Times New Roman"/>
          <w:sz w:val="24"/>
          <w:szCs w:val="24"/>
          <w:lang w:val="en-US"/>
        </w:rPr>
        <w:t>prioritises</w:t>
      </w:r>
      <w:proofErr w:type="spellEnd"/>
      <w:r>
        <w:rPr>
          <w:rFonts w:ascii="Times New Roman" w:hAnsi="Times New Roman" w:cs="Times New Roman"/>
          <w:sz w:val="24"/>
          <w:szCs w:val="24"/>
          <w:lang w:val="en-US"/>
        </w:rPr>
        <w:t xml:space="preserve"> such areas as</w:t>
      </w:r>
      <w:r w:rsidR="0011724B">
        <w:rPr>
          <w:rFonts w:ascii="Times New Roman" w:hAnsi="Times New Roman" w:cs="Times New Roman"/>
          <w:sz w:val="24"/>
          <w:szCs w:val="24"/>
          <w:lang w:val="en-US"/>
        </w:rPr>
        <w:t xml:space="preserve"> development of democratic institutions, </w:t>
      </w:r>
      <w:r w:rsidR="00AD3156" w:rsidRPr="00AD3156">
        <w:rPr>
          <w:rFonts w:ascii="Times New Roman" w:hAnsi="Times New Roman" w:cs="Times New Roman"/>
          <w:sz w:val="24"/>
          <w:szCs w:val="24"/>
          <w:lang w:val="en-US"/>
        </w:rPr>
        <w:t>Ensuring the continuity of judicial system reforms</w:t>
      </w:r>
      <w:r w:rsidR="00AD3156">
        <w:rPr>
          <w:rFonts w:ascii="Times New Roman" w:hAnsi="Times New Roman" w:cs="Times New Roman"/>
          <w:sz w:val="24"/>
          <w:szCs w:val="24"/>
          <w:lang w:val="en-US"/>
        </w:rPr>
        <w:t>, reforms of criminal law, civil code and civil procedure legislation,</w:t>
      </w:r>
      <w:r w:rsidR="00AD3156" w:rsidRPr="00AD3156">
        <w:t xml:space="preserve"> </w:t>
      </w:r>
      <w:r w:rsidR="00AD3156" w:rsidRPr="00AD3156">
        <w:rPr>
          <w:rFonts w:ascii="Times New Roman" w:hAnsi="Times New Roman" w:cs="Times New Roman"/>
          <w:sz w:val="24"/>
          <w:szCs w:val="24"/>
          <w:lang w:val="en-US"/>
        </w:rPr>
        <w:t xml:space="preserve">administrative </w:t>
      </w:r>
      <w:r w:rsidR="00AD3156">
        <w:rPr>
          <w:rFonts w:ascii="Times New Roman" w:hAnsi="Times New Roman" w:cs="Times New Roman"/>
          <w:sz w:val="24"/>
          <w:szCs w:val="24"/>
          <w:lang w:val="en-US"/>
        </w:rPr>
        <w:t>code</w:t>
      </w:r>
      <w:r w:rsidR="00AD3156" w:rsidRPr="00AD3156">
        <w:rPr>
          <w:rFonts w:ascii="Times New Roman" w:hAnsi="Times New Roman" w:cs="Times New Roman"/>
          <w:sz w:val="24"/>
          <w:szCs w:val="24"/>
          <w:lang w:val="en-US"/>
        </w:rPr>
        <w:t xml:space="preserve"> and administrative procedure legislation</w:t>
      </w:r>
      <w:r w:rsidR="00AD3156">
        <w:rPr>
          <w:rFonts w:ascii="Times New Roman" w:hAnsi="Times New Roman" w:cs="Times New Roman"/>
          <w:sz w:val="24"/>
          <w:szCs w:val="24"/>
          <w:lang w:val="en-US"/>
        </w:rPr>
        <w:t xml:space="preserve">, bankruptcy sector reforms, reforms of compulsory enforcement system etc. </w:t>
      </w:r>
    </w:p>
    <w:p w:rsidR="004801DC" w:rsidRDefault="00AD3156" w:rsidP="00FC7B5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the perspective of legal empowerment, the national measures on comprehensive system of legal aid are particularly important. </w:t>
      </w:r>
      <w:r w:rsidR="004801DC" w:rsidRPr="004801DC">
        <w:rPr>
          <w:rFonts w:ascii="Times New Roman" w:hAnsi="Times New Roman" w:cs="Times New Roman"/>
          <w:sz w:val="24"/>
          <w:szCs w:val="24"/>
          <w:lang w:val="en-US"/>
        </w:rPr>
        <w:t>In the context of legal assistance, emphasis is placed on elaborating mechanisms for making it available to the people in need, wherein the most common types are the state-guaranteed free legal support and the voluntary free aid provided by the advocates themselves.</w:t>
      </w:r>
      <w:r w:rsidR="004801DC">
        <w:rPr>
          <w:rFonts w:ascii="Times New Roman" w:hAnsi="Times New Roman" w:cs="Times New Roman"/>
          <w:sz w:val="24"/>
          <w:szCs w:val="24"/>
          <w:lang w:val="en-US"/>
        </w:rPr>
        <w:t xml:space="preserve"> </w:t>
      </w:r>
    </w:p>
    <w:p w:rsidR="00AD3156" w:rsidRDefault="004801DC" w:rsidP="00FC7B5D">
      <w:pPr>
        <w:jc w:val="both"/>
        <w:rPr>
          <w:rFonts w:ascii="Times New Roman" w:hAnsi="Times New Roman" w:cs="Times New Roman"/>
          <w:sz w:val="24"/>
          <w:szCs w:val="24"/>
          <w:lang w:val="en-US"/>
        </w:rPr>
      </w:pPr>
      <w:r w:rsidRPr="004801DC">
        <w:rPr>
          <w:rFonts w:ascii="Times New Roman" w:hAnsi="Times New Roman" w:cs="Times New Roman"/>
          <w:sz w:val="24"/>
          <w:szCs w:val="24"/>
          <w:lang w:val="en-US"/>
        </w:rPr>
        <w:t>The role and importance of the public defender’s institution is crucial in terms of the constitutional right of people to legal support. Several amendments have been made to the Law on Advocacy aimed at increasing the scope of people eligible for free legal aid. Nevertheless, the scope of beneficiaries still needs to be revised periodically, since there are people in other groups who could be also included into the list of the free legal aid beneficiaries. In this respect, it is worthwhile including the following people into this list:</w:t>
      </w:r>
    </w:p>
    <w:p w:rsidR="004801DC" w:rsidRPr="004801DC" w:rsidRDefault="004801DC" w:rsidP="004801DC">
      <w:pPr>
        <w:jc w:val="both"/>
        <w:rPr>
          <w:rFonts w:ascii="Times New Roman" w:hAnsi="Times New Roman" w:cs="Times New Roman"/>
          <w:sz w:val="24"/>
          <w:szCs w:val="24"/>
          <w:lang w:val="en-US"/>
        </w:rPr>
      </w:pPr>
      <w:r w:rsidRPr="004801DC">
        <w:rPr>
          <w:rFonts w:ascii="Times New Roman" w:hAnsi="Times New Roman" w:cs="Times New Roman"/>
          <w:sz w:val="24"/>
          <w:szCs w:val="24"/>
          <w:lang w:val="en-US"/>
        </w:rPr>
        <w:t>Foreigners, for appealing against the deportation decision,</w:t>
      </w:r>
    </w:p>
    <w:p w:rsidR="004801DC" w:rsidRPr="004801DC" w:rsidRDefault="004801DC" w:rsidP="004801DC">
      <w:pPr>
        <w:jc w:val="both"/>
        <w:rPr>
          <w:rFonts w:ascii="Times New Roman" w:hAnsi="Times New Roman" w:cs="Times New Roman"/>
          <w:sz w:val="24"/>
          <w:szCs w:val="24"/>
          <w:lang w:val="en-US"/>
        </w:rPr>
      </w:pPr>
      <w:r w:rsidRPr="004801DC">
        <w:rPr>
          <w:rFonts w:ascii="Times New Roman" w:hAnsi="Times New Roman" w:cs="Times New Roman"/>
          <w:sz w:val="24"/>
          <w:szCs w:val="24"/>
          <w:lang w:val="en-US"/>
        </w:rPr>
        <w:t>● Proceedings initiated against persons on recognizing them as having no or limited active legal capacity, recognizing the citizen previously declared as incapable as a person having active legal capacity or removing the citizen’s limitations on active legal capacity,</w:t>
      </w:r>
    </w:p>
    <w:p w:rsidR="004801DC" w:rsidRDefault="004801DC" w:rsidP="004801DC">
      <w:pPr>
        <w:jc w:val="both"/>
        <w:rPr>
          <w:rFonts w:ascii="Times New Roman" w:hAnsi="Times New Roman" w:cs="Times New Roman"/>
          <w:sz w:val="24"/>
          <w:szCs w:val="24"/>
          <w:lang w:val="en-US"/>
        </w:rPr>
      </w:pPr>
      <w:r w:rsidRPr="004801DC">
        <w:rPr>
          <w:rFonts w:ascii="Times New Roman" w:hAnsi="Times New Roman" w:cs="Times New Roman"/>
          <w:sz w:val="24"/>
          <w:szCs w:val="24"/>
          <w:lang w:val="en-US"/>
        </w:rPr>
        <w:t>● Victims if the latter is a juvenile or serving the compulsory military service.</w:t>
      </w:r>
    </w:p>
    <w:p w:rsidR="004801DC" w:rsidRPr="00B63790" w:rsidRDefault="004801DC" w:rsidP="004801DC">
      <w:pPr>
        <w:jc w:val="both"/>
        <w:rPr>
          <w:rFonts w:ascii="Times New Roman" w:hAnsi="Times New Roman" w:cs="Times New Roman"/>
          <w:sz w:val="24"/>
          <w:szCs w:val="24"/>
          <w:lang w:val="hy-AM"/>
        </w:rPr>
      </w:pPr>
      <w:r w:rsidRPr="004801DC">
        <w:rPr>
          <w:rFonts w:ascii="Times New Roman" w:hAnsi="Times New Roman" w:cs="Times New Roman"/>
          <w:sz w:val="24"/>
          <w:szCs w:val="24"/>
          <w:lang w:val="en-US"/>
        </w:rPr>
        <w:t>The constitutional right to receive free legal assistance in the Republic of Armenia is ensured only through the Public Defender's Office of the Chamber of Advocates.</w:t>
      </w:r>
      <w:r>
        <w:rPr>
          <w:rFonts w:ascii="Times New Roman" w:hAnsi="Times New Roman" w:cs="Times New Roman"/>
          <w:sz w:val="24"/>
          <w:szCs w:val="24"/>
          <w:lang w:val="en-US"/>
        </w:rPr>
        <w:t xml:space="preserve"> In this regard there is a need to increase </w:t>
      </w:r>
      <w:r w:rsidRPr="004801DC">
        <w:rPr>
          <w:rFonts w:ascii="Times New Roman" w:hAnsi="Times New Roman" w:cs="Times New Roman"/>
          <w:sz w:val="24"/>
          <w:szCs w:val="24"/>
          <w:lang w:val="en-US"/>
        </w:rPr>
        <w:t>the</w:t>
      </w:r>
      <w:r>
        <w:rPr>
          <w:rFonts w:ascii="Times New Roman" w:hAnsi="Times New Roman" w:cs="Times New Roman"/>
          <w:sz w:val="24"/>
          <w:szCs w:val="24"/>
          <w:lang w:val="en-US"/>
        </w:rPr>
        <w:t xml:space="preserve"> number of</w:t>
      </w:r>
      <w:r w:rsidRPr="004801DC">
        <w:rPr>
          <w:rFonts w:ascii="Times New Roman" w:hAnsi="Times New Roman" w:cs="Times New Roman"/>
          <w:sz w:val="24"/>
          <w:szCs w:val="24"/>
          <w:lang w:val="en-US"/>
        </w:rPr>
        <w:t xml:space="preserve"> officers of the public defender's office</w:t>
      </w:r>
      <w:r>
        <w:rPr>
          <w:rFonts w:ascii="Times New Roman" w:hAnsi="Times New Roman" w:cs="Times New Roman"/>
          <w:sz w:val="24"/>
          <w:szCs w:val="24"/>
          <w:lang w:val="en-US"/>
        </w:rPr>
        <w:t>. Another important strategic directions of work are d</w:t>
      </w:r>
      <w:r w:rsidRPr="004801DC">
        <w:rPr>
          <w:rFonts w:ascii="Times New Roman" w:hAnsi="Times New Roman" w:cs="Times New Roman"/>
          <w:sz w:val="24"/>
          <w:szCs w:val="24"/>
          <w:lang w:val="en-US"/>
        </w:rPr>
        <w:t>evelopment of regulations for providing pro bono legal aid</w:t>
      </w:r>
      <w:r>
        <w:rPr>
          <w:rFonts w:ascii="Times New Roman" w:hAnsi="Times New Roman" w:cs="Times New Roman"/>
          <w:sz w:val="24"/>
          <w:szCs w:val="24"/>
          <w:lang w:val="en-US"/>
        </w:rPr>
        <w:t xml:space="preserve"> and r</w:t>
      </w:r>
      <w:r w:rsidRPr="004801DC">
        <w:rPr>
          <w:rFonts w:ascii="Times New Roman" w:hAnsi="Times New Roman" w:cs="Times New Roman"/>
          <w:sz w:val="24"/>
          <w:szCs w:val="24"/>
          <w:lang w:val="en-US"/>
        </w:rPr>
        <w:t>evising professional training procedures for advocates</w:t>
      </w:r>
      <w:r>
        <w:rPr>
          <w:rFonts w:ascii="Times New Roman" w:hAnsi="Times New Roman" w:cs="Times New Roman"/>
          <w:sz w:val="24"/>
          <w:szCs w:val="24"/>
          <w:lang w:val="en-US"/>
        </w:rPr>
        <w:t>.</w:t>
      </w:r>
      <w:r w:rsidR="007A4936" w:rsidRPr="007A4936">
        <w:t xml:space="preserve"> </w:t>
      </w:r>
      <w:r w:rsidR="007A4936" w:rsidRPr="007A4936">
        <w:rPr>
          <w:rFonts w:ascii="Times New Roman" w:hAnsi="Times New Roman" w:cs="Times New Roman"/>
          <w:sz w:val="24"/>
          <w:szCs w:val="24"/>
          <w:lang w:val="en-US"/>
        </w:rPr>
        <w:t xml:space="preserve">At the same time, methods of encouragement are </w:t>
      </w:r>
      <w:proofErr w:type="spellStart"/>
      <w:r w:rsidR="007A4936" w:rsidRPr="007A4936">
        <w:rPr>
          <w:rFonts w:ascii="Times New Roman" w:hAnsi="Times New Roman" w:cs="Times New Roman"/>
          <w:sz w:val="24"/>
          <w:szCs w:val="24"/>
          <w:lang w:val="en-US"/>
        </w:rPr>
        <w:t>forseen</w:t>
      </w:r>
      <w:proofErr w:type="spellEnd"/>
      <w:r w:rsidR="007A4936" w:rsidRPr="007A4936">
        <w:rPr>
          <w:rFonts w:ascii="Times New Roman" w:hAnsi="Times New Roman" w:cs="Times New Roman"/>
          <w:sz w:val="24"/>
          <w:szCs w:val="24"/>
          <w:lang w:val="en-US"/>
        </w:rPr>
        <w:t xml:space="preserve"> for the lawyers, who provide voluntary free legal aid to individuals</w:t>
      </w:r>
      <w:r w:rsidR="007A4936">
        <w:rPr>
          <w:rFonts w:ascii="Times New Roman" w:hAnsi="Times New Roman" w:cs="Times New Roman"/>
          <w:sz w:val="24"/>
          <w:szCs w:val="24"/>
          <w:lang w:val="en-US"/>
        </w:rPr>
        <w:t xml:space="preserve">. </w:t>
      </w:r>
    </w:p>
    <w:p w:rsidR="00AD3156" w:rsidRPr="00C01E18" w:rsidRDefault="00AD3156" w:rsidP="00FC7B5D">
      <w:pPr>
        <w:jc w:val="both"/>
        <w:rPr>
          <w:rFonts w:ascii="Times New Roman" w:hAnsi="Times New Roman" w:cs="Times New Roman"/>
          <w:sz w:val="24"/>
          <w:szCs w:val="24"/>
          <w:lang w:val="en-US"/>
        </w:rPr>
      </w:pPr>
    </w:p>
    <w:sectPr w:rsidR="00AD3156" w:rsidRPr="00C01E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965" w:rsidRDefault="00266965" w:rsidP="006E4988">
      <w:pPr>
        <w:spacing w:after="0" w:line="240" w:lineRule="auto"/>
      </w:pPr>
      <w:r>
        <w:separator/>
      </w:r>
    </w:p>
  </w:endnote>
  <w:endnote w:type="continuationSeparator" w:id="0">
    <w:p w:rsidR="00266965" w:rsidRDefault="00266965" w:rsidP="006E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965" w:rsidRDefault="00266965" w:rsidP="006E4988">
      <w:pPr>
        <w:spacing w:after="0" w:line="240" w:lineRule="auto"/>
      </w:pPr>
      <w:r>
        <w:separator/>
      </w:r>
    </w:p>
  </w:footnote>
  <w:footnote w:type="continuationSeparator" w:id="0">
    <w:p w:rsidR="00266965" w:rsidRDefault="00266965" w:rsidP="006E4988">
      <w:pPr>
        <w:spacing w:after="0" w:line="240" w:lineRule="auto"/>
      </w:pPr>
      <w:r>
        <w:continuationSeparator/>
      </w:r>
    </w:p>
  </w:footnote>
  <w:footnote w:id="1">
    <w:p w:rsidR="006E4988" w:rsidRPr="006E4988" w:rsidRDefault="006E4988">
      <w:pPr>
        <w:pStyle w:val="FootnoteText"/>
        <w:rPr>
          <w:lang w:val="en-US"/>
        </w:rPr>
      </w:pPr>
      <w:r>
        <w:rPr>
          <w:rStyle w:val="FootnoteReference"/>
        </w:rPr>
        <w:footnoteRef/>
      </w:r>
      <w:r>
        <w:t xml:space="preserve"> </w:t>
      </w:r>
      <w:r w:rsidRPr="006E4988">
        <w:t>www.moj.am/storage/uploads/Strategy_Final_ENG.pd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05EA9"/>
    <w:multiLevelType w:val="hybridMultilevel"/>
    <w:tmpl w:val="9F54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BA"/>
    <w:rsid w:val="0011724B"/>
    <w:rsid w:val="00266965"/>
    <w:rsid w:val="002E0C57"/>
    <w:rsid w:val="00322356"/>
    <w:rsid w:val="003C6B46"/>
    <w:rsid w:val="004801DC"/>
    <w:rsid w:val="00552FEE"/>
    <w:rsid w:val="006E4988"/>
    <w:rsid w:val="00766CB6"/>
    <w:rsid w:val="007A4936"/>
    <w:rsid w:val="007B7835"/>
    <w:rsid w:val="009457A8"/>
    <w:rsid w:val="00AD3156"/>
    <w:rsid w:val="00B326BA"/>
    <w:rsid w:val="00B63790"/>
    <w:rsid w:val="00BC1D27"/>
    <w:rsid w:val="00C01E18"/>
    <w:rsid w:val="00C466B8"/>
    <w:rsid w:val="00C95E48"/>
    <w:rsid w:val="00CF63A0"/>
    <w:rsid w:val="00DC56D9"/>
    <w:rsid w:val="00F77ABC"/>
    <w:rsid w:val="00F86BFF"/>
    <w:rsid w:val="00FC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49443-2F12-4D3D-8331-78751B10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B5D"/>
    <w:pPr>
      <w:ind w:left="720"/>
      <w:contextualSpacing/>
    </w:pPr>
  </w:style>
  <w:style w:type="paragraph" w:styleId="FootnoteText">
    <w:name w:val="footnote text"/>
    <w:basedOn w:val="Normal"/>
    <w:link w:val="FootnoteTextChar"/>
    <w:uiPriority w:val="99"/>
    <w:semiHidden/>
    <w:unhideWhenUsed/>
    <w:rsid w:val="006E4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988"/>
    <w:rPr>
      <w:sz w:val="20"/>
      <w:szCs w:val="20"/>
      <w:lang w:val="en-GB"/>
    </w:rPr>
  </w:style>
  <w:style w:type="character" w:styleId="FootnoteReference">
    <w:name w:val="footnote reference"/>
    <w:basedOn w:val="DefaultParagraphFont"/>
    <w:uiPriority w:val="99"/>
    <w:semiHidden/>
    <w:unhideWhenUsed/>
    <w:rsid w:val="006E49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annex</Doctype>
    <Contributor xmlns="d42e65b2-cf21-49c1-b27d-d23f90380c0e">Armenia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0AE8894-501F-4C7C-A272-FFEBEF387509}">
  <ds:schemaRefs>
    <ds:schemaRef ds:uri="http://schemas.openxmlformats.org/officeDocument/2006/bibliography"/>
  </ds:schemaRefs>
</ds:datastoreItem>
</file>

<file path=customXml/itemProps2.xml><?xml version="1.0" encoding="utf-8"?>
<ds:datastoreItem xmlns:ds="http://schemas.openxmlformats.org/officeDocument/2006/customXml" ds:itemID="{36667309-836F-4E07-BAF8-9DF166E5889A}"/>
</file>

<file path=customXml/itemProps3.xml><?xml version="1.0" encoding="utf-8"?>
<ds:datastoreItem xmlns:ds="http://schemas.openxmlformats.org/officeDocument/2006/customXml" ds:itemID="{854B1A31-931A-47D0-9EC0-020A73ADD3DD}"/>
</file>

<file path=customXml/itemProps4.xml><?xml version="1.0" encoding="utf-8"?>
<ds:datastoreItem xmlns:ds="http://schemas.openxmlformats.org/officeDocument/2006/customXml" ds:itemID="{D02A8DDC-A66D-455E-99F5-D20CE304538B}"/>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dc:creator>
  <cp:keywords/>
  <dc:description/>
  <cp:lastModifiedBy>Armine Petrosyan</cp:lastModifiedBy>
  <cp:revision>2</cp:revision>
  <dcterms:created xsi:type="dcterms:W3CDTF">2023-05-29T13:58:00Z</dcterms:created>
  <dcterms:modified xsi:type="dcterms:W3CDTF">2023-05-29T13:58:00Z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