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361D" w14:textId="77777777" w:rsidR="00A04899" w:rsidRDefault="000910A8" w:rsidP="004E37CF">
      <w:pPr>
        <w:spacing w:before="120" w:after="120" w:line="240" w:lineRule="auto"/>
        <w:ind w:left="567"/>
        <w:jc w:val="center"/>
        <w:rPr>
          <w:rFonts w:ascii="Segoe UI" w:hAnsi="Segoe UI" w:cs="Segoe UI"/>
          <w:b/>
        </w:rPr>
      </w:pPr>
      <w:r w:rsidRPr="00E91E16">
        <w:rPr>
          <w:rFonts w:ascii="Segoe UI" w:hAnsi="Segoe UI" w:cs="Segoe UI"/>
          <w:b/>
        </w:rPr>
        <w:t>Respuesta de Chile a</w:t>
      </w:r>
      <w:r w:rsidR="003D2438" w:rsidRPr="00E91E16">
        <w:rPr>
          <w:rFonts w:ascii="Segoe UI" w:hAnsi="Segoe UI" w:cs="Segoe UI"/>
          <w:b/>
        </w:rPr>
        <w:t>l</w:t>
      </w:r>
      <w:r w:rsidRPr="00E91E16">
        <w:rPr>
          <w:rFonts w:ascii="Segoe UI" w:hAnsi="Segoe UI" w:cs="Segoe UI"/>
          <w:b/>
        </w:rPr>
        <w:t xml:space="preserve"> </w:t>
      </w:r>
      <w:r w:rsidR="003D2438" w:rsidRPr="00E91E16">
        <w:rPr>
          <w:rFonts w:ascii="Segoe UI" w:hAnsi="Segoe UI" w:cs="Segoe UI"/>
          <w:b/>
        </w:rPr>
        <w:t>Cuestionario de la Relatora Especial sobre la independencia de los magistrados y</w:t>
      </w:r>
      <w:r w:rsidR="00A04899" w:rsidRPr="00E91E16">
        <w:rPr>
          <w:rFonts w:ascii="Segoe UI" w:hAnsi="Segoe UI" w:cs="Segoe UI"/>
          <w:b/>
        </w:rPr>
        <w:t xml:space="preserve"> </w:t>
      </w:r>
      <w:r w:rsidR="003D2438" w:rsidRPr="00E91E16">
        <w:rPr>
          <w:rFonts w:ascii="Segoe UI" w:hAnsi="Segoe UI" w:cs="Segoe UI"/>
          <w:b/>
        </w:rPr>
        <w:t>abogados</w:t>
      </w:r>
      <w:r w:rsidR="00AB1BBF">
        <w:rPr>
          <w:rStyle w:val="FootnoteReference"/>
          <w:rFonts w:ascii="Segoe UI" w:hAnsi="Segoe UI" w:cs="Segoe UI"/>
          <w:b/>
        </w:rPr>
        <w:footnoteReference w:id="1"/>
      </w:r>
    </w:p>
    <w:p w14:paraId="285CAC69" w14:textId="77777777" w:rsidR="00CA0AC0" w:rsidRDefault="00CA0AC0" w:rsidP="004E37CF">
      <w:pPr>
        <w:spacing w:before="120" w:after="120" w:line="240" w:lineRule="auto"/>
        <w:ind w:left="567"/>
        <w:rPr>
          <w:rFonts w:ascii="Segoe UI" w:hAnsi="Segoe UI" w:cs="Segoe UI"/>
          <w:b/>
        </w:rPr>
      </w:pPr>
    </w:p>
    <w:p w14:paraId="064EF6B7" w14:textId="77777777" w:rsidR="00AB1BBF" w:rsidRDefault="00AB1BBF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</w:rPr>
        <w:t>Atendidas las limitaciones de espacio para esta contribución (2.500 palabras para 7 preguntas), se acompaña un Anexo donde se otorga mayor detalle de la información proporcionada.</w:t>
      </w:r>
    </w:p>
    <w:p w14:paraId="1E5B714C" w14:textId="77777777" w:rsidR="00DE4272" w:rsidRPr="00AB1BBF" w:rsidRDefault="00432CC2" w:rsidP="004E37CF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Segoe UI" w:hAnsi="Segoe UI" w:cs="Segoe UI"/>
          <w:b/>
        </w:rPr>
      </w:pPr>
      <w:r w:rsidRPr="00AB1BBF">
        <w:rPr>
          <w:rFonts w:ascii="Segoe UI" w:hAnsi="Segoe UI" w:cs="Segoe UI"/>
          <w:b/>
        </w:rPr>
        <w:t>Definiciones, entendimientos y variedades de enfoques y prá</w:t>
      </w:r>
      <w:r w:rsidR="008725B1" w:rsidRPr="00AB1BBF">
        <w:rPr>
          <w:rFonts w:ascii="Segoe UI" w:hAnsi="Segoe UI" w:cs="Segoe UI"/>
          <w:b/>
        </w:rPr>
        <w:t>cticas de empoderamiento legal</w:t>
      </w:r>
    </w:p>
    <w:p w14:paraId="35162788" w14:textId="77777777" w:rsidR="00A04899" w:rsidRPr="00E91E16" w:rsidRDefault="0097593C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E</w:t>
      </w:r>
      <w:r w:rsidR="00721FB0">
        <w:rPr>
          <w:rFonts w:ascii="Segoe UI" w:hAnsi="Segoe UI" w:cs="Segoe UI"/>
        </w:rPr>
        <w:t>l empoderamiento legal</w:t>
      </w:r>
      <w:r w:rsidRPr="00E91E16">
        <w:rPr>
          <w:rFonts w:ascii="Segoe UI" w:hAnsi="Segoe UI" w:cs="Segoe UI"/>
        </w:rPr>
        <w:t xml:space="preserve"> es un proceso que involucra la adquisición de conocimientos y habilidades jurídicas y el fortalecimiento de la capacidad de las personas para tomar decisiones informadas y obtener resultados justos y equitativos. </w:t>
      </w:r>
      <w:r w:rsidR="00A04899" w:rsidRPr="00E91E16">
        <w:rPr>
          <w:rFonts w:ascii="Segoe UI" w:hAnsi="Segoe UI" w:cs="Segoe UI"/>
        </w:rPr>
        <w:t>Suele abordarse desde</w:t>
      </w:r>
      <w:r w:rsidR="00D86A4A" w:rsidRPr="00E91E16">
        <w:rPr>
          <w:rFonts w:ascii="Segoe UI" w:hAnsi="Segoe UI" w:cs="Segoe UI"/>
        </w:rPr>
        <w:t xml:space="preserve"> el punto de vista económico (l</w:t>
      </w:r>
      <w:r w:rsidR="00A04899" w:rsidRPr="00E91E16">
        <w:rPr>
          <w:rFonts w:ascii="Segoe UI" w:hAnsi="Segoe UI" w:cs="Segoe UI"/>
        </w:rPr>
        <w:t xml:space="preserve">os recursos económicos que tiene a su disposición una persona para acceder a un </w:t>
      </w:r>
      <w:r w:rsidR="00D86A4A" w:rsidRPr="00E91E16">
        <w:rPr>
          <w:rFonts w:ascii="Segoe UI" w:hAnsi="Segoe UI" w:cs="Segoe UI"/>
        </w:rPr>
        <w:t xml:space="preserve">reclamo o promover su defensa) </w:t>
      </w:r>
      <w:r w:rsidR="00490279" w:rsidRPr="00E91E16">
        <w:rPr>
          <w:rFonts w:ascii="Segoe UI" w:hAnsi="Segoe UI" w:cs="Segoe UI"/>
        </w:rPr>
        <w:t xml:space="preserve">sin embargo, </w:t>
      </w:r>
      <w:r w:rsidR="00721FB0">
        <w:rPr>
          <w:rFonts w:ascii="Segoe UI" w:hAnsi="Segoe UI" w:cs="Segoe UI"/>
        </w:rPr>
        <w:t>no suele limitarse a é</w:t>
      </w:r>
      <w:r w:rsidR="00A04899" w:rsidRPr="00E91E16">
        <w:rPr>
          <w:rFonts w:ascii="Segoe UI" w:hAnsi="Segoe UI" w:cs="Segoe UI"/>
        </w:rPr>
        <w:t xml:space="preserve">ste, sino que </w:t>
      </w:r>
      <w:r w:rsidR="00721FB0">
        <w:rPr>
          <w:rFonts w:ascii="Segoe UI" w:hAnsi="Segoe UI" w:cs="Segoe UI"/>
        </w:rPr>
        <w:t>se</w:t>
      </w:r>
      <w:r w:rsidR="00A04899" w:rsidRPr="00E91E16">
        <w:rPr>
          <w:rFonts w:ascii="Segoe UI" w:hAnsi="Segoe UI" w:cs="Segoe UI"/>
        </w:rPr>
        <w:t xml:space="preserve"> coliga con aquel grupo poblacional que, por el hecho de pertenecer a tal, se le presenten obstáculos para obtener justicia, como mujeres, infancias, entre otros. Por lo tanto, se sugiere tener en cuenta la interseccionalidad de estas situaciones. </w:t>
      </w:r>
    </w:p>
    <w:p w14:paraId="2DF76BB7" w14:textId="77777777" w:rsidR="0035695E" w:rsidRPr="00E91E16" w:rsidRDefault="0035695E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eastAsia="Calibri" w:hAnsi="Segoe UI" w:cs="Segoe UI"/>
          <w:kern w:val="2"/>
        </w:rPr>
      </w:pPr>
      <w:r w:rsidRPr="00E91E16">
        <w:rPr>
          <w:rFonts w:ascii="Segoe UI" w:hAnsi="Segoe UI" w:cs="Segoe UI"/>
        </w:rPr>
        <w:t>El empoderamiento legal implica un enfoque integral y participativo para hacer que el sistema legal sea más accesible y efectivo para todas las personas, especialmente las más vulnerables o marginadas.</w:t>
      </w:r>
      <w:r w:rsidRPr="00E91E16">
        <w:rPr>
          <w:rFonts w:ascii="Segoe UI" w:eastAsia="Calibri" w:hAnsi="Segoe UI" w:cs="Segoe UI"/>
          <w:kern w:val="2"/>
        </w:rPr>
        <w:t xml:space="preserve"> Conforme a las Reglas de Brasilia</w:t>
      </w:r>
      <w:r w:rsidR="00C4107B">
        <w:rPr>
          <w:rFonts w:ascii="Segoe UI" w:eastAsia="Calibri" w:hAnsi="Segoe UI" w:cs="Segoe UI"/>
          <w:kern w:val="2"/>
        </w:rPr>
        <w:t>,</w:t>
      </w:r>
      <w:r w:rsidRPr="00E91E16">
        <w:rPr>
          <w:rFonts w:ascii="Segoe UI" w:eastAsia="Calibri" w:hAnsi="Segoe UI" w:cs="Segoe UI"/>
          <w:kern w:val="2"/>
        </w:rPr>
        <w:t xml:space="preserve"> se consideran en condición de vulnerabilidad aquellas personas que, por razón de su edad, género, estado físico o mental, o por circunstancias sociales, económicas, étnicas y/o culturales, se encuentran con dificultades para ejercitar con plenitud ante el sistema de justicia sus derechos reconocidos por el ordenamiento jurídico.</w:t>
      </w:r>
    </w:p>
    <w:p w14:paraId="07EC271F" w14:textId="77777777" w:rsidR="0035695E" w:rsidRPr="00E91E16" w:rsidRDefault="0035695E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eastAsia="Calibri" w:hAnsi="Segoe UI" w:cs="Segoe UI"/>
          <w:kern w:val="2"/>
        </w:rPr>
        <w:t xml:space="preserve">Por ende, el empoderamiento legal, </w:t>
      </w:r>
      <w:r w:rsidRPr="00E91E16">
        <w:rPr>
          <w:rFonts w:ascii="Segoe UI" w:hAnsi="Segoe UI" w:cs="Segoe UI"/>
        </w:rPr>
        <w:t>contribuye a que la justicia pueda llegar a lugares recónditos y ayudar a las personas con di</w:t>
      </w:r>
      <w:r w:rsidR="00C4107B">
        <w:rPr>
          <w:rFonts w:ascii="Segoe UI" w:hAnsi="Segoe UI" w:cs="Segoe UI"/>
        </w:rPr>
        <w:t>cha condición de vulnerabilidad</w:t>
      </w:r>
      <w:r w:rsidRPr="00E91E16">
        <w:rPr>
          <w:rFonts w:ascii="Segoe UI" w:hAnsi="Segoe UI" w:cs="Segoe UI"/>
        </w:rPr>
        <w:t xml:space="preserve"> a involucrarse en la resolución de s</w:t>
      </w:r>
      <w:r w:rsidR="00C4107B">
        <w:rPr>
          <w:rFonts w:ascii="Segoe UI" w:hAnsi="Segoe UI" w:cs="Segoe UI"/>
        </w:rPr>
        <w:t>us conflictos de tipo familiar, laboral,</w:t>
      </w:r>
      <w:r w:rsidRPr="00E91E16">
        <w:rPr>
          <w:rFonts w:ascii="Segoe UI" w:hAnsi="Segoe UI" w:cs="Segoe UI"/>
        </w:rPr>
        <w:t xml:space="preserve"> medioambiental</w:t>
      </w:r>
      <w:r w:rsidR="00C4107B">
        <w:rPr>
          <w:rFonts w:ascii="Segoe UI" w:hAnsi="Segoe UI" w:cs="Segoe UI"/>
        </w:rPr>
        <w:t>,</w:t>
      </w:r>
      <w:r w:rsidRPr="00E91E16">
        <w:rPr>
          <w:rFonts w:ascii="Segoe UI" w:hAnsi="Segoe UI" w:cs="Segoe UI"/>
        </w:rPr>
        <w:t xml:space="preserve"> acceso a servicios públicos, entre muchas otras materias.</w:t>
      </w:r>
    </w:p>
    <w:p w14:paraId="09A5895C" w14:textId="77777777" w:rsidR="00C4107B" w:rsidRDefault="000C5310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 xml:space="preserve">Mediante la modernización de la administración de justicia, </w:t>
      </w:r>
      <w:r w:rsidR="00C4107B">
        <w:rPr>
          <w:rFonts w:ascii="Segoe UI" w:hAnsi="Segoe UI" w:cs="Segoe UI"/>
        </w:rPr>
        <w:t>Chile</w:t>
      </w:r>
      <w:r w:rsidRPr="00E91E16">
        <w:rPr>
          <w:rFonts w:ascii="Segoe UI" w:hAnsi="Segoe UI" w:cs="Segoe UI"/>
        </w:rPr>
        <w:t xml:space="preserve"> ha buscado favorecer la consolida</w:t>
      </w:r>
      <w:r w:rsidR="00C4107B">
        <w:rPr>
          <w:rFonts w:ascii="Segoe UI" w:hAnsi="Segoe UI" w:cs="Segoe UI"/>
        </w:rPr>
        <w:t>ción del Estado de D</w:t>
      </w:r>
      <w:r w:rsidRPr="00E91E16">
        <w:rPr>
          <w:rFonts w:ascii="Segoe UI" w:hAnsi="Segoe UI" w:cs="Segoe UI"/>
        </w:rPr>
        <w:t xml:space="preserve">erecho, el cuidado de la democracia y las bases de su desarrollo económico y social. </w:t>
      </w:r>
    </w:p>
    <w:p w14:paraId="2E9351A2" w14:textId="77777777" w:rsidR="00C26432" w:rsidRPr="00E91E16" w:rsidRDefault="00A04899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La formulación del concepto de empoderamiento legal aplicado a los esfuerzos nacionales destinados a brindar protección y oportunidades descansa en los siguientes “pilares”:</w:t>
      </w:r>
    </w:p>
    <w:p w14:paraId="64AF8B11" w14:textId="77777777" w:rsidR="00A04899" w:rsidRPr="00AB1BBF" w:rsidRDefault="00C26432" w:rsidP="004E37C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</w:rPr>
        <w:t>A</w:t>
      </w:r>
      <w:r w:rsidR="00A04899" w:rsidRPr="00AB1BBF">
        <w:rPr>
          <w:rFonts w:ascii="Segoe UI" w:hAnsi="Segoe UI" w:cs="Segoe UI"/>
        </w:rPr>
        <w:t>cceso a la justicia y al Estado de Derecho</w:t>
      </w:r>
    </w:p>
    <w:p w14:paraId="3D76F580" w14:textId="77777777" w:rsidR="00A04899" w:rsidRPr="00E91E16" w:rsidRDefault="00C26432" w:rsidP="004E37C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D</w:t>
      </w:r>
      <w:r w:rsidR="00A04899" w:rsidRPr="00E91E16">
        <w:rPr>
          <w:rFonts w:ascii="Segoe UI" w:hAnsi="Segoe UI" w:cs="Segoe UI"/>
        </w:rPr>
        <w:t>erecho de propiedad</w:t>
      </w:r>
    </w:p>
    <w:p w14:paraId="17B4FFAD" w14:textId="77777777" w:rsidR="00A04899" w:rsidRPr="00E91E16" w:rsidRDefault="00C26432" w:rsidP="004E37C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lastRenderedPageBreak/>
        <w:t>D</w:t>
      </w:r>
      <w:r w:rsidR="00A04899" w:rsidRPr="00E91E16">
        <w:rPr>
          <w:rFonts w:ascii="Segoe UI" w:hAnsi="Segoe UI" w:cs="Segoe UI"/>
        </w:rPr>
        <w:t>erechos laborales, asociado al reconocimiento de los derechos fundamentales en el trabajo y el reconocimiento a un trabajo digno</w:t>
      </w:r>
    </w:p>
    <w:p w14:paraId="15C150F7" w14:textId="77777777" w:rsidR="00AB1BBF" w:rsidRDefault="00C26432" w:rsidP="004E37C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D</w:t>
      </w:r>
      <w:r w:rsidR="00A04899" w:rsidRPr="00E91E16">
        <w:rPr>
          <w:rFonts w:ascii="Segoe UI" w:hAnsi="Segoe UI" w:cs="Segoe UI"/>
        </w:rPr>
        <w:t xml:space="preserve">erechos comerciales, que contempla el acceso a servicios financieros básicos para emprendedores potenciales o emergentes. </w:t>
      </w:r>
    </w:p>
    <w:p w14:paraId="344BC14A" w14:textId="77777777" w:rsidR="009220C3" w:rsidRDefault="005C4A5F" w:rsidP="004E37C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</w:rPr>
        <w:t xml:space="preserve">Entendiendo que el objetivo es potenciar a las personas y a las comunidades para que conozcan, usen y transformen las leyes que rigen a la sociedad, se considera que este concepto hace a la ley más democrática y permite que los ciudadanos la entiendan y puedan ejercer en mejor forma la defensa de sus derechos. </w:t>
      </w:r>
      <w:r w:rsidR="0097593C" w:rsidRPr="00AB1BBF">
        <w:rPr>
          <w:rFonts w:ascii="Segoe UI" w:hAnsi="Segoe UI" w:cs="Segoe UI"/>
        </w:rPr>
        <w:t xml:space="preserve">Conforme a ello, el objetivo es potenciar a las personas y a las comunidades para que conozcan, usen y transformen las leyes que impactan sus vidas. </w:t>
      </w:r>
      <w:r w:rsidR="009220C3" w:rsidRPr="00E91E16">
        <w:rPr>
          <w:rFonts w:ascii="Segoe UI" w:hAnsi="Segoe UI" w:cs="Segoe UI"/>
        </w:rPr>
        <w:t xml:space="preserve">Cabe destacar que en </w:t>
      </w:r>
      <w:r w:rsidR="00C4107B">
        <w:rPr>
          <w:rFonts w:ascii="Segoe UI" w:hAnsi="Segoe UI" w:cs="Segoe UI"/>
        </w:rPr>
        <w:t>materia de</w:t>
      </w:r>
      <w:r w:rsidR="009220C3" w:rsidRPr="00E91E16">
        <w:rPr>
          <w:rFonts w:ascii="Segoe UI" w:hAnsi="Segoe UI" w:cs="Segoe UI"/>
        </w:rPr>
        <w:t xml:space="preserve"> víctimas, se ha hecho un importante esfuerzo relacionado con </w:t>
      </w:r>
      <w:r w:rsidR="00C4107B">
        <w:rPr>
          <w:rFonts w:ascii="Segoe UI" w:hAnsi="Segoe UI" w:cs="Segoe UI"/>
        </w:rPr>
        <w:t>las personas</w:t>
      </w:r>
      <w:r w:rsidR="009220C3" w:rsidRPr="00E91E16">
        <w:rPr>
          <w:rFonts w:ascii="Segoe UI" w:hAnsi="Segoe UI" w:cs="Segoe UI"/>
        </w:rPr>
        <w:t xml:space="preserve"> especialmente vulnerables, siendo un área central del trabajo. </w:t>
      </w:r>
    </w:p>
    <w:p w14:paraId="5942F824" w14:textId="77777777" w:rsidR="00AB1BBF" w:rsidRPr="00E91E16" w:rsidRDefault="00AB1BBF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</w:rPr>
        <w:t xml:space="preserve">Se recomienda ver </w:t>
      </w:r>
      <w:r w:rsidRPr="00AB1BBF">
        <w:rPr>
          <w:rFonts w:ascii="Segoe UI" w:hAnsi="Segoe UI" w:cs="Segoe UI"/>
          <w:b/>
        </w:rPr>
        <w:t>Anexo</w:t>
      </w:r>
      <w:r w:rsidRPr="00AB1BBF">
        <w:rPr>
          <w:rFonts w:ascii="Segoe UI" w:hAnsi="Segoe UI" w:cs="Segoe UI"/>
        </w:rPr>
        <w:t xml:space="preserve"> para más detalles en cuanto a los enfoques, así como para revisar algunos ejemplos sobre las modalidades e innovaciones de empoderamiento legal a nivel comunitario, local, nacional e internacional.</w:t>
      </w:r>
    </w:p>
    <w:p w14:paraId="7936691F" w14:textId="77777777" w:rsidR="00FF486E" w:rsidRPr="00E91E16" w:rsidRDefault="00E95911" w:rsidP="004E37CF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Segoe UI" w:hAnsi="Segoe UI" w:cs="Segoe UI"/>
          <w:b/>
        </w:rPr>
      </w:pPr>
      <w:r w:rsidRPr="00E91E16">
        <w:rPr>
          <w:rFonts w:ascii="Segoe UI" w:hAnsi="Segoe UI" w:cs="Segoe UI"/>
          <w:b/>
        </w:rPr>
        <w:t>Enfoques prometedores para la asociación entre abogados y asistentes jurídicos y otros defensores de la justicia base</w:t>
      </w:r>
    </w:p>
    <w:p w14:paraId="376BC79E" w14:textId="77777777" w:rsidR="00724FC3" w:rsidRPr="00E91E16" w:rsidRDefault="004D0EB9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Existen diversas prácticas y enfoques para promover el empoderamiento legal. Se han desarrollado una serie de prácticas, consistentes en políticas y acciones concretas, destinadas a empoderar a las personas y realizar su derecho de acceso a la justicia, e incluyen la e</w:t>
      </w:r>
      <w:r w:rsidRPr="00E91E16">
        <w:rPr>
          <w:rFonts w:ascii="Segoe UI" w:hAnsi="Segoe UI" w:cs="Segoe UI"/>
          <w:bCs/>
        </w:rPr>
        <w:t>ducación legal, la</w:t>
      </w:r>
      <w:r w:rsidRPr="00E91E16">
        <w:rPr>
          <w:rFonts w:ascii="Segoe UI" w:hAnsi="Segoe UI" w:cs="Segoe UI"/>
        </w:rPr>
        <w:t xml:space="preserve"> a</w:t>
      </w:r>
      <w:r w:rsidRPr="00E91E16">
        <w:rPr>
          <w:rFonts w:ascii="Segoe UI" w:hAnsi="Segoe UI" w:cs="Segoe UI"/>
          <w:bCs/>
        </w:rPr>
        <w:t>sistencia legal, movilización comunitaria, y el</w:t>
      </w:r>
      <w:r w:rsidRPr="00E91E16">
        <w:rPr>
          <w:rFonts w:ascii="Segoe UI" w:hAnsi="Segoe UI" w:cs="Segoe UI"/>
        </w:rPr>
        <w:t xml:space="preserve"> </w:t>
      </w:r>
      <w:r w:rsidRPr="00E91E16">
        <w:rPr>
          <w:rFonts w:ascii="Segoe UI" w:hAnsi="Segoe UI" w:cs="Segoe UI"/>
          <w:bCs/>
        </w:rPr>
        <w:t>empoderamiento digital,</w:t>
      </w:r>
      <w:r w:rsidR="00C4107B">
        <w:rPr>
          <w:rFonts w:ascii="Segoe UI" w:hAnsi="Segoe UI" w:cs="Segoe UI"/>
        </w:rPr>
        <w:t xml:space="preserve"> entre otros. Algunas de ella</w:t>
      </w:r>
      <w:r w:rsidR="00724FC3" w:rsidRPr="00E91E16">
        <w:rPr>
          <w:rFonts w:ascii="Segoe UI" w:hAnsi="Segoe UI" w:cs="Segoe UI"/>
        </w:rPr>
        <w:t>s son:</w:t>
      </w:r>
    </w:p>
    <w:p w14:paraId="3CD5CDE4" w14:textId="77777777" w:rsidR="00F920CE" w:rsidRPr="00C4107B" w:rsidRDefault="00F428B5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  <w:bCs/>
        </w:rPr>
        <w:t xml:space="preserve">Asistencia </w:t>
      </w:r>
      <w:r w:rsidR="006D286A" w:rsidRPr="00AB1BBF">
        <w:rPr>
          <w:rFonts w:ascii="Segoe UI" w:hAnsi="Segoe UI" w:cs="Segoe UI"/>
          <w:bCs/>
        </w:rPr>
        <w:t>jurídica y judicial gratuita</w:t>
      </w:r>
    </w:p>
    <w:p w14:paraId="71488755" w14:textId="77777777" w:rsidR="00C26432" w:rsidRPr="00E91E16" w:rsidRDefault="001A3CD5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  <w:bCs/>
        </w:rPr>
        <w:t>Instrumentos</w:t>
      </w:r>
      <w:r w:rsidR="004C297A" w:rsidRPr="00E91E16">
        <w:rPr>
          <w:rFonts w:ascii="Segoe UI" w:hAnsi="Segoe UI" w:cs="Segoe UI"/>
        </w:rPr>
        <w:t xml:space="preserve"> y directrices</w:t>
      </w:r>
      <w:r w:rsidR="00A232CF" w:rsidRPr="00E91E16">
        <w:rPr>
          <w:rFonts w:ascii="Segoe UI" w:hAnsi="Segoe UI" w:cs="Segoe UI"/>
        </w:rPr>
        <w:t xml:space="preserve"> de los servicios públicos</w:t>
      </w:r>
    </w:p>
    <w:p w14:paraId="067CAA1D" w14:textId="77777777" w:rsidR="00FF486E" w:rsidRPr="00C4107B" w:rsidRDefault="00724FC3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  <w:bCs/>
        </w:rPr>
        <w:t>Ed</w:t>
      </w:r>
      <w:r w:rsidR="00C4107B">
        <w:rPr>
          <w:rFonts w:ascii="Segoe UI" w:hAnsi="Segoe UI" w:cs="Segoe UI"/>
          <w:bCs/>
        </w:rPr>
        <w:t xml:space="preserve">ucación y capacitación conjunta </w:t>
      </w:r>
    </w:p>
    <w:p w14:paraId="7796D31A" w14:textId="77777777" w:rsidR="00FF486E" w:rsidRPr="00AB1BBF" w:rsidRDefault="00FF486E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  <w:bCs/>
        </w:rPr>
      </w:pPr>
      <w:r w:rsidRPr="00AB1BBF">
        <w:rPr>
          <w:rFonts w:ascii="Segoe UI" w:hAnsi="Segoe UI" w:cs="Segoe UI"/>
          <w:bCs/>
        </w:rPr>
        <w:t>Fundaciones Pro-Bono</w:t>
      </w:r>
    </w:p>
    <w:p w14:paraId="702D91F7" w14:textId="77777777" w:rsidR="00C1390C" w:rsidRPr="00AB1BBF" w:rsidRDefault="00C1390C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  <w:bCs/>
        </w:rPr>
      </w:pPr>
      <w:r w:rsidRPr="00AB1BBF">
        <w:rPr>
          <w:rFonts w:ascii="Segoe UI" w:hAnsi="Segoe UI" w:cs="Segoe UI"/>
          <w:bCs/>
        </w:rPr>
        <w:t>Organizaciones de la Sociedad Civil</w:t>
      </w:r>
    </w:p>
    <w:p w14:paraId="1F45A4F2" w14:textId="77777777" w:rsidR="00724FC3" w:rsidRPr="00AB1BBF" w:rsidRDefault="00724FC3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  <w:bCs/>
        </w:rPr>
      </w:pPr>
      <w:r w:rsidRPr="00E91E16">
        <w:rPr>
          <w:rFonts w:ascii="Segoe UI" w:hAnsi="Segoe UI" w:cs="Segoe UI"/>
          <w:bCs/>
        </w:rPr>
        <w:t xml:space="preserve">Trabajo </w:t>
      </w:r>
      <w:r w:rsidR="003F5760" w:rsidRPr="00E91E16">
        <w:rPr>
          <w:rFonts w:ascii="Segoe UI" w:hAnsi="Segoe UI" w:cs="Segoe UI"/>
          <w:bCs/>
        </w:rPr>
        <w:t>en equipo en casos individuales</w:t>
      </w:r>
      <w:r w:rsidR="003F5760" w:rsidRPr="00AB1BBF">
        <w:rPr>
          <w:rFonts w:ascii="Segoe UI" w:hAnsi="Segoe UI" w:cs="Segoe UI"/>
          <w:bCs/>
        </w:rPr>
        <w:t xml:space="preserve"> </w:t>
      </w:r>
    </w:p>
    <w:p w14:paraId="4DD5A743" w14:textId="77777777" w:rsidR="00724FC3" w:rsidRPr="00AB1BBF" w:rsidRDefault="003F5760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  <w:bCs/>
        </w:rPr>
      </w:pPr>
      <w:r w:rsidRPr="00E91E16">
        <w:rPr>
          <w:rFonts w:ascii="Segoe UI" w:hAnsi="Segoe UI" w:cs="Segoe UI"/>
          <w:bCs/>
        </w:rPr>
        <w:t>Litigio estratégico</w:t>
      </w:r>
      <w:r w:rsidR="00724FC3" w:rsidRPr="00AB1BBF">
        <w:rPr>
          <w:rFonts w:ascii="Segoe UI" w:hAnsi="Segoe UI" w:cs="Segoe UI"/>
          <w:bCs/>
        </w:rPr>
        <w:t xml:space="preserve"> </w:t>
      </w:r>
    </w:p>
    <w:p w14:paraId="187E9CE5" w14:textId="77777777" w:rsidR="00724FC3" w:rsidRPr="00AB1BBF" w:rsidRDefault="00724FC3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  <w:bCs/>
        </w:rPr>
      </w:pPr>
      <w:r w:rsidRPr="00E91E16">
        <w:rPr>
          <w:rFonts w:ascii="Segoe UI" w:hAnsi="Segoe UI" w:cs="Segoe UI"/>
          <w:bCs/>
        </w:rPr>
        <w:t>Desarrollo de herramientas y rec</w:t>
      </w:r>
      <w:r w:rsidR="003F5760" w:rsidRPr="00E91E16">
        <w:rPr>
          <w:rFonts w:ascii="Segoe UI" w:hAnsi="Segoe UI" w:cs="Segoe UI"/>
          <w:bCs/>
        </w:rPr>
        <w:t>ursos legales</w:t>
      </w:r>
    </w:p>
    <w:p w14:paraId="4C55B1B7" w14:textId="77777777" w:rsidR="00E95911" w:rsidRPr="00AB1BBF" w:rsidRDefault="00724FC3" w:rsidP="004E37CF">
      <w:pPr>
        <w:pStyle w:val="ListParagraph"/>
        <w:numPr>
          <w:ilvl w:val="0"/>
          <w:numId w:val="2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  <w:bCs/>
        </w:rPr>
      </w:pPr>
      <w:r w:rsidRPr="00E91E16">
        <w:rPr>
          <w:rFonts w:ascii="Segoe UI" w:hAnsi="Segoe UI" w:cs="Segoe UI"/>
          <w:bCs/>
        </w:rPr>
        <w:t>De</w:t>
      </w:r>
      <w:r w:rsidR="003F5760" w:rsidRPr="00E91E16">
        <w:rPr>
          <w:rFonts w:ascii="Segoe UI" w:hAnsi="Segoe UI" w:cs="Segoe UI"/>
          <w:bCs/>
        </w:rPr>
        <w:t>sarrollo de redes y coaliciones</w:t>
      </w:r>
    </w:p>
    <w:p w14:paraId="0E8F9FFC" w14:textId="77777777" w:rsidR="00AB1BBF" w:rsidRPr="00BB1F01" w:rsidRDefault="002F610A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Por limitaciones de espacio, se</w:t>
      </w:r>
      <w:r w:rsidR="00AB1BBF" w:rsidRPr="00AB1BBF">
        <w:rPr>
          <w:rFonts w:ascii="Segoe UI" w:hAnsi="Segoe UI" w:cs="Segoe UI"/>
          <w:bCs/>
        </w:rPr>
        <w:t xml:space="preserve"> recomienda ver </w:t>
      </w:r>
      <w:r w:rsidR="00AB1BBF" w:rsidRPr="00AB1BBF">
        <w:rPr>
          <w:rFonts w:ascii="Segoe UI" w:hAnsi="Segoe UI" w:cs="Segoe UI"/>
          <w:b/>
          <w:bCs/>
        </w:rPr>
        <w:t>Anexo</w:t>
      </w:r>
      <w:r w:rsidR="00AB1BBF" w:rsidRPr="00AB1BBF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donde se entregan</w:t>
      </w:r>
      <w:r w:rsidR="00AB1BBF" w:rsidRPr="00AB1BBF">
        <w:rPr>
          <w:rFonts w:ascii="Segoe UI" w:hAnsi="Segoe UI" w:cs="Segoe UI"/>
          <w:bCs/>
        </w:rPr>
        <w:t xml:space="preserve"> más detalles</w:t>
      </w:r>
      <w:r w:rsidR="00C4107B">
        <w:rPr>
          <w:rFonts w:ascii="Segoe UI" w:hAnsi="Segoe UI" w:cs="Segoe UI"/>
          <w:bCs/>
        </w:rPr>
        <w:t xml:space="preserve"> sobre estas </w:t>
      </w:r>
      <w:r>
        <w:rPr>
          <w:rFonts w:ascii="Segoe UI" w:hAnsi="Segoe UI" w:cs="Segoe UI"/>
          <w:bCs/>
        </w:rPr>
        <w:t>iniciativas</w:t>
      </w:r>
      <w:r w:rsidR="00C4107B">
        <w:rPr>
          <w:rFonts w:ascii="Segoe UI" w:hAnsi="Segoe UI" w:cs="Segoe UI"/>
          <w:bCs/>
        </w:rPr>
        <w:t xml:space="preserve">. </w:t>
      </w:r>
    </w:p>
    <w:p w14:paraId="36F94C9B" w14:textId="77777777" w:rsidR="00432CC2" w:rsidRPr="00E91E16" w:rsidRDefault="00432CC2" w:rsidP="004E37CF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Segoe UI" w:hAnsi="Segoe UI" w:cs="Segoe UI"/>
          <w:b/>
        </w:rPr>
      </w:pPr>
      <w:r w:rsidRPr="00E91E16">
        <w:rPr>
          <w:rFonts w:ascii="Segoe UI" w:hAnsi="Segoe UI" w:cs="Segoe UI"/>
          <w:b/>
        </w:rPr>
        <w:t>Deficiencias de los sistemas judiciales existentes o de otros sistemas, que ilustran el valor de un acercamiento desde el empoderamiento legal, como son la discriminación sistémica, la exclusión y los daños causados por los sistemas legales</w:t>
      </w:r>
    </w:p>
    <w:p w14:paraId="14FCA9C8" w14:textId="77777777" w:rsidR="00BB1F01" w:rsidRDefault="0097593C" w:rsidP="004E37CF">
      <w:pPr>
        <w:tabs>
          <w:tab w:val="left" w:pos="0"/>
        </w:tabs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lastRenderedPageBreak/>
        <w:t>En Latinoamérica</w:t>
      </w:r>
      <w:r w:rsidR="00BB1F01">
        <w:rPr>
          <w:rFonts w:ascii="Segoe UI" w:hAnsi="Segoe UI" w:cs="Segoe UI"/>
        </w:rPr>
        <w:t>,</w:t>
      </w:r>
      <w:r w:rsidRPr="00E91E16">
        <w:rPr>
          <w:rFonts w:ascii="Segoe UI" w:hAnsi="Segoe UI" w:cs="Segoe UI"/>
        </w:rPr>
        <w:t xml:space="preserve"> las situaciones de desigualdad social, vulnerabilidad socioeconómica y de exclusión afectan a gran parte de su población. </w:t>
      </w:r>
      <w:r w:rsidR="00275F29" w:rsidRPr="00E91E16">
        <w:rPr>
          <w:rFonts w:ascii="Segoe UI" w:hAnsi="Segoe UI" w:cs="Segoe UI"/>
        </w:rPr>
        <w:t>L</w:t>
      </w:r>
      <w:r w:rsidRPr="00E91E16">
        <w:rPr>
          <w:rFonts w:ascii="Segoe UI" w:hAnsi="Segoe UI" w:cs="Segoe UI"/>
        </w:rPr>
        <w:t>os sistemas de justicia</w:t>
      </w:r>
      <w:r w:rsidR="00BB1F01">
        <w:rPr>
          <w:rFonts w:ascii="Segoe UI" w:hAnsi="Segoe UI" w:cs="Segoe UI"/>
        </w:rPr>
        <w:t>,</w:t>
      </w:r>
      <w:r w:rsidRPr="00E91E16">
        <w:rPr>
          <w:rFonts w:ascii="Segoe UI" w:hAnsi="Segoe UI" w:cs="Segoe UI"/>
        </w:rPr>
        <w:t xml:space="preserve"> de alguna manera</w:t>
      </w:r>
      <w:r w:rsidR="00BB1F01">
        <w:rPr>
          <w:rFonts w:ascii="Segoe UI" w:hAnsi="Segoe UI" w:cs="Segoe UI"/>
        </w:rPr>
        <w:t>,</w:t>
      </w:r>
      <w:r w:rsidRPr="00E91E16">
        <w:rPr>
          <w:rFonts w:ascii="Segoe UI" w:hAnsi="Segoe UI" w:cs="Segoe UI"/>
        </w:rPr>
        <w:t xml:space="preserve"> reproducen dichas condiciones sociales lo cual afecta al debido acceso a la justicia e igualdad ante la ley</w:t>
      </w:r>
      <w:r w:rsidR="00BB1F01">
        <w:rPr>
          <w:rFonts w:ascii="Segoe UI" w:hAnsi="Segoe UI" w:cs="Segoe UI"/>
        </w:rPr>
        <w:t>. Por ello, los Estados</w:t>
      </w:r>
      <w:r w:rsidRPr="00E91E16">
        <w:rPr>
          <w:rFonts w:ascii="Segoe UI" w:hAnsi="Segoe UI" w:cs="Segoe UI"/>
        </w:rPr>
        <w:t xml:space="preserve"> no deben ser indif</w:t>
      </w:r>
      <w:r w:rsidR="007649E8" w:rsidRPr="00E91E16">
        <w:rPr>
          <w:rFonts w:ascii="Segoe UI" w:hAnsi="Segoe UI" w:cs="Segoe UI"/>
        </w:rPr>
        <w:t>erentes frente a esta realidad.</w:t>
      </w:r>
      <w:r w:rsidR="00BC6365" w:rsidRPr="00E91E16">
        <w:rPr>
          <w:rFonts w:ascii="Segoe UI" w:hAnsi="Segoe UI" w:cs="Segoe UI"/>
        </w:rPr>
        <w:t xml:space="preserve"> </w:t>
      </w:r>
    </w:p>
    <w:p w14:paraId="3C0A1E78" w14:textId="77777777" w:rsidR="00275F29" w:rsidRPr="00E91E16" w:rsidRDefault="00BB1F01" w:rsidP="004E37CF">
      <w:pPr>
        <w:tabs>
          <w:tab w:val="left" w:pos="0"/>
        </w:tabs>
        <w:spacing w:before="120" w:after="12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En ese sentido, se</w:t>
      </w:r>
      <w:r w:rsidR="00DB0D87" w:rsidRPr="00E91E16">
        <w:rPr>
          <w:rFonts w:ascii="Segoe UI" w:hAnsi="Segoe UI" w:cs="Segoe UI"/>
        </w:rPr>
        <w:t xml:space="preserve"> destaca l</w:t>
      </w:r>
      <w:r w:rsidR="00BC6365" w:rsidRPr="00E91E16">
        <w:rPr>
          <w:rFonts w:ascii="Segoe UI" w:hAnsi="Segoe UI" w:cs="Segoe UI"/>
        </w:rPr>
        <w:t>a falta de recursos humanos y materiales para abordar de manera efi</w:t>
      </w:r>
      <w:r w:rsidR="00DB0D87" w:rsidRPr="00E91E16">
        <w:rPr>
          <w:rFonts w:ascii="Segoe UI" w:hAnsi="Segoe UI" w:cs="Segoe UI"/>
        </w:rPr>
        <w:t>ciente y eficaz las funciones, debiéndose</w:t>
      </w:r>
      <w:r w:rsidR="00BC6365" w:rsidRPr="00E91E16">
        <w:rPr>
          <w:rFonts w:ascii="Segoe UI" w:hAnsi="Segoe UI" w:cs="Segoe UI"/>
        </w:rPr>
        <w:t xml:space="preserve"> reforzar el contacto entre el ciudadano y las instituciones, de manera que esté informado de la dinámica operativa de tribunales, y, existe en ocasiones no una buena comunicación entre jueces, abogados y usuarios.</w:t>
      </w:r>
    </w:p>
    <w:p w14:paraId="6B3FC000" w14:textId="77777777" w:rsidR="00171AC6" w:rsidRPr="00E91E16" w:rsidRDefault="007022DA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 xml:space="preserve">Las </w:t>
      </w:r>
      <w:r w:rsidR="0097593C" w:rsidRPr="00E91E16">
        <w:rPr>
          <w:rFonts w:ascii="Segoe UI" w:hAnsi="Segoe UI" w:cs="Segoe UI"/>
        </w:rPr>
        <w:t>deficiencias pueden variar según el país y el contexto, pero a ni</w:t>
      </w:r>
      <w:r w:rsidR="00BB1F01">
        <w:rPr>
          <w:rFonts w:ascii="Segoe UI" w:hAnsi="Segoe UI" w:cs="Segoe UI"/>
        </w:rPr>
        <w:t>vel general se pueden mencionar las siguientes:</w:t>
      </w:r>
    </w:p>
    <w:p w14:paraId="07B5BB1C" w14:textId="77777777" w:rsidR="0097593C" w:rsidRPr="00BB1F01" w:rsidRDefault="000C53B1" w:rsidP="004E37CF">
      <w:pPr>
        <w:pStyle w:val="ListParagraph"/>
        <w:numPr>
          <w:ilvl w:val="0"/>
          <w:numId w:val="2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BB1F01">
        <w:rPr>
          <w:rFonts w:ascii="Segoe UI" w:hAnsi="Segoe UI" w:cs="Segoe UI"/>
          <w:bCs/>
        </w:rPr>
        <w:t>Costo y accesibilidad:</w:t>
      </w:r>
      <w:r w:rsidRPr="00BB1F01">
        <w:rPr>
          <w:rFonts w:ascii="Segoe UI" w:hAnsi="Segoe UI" w:cs="Segoe UI"/>
        </w:rPr>
        <w:t xml:space="preserve"> </w:t>
      </w:r>
      <w:r w:rsidR="00171AC6" w:rsidRPr="00BB1F01">
        <w:rPr>
          <w:rFonts w:ascii="Segoe UI" w:hAnsi="Segoe UI" w:cs="Segoe UI"/>
        </w:rPr>
        <w:t xml:space="preserve">El </w:t>
      </w:r>
      <w:r w:rsidR="00171AC6" w:rsidRPr="00BB1F01">
        <w:rPr>
          <w:rFonts w:ascii="Segoe UI" w:hAnsi="Segoe UI" w:cs="Segoe UI"/>
          <w:bCs/>
        </w:rPr>
        <w:t>costo y accesibilidad</w:t>
      </w:r>
      <w:r w:rsidR="0097593C" w:rsidRPr="00BB1F01">
        <w:rPr>
          <w:rFonts w:ascii="Segoe UI" w:hAnsi="Segoe UI" w:cs="Segoe UI"/>
        </w:rPr>
        <w:t xml:space="preserve"> para una adecuada </w:t>
      </w:r>
      <w:r w:rsidR="00275F29" w:rsidRPr="00BB1F01">
        <w:rPr>
          <w:rFonts w:ascii="Segoe UI" w:hAnsi="Segoe UI" w:cs="Segoe UI"/>
        </w:rPr>
        <w:t>representación</w:t>
      </w:r>
      <w:r w:rsidR="0097593C" w:rsidRPr="00BB1F01">
        <w:rPr>
          <w:rFonts w:ascii="Segoe UI" w:hAnsi="Segoe UI" w:cs="Segoe UI"/>
        </w:rPr>
        <w:t xml:space="preserve"> de los derechos y defensa en juic</w:t>
      </w:r>
      <w:r w:rsidR="00171AC6" w:rsidRPr="00BB1F01">
        <w:rPr>
          <w:rFonts w:ascii="Segoe UI" w:hAnsi="Segoe UI" w:cs="Segoe UI"/>
        </w:rPr>
        <w:t xml:space="preserve">io ante tribunales de justicia </w:t>
      </w:r>
      <w:r w:rsidR="0097593C" w:rsidRPr="00BB1F01">
        <w:rPr>
          <w:rFonts w:ascii="Segoe UI" w:hAnsi="Segoe UI" w:cs="Segoe UI"/>
        </w:rPr>
        <w:t>puede ser altísimo  para quienes no tienen los recursos económicos suficientes para pagar por los servicios de una adecuada asesoría legal y judicial</w:t>
      </w:r>
      <w:r w:rsidR="00BB1F01">
        <w:rPr>
          <w:rFonts w:ascii="Segoe UI" w:hAnsi="Segoe UI" w:cs="Segoe UI"/>
        </w:rPr>
        <w:t>. El</w:t>
      </w:r>
      <w:r w:rsidR="0097593C" w:rsidRPr="00BB1F01">
        <w:rPr>
          <w:rFonts w:ascii="Segoe UI" w:hAnsi="Segoe UI" w:cs="Segoe UI"/>
        </w:rPr>
        <w:t>lo que puede llevar a la exclusión y discriminación, en especial a personas en situación socioeconómica de bajos recursos, inmigrantes, adultos mayores y personas</w:t>
      </w:r>
      <w:r w:rsidR="007022DA" w:rsidRPr="00BB1F01">
        <w:rPr>
          <w:rFonts w:ascii="Segoe UI" w:hAnsi="Segoe UI" w:cs="Segoe UI"/>
        </w:rPr>
        <w:t xml:space="preserve"> en situación de discapacidad</w:t>
      </w:r>
      <w:r w:rsidR="0097593C" w:rsidRPr="00BB1F01">
        <w:rPr>
          <w:rFonts w:ascii="Segoe UI" w:hAnsi="Segoe UI" w:cs="Segoe UI"/>
        </w:rPr>
        <w:t xml:space="preserve">; </w:t>
      </w:r>
      <w:r w:rsidR="00275F29" w:rsidRPr="00BB1F01">
        <w:rPr>
          <w:rFonts w:ascii="Segoe UI" w:hAnsi="Segoe UI" w:cs="Segoe UI"/>
        </w:rPr>
        <w:t>así</w:t>
      </w:r>
      <w:r w:rsidR="0097593C" w:rsidRPr="00BB1F01">
        <w:rPr>
          <w:rFonts w:ascii="Segoe UI" w:hAnsi="Segoe UI" w:cs="Segoe UI"/>
        </w:rPr>
        <w:t xml:space="preserve"> como también personas de comunidades de pueblos originarios.</w:t>
      </w:r>
    </w:p>
    <w:p w14:paraId="61D7E56E" w14:textId="77777777" w:rsidR="0097593C" w:rsidRPr="00BB1F01" w:rsidRDefault="0097593C" w:rsidP="004E37CF">
      <w:pPr>
        <w:pStyle w:val="ListParagraph"/>
        <w:numPr>
          <w:ilvl w:val="0"/>
          <w:numId w:val="2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BB1F01">
        <w:rPr>
          <w:rFonts w:ascii="Segoe UI" w:hAnsi="Segoe UI" w:cs="Segoe UI"/>
          <w:bCs/>
        </w:rPr>
        <w:t>Complejidad del sistema:</w:t>
      </w:r>
      <w:r w:rsidR="000C53B1" w:rsidRPr="00BB1F01">
        <w:rPr>
          <w:rFonts w:ascii="Segoe UI" w:hAnsi="Segoe UI" w:cs="Segoe UI"/>
        </w:rPr>
        <w:t xml:space="preserve"> L</w:t>
      </w:r>
      <w:r w:rsidRPr="00BB1F01">
        <w:rPr>
          <w:rFonts w:ascii="Segoe UI" w:hAnsi="Segoe UI" w:cs="Segoe UI"/>
        </w:rPr>
        <w:t>os sistemas judiciales pueden ser complejos y difíciles de ente</w:t>
      </w:r>
      <w:r w:rsidR="00BB1F01">
        <w:rPr>
          <w:rFonts w:ascii="Segoe UI" w:hAnsi="Segoe UI" w:cs="Segoe UI"/>
        </w:rPr>
        <w:t>nder para el público en general</w:t>
      </w:r>
      <w:r w:rsidRPr="00BB1F01">
        <w:rPr>
          <w:rFonts w:ascii="Segoe UI" w:hAnsi="Segoe UI" w:cs="Segoe UI"/>
        </w:rPr>
        <w:t xml:space="preserve"> (no letrado)</w:t>
      </w:r>
      <w:r w:rsidR="00BB1F01">
        <w:rPr>
          <w:rFonts w:ascii="Segoe UI" w:hAnsi="Segoe UI" w:cs="Segoe UI"/>
        </w:rPr>
        <w:t>,</w:t>
      </w:r>
      <w:r w:rsidRPr="00BB1F01">
        <w:rPr>
          <w:rFonts w:ascii="Segoe UI" w:hAnsi="Segoe UI" w:cs="Segoe UI"/>
        </w:rPr>
        <w:t xml:space="preserve"> lo que puede dificultar la comprensión de sus derechos y la forma de hacerlos cumplir.</w:t>
      </w:r>
    </w:p>
    <w:p w14:paraId="32899902" w14:textId="77777777" w:rsidR="0097593C" w:rsidRPr="00BB1F01" w:rsidRDefault="0097593C" w:rsidP="004E37CF">
      <w:pPr>
        <w:pStyle w:val="ListParagraph"/>
        <w:numPr>
          <w:ilvl w:val="0"/>
          <w:numId w:val="2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BB1F01">
        <w:rPr>
          <w:rFonts w:ascii="Segoe UI" w:hAnsi="Segoe UI" w:cs="Segoe UI"/>
          <w:bCs/>
        </w:rPr>
        <w:t>Discriminación y exclusión:</w:t>
      </w:r>
      <w:r w:rsidR="000C53B1" w:rsidRPr="00BB1F01">
        <w:rPr>
          <w:rFonts w:ascii="Segoe UI" w:hAnsi="Segoe UI" w:cs="Segoe UI"/>
        </w:rPr>
        <w:t xml:space="preserve"> L</w:t>
      </w:r>
      <w:r w:rsidRPr="00BB1F01">
        <w:rPr>
          <w:rFonts w:ascii="Segoe UI" w:hAnsi="Segoe UI" w:cs="Segoe UI"/>
        </w:rPr>
        <w:t>os sistemas judiciales pueden ser discriminatorios y</w:t>
      </w:r>
      <w:r w:rsidR="00BB1F01">
        <w:rPr>
          <w:rFonts w:ascii="Segoe UI" w:hAnsi="Segoe UI" w:cs="Segoe UI"/>
        </w:rPr>
        <w:t xml:space="preserve"> excluir a ciertos grupos como </w:t>
      </w:r>
      <w:r w:rsidRPr="00BB1F01">
        <w:rPr>
          <w:rFonts w:ascii="Segoe UI" w:hAnsi="Segoe UI" w:cs="Segoe UI"/>
        </w:rPr>
        <w:t>minorías étnicas, inmigrantes, entre otros.</w:t>
      </w:r>
    </w:p>
    <w:p w14:paraId="63BFB8B7" w14:textId="77777777" w:rsidR="0097593C" w:rsidRPr="00BB1F01" w:rsidRDefault="0097593C" w:rsidP="004E37CF">
      <w:pPr>
        <w:pStyle w:val="ListParagraph"/>
        <w:numPr>
          <w:ilvl w:val="0"/>
          <w:numId w:val="2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BB1F01">
        <w:rPr>
          <w:rFonts w:ascii="Segoe UI" w:hAnsi="Segoe UI" w:cs="Segoe UI"/>
          <w:bCs/>
        </w:rPr>
        <w:t>Falta de confianza y legitimidad:</w:t>
      </w:r>
      <w:r w:rsidR="000C53B1" w:rsidRPr="00BB1F01">
        <w:rPr>
          <w:rFonts w:ascii="Segoe UI" w:hAnsi="Segoe UI" w:cs="Segoe UI"/>
        </w:rPr>
        <w:t xml:space="preserve"> L</w:t>
      </w:r>
      <w:r w:rsidRPr="00BB1F01">
        <w:rPr>
          <w:rFonts w:ascii="Segoe UI" w:hAnsi="Segoe UI" w:cs="Segoe UI"/>
        </w:rPr>
        <w:t>os sistemas judiciales pueden perder la confianza del público cuando no se perciben como justos o imparciales, o cuando no se satisface la demanda por justicia.</w:t>
      </w:r>
    </w:p>
    <w:p w14:paraId="4D1E4043" w14:textId="77777777" w:rsidR="007022DA" w:rsidRPr="00E91E16" w:rsidRDefault="007022DA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El estudio “Necesidades jurídicas y cursos de acción del ciudadano ante las barreras de acceso a la Justicia”</w:t>
      </w:r>
      <w:r w:rsidRPr="00E91E16">
        <w:rPr>
          <w:rStyle w:val="FootnoteReference"/>
          <w:rFonts w:ascii="Segoe UI" w:hAnsi="Segoe UI" w:cs="Segoe UI"/>
        </w:rPr>
        <w:footnoteReference w:id="2"/>
      </w:r>
      <w:r w:rsidRPr="00E91E16">
        <w:rPr>
          <w:rFonts w:ascii="Segoe UI" w:hAnsi="Segoe UI" w:cs="Segoe UI"/>
        </w:rPr>
        <w:t xml:space="preserve"> señala que “</w:t>
      </w:r>
      <w:r w:rsidRPr="00BB1F01">
        <w:rPr>
          <w:rFonts w:ascii="Segoe UI" w:hAnsi="Segoe UI" w:cs="Segoe UI"/>
          <w:i/>
        </w:rPr>
        <w:t>tres de cada cuatro personas en Chile, declara haber tenido algún tipo de problema justiciable en los últimos dos años</w:t>
      </w:r>
      <w:r w:rsidR="00BB1F01">
        <w:rPr>
          <w:rFonts w:ascii="Segoe UI" w:hAnsi="Segoe UI" w:cs="Segoe UI"/>
        </w:rPr>
        <w:t>”</w:t>
      </w:r>
      <w:r w:rsidRPr="00E91E16">
        <w:rPr>
          <w:rFonts w:ascii="Segoe UI" w:hAnsi="Segoe UI" w:cs="Segoe UI"/>
        </w:rPr>
        <w:t xml:space="preserve">, cuestión que pone a Chile por sobre países de la región en cuanto a prevalencia de problemas justiciables, y recomienda el fortalecimiento del empoderamiento legal. </w:t>
      </w:r>
    </w:p>
    <w:p w14:paraId="7AA445B9" w14:textId="77777777" w:rsidR="007022DA" w:rsidRPr="00E91E16" w:rsidRDefault="007022DA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 xml:space="preserve">Un enfoque de empoderamiento legal puede ser valioso para abordar estas deficiencias y sus consecuencias, como la discriminación y exclusión sistemática de determinados grupos sociales, y que se centre en el fortalecimiento de la capacidad de las personas para hacer valer sus derechos y acceder a la justicia, lo que puede contribuir a reducir la brecha de acceso a la justicia y mejorar la vida de las personas. </w:t>
      </w:r>
    </w:p>
    <w:p w14:paraId="0B13CF0F" w14:textId="77777777" w:rsidR="007022DA" w:rsidRPr="00E91E16" w:rsidRDefault="007022DA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lastRenderedPageBreak/>
        <w:t>El estudio también estima otras medidas relativas al robustecimiento del acceso a la justicia y de la reducción de las barreras de acceso de las personas al experimentar n</w:t>
      </w:r>
      <w:r w:rsidR="00BB1F01">
        <w:rPr>
          <w:rFonts w:ascii="Segoe UI" w:hAnsi="Segoe UI" w:cs="Segoe UI"/>
        </w:rPr>
        <w:t>ecesidades jurídicas. Tales son</w:t>
      </w:r>
      <w:r w:rsidRPr="00E91E16">
        <w:rPr>
          <w:rFonts w:ascii="Segoe UI" w:hAnsi="Segoe UI" w:cs="Segoe UI"/>
        </w:rPr>
        <w:t xml:space="preserve"> la promoción del uso de tecnologías, el mejoramiento de servicios de orientación legal, la expansión de instancias de asistencia legal gratuita, el monitoreo y control de calidad de asistencia legal privada, la creación y el fomento de espacios formales de resolución alternativa de conflictos, la evaluación permanente del funcionamiento del sistema de justicia, entre otras medidas.</w:t>
      </w:r>
    </w:p>
    <w:p w14:paraId="11FB27E0" w14:textId="77777777" w:rsidR="0097593C" w:rsidRDefault="0097593C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Además, el acercamiento de empoderamiento legal también puede abordar las causas subyacentes de la exclusión y la desigualdad, trabajando con las comunidades para identificar y abordar los desafíos estructurales y sistémicos que mantienen la discriminación y la exclusión,</w:t>
      </w:r>
      <w:r w:rsidR="00281878" w:rsidRPr="00E91E16">
        <w:rPr>
          <w:rFonts w:ascii="Segoe UI" w:hAnsi="Segoe UI" w:cs="Segoe UI"/>
        </w:rPr>
        <w:t xml:space="preserve"> pudiendo </w:t>
      </w:r>
      <w:r w:rsidRPr="00E91E16">
        <w:rPr>
          <w:rFonts w:ascii="Segoe UI" w:hAnsi="Segoe UI" w:cs="Segoe UI"/>
        </w:rPr>
        <w:t>fomentar cambios duraderos y mejorar la confianza y la legitimidad de los sistemas judiciales.</w:t>
      </w:r>
    </w:p>
    <w:p w14:paraId="6B358368" w14:textId="77777777" w:rsidR="00AB1BBF" w:rsidRPr="00AB1BBF" w:rsidRDefault="00AB1BBF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</w:rPr>
        <w:t xml:space="preserve">Se recomienda ver </w:t>
      </w:r>
      <w:r w:rsidRPr="00AB1BBF">
        <w:rPr>
          <w:rFonts w:ascii="Segoe UI" w:hAnsi="Segoe UI" w:cs="Segoe UI"/>
          <w:b/>
        </w:rPr>
        <w:t>Anexo</w:t>
      </w:r>
      <w:r w:rsidRPr="00AB1BBF">
        <w:rPr>
          <w:rFonts w:ascii="Segoe UI" w:hAnsi="Segoe UI" w:cs="Segoe UI"/>
        </w:rPr>
        <w:t xml:space="preserve"> para más detalles</w:t>
      </w:r>
      <w:r w:rsidR="002B0AC0">
        <w:rPr>
          <w:rFonts w:ascii="Segoe UI" w:hAnsi="Segoe UI" w:cs="Segoe UI"/>
        </w:rPr>
        <w:t xml:space="preserve">, particularmente sobre las medidas adoptadas por el Ministerio Público en esta materia. </w:t>
      </w:r>
    </w:p>
    <w:p w14:paraId="7EFF0E1C" w14:textId="77777777" w:rsidR="0097593C" w:rsidRPr="00E91E16" w:rsidRDefault="00996CAD" w:rsidP="004E37CF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Segoe UI" w:hAnsi="Segoe UI" w:cs="Segoe UI"/>
          <w:b/>
        </w:rPr>
      </w:pPr>
      <w:r w:rsidRPr="00E91E16">
        <w:rPr>
          <w:rFonts w:ascii="Segoe UI" w:hAnsi="Segoe UI" w:cs="Segoe UI"/>
          <w:b/>
        </w:rPr>
        <w:t>C</w:t>
      </w:r>
      <w:r w:rsidR="00432CC2" w:rsidRPr="00E91E16">
        <w:rPr>
          <w:rFonts w:ascii="Segoe UI" w:hAnsi="Segoe UI" w:cs="Segoe UI"/>
          <w:b/>
        </w:rPr>
        <w:t>ontribución del empoderamiento legal y de otros enfoques centrados en las personas para conseguir una justicia igual y efectiva para todos, de acuerdo con el Objeti</w:t>
      </w:r>
      <w:r w:rsidRPr="00E91E16">
        <w:rPr>
          <w:rFonts w:ascii="Segoe UI" w:hAnsi="Segoe UI" w:cs="Segoe UI"/>
          <w:b/>
        </w:rPr>
        <w:t>vo de Desarrollo Sostenible 16</w:t>
      </w:r>
    </w:p>
    <w:p w14:paraId="19CD4694" w14:textId="77777777" w:rsidR="0097593C" w:rsidRPr="002B0AC0" w:rsidRDefault="0097593C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 xml:space="preserve">Algunas </w:t>
      </w:r>
      <w:r w:rsidRPr="002B0AC0">
        <w:rPr>
          <w:rFonts w:ascii="Segoe UI" w:hAnsi="Segoe UI" w:cs="Segoe UI"/>
        </w:rPr>
        <w:t xml:space="preserve">formas en que estos enfoques pueden contribuir </w:t>
      </w:r>
      <w:r w:rsidR="002B0AC0">
        <w:rPr>
          <w:rFonts w:ascii="Segoe UI" w:hAnsi="Segoe UI" w:cs="Segoe UI"/>
        </w:rPr>
        <w:t>a la consecución del ODS 16 son los siguientes</w:t>
      </w:r>
      <w:r w:rsidRPr="002B0AC0">
        <w:rPr>
          <w:rFonts w:ascii="Segoe UI" w:hAnsi="Segoe UI" w:cs="Segoe UI"/>
        </w:rPr>
        <w:t>:</w:t>
      </w:r>
    </w:p>
    <w:p w14:paraId="73195FB9" w14:textId="77777777" w:rsidR="002B0AC0" w:rsidRPr="002B0AC0" w:rsidRDefault="0097593C" w:rsidP="004E37CF">
      <w:pPr>
        <w:pStyle w:val="ListParagraph"/>
        <w:numPr>
          <w:ilvl w:val="0"/>
          <w:numId w:val="2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2B0AC0">
        <w:rPr>
          <w:rFonts w:ascii="Segoe UI" w:hAnsi="Segoe UI" w:cs="Segoe UI"/>
          <w:bCs/>
        </w:rPr>
        <w:t>Acceso a la justicia:</w:t>
      </w:r>
      <w:r w:rsidRPr="002B0AC0">
        <w:rPr>
          <w:rFonts w:ascii="Segoe UI" w:hAnsi="Segoe UI" w:cs="Segoe UI"/>
        </w:rPr>
        <w:t xml:space="preserve"> </w:t>
      </w:r>
      <w:r w:rsidR="007022DA" w:rsidRPr="002B0AC0">
        <w:rPr>
          <w:rFonts w:ascii="Segoe UI" w:hAnsi="Segoe UI" w:cs="Segoe UI"/>
        </w:rPr>
        <w:t xml:space="preserve"> </w:t>
      </w:r>
      <w:r w:rsidR="004C0A82" w:rsidRPr="002B0AC0">
        <w:rPr>
          <w:rFonts w:ascii="Segoe UI" w:hAnsi="Segoe UI" w:cs="Segoe UI"/>
        </w:rPr>
        <w:t xml:space="preserve">El empoderamiento legal puede ayudar a las personas a conocer y hacer valer sus derechos legales, mejorando así la información de cómo ejercer su derecho de acceso a los tribunales de justicia. </w:t>
      </w:r>
      <w:r w:rsidR="007022DA" w:rsidRPr="002B0AC0">
        <w:rPr>
          <w:rFonts w:ascii="Segoe UI" w:hAnsi="Segoe UI" w:cs="Segoe UI"/>
        </w:rPr>
        <w:t>Los problemas de información, asesoría o representación, e intervención de terceros (formal o informal) presentados por las instancias o actores públicos en los cursos de acción que siguen las personas al procurar resolver un co</w:t>
      </w:r>
      <w:r w:rsidR="004C0A82" w:rsidRPr="002B0AC0">
        <w:rPr>
          <w:rFonts w:ascii="Segoe UI" w:hAnsi="Segoe UI" w:cs="Segoe UI"/>
        </w:rPr>
        <w:t xml:space="preserve">nflicto de relevancia jurídica </w:t>
      </w:r>
      <w:r w:rsidR="007022DA" w:rsidRPr="002B0AC0">
        <w:rPr>
          <w:rFonts w:ascii="Segoe UI" w:hAnsi="Segoe UI" w:cs="Segoe UI"/>
        </w:rPr>
        <w:t>representan una dificultad importante toda vez que atañen y comprometen a las mismas instituciones que deben promover los cambios y las inno</w:t>
      </w:r>
      <w:r w:rsidR="00DD1254">
        <w:rPr>
          <w:rFonts w:ascii="Segoe UI" w:hAnsi="Segoe UI" w:cs="Segoe UI"/>
        </w:rPr>
        <w:t xml:space="preserve">vaciones en empoderamiento legal. Por ello, </w:t>
      </w:r>
      <w:r w:rsidR="007022DA" w:rsidRPr="002B0AC0">
        <w:rPr>
          <w:rFonts w:ascii="Segoe UI" w:hAnsi="Segoe UI" w:cs="Segoe UI"/>
        </w:rPr>
        <w:t>generan en las personas más expuestas a estos problemas a una especie de “desesperanza aprendida” en relación al sistema de justicia, inhibiéndolos de acudir a estas instancias institucionalizadas para hacer valer sus derechos.</w:t>
      </w:r>
      <w:r w:rsidR="004C0A82" w:rsidRPr="002B0AC0">
        <w:rPr>
          <w:rFonts w:ascii="Segoe UI" w:hAnsi="Segoe UI" w:cs="Segoe UI"/>
        </w:rPr>
        <w:t xml:space="preserve"> </w:t>
      </w:r>
    </w:p>
    <w:p w14:paraId="2F7A32BF" w14:textId="77777777" w:rsidR="002B0AC0" w:rsidRPr="002B0AC0" w:rsidRDefault="0097593C" w:rsidP="004E37CF">
      <w:pPr>
        <w:pStyle w:val="ListParagraph"/>
        <w:numPr>
          <w:ilvl w:val="0"/>
          <w:numId w:val="2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2B0AC0">
        <w:rPr>
          <w:rFonts w:ascii="Segoe UI" w:hAnsi="Segoe UI" w:cs="Segoe UI"/>
          <w:bCs/>
        </w:rPr>
        <w:t>Participación en el sistema de justicia</w:t>
      </w:r>
      <w:r w:rsidRPr="002B0AC0">
        <w:rPr>
          <w:rFonts w:ascii="Segoe UI" w:hAnsi="Segoe UI" w:cs="Segoe UI"/>
        </w:rPr>
        <w:t>: Los enfoques centrados en las personas pueden fomentar la participación activa y significativa de las personas en el sistema de justicia a través de la formación y capacitación en asistencia jurídica y en la organización de programas de acompañamiento legal y a través de la conexión directa entre los usuarios de la justicia y los jueces y otros funcionarios judiciales.</w:t>
      </w:r>
      <w:r w:rsidR="00DD1254">
        <w:rPr>
          <w:rFonts w:ascii="Segoe UI" w:hAnsi="Segoe UI" w:cs="Segoe UI"/>
        </w:rPr>
        <w:t xml:space="preserve"> </w:t>
      </w:r>
      <w:r w:rsidR="00A602A7" w:rsidRPr="002B0AC0">
        <w:rPr>
          <w:rFonts w:ascii="Segoe UI" w:eastAsia="Cambria" w:hAnsi="Segoe UI" w:cs="Segoe UI"/>
          <w:lang w:val="es-CL"/>
        </w:rPr>
        <w:t>Como ejemplo, e</w:t>
      </w:r>
      <w:r w:rsidR="00BD4E67" w:rsidRPr="002B0AC0">
        <w:rPr>
          <w:rFonts w:ascii="Segoe UI" w:eastAsia="Cambria" w:hAnsi="Segoe UI" w:cs="Segoe UI"/>
          <w:lang w:val="es-CL"/>
        </w:rPr>
        <w:t>xiste una Cuenta Pública Participativa, que es un mecanismo de participación ciudadana estable</w:t>
      </w:r>
      <w:r w:rsidR="00DD1254">
        <w:rPr>
          <w:rFonts w:ascii="Segoe UI" w:eastAsia="Cambria" w:hAnsi="Segoe UI" w:cs="Segoe UI"/>
          <w:lang w:val="es-CL"/>
        </w:rPr>
        <w:t>cido en la Ley N° 20.500 sobre a</w:t>
      </w:r>
      <w:r w:rsidR="00BD4E67" w:rsidRPr="002B0AC0">
        <w:rPr>
          <w:rFonts w:ascii="Segoe UI" w:eastAsia="Cambria" w:hAnsi="Segoe UI" w:cs="Segoe UI"/>
          <w:lang w:val="es-CL"/>
        </w:rPr>
        <w:t>sociaciones y participación ciudadana en la gestión pública, a través del cual se generan espacios de diálogo entre las instituciones que dan cuenta, sus autoridades y la sociedad civil. Su objetivo es dar a conocer la gestión para su evaluación, garantizando estándares de transparencia y probidad, además del control ciudadano sobre la administración pública y sus acciones.</w:t>
      </w:r>
    </w:p>
    <w:p w14:paraId="7DF98AA5" w14:textId="77777777" w:rsidR="002B0AC0" w:rsidRPr="002B0AC0" w:rsidRDefault="0097593C" w:rsidP="004E37CF">
      <w:pPr>
        <w:pStyle w:val="ListParagraph"/>
        <w:numPr>
          <w:ilvl w:val="0"/>
          <w:numId w:val="2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2B0AC0">
        <w:rPr>
          <w:rFonts w:ascii="Segoe UI" w:hAnsi="Segoe UI" w:cs="Segoe UI"/>
          <w:bCs/>
        </w:rPr>
        <w:lastRenderedPageBreak/>
        <w:t>Promoción de una justicia más igualitaria:</w:t>
      </w:r>
      <w:r w:rsidR="0081694E" w:rsidRPr="002B0AC0">
        <w:rPr>
          <w:rFonts w:ascii="Segoe UI" w:hAnsi="Segoe UI" w:cs="Segoe UI"/>
          <w:bCs/>
        </w:rPr>
        <w:t xml:space="preserve"> </w:t>
      </w:r>
      <w:r w:rsidR="0081694E" w:rsidRPr="002B0AC0">
        <w:rPr>
          <w:rFonts w:ascii="Segoe UI" w:hAnsi="Segoe UI" w:cs="Segoe UI"/>
        </w:rPr>
        <w:t xml:space="preserve">La labor que las Corporaciones de Asistencia Judicial realizan a través de sus programas de Promoción y Difusión de derechos a lo largo de todo el país </w:t>
      </w:r>
      <w:r w:rsidR="00DD1254">
        <w:rPr>
          <w:rFonts w:ascii="Segoe UI" w:hAnsi="Segoe UI" w:cs="Segoe UI"/>
        </w:rPr>
        <w:t xml:space="preserve">permiten avanzar en </w:t>
      </w:r>
      <w:r w:rsidR="0081694E" w:rsidRPr="002B0AC0">
        <w:rPr>
          <w:rFonts w:ascii="Segoe UI" w:hAnsi="Segoe UI" w:cs="Segoe UI"/>
        </w:rPr>
        <w:t>l</w:t>
      </w:r>
      <w:r w:rsidRPr="002B0AC0">
        <w:rPr>
          <w:rFonts w:ascii="Segoe UI" w:hAnsi="Segoe UI" w:cs="Segoe UI"/>
        </w:rPr>
        <w:t xml:space="preserve">a promoción de la igualdad ante la ley y la lucha contra cualquier tipo de discriminación, apoyando políticas públicas que lleven a una mayor inclusión y una atención específica a colectivos vulnerables. </w:t>
      </w:r>
    </w:p>
    <w:p w14:paraId="6948E429" w14:textId="77777777" w:rsidR="00550665" w:rsidRDefault="0097593C" w:rsidP="004E37CF">
      <w:pPr>
        <w:pStyle w:val="ListParagraph"/>
        <w:numPr>
          <w:ilvl w:val="0"/>
          <w:numId w:val="2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Segoe UI" w:hAnsi="Segoe UI" w:cs="Segoe UI"/>
        </w:rPr>
      </w:pPr>
      <w:r w:rsidRPr="002B0AC0">
        <w:rPr>
          <w:rFonts w:ascii="Segoe UI" w:hAnsi="Segoe UI" w:cs="Segoe UI"/>
          <w:bCs/>
        </w:rPr>
        <w:t>Prevención de conflictos y la violencia:</w:t>
      </w:r>
      <w:r w:rsidRPr="002B0AC0">
        <w:rPr>
          <w:rFonts w:ascii="Segoe UI" w:hAnsi="Segoe UI" w:cs="Segoe UI"/>
        </w:rPr>
        <w:t xml:space="preserve"> Los enfoques centrados en las personas pueden contribuir a prevenir conflictos y la violencia, al trabajar con las comunidades para resolver los problemas pacíficamente y evitar que los conflictos se intensifiquen o degeneren.</w:t>
      </w:r>
      <w:r w:rsidR="002B0AC0" w:rsidRPr="002B0AC0">
        <w:rPr>
          <w:rFonts w:ascii="Segoe UI" w:hAnsi="Segoe UI" w:cs="Segoe UI"/>
        </w:rPr>
        <w:t xml:space="preserve"> </w:t>
      </w:r>
      <w:r w:rsidR="00550665" w:rsidRPr="002B0AC0">
        <w:rPr>
          <w:rFonts w:ascii="Segoe UI" w:hAnsi="Segoe UI" w:cs="Segoe UI"/>
        </w:rPr>
        <w:t xml:space="preserve">A su vez, y como una manera de evitar la judicialización del conflicto y la carga económica y emocional que ello conlleva, se instaura la mediación como forma de resolver los conflictos y a los RAC (resolución alternativa de conflictos) que se generan en los centros de atención jurídica y social, de las Corporaciones de Asistencia Judicial o de los Centros de Mediación licitados en materia de familia. </w:t>
      </w:r>
    </w:p>
    <w:p w14:paraId="2C65DB6D" w14:textId="77777777" w:rsidR="009C4A1F" w:rsidRDefault="000D68E5" w:rsidP="004E37CF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Segoe UI" w:hAnsi="Segoe UI" w:cs="Segoe UI"/>
          <w:b/>
        </w:rPr>
      </w:pPr>
      <w:r w:rsidRPr="00E91E16">
        <w:rPr>
          <w:rFonts w:ascii="Segoe UI" w:hAnsi="Segoe UI" w:cs="Segoe UI"/>
          <w:b/>
        </w:rPr>
        <w:t>R</w:t>
      </w:r>
      <w:r w:rsidR="00432CC2" w:rsidRPr="00E91E16">
        <w:rPr>
          <w:rFonts w:ascii="Segoe UI" w:hAnsi="Segoe UI" w:cs="Segoe UI"/>
          <w:b/>
        </w:rPr>
        <w:t>etos que experimentan quienes buscan avanzar y/o implementar enfo</w:t>
      </w:r>
      <w:r w:rsidR="00996CAD" w:rsidRPr="00E91E16">
        <w:rPr>
          <w:rFonts w:ascii="Segoe UI" w:hAnsi="Segoe UI" w:cs="Segoe UI"/>
          <w:b/>
        </w:rPr>
        <w:t>ques de empoderamiento legal</w:t>
      </w:r>
    </w:p>
    <w:p w14:paraId="5A9FB8F7" w14:textId="77777777" w:rsidR="003A1C9F" w:rsidRPr="00AB1BBF" w:rsidRDefault="003A1C9F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</w:rPr>
        <w:t xml:space="preserve">El empoderamiento legal puede ser difícil de implementar en áreas remotas y comunidades marginales, donde las personas pueden enfrentar mayores desafíos para acceder a los recursos y servicios legales.  </w:t>
      </w:r>
      <w:r w:rsidR="009C4A1F" w:rsidRPr="00AB1BBF">
        <w:rPr>
          <w:rFonts w:ascii="Segoe UI" w:hAnsi="Segoe UI" w:cs="Segoe UI"/>
        </w:rPr>
        <w:t xml:space="preserve">Es importante que los servicios de justicia sean accesibles y comprensibles para todas las personas, sin importar su nivel educativo o cultural. </w:t>
      </w:r>
    </w:p>
    <w:p w14:paraId="3C87C9CD" w14:textId="77777777" w:rsidR="00DA3AC2" w:rsidRDefault="00DA3AC2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Una de las principales limitaciones del empoderamiento legal es la falta de recursos financieros y humanos para implementar programas y proyectos e</w:t>
      </w:r>
      <w:r>
        <w:rPr>
          <w:rFonts w:ascii="Segoe UI" w:hAnsi="Segoe UI" w:cs="Segoe UI"/>
        </w:rPr>
        <w:t>fectivos; u</w:t>
      </w:r>
      <w:r w:rsidRPr="00E91E16">
        <w:rPr>
          <w:rFonts w:ascii="Segoe UI" w:hAnsi="Segoe UI" w:cs="Segoe UI"/>
        </w:rPr>
        <w:t>na respuesta a esta limitación puede ser el trabajo con organizaciones de la sociedad civil, universidades y políticas efectivas de gobierno, para asegurar implícitamente la participación de todos.</w:t>
      </w:r>
    </w:p>
    <w:p w14:paraId="405590CB" w14:textId="77777777" w:rsidR="00DA3AC2" w:rsidRPr="00E91E16" w:rsidRDefault="00DD1254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Asimismo, s</w:t>
      </w:r>
      <w:r w:rsidR="00DA3AC2" w:rsidRPr="00E91E16">
        <w:rPr>
          <w:rFonts w:ascii="Segoe UI" w:hAnsi="Segoe UI" w:cs="Segoe UI"/>
        </w:rPr>
        <w:t>e debe reforzar la educación institucional de manera local, mejorar y simplificar los procedimientos</w:t>
      </w:r>
      <w:r>
        <w:rPr>
          <w:rFonts w:ascii="Segoe UI" w:hAnsi="Segoe UI" w:cs="Segoe UI"/>
        </w:rPr>
        <w:t>,</w:t>
      </w:r>
      <w:r w:rsidR="00DA3AC2" w:rsidRPr="00E91E16">
        <w:rPr>
          <w:rFonts w:ascii="Segoe UI" w:hAnsi="Segoe UI" w:cs="Segoe UI"/>
        </w:rPr>
        <w:t xml:space="preserve"> sin perder de vista las garantías procesales de las partes, a fin de que los procesos sean más expedit</w:t>
      </w:r>
      <w:r>
        <w:rPr>
          <w:rFonts w:ascii="Segoe UI" w:hAnsi="Segoe UI" w:cs="Segoe UI"/>
        </w:rPr>
        <w:t xml:space="preserve">os y las soluciones más rápidas. Asimismo, es relevante </w:t>
      </w:r>
      <w:r w:rsidR="00DA3AC2" w:rsidRPr="00E91E16">
        <w:rPr>
          <w:rFonts w:ascii="Segoe UI" w:hAnsi="Segoe UI" w:cs="Segoe UI"/>
        </w:rPr>
        <w:t xml:space="preserve">la educación institucional de manera local, </w:t>
      </w:r>
      <w:r>
        <w:rPr>
          <w:rFonts w:ascii="Segoe UI" w:hAnsi="Segoe UI" w:cs="Segoe UI"/>
        </w:rPr>
        <w:t xml:space="preserve">a fin de </w:t>
      </w:r>
      <w:r w:rsidR="00DA3AC2" w:rsidRPr="00E91E16">
        <w:rPr>
          <w:rFonts w:ascii="Segoe UI" w:hAnsi="Segoe UI" w:cs="Segoe UI"/>
        </w:rPr>
        <w:t xml:space="preserve">mejorar y simplificar los procedimientos sin perder de vista las garantías procesales de las partes, a fin de que los procesos sean más expeditos y las soluciones más rápidas. </w:t>
      </w:r>
    </w:p>
    <w:p w14:paraId="2DA094FD" w14:textId="77777777" w:rsidR="003A1C9F" w:rsidRPr="00AB1BBF" w:rsidRDefault="003A1C9F" w:rsidP="004E37CF">
      <w:pPr>
        <w:spacing w:before="120" w:after="120" w:line="240" w:lineRule="auto"/>
        <w:jc w:val="both"/>
        <w:rPr>
          <w:rFonts w:ascii="Segoe UI" w:hAnsi="Segoe UI" w:cs="Segoe UI"/>
          <w:b/>
        </w:rPr>
      </w:pPr>
      <w:r w:rsidRPr="00AB1BBF">
        <w:rPr>
          <w:rFonts w:ascii="Segoe UI" w:hAnsi="Segoe UI" w:cs="Segoe UI"/>
        </w:rPr>
        <w:t>El empoderamiento jurídico también debe ser apoyado con la creación de sistemas e instituciones legales efectivas y autorizadas, a través de la promoción de leyes y políticas públicas que promuevan la igualdad ante la ley, la transparencia y la rendición de cuentas y la eliminación de barreras que dificultan el acceso a la justicia a través del sector público.</w:t>
      </w:r>
      <w:r w:rsidR="00DA3AC2" w:rsidRPr="00AB1BBF">
        <w:rPr>
          <w:rFonts w:ascii="Segoe UI" w:hAnsi="Segoe UI" w:cs="Segoe UI"/>
        </w:rPr>
        <w:t xml:space="preserve"> </w:t>
      </w:r>
    </w:p>
    <w:p w14:paraId="04806E34" w14:textId="77777777" w:rsidR="00DA3AC2" w:rsidRPr="00E91E16" w:rsidRDefault="00DA3AC2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 xml:space="preserve">Otro desafío en el trabajo de empoderamiento legal es la falta de educación y conocimiento legal. A menudo, las personas no están completamente informadas sobre sus derechos legales y no tienen la educación necesaria para hacer valer esos derechos. Esto puede dificultar el proceso de empoderamiento legal e incluso puede llevar a que las personas no busquen ayuda legal cuando la necesitan. </w:t>
      </w:r>
    </w:p>
    <w:p w14:paraId="4E106E85" w14:textId="77777777" w:rsidR="00DA3AC2" w:rsidRDefault="002A4F61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Las diferencias culturales y lingüísticas a menudo dificultan el acceso a la justicia y la comunicación efectiva con lo</w:t>
      </w:r>
      <w:r w:rsidR="00DD1254">
        <w:rPr>
          <w:rFonts w:ascii="Segoe UI" w:hAnsi="Segoe UI" w:cs="Segoe UI"/>
        </w:rPr>
        <w:t>s usuarios del sistema legal. E</w:t>
      </w:r>
      <w:r w:rsidRPr="00E91E16">
        <w:rPr>
          <w:rFonts w:ascii="Segoe UI" w:hAnsi="Segoe UI" w:cs="Segoe UI"/>
        </w:rPr>
        <w:t xml:space="preserve">sto puede requerir de estrategias </w:t>
      </w:r>
      <w:r w:rsidRPr="00E91E16">
        <w:rPr>
          <w:rFonts w:ascii="Segoe UI" w:hAnsi="Segoe UI" w:cs="Segoe UI"/>
        </w:rPr>
        <w:lastRenderedPageBreak/>
        <w:t xml:space="preserve">efectivas de mediación intercultural y de la implementación de instrumentos de apoyo de los servicios de traducción y asistencia lingüística. </w:t>
      </w:r>
    </w:p>
    <w:p w14:paraId="676CD5E8" w14:textId="77777777" w:rsidR="002A4F61" w:rsidRPr="00E91E16" w:rsidRDefault="00DA3AC2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9C4A1F">
        <w:rPr>
          <w:rFonts w:ascii="Segoe UI" w:hAnsi="Segoe UI" w:cs="Segoe UI"/>
        </w:rPr>
        <w:t>Por lo tanto, es necesario implementar estrategias de comunicación efectivas y utilizar un lenguaje claro y sencillo en la presentación de los servicios legales y en la asistencia y apoyo a los usuarios, así como en los documentos legales y procesos judiciales.</w:t>
      </w:r>
      <w:r w:rsidRPr="00DA3AC2">
        <w:rPr>
          <w:rFonts w:ascii="Segoe UI" w:hAnsi="Segoe UI" w:cs="Segoe UI"/>
        </w:rPr>
        <w:t xml:space="preserve"> </w:t>
      </w:r>
      <w:r w:rsidRPr="00E91E16">
        <w:rPr>
          <w:rFonts w:ascii="Segoe UI" w:hAnsi="Segoe UI" w:cs="Segoe UI"/>
        </w:rPr>
        <w:t>Se debe reforzar la educación institucional de manera local, mejorar y simplificar los procedimientos sin perder de vista las garantías procesales de las partes, a fin de que los procesos sean más expeditos.</w:t>
      </w:r>
    </w:p>
    <w:p w14:paraId="55570D35" w14:textId="77777777" w:rsidR="00060DD7" w:rsidRPr="00E91E16" w:rsidRDefault="00B752ED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P</w:t>
      </w:r>
      <w:r w:rsidR="00060DD7" w:rsidRPr="00E91E16">
        <w:rPr>
          <w:rFonts w:ascii="Segoe UI" w:hAnsi="Segoe UI" w:cs="Segoe UI"/>
        </w:rPr>
        <w:t>ara abordar</w:t>
      </w:r>
      <w:r w:rsidRPr="00E91E16">
        <w:rPr>
          <w:rFonts w:ascii="Segoe UI" w:hAnsi="Segoe UI" w:cs="Segoe UI"/>
        </w:rPr>
        <w:t>lo</w:t>
      </w:r>
      <w:r w:rsidR="00060DD7" w:rsidRPr="00E91E16">
        <w:rPr>
          <w:rFonts w:ascii="Segoe UI" w:hAnsi="Segoe UI" w:cs="Segoe UI"/>
        </w:rPr>
        <w:t xml:space="preserve">,  se considera indispensable que se estudie la incorporación de educación cívica  al </w:t>
      </w:r>
      <w:r w:rsidR="00481985" w:rsidRPr="00E91E16">
        <w:rPr>
          <w:rFonts w:ascii="Segoe UI" w:hAnsi="Segoe UI" w:cs="Segoe UI"/>
        </w:rPr>
        <w:t>currículo</w:t>
      </w:r>
      <w:r w:rsidR="00060DD7" w:rsidRPr="00E91E16">
        <w:rPr>
          <w:rFonts w:ascii="Segoe UI" w:hAnsi="Segoe UI" w:cs="Segoe UI"/>
        </w:rPr>
        <w:t xml:space="preserve"> obligatorio de enseñanza desde </w:t>
      </w:r>
      <w:r w:rsidR="00DD1254" w:rsidRPr="00E91E16">
        <w:rPr>
          <w:rFonts w:ascii="Segoe UI" w:hAnsi="Segoe UI" w:cs="Segoe UI"/>
        </w:rPr>
        <w:t xml:space="preserve">Pre Kínder </w:t>
      </w:r>
      <w:r w:rsidR="00060DD7" w:rsidRPr="00E91E16">
        <w:rPr>
          <w:rFonts w:ascii="Segoe UI" w:hAnsi="Segoe UI" w:cs="Segoe UI"/>
        </w:rPr>
        <w:t xml:space="preserve">a IV medio, con el objeto que niños, niñas y adolescentes obtengan las mayor cantidad de información y conocimiento  acerca de cuáles  son sus derechos y la forma de hacerlos efectivos; </w:t>
      </w:r>
      <w:r w:rsidR="00481985" w:rsidRPr="00E91E16">
        <w:rPr>
          <w:rFonts w:ascii="Segoe UI" w:hAnsi="Segoe UI" w:cs="Segoe UI"/>
        </w:rPr>
        <w:t>así</w:t>
      </w:r>
      <w:r w:rsidR="00060DD7" w:rsidRPr="00E91E16">
        <w:rPr>
          <w:rFonts w:ascii="Segoe UI" w:hAnsi="Segoe UI" w:cs="Segoe UI"/>
        </w:rPr>
        <w:t xml:space="preserve"> como la estructura básica de organización del Estado y los organismos a través de los cuales ellos pueden ejercer los derechos consagrados por la ley, la Constitución y los </w:t>
      </w:r>
      <w:r w:rsidR="00DD1254" w:rsidRPr="00E91E16">
        <w:rPr>
          <w:rFonts w:ascii="Segoe UI" w:hAnsi="Segoe UI" w:cs="Segoe UI"/>
        </w:rPr>
        <w:t xml:space="preserve">tratados internacionales </w:t>
      </w:r>
      <w:r w:rsidR="00060DD7" w:rsidRPr="00E91E16">
        <w:rPr>
          <w:rFonts w:ascii="Segoe UI" w:hAnsi="Segoe UI" w:cs="Segoe UI"/>
        </w:rPr>
        <w:t>ratificados por Chile.</w:t>
      </w:r>
    </w:p>
    <w:p w14:paraId="07A281A0" w14:textId="77777777" w:rsidR="00060DD7" w:rsidRDefault="00060DD7" w:rsidP="004E37CF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</w:rPr>
      </w:pPr>
      <w:r w:rsidRPr="00E91E16">
        <w:rPr>
          <w:rFonts w:ascii="Segoe UI" w:hAnsi="Segoe UI" w:cs="Segoe UI"/>
        </w:rPr>
        <w:t>Además, es importante llevar a cabo campañas de educación legal a toda la ciudadanía en especial a los más vulnerables, con el objetivo de informar a las personas acerca de sus derechos y cómo ejercerlos, a través diferentes maneras y programas específicos, y de forma amplia a través de campañas publicitarias y redes sociales. Esta educación legal también puede ser complementada con el trabajo conjunto con organizaciones de la sociedad civil</w:t>
      </w:r>
      <w:r w:rsidR="00EF702C" w:rsidRPr="00E91E16">
        <w:rPr>
          <w:rFonts w:ascii="Segoe UI" w:hAnsi="Segoe UI" w:cs="Segoe UI"/>
        </w:rPr>
        <w:t>,</w:t>
      </w:r>
      <w:r w:rsidRPr="00E91E16">
        <w:rPr>
          <w:rFonts w:ascii="Segoe UI" w:hAnsi="Segoe UI" w:cs="Segoe UI"/>
        </w:rPr>
        <w:t xml:space="preserve"> </w:t>
      </w:r>
      <w:r w:rsidR="00EF702C" w:rsidRPr="00E91E16">
        <w:rPr>
          <w:rFonts w:ascii="Segoe UI" w:hAnsi="Segoe UI" w:cs="Segoe UI"/>
        </w:rPr>
        <w:t>así</w:t>
      </w:r>
      <w:r w:rsidRPr="00E91E16">
        <w:rPr>
          <w:rFonts w:ascii="Segoe UI" w:hAnsi="Segoe UI" w:cs="Segoe UI"/>
        </w:rPr>
        <w:t xml:space="preserve"> como con la </w:t>
      </w:r>
      <w:r w:rsidR="00DD1254">
        <w:rPr>
          <w:rFonts w:ascii="Segoe UI" w:hAnsi="Segoe UI" w:cs="Segoe UI"/>
        </w:rPr>
        <w:t>Corporación de Asistencia Judicial</w:t>
      </w:r>
      <w:r w:rsidRPr="00E91E16">
        <w:rPr>
          <w:rFonts w:ascii="Segoe UI" w:hAnsi="Segoe UI" w:cs="Segoe UI"/>
        </w:rPr>
        <w:t xml:space="preserve"> y /o instituciones educativas.</w:t>
      </w:r>
    </w:p>
    <w:p w14:paraId="005382AA" w14:textId="77777777" w:rsidR="00DD1254" w:rsidRPr="0047497B" w:rsidRDefault="00DD1254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Asimismo, s</w:t>
      </w:r>
      <w:r w:rsidRPr="00E91E16">
        <w:rPr>
          <w:rFonts w:ascii="Segoe UI" w:hAnsi="Segoe UI" w:cs="Segoe UI"/>
        </w:rPr>
        <w:t>e debe avanzar en la comunicación y homologar procedimientos de los diferentes países a fin de generar una mayor eficiencia en las demandas que afectan a varios países en materia procesal, establecer prácticas y protocolos comunes a nivel latinoamericano.</w:t>
      </w:r>
    </w:p>
    <w:p w14:paraId="1EC85554" w14:textId="77777777" w:rsidR="00DD1254" w:rsidRDefault="00DD1254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 otra parte, s</w:t>
      </w:r>
      <w:r w:rsidRPr="0047497B">
        <w:rPr>
          <w:rFonts w:ascii="Segoe UI" w:hAnsi="Segoe UI" w:cs="Segoe UI"/>
        </w:rPr>
        <w:t>i bi</w:t>
      </w:r>
      <w:r>
        <w:rPr>
          <w:rFonts w:ascii="Segoe UI" w:hAnsi="Segoe UI" w:cs="Segoe UI"/>
        </w:rPr>
        <w:t xml:space="preserve">en la tramitación electrónica del </w:t>
      </w:r>
      <w:r w:rsidRPr="0047497B">
        <w:rPr>
          <w:rFonts w:ascii="Segoe UI" w:hAnsi="Segoe UI" w:cs="Segoe UI"/>
        </w:rPr>
        <w:t>os procesos ha contribuido de manera significati</w:t>
      </w:r>
      <w:r>
        <w:rPr>
          <w:rFonts w:ascii="Segoe UI" w:hAnsi="Segoe UI" w:cs="Segoe UI"/>
        </w:rPr>
        <w:t>va a la eficiencia del sistema, s</w:t>
      </w:r>
      <w:r w:rsidRPr="0047497B">
        <w:rPr>
          <w:rFonts w:ascii="Segoe UI" w:hAnsi="Segoe UI" w:cs="Segoe UI"/>
        </w:rPr>
        <w:t>e debe</w:t>
      </w:r>
      <w:r>
        <w:rPr>
          <w:rFonts w:ascii="Segoe UI" w:hAnsi="Segoe UI" w:cs="Segoe UI"/>
        </w:rPr>
        <w:t xml:space="preserve"> trabajar en seguir impulsando la reforma procesal civil, y desde </w:t>
      </w:r>
      <w:r w:rsidRPr="0047497B">
        <w:rPr>
          <w:rFonts w:ascii="Segoe UI" w:hAnsi="Segoe UI" w:cs="Segoe UI"/>
        </w:rPr>
        <w:t>un sistema escriturado</w:t>
      </w:r>
      <w:r>
        <w:rPr>
          <w:rFonts w:ascii="Segoe UI" w:hAnsi="Segoe UI" w:cs="Segoe UI"/>
        </w:rPr>
        <w:t xml:space="preserve"> avanzar</w:t>
      </w:r>
      <w:r w:rsidRPr="0047497B">
        <w:rPr>
          <w:rFonts w:ascii="Segoe UI" w:hAnsi="Segoe UI" w:cs="Segoe UI"/>
        </w:rPr>
        <w:t xml:space="preserve"> a uno en que prime la ora</w:t>
      </w:r>
      <w:r>
        <w:rPr>
          <w:rFonts w:ascii="Segoe UI" w:hAnsi="Segoe UI" w:cs="Segoe UI"/>
        </w:rPr>
        <w:t>lidad y la inmediación del juez.</w:t>
      </w:r>
    </w:p>
    <w:p w14:paraId="067E3962" w14:textId="77777777" w:rsidR="00DD1254" w:rsidRDefault="00DD1254" w:rsidP="004E37CF">
      <w:pPr>
        <w:tabs>
          <w:tab w:val="left" w:pos="142"/>
        </w:tabs>
        <w:spacing w:before="120" w:after="12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Finalmente,</w:t>
      </w:r>
      <w:r w:rsidRPr="0047497B">
        <w:rPr>
          <w:rFonts w:ascii="Segoe UI" w:hAnsi="Segoe UI" w:cs="Segoe UI"/>
        </w:rPr>
        <w:t xml:space="preserve"> resulta relevante la necesidad de mantener la autonomía del Ministerio Público, avanzar en la autonomía financiera, contar con mayor flexibilidad y dinamismo institucional, </w:t>
      </w:r>
      <w:r>
        <w:rPr>
          <w:rFonts w:ascii="Segoe UI" w:hAnsi="Segoe UI" w:cs="Segoe UI"/>
        </w:rPr>
        <w:t xml:space="preserve">y evaluar </w:t>
      </w:r>
      <w:r w:rsidRPr="0047497B">
        <w:rPr>
          <w:rFonts w:ascii="Segoe UI" w:hAnsi="Segoe UI" w:cs="Segoe UI"/>
        </w:rPr>
        <w:t>la creación de una fiscalía supraterritorial que permita una persecución penal efectiva de los delitos que responden a fenómenos transregionales y transnacionales.</w:t>
      </w:r>
    </w:p>
    <w:p w14:paraId="336C1981" w14:textId="77777777" w:rsidR="002A4F61" w:rsidRPr="00AB1BBF" w:rsidRDefault="00AB1BBF" w:rsidP="004E37CF">
      <w:pPr>
        <w:spacing w:before="120" w:after="120" w:line="240" w:lineRule="auto"/>
        <w:jc w:val="both"/>
        <w:rPr>
          <w:rFonts w:ascii="Segoe UI" w:hAnsi="Segoe UI" w:cs="Segoe UI"/>
        </w:rPr>
      </w:pPr>
      <w:r w:rsidRPr="00AB1BBF">
        <w:rPr>
          <w:rFonts w:ascii="Segoe UI" w:hAnsi="Segoe UI" w:cs="Segoe UI"/>
        </w:rPr>
        <w:t xml:space="preserve">Se recomienda ver </w:t>
      </w:r>
      <w:r w:rsidRPr="00AB1BBF">
        <w:rPr>
          <w:rFonts w:ascii="Segoe UI" w:hAnsi="Segoe UI" w:cs="Segoe UI"/>
          <w:b/>
        </w:rPr>
        <w:t>Anexo</w:t>
      </w:r>
      <w:r w:rsidRPr="00AB1BBF">
        <w:rPr>
          <w:rFonts w:ascii="Segoe UI" w:hAnsi="Segoe UI" w:cs="Segoe UI"/>
        </w:rPr>
        <w:t xml:space="preserve"> para más detalles</w:t>
      </w:r>
      <w:r w:rsidR="00DD1254">
        <w:rPr>
          <w:rFonts w:ascii="Segoe UI" w:hAnsi="Segoe UI" w:cs="Segoe UI"/>
        </w:rPr>
        <w:t xml:space="preserve"> sobre otras iniciativas que se han desarrollado para enfrentar estos retos.</w:t>
      </w:r>
    </w:p>
    <w:sectPr w:rsidR="002A4F61" w:rsidRPr="00AB1BBF" w:rsidSect="00AB1BBF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A08D" w14:textId="77777777" w:rsidR="00712665" w:rsidRDefault="00712665" w:rsidP="00B214DC">
      <w:pPr>
        <w:spacing w:after="0" w:line="240" w:lineRule="auto"/>
      </w:pPr>
      <w:r>
        <w:separator/>
      </w:r>
    </w:p>
  </w:endnote>
  <w:endnote w:type="continuationSeparator" w:id="0">
    <w:p w14:paraId="6EAB31B0" w14:textId="77777777" w:rsidR="00712665" w:rsidRDefault="00712665" w:rsidP="00B2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889960"/>
      <w:docPartObj>
        <w:docPartGallery w:val="Page Numbers (Bottom of Page)"/>
        <w:docPartUnique/>
      </w:docPartObj>
    </w:sdtPr>
    <w:sdtEndPr/>
    <w:sdtContent>
      <w:p w14:paraId="2661CC9A" w14:textId="77777777" w:rsidR="00DD1254" w:rsidRDefault="00DD12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7CF">
          <w:rPr>
            <w:noProof/>
          </w:rPr>
          <w:t>2</w:t>
        </w:r>
        <w:r>
          <w:fldChar w:fldCharType="end"/>
        </w:r>
      </w:p>
    </w:sdtContent>
  </w:sdt>
  <w:p w14:paraId="10F2FC9A" w14:textId="77777777" w:rsidR="00DD1254" w:rsidRDefault="00DD1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4C74" w14:textId="77777777" w:rsidR="00712665" w:rsidRDefault="00712665" w:rsidP="00B214DC">
      <w:pPr>
        <w:spacing w:after="0" w:line="240" w:lineRule="auto"/>
      </w:pPr>
      <w:r>
        <w:separator/>
      </w:r>
    </w:p>
  </w:footnote>
  <w:footnote w:type="continuationSeparator" w:id="0">
    <w:p w14:paraId="7C6ED3EE" w14:textId="77777777" w:rsidR="00712665" w:rsidRDefault="00712665" w:rsidP="00B214DC">
      <w:pPr>
        <w:spacing w:after="0" w:line="240" w:lineRule="auto"/>
      </w:pPr>
      <w:r>
        <w:continuationSeparator/>
      </w:r>
    </w:p>
  </w:footnote>
  <w:footnote w:id="1">
    <w:p w14:paraId="42C550D7" w14:textId="77777777" w:rsidR="00DD1254" w:rsidRPr="00AB1BBF" w:rsidRDefault="00DD1254" w:rsidP="00AB1BBF">
      <w:pPr>
        <w:pStyle w:val="FootnoteText"/>
        <w:jc w:val="both"/>
        <w:rPr>
          <w:rFonts w:ascii="Segoe UI" w:hAnsi="Segoe UI" w:cs="Segoe UI"/>
          <w:sz w:val="18"/>
          <w:szCs w:val="18"/>
          <w:lang w:val="es-MX"/>
        </w:rPr>
      </w:pPr>
      <w:r w:rsidRPr="00AB1BBF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AB1BBF">
        <w:rPr>
          <w:rFonts w:ascii="Segoe UI" w:hAnsi="Segoe UI" w:cs="Segoe UI"/>
          <w:sz w:val="18"/>
          <w:szCs w:val="18"/>
        </w:rPr>
        <w:t xml:space="preserve"> El presente documento ha sido elaborado a partir de los insumos proporcionados por el Poder Judicial, el Ministerio de Justicia y Derechos Humanos, el Ministerio Público, la Defensoría Penal Pública, y la Cor</w:t>
      </w:r>
      <w:r>
        <w:rPr>
          <w:rFonts w:ascii="Segoe UI" w:hAnsi="Segoe UI" w:cs="Segoe UI"/>
          <w:sz w:val="18"/>
          <w:szCs w:val="18"/>
        </w:rPr>
        <w:t>poración de Asistencia Judicial, y sistematizado por la División de Derechos Humanos del Ministerio de Relaciones Exteriores.</w:t>
      </w:r>
    </w:p>
  </w:footnote>
  <w:footnote w:id="2">
    <w:p w14:paraId="26BB19DB" w14:textId="77777777" w:rsidR="00DD1254" w:rsidRPr="00AB1BBF" w:rsidRDefault="00DD1254" w:rsidP="00AB1BBF">
      <w:pPr>
        <w:pStyle w:val="FootnoteText"/>
        <w:jc w:val="both"/>
        <w:rPr>
          <w:rFonts w:ascii="Segoe UI" w:hAnsi="Segoe UI" w:cs="Segoe UI"/>
          <w:sz w:val="18"/>
          <w:szCs w:val="18"/>
        </w:rPr>
      </w:pPr>
      <w:r w:rsidRPr="00AB1BBF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AB1BBF">
        <w:rPr>
          <w:rFonts w:ascii="Segoe UI" w:hAnsi="Segoe UI" w:cs="Segoe UI"/>
          <w:sz w:val="18"/>
          <w:szCs w:val="18"/>
        </w:rPr>
        <w:t xml:space="preserve"> Desarrollado por el Centro de Estudios Justicia y Sociedad de la Pontificia Universidad Católica de Chile por encargo de la Dirección de Estudios de la Corte Suprema.</w:t>
      </w:r>
      <w:r>
        <w:rPr>
          <w:rFonts w:ascii="Segoe UI" w:hAnsi="Segoe UI" w:cs="Segoe UI"/>
          <w:sz w:val="18"/>
          <w:szCs w:val="18"/>
        </w:rPr>
        <w:t xml:space="preserve"> Disponible en: </w:t>
      </w:r>
      <w:hyperlink r:id="rId1" w:history="1">
        <w:r w:rsidRPr="00493F00">
          <w:rPr>
            <w:rStyle w:val="Hyperlink"/>
            <w:rFonts w:ascii="Segoe UI" w:hAnsi="Segoe UI" w:cs="Segoe UI"/>
            <w:sz w:val="18"/>
            <w:szCs w:val="18"/>
          </w:rPr>
          <w:t>https://justiciaysociedad.uc.cl/wp-content/uploads/2023/02/INF_FINAL_Necesidades-juridicas-y-cursos-de-accion-del-ciudadano-ante-las-barreras-de-acceso-a-la-Justicia.pdf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2BA" w14:textId="77777777" w:rsidR="00DD1254" w:rsidRDefault="00DD1254" w:rsidP="00B214DC">
    <w:pPr>
      <w:pStyle w:val="Header"/>
      <w:jc w:val="right"/>
      <w:rPr>
        <w:rFonts w:ascii="Segoe UI" w:hAnsi="Segoe UI" w:cs="Segoe UI"/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497252E" wp14:editId="257A1E0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152525" cy="1042675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lacionesExterio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</w:rPr>
      <w:tab/>
    </w:r>
    <w:r>
      <w:rPr>
        <w:rFonts w:ascii="Segoe UI" w:hAnsi="Segoe UI" w:cs="Segoe UI"/>
        <w:b/>
      </w:rPr>
      <w:tab/>
    </w:r>
  </w:p>
  <w:p w14:paraId="18B52ACC" w14:textId="77777777" w:rsidR="00DD1254" w:rsidRPr="00A75FD1" w:rsidRDefault="00DD1254" w:rsidP="00B214DC">
    <w:pPr>
      <w:pStyle w:val="Header"/>
      <w:jc w:val="right"/>
      <w:rPr>
        <w:rFonts w:ascii="Segoe UI" w:hAnsi="Segoe UI" w:cs="Segoe UI"/>
      </w:rPr>
    </w:pPr>
    <w:r w:rsidRPr="00A75FD1">
      <w:rPr>
        <w:rFonts w:ascii="Segoe UI" w:hAnsi="Segoe UI" w:cs="Segoe UI"/>
      </w:rPr>
      <w:t>Ministerio de Relaciones Exteriores</w:t>
    </w:r>
  </w:p>
  <w:p w14:paraId="793783B0" w14:textId="77777777" w:rsidR="00DD1254" w:rsidRPr="00A75FD1" w:rsidRDefault="00DD1254" w:rsidP="00B214DC">
    <w:pPr>
      <w:pStyle w:val="Header"/>
      <w:jc w:val="right"/>
      <w:rPr>
        <w:rFonts w:ascii="Segoe UI" w:hAnsi="Segoe UI" w:cs="Segoe UI"/>
      </w:rPr>
    </w:pPr>
    <w:r w:rsidRPr="00A75FD1">
      <w:rPr>
        <w:rFonts w:ascii="Segoe UI" w:hAnsi="Segoe UI" w:cs="Segoe UI"/>
      </w:rPr>
      <w:t>División de Derechos Humanos</w:t>
    </w:r>
  </w:p>
  <w:p w14:paraId="61C3DDE3" w14:textId="77777777" w:rsidR="00DD1254" w:rsidRPr="00A75FD1" w:rsidRDefault="00DD1254" w:rsidP="00B214DC">
    <w:pPr>
      <w:pStyle w:val="Header"/>
      <w:jc w:val="right"/>
      <w:rPr>
        <w:rFonts w:ascii="Segoe UI" w:hAnsi="Segoe UI" w:cs="Segoe UI"/>
      </w:rPr>
    </w:pPr>
    <w:r>
      <w:rPr>
        <w:rFonts w:ascii="Segoe UI" w:hAnsi="Segoe UI" w:cs="Segoe UI"/>
      </w:rPr>
      <w:t xml:space="preserve">16 </w:t>
    </w:r>
    <w:r w:rsidRPr="00A75FD1">
      <w:rPr>
        <w:rFonts w:ascii="Segoe UI" w:hAnsi="Segoe UI" w:cs="Segoe UI"/>
      </w:rPr>
      <w:t xml:space="preserve">de </w:t>
    </w:r>
    <w:r>
      <w:rPr>
        <w:rFonts w:ascii="Segoe UI" w:hAnsi="Segoe UI" w:cs="Segoe UI"/>
      </w:rPr>
      <w:t>agosto</w:t>
    </w:r>
    <w:r w:rsidRPr="00A75FD1">
      <w:rPr>
        <w:rFonts w:ascii="Segoe UI" w:hAnsi="Segoe UI" w:cs="Segoe UI"/>
      </w:rPr>
      <w:t xml:space="preserve"> de 2023</w:t>
    </w:r>
  </w:p>
  <w:p w14:paraId="32243D7C" w14:textId="77777777" w:rsidR="00DD1254" w:rsidRDefault="00DD1254" w:rsidP="00B214DC">
    <w:pPr>
      <w:pStyle w:val="Header"/>
    </w:pPr>
  </w:p>
  <w:p w14:paraId="335786BA" w14:textId="77777777" w:rsidR="00DD1254" w:rsidRDefault="00DD1254">
    <w:pPr>
      <w:pStyle w:val="Header"/>
    </w:pPr>
  </w:p>
  <w:p w14:paraId="3FD86EC1" w14:textId="77777777" w:rsidR="00DD1254" w:rsidRDefault="00DD1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33A"/>
    <w:multiLevelType w:val="hybridMultilevel"/>
    <w:tmpl w:val="27CE64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6379"/>
    <w:multiLevelType w:val="hybridMultilevel"/>
    <w:tmpl w:val="CCFA1824"/>
    <w:lvl w:ilvl="0" w:tplc="17C4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423A6"/>
    <w:multiLevelType w:val="hybridMultilevel"/>
    <w:tmpl w:val="C42A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73715"/>
    <w:multiLevelType w:val="hybridMultilevel"/>
    <w:tmpl w:val="B6FA3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09C0"/>
    <w:multiLevelType w:val="hybridMultilevel"/>
    <w:tmpl w:val="8A3472C6"/>
    <w:lvl w:ilvl="0" w:tplc="83DC2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E8E"/>
    <w:multiLevelType w:val="hybridMultilevel"/>
    <w:tmpl w:val="3F867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3742"/>
    <w:multiLevelType w:val="hybridMultilevel"/>
    <w:tmpl w:val="545CA256"/>
    <w:lvl w:ilvl="0" w:tplc="C3DC692E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E0F2E"/>
    <w:multiLevelType w:val="hybridMultilevel"/>
    <w:tmpl w:val="10B43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2EC3"/>
    <w:multiLevelType w:val="hybridMultilevel"/>
    <w:tmpl w:val="232EFE30"/>
    <w:lvl w:ilvl="0" w:tplc="17C4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0C7D"/>
    <w:multiLevelType w:val="hybridMultilevel"/>
    <w:tmpl w:val="E90AB2A4"/>
    <w:lvl w:ilvl="0" w:tplc="290636AC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E4B89"/>
    <w:multiLevelType w:val="hybridMultilevel"/>
    <w:tmpl w:val="1E46DCCE"/>
    <w:lvl w:ilvl="0" w:tplc="D5E439D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3340"/>
    <w:multiLevelType w:val="hybridMultilevel"/>
    <w:tmpl w:val="AB86A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0043"/>
    <w:multiLevelType w:val="hybridMultilevel"/>
    <w:tmpl w:val="7B3E7818"/>
    <w:lvl w:ilvl="0" w:tplc="4E1293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029CA"/>
    <w:multiLevelType w:val="hybridMultilevel"/>
    <w:tmpl w:val="B290C270"/>
    <w:lvl w:ilvl="0" w:tplc="75EC3834">
      <w:start w:val="16"/>
      <w:numFmt w:val="bullet"/>
      <w:lvlText w:val="-"/>
      <w:lvlJc w:val="left"/>
      <w:pPr>
        <w:ind w:left="360" w:hanging="360"/>
      </w:pPr>
      <w:rPr>
        <w:rFonts w:ascii="Cambria" w:eastAsiaTheme="minorHAnsi" w:hAnsi="Cambria" w:cs="TimesNew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666E41"/>
    <w:multiLevelType w:val="hybridMultilevel"/>
    <w:tmpl w:val="2A00A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AC2"/>
    <w:multiLevelType w:val="hybridMultilevel"/>
    <w:tmpl w:val="8EF26F2A"/>
    <w:lvl w:ilvl="0" w:tplc="8D5EA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7D2F"/>
    <w:multiLevelType w:val="hybridMultilevel"/>
    <w:tmpl w:val="6A1AEA06"/>
    <w:lvl w:ilvl="0" w:tplc="D5E439D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D7B0D"/>
    <w:multiLevelType w:val="hybridMultilevel"/>
    <w:tmpl w:val="0C384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664DA"/>
    <w:multiLevelType w:val="hybridMultilevel"/>
    <w:tmpl w:val="8AAC7ED0"/>
    <w:lvl w:ilvl="0" w:tplc="83DC2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73516"/>
    <w:multiLevelType w:val="hybridMultilevel"/>
    <w:tmpl w:val="10C48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D127F"/>
    <w:multiLevelType w:val="hybridMultilevel"/>
    <w:tmpl w:val="6F7ECF0C"/>
    <w:lvl w:ilvl="0" w:tplc="17C400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0C1545"/>
    <w:multiLevelType w:val="hybridMultilevel"/>
    <w:tmpl w:val="5FBE9034"/>
    <w:lvl w:ilvl="0" w:tplc="83DC2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7E38"/>
    <w:multiLevelType w:val="hybridMultilevel"/>
    <w:tmpl w:val="0122B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96E54"/>
    <w:multiLevelType w:val="hybridMultilevel"/>
    <w:tmpl w:val="B45E0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43A2C"/>
    <w:multiLevelType w:val="hybridMultilevel"/>
    <w:tmpl w:val="A77CEF8A"/>
    <w:lvl w:ilvl="0" w:tplc="D5E439D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20BF4"/>
    <w:multiLevelType w:val="hybridMultilevel"/>
    <w:tmpl w:val="9198DA5C"/>
    <w:lvl w:ilvl="0" w:tplc="83DC2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07156">
    <w:abstractNumId w:val="12"/>
  </w:num>
  <w:num w:numId="2" w16cid:durableId="508566766">
    <w:abstractNumId w:val="7"/>
  </w:num>
  <w:num w:numId="3" w16cid:durableId="1614826277">
    <w:abstractNumId w:val="6"/>
  </w:num>
  <w:num w:numId="4" w16cid:durableId="1364093606">
    <w:abstractNumId w:val="23"/>
  </w:num>
  <w:num w:numId="5" w16cid:durableId="1159465363">
    <w:abstractNumId w:val="15"/>
  </w:num>
  <w:num w:numId="6" w16cid:durableId="1602882915">
    <w:abstractNumId w:val="22"/>
  </w:num>
  <w:num w:numId="7" w16cid:durableId="1527676489">
    <w:abstractNumId w:val="24"/>
  </w:num>
  <w:num w:numId="8" w16cid:durableId="377516927">
    <w:abstractNumId w:val="3"/>
  </w:num>
  <w:num w:numId="9" w16cid:durableId="1226841055">
    <w:abstractNumId w:val="14"/>
  </w:num>
  <w:num w:numId="10" w16cid:durableId="991254312">
    <w:abstractNumId w:val="9"/>
  </w:num>
  <w:num w:numId="11" w16cid:durableId="1884752194">
    <w:abstractNumId w:val="17"/>
  </w:num>
  <w:num w:numId="12" w16cid:durableId="393116419">
    <w:abstractNumId w:val="19"/>
  </w:num>
  <w:num w:numId="13" w16cid:durableId="472647408">
    <w:abstractNumId w:val="10"/>
  </w:num>
  <w:num w:numId="14" w16cid:durableId="1026830210">
    <w:abstractNumId w:val="8"/>
  </w:num>
  <w:num w:numId="15" w16cid:durableId="199368349">
    <w:abstractNumId w:val="16"/>
  </w:num>
  <w:num w:numId="16" w16cid:durableId="438646368">
    <w:abstractNumId w:val="20"/>
  </w:num>
  <w:num w:numId="17" w16cid:durableId="133838230">
    <w:abstractNumId w:val="1"/>
  </w:num>
  <w:num w:numId="18" w16cid:durableId="1686125660">
    <w:abstractNumId w:val="13"/>
  </w:num>
  <w:num w:numId="19" w16cid:durableId="57435581">
    <w:abstractNumId w:val="0"/>
  </w:num>
  <w:num w:numId="20" w16cid:durableId="531114296">
    <w:abstractNumId w:val="5"/>
  </w:num>
  <w:num w:numId="21" w16cid:durableId="1852522132">
    <w:abstractNumId w:val="2"/>
  </w:num>
  <w:num w:numId="22" w16cid:durableId="1947038539">
    <w:abstractNumId w:val="11"/>
  </w:num>
  <w:num w:numId="23" w16cid:durableId="1259680038">
    <w:abstractNumId w:val="4"/>
  </w:num>
  <w:num w:numId="24" w16cid:durableId="1259824979">
    <w:abstractNumId w:val="25"/>
  </w:num>
  <w:num w:numId="25" w16cid:durableId="1892573569">
    <w:abstractNumId w:val="18"/>
  </w:num>
  <w:num w:numId="26" w16cid:durableId="784233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DC"/>
    <w:rsid w:val="00016515"/>
    <w:rsid w:val="00022B2A"/>
    <w:rsid w:val="0002404F"/>
    <w:rsid w:val="0003356D"/>
    <w:rsid w:val="000406FF"/>
    <w:rsid w:val="00060DD7"/>
    <w:rsid w:val="000628B9"/>
    <w:rsid w:val="000910A8"/>
    <w:rsid w:val="000C5310"/>
    <w:rsid w:val="000C53B1"/>
    <w:rsid w:val="000C72D3"/>
    <w:rsid w:val="000D68E5"/>
    <w:rsid w:val="000F62E4"/>
    <w:rsid w:val="001077B4"/>
    <w:rsid w:val="00117B23"/>
    <w:rsid w:val="001226B6"/>
    <w:rsid w:val="00123F9B"/>
    <w:rsid w:val="001518C9"/>
    <w:rsid w:val="0015385D"/>
    <w:rsid w:val="00171AC6"/>
    <w:rsid w:val="001A3CD5"/>
    <w:rsid w:val="001E021D"/>
    <w:rsid w:val="00223FE0"/>
    <w:rsid w:val="00254BF2"/>
    <w:rsid w:val="0027022D"/>
    <w:rsid w:val="00273AC3"/>
    <w:rsid w:val="002754EE"/>
    <w:rsid w:val="00275F29"/>
    <w:rsid w:val="0027741D"/>
    <w:rsid w:val="00281878"/>
    <w:rsid w:val="00284A7D"/>
    <w:rsid w:val="00290394"/>
    <w:rsid w:val="00297A60"/>
    <w:rsid w:val="002A4F61"/>
    <w:rsid w:val="002B0AC0"/>
    <w:rsid w:val="002F3298"/>
    <w:rsid w:val="002F610A"/>
    <w:rsid w:val="00317DAA"/>
    <w:rsid w:val="00321DC2"/>
    <w:rsid w:val="00322AAD"/>
    <w:rsid w:val="0032349F"/>
    <w:rsid w:val="003451EB"/>
    <w:rsid w:val="0035695E"/>
    <w:rsid w:val="003A1C9F"/>
    <w:rsid w:val="003A1E90"/>
    <w:rsid w:val="003D2438"/>
    <w:rsid w:val="003F2494"/>
    <w:rsid w:val="003F5760"/>
    <w:rsid w:val="00432CC2"/>
    <w:rsid w:val="00442D7B"/>
    <w:rsid w:val="00472F51"/>
    <w:rsid w:val="00481985"/>
    <w:rsid w:val="00490279"/>
    <w:rsid w:val="00491F26"/>
    <w:rsid w:val="004C0A82"/>
    <w:rsid w:val="004C297A"/>
    <w:rsid w:val="004D0EB9"/>
    <w:rsid w:val="004D29DE"/>
    <w:rsid w:val="004E37CF"/>
    <w:rsid w:val="004E410E"/>
    <w:rsid w:val="00526033"/>
    <w:rsid w:val="00545305"/>
    <w:rsid w:val="005453C9"/>
    <w:rsid w:val="00550665"/>
    <w:rsid w:val="00564537"/>
    <w:rsid w:val="005C4A5F"/>
    <w:rsid w:val="005F7CF0"/>
    <w:rsid w:val="00623B41"/>
    <w:rsid w:val="00627B8D"/>
    <w:rsid w:val="0063585F"/>
    <w:rsid w:val="006966DB"/>
    <w:rsid w:val="006C4760"/>
    <w:rsid w:val="006C5616"/>
    <w:rsid w:val="006D286A"/>
    <w:rsid w:val="00700FB4"/>
    <w:rsid w:val="007022DA"/>
    <w:rsid w:val="00712665"/>
    <w:rsid w:val="00720BC7"/>
    <w:rsid w:val="00721FB0"/>
    <w:rsid w:val="007222DC"/>
    <w:rsid w:val="00724FC3"/>
    <w:rsid w:val="00730AB0"/>
    <w:rsid w:val="007335C4"/>
    <w:rsid w:val="00747FF3"/>
    <w:rsid w:val="007649E8"/>
    <w:rsid w:val="007A2456"/>
    <w:rsid w:val="007B5FEB"/>
    <w:rsid w:val="007C6598"/>
    <w:rsid w:val="007D162B"/>
    <w:rsid w:val="00804C0E"/>
    <w:rsid w:val="0081687E"/>
    <w:rsid w:val="0081694E"/>
    <w:rsid w:val="008725B1"/>
    <w:rsid w:val="00880E36"/>
    <w:rsid w:val="00890620"/>
    <w:rsid w:val="008906CA"/>
    <w:rsid w:val="008A3F21"/>
    <w:rsid w:val="008B5C2A"/>
    <w:rsid w:val="008F0A49"/>
    <w:rsid w:val="009220C3"/>
    <w:rsid w:val="00946FF6"/>
    <w:rsid w:val="00967F41"/>
    <w:rsid w:val="0097593C"/>
    <w:rsid w:val="00996CAD"/>
    <w:rsid w:val="009C4A1F"/>
    <w:rsid w:val="009D252B"/>
    <w:rsid w:val="009E7A9A"/>
    <w:rsid w:val="00A04899"/>
    <w:rsid w:val="00A232CF"/>
    <w:rsid w:val="00A31A0D"/>
    <w:rsid w:val="00A454D4"/>
    <w:rsid w:val="00A602A7"/>
    <w:rsid w:val="00A73A98"/>
    <w:rsid w:val="00A86702"/>
    <w:rsid w:val="00AA3835"/>
    <w:rsid w:val="00AB1BBF"/>
    <w:rsid w:val="00AB4264"/>
    <w:rsid w:val="00AC0788"/>
    <w:rsid w:val="00B214DC"/>
    <w:rsid w:val="00B25D3D"/>
    <w:rsid w:val="00B36824"/>
    <w:rsid w:val="00B42A8E"/>
    <w:rsid w:val="00B4502B"/>
    <w:rsid w:val="00B752ED"/>
    <w:rsid w:val="00BB1F01"/>
    <w:rsid w:val="00BC6365"/>
    <w:rsid w:val="00BD4E67"/>
    <w:rsid w:val="00BF28F0"/>
    <w:rsid w:val="00BF7EA9"/>
    <w:rsid w:val="00C026C6"/>
    <w:rsid w:val="00C1390C"/>
    <w:rsid w:val="00C26432"/>
    <w:rsid w:val="00C4107B"/>
    <w:rsid w:val="00C56253"/>
    <w:rsid w:val="00C63B4C"/>
    <w:rsid w:val="00C8428C"/>
    <w:rsid w:val="00CA0AC0"/>
    <w:rsid w:val="00CA552B"/>
    <w:rsid w:val="00D268B8"/>
    <w:rsid w:val="00D51D79"/>
    <w:rsid w:val="00D86A4A"/>
    <w:rsid w:val="00DA241A"/>
    <w:rsid w:val="00DA3AC2"/>
    <w:rsid w:val="00DB0D87"/>
    <w:rsid w:val="00DB5D57"/>
    <w:rsid w:val="00DD1254"/>
    <w:rsid w:val="00DE26A6"/>
    <w:rsid w:val="00DE4272"/>
    <w:rsid w:val="00E014FD"/>
    <w:rsid w:val="00E04AFC"/>
    <w:rsid w:val="00E475E8"/>
    <w:rsid w:val="00E507C1"/>
    <w:rsid w:val="00E7113F"/>
    <w:rsid w:val="00E8743F"/>
    <w:rsid w:val="00E91E16"/>
    <w:rsid w:val="00E95911"/>
    <w:rsid w:val="00ED0A8E"/>
    <w:rsid w:val="00EF702C"/>
    <w:rsid w:val="00F104DB"/>
    <w:rsid w:val="00F22BD4"/>
    <w:rsid w:val="00F27E3A"/>
    <w:rsid w:val="00F3345B"/>
    <w:rsid w:val="00F428B5"/>
    <w:rsid w:val="00F73E70"/>
    <w:rsid w:val="00F74F0B"/>
    <w:rsid w:val="00F856C6"/>
    <w:rsid w:val="00F920CE"/>
    <w:rsid w:val="00F96DC3"/>
    <w:rsid w:val="00FC6C40"/>
    <w:rsid w:val="00FD6D88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A2E0"/>
  <w15:chartTrackingRefBased/>
  <w15:docId w15:val="{6EAD4B3B-4FAB-4335-9D71-99C1636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DC"/>
  </w:style>
  <w:style w:type="paragraph" w:styleId="Footer">
    <w:name w:val="footer"/>
    <w:basedOn w:val="Normal"/>
    <w:link w:val="FooterChar"/>
    <w:uiPriority w:val="99"/>
    <w:unhideWhenUsed/>
    <w:rsid w:val="00B21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DC"/>
  </w:style>
  <w:style w:type="paragraph" w:styleId="ListParagraph">
    <w:name w:val="List Paragraph"/>
    <w:basedOn w:val="Normal"/>
    <w:uiPriority w:val="34"/>
    <w:qFormat/>
    <w:rsid w:val="005645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54B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4BF2"/>
    <w:rPr>
      <w:sz w:val="20"/>
      <w:szCs w:val="20"/>
    </w:rPr>
  </w:style>
  <w:style w:type="character" w:styleId="FootnoteReference">
    <w:name w:val="footnote reference"/>
    <w:aliases w:val="Texto de nota al pie,Appel note de bas de page,Footnotes refss,Footnote number,referencia nota al pie,BVI fnr,f,4_G,16 Point,Superscript 6 Point,Texto nota al pie,Footnote Reference Char3,Footnote Reference Char1 Char,Ref. de nota al"/>
    <w:basedOn w:val="DefaultParagraphFont"/>
    <w:uiPriority w:val="99"/>
    <w:unhideWhenUsed/>
    <w:qFormat/>
    <w:rsid w:val="00254B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usticiaysociedad.uc.cl/wp-content/uploads/2023/02/INF_FINAL_Necesidades-juridicas-y-cursos-de-accion-del-ciudadano-ante-las-barreras-de-acceso-a-la-Justici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annex-1</Doctype>
    <Contributor xmlns="d42e65b2-cf21-49c1-b27d-d23f90380c0e">Chile</Contributor>
    <Postingdate xmlns="d42e65b2-cf21-49c1-b27d-d23f90380c0e" xsi:nil="true"/>
    <Postedonline xmlns="d42e65b2-cf21-49c1-b27d-d23f90380c0e">false</Postedon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5C98-D404-498A-9292-408A96EF1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73166-8C21-41E1-907A-3D3F93497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D79FD-F932-4A56-B9F7-70E9EBCF7E5E}"/>
</file>

<file path=customXml/itemProps4.xml><?xml version="1.0" encoding="utf-8"?>
<ds:datastoreItem xmlns:ds="http://schemas.openxmlformats.org/officeDocument/2006/customXml" ds:itemID="{5102668C-0DB4-414F-9E2A-3AB34D2B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Ríos Echeverría</dc:creator>
  <cp:keywords/>
  <dc:description/>
  <cp:lastModifiedBy>Melanie Santizo Sandoval</cp:lastModifiedBy>
  <cp:revision>2</cp:revision>
  <dcterms:created xsi:type="dcterms:W3CDTF">2023-08-21T07:45:00Z</dcterms:created>
  <dcterms:modified xsi:type="dcterms:W3CDTF">2023-08-21T07:45:00Z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74407a6012d591873b0980834961c35500af48aafb60b33f395f402b00cbaafa</vt:lpwstr>
  </property>
  <property fmtid="{D5CDD505-2E9C-101B-9397-08002B2CF9AE}" pid="3" name="ContentTypeId">
    <vt:lpwstr>0x0101009D953D6983EF5F4EB0B6A5354F975E96</vt:lpwstr>
  </property>
</Properties>
</file>