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87BCA" w14:textId="77777777" w:rsidR="00426FB9" w:rsidRPr="0099356A" w:rsidRDefault="00426FB9" w:rsidP="00941128">
      <w:pPr>
        <w:bidi/>
        <w:spacing w:after="0" w:line="240" w:lineRule="auto"/>
        <w:jc w:val="lowKashida"/>
        <w:rPr>
          <w:rFonts w:ascii="Traditional Arabic" w:hAnsi="Traditional Arabic" w:cs="Traditional Arabic"/>
          <w:b/>
          <w:bCs/>
          <w:sz w:val="28"/>
          <w:szCs w:val="28"/>
          <w:rtl/>
        </w:rPr>
      </w:pPr>
      <w:r w:rsidRPr="0099356A">
        <w:rPr>
          <w:rFonts w:ascii="Traditional Arabic" w:hAnsi="Traditional Arabic" w:cs="Traditional Arabic" w:hint="cs"/>
          <w:b/>
          <w:bCs/>
          <w:sz w:val="28"/>
          <w:szCs w:val="28"/>
          <w:rtl/>
        </w:rPr>
        <w:t>الرقم: م د</w:t>
      </w:r>
      <w:r w:rsidRPr="0099356A">
        <w:rPr>
          <w:rFonts w:ascii="Traditional Arabic" w:hAnsi="Traditional Arabic" w:cs="Traditional Arabic" w:hint="cs"/>
          <w:b/>
          <w:bCs/>
          <w:sz w:val="28"/>
          <w:szCs w:val="28"/>
          <w:rtl/>
          <w:lang w:bidi="ar-KW"/>
        </w:rPr>
        <w:t xml:space="preserve">    </w:t>
      </w:r>
      <w:r w:rsidR="001C0BD2">
        <w:rPr>
          <w:rFonts w:ascii="Traditional Arabic" w:hAnsi="Traditional Arabic" w:cs="Traditional Arabic"/>
          <w:b/>
          <w:bCs/>
          <w:sz w:val="28"/>
          <w:szCs w:val="28"/>
          <w:lang w:bidi="ar-KW"/>
        </w:rPr>
        <w:t xml:space="preserve">  </w:t>
      </w:r>
      <w:r w:rsidR="005D7925">
        <w:rPr>
          <w:rFonts w:ascii="Traditional Arabic" w:hAnsi="Traditional Arabic" w:cs="Traditional Arabic"/>
          <w:b/>
          <w:bCs/>
          <w:sz w:val="28"/>
          <w:szCs w:val="28"/>
          <w:lang w:bidi="ar-KW"/>
        </w:rPr>
        <w:t xml:space="preserve"> </w:t>
      </w:r>
      <w:r w:rsidR="001C0BD2">
        <w:rPr>
          <w:rFonts w:ascii="Traditional Arabic" w:hAnsi="Traditional Arabic" w:cs="Traditional Arabic"/>
          <w:b/>
          <w:bCs/>
          <w:sz w:val="28"/>
          <w:szCs w:val="28"/>
          <w:lang w:bidi="ar-KW"/>
        </w:rPr>
        <w:t xml:space="preserve">  </w:t>
      </w:r>
      <w:r w:rsidRPr="0099356A">
        <w:rPr>
          <w:rFonts w:ascii="Traditional Arabic" w:hAnsi="Traditional Arabic" w:cs="Traditional Arabic" w:hint="cs"/>
          <w:b/>
          <w:bCs/>
          <w:sz w:val="28"/>
          <w:szCs w:val="28"/>
          <w:rtl/>
        </w:rPr>
        <w:t xml:space="preserve"> </w:t>
      </w:r>
      <w:r w:rsidR="00DA0BE5">
        <w:rPr>
          <w:rFonts w:ascii="Traditional Arabic" w:hAnsi="Traditional Arabic" w:cs="Traditional Arabic" w:hint="cs"/>
          <w:b/>
          <w:bCs/>
          <w:sz w:val="28"/>
          <w:szCs w:val="28"/>
          <w:rtl/>
        </w:rPr>
        <w:t>/2023</w:t>
      </w:r>
    </w:p>
    <w:p w14:paraId="5AA1B80B" w14:textId="77777777" w:rsidR="00B16A3F" w:rsidRDefault="00426FB9" w:rsidP="00941128">
      <w:pPr>
        <w:bidi/>
        <w:spacing w:after="0" w:line="240" w:lineRule="auto"/>
        <w:jc w:val="lowKashida"/>
        <w:rPr>
          <w:rFonts w:ascii="Traditional Arabic" w:hAnsi="Traditional Arabic" w:cs="Traditional Arabic"/>
          <w:b/>
          <w:bCs/>
          <w:sz w:val="28"/>
          <w:szCs w:val="28"/>
          <w:rtl/>
        </w:rPr>
      </w:pPr>
      <w:r w:rsidRPr="0099356A">
        <w:rPr>
          <w:rFonts w:ascii="Traditional Arabic" w:hAnsi="Traditional Arabic" w:cs="Traditional Arabic" w:hint="cs"/>
          <w:b/>
          <w:bCs/>
          <w:sz w:val="28"/>
          <w:szCs w:val="28"/>
          <w:rtl/>
        </w:rPr>
        <w:t>التاريخ:</w:t>
      </w:r>
      <w:r w:rsidR="00445B14">
        <w:rPr>
          <w:rFonts w:ascii="Traditional Arabic" w:hAnsi="Traditional Arabic" w:cs="Traditional Arabic" w:hint="cs"/>
          <w:b/>
          <w:bCs/>
          <w:sz w:val="28"/>
          <w:szCs w:val="28"/>
          <w:rtl/>
        </w:rPr>
        <w:t xml:space="preserve"> </w:t>
      </w:r>
      <w:r w:rsidR="005D7925">
        <w:rPr>
          <w:rFonts w:ascii="Traditional Arabic" w:hAnsi="Traditional Arabic" w:cs="Traditional Arabic" w:hint="cs"/>
          <w:b/>
          <w:bCs/>
          <w:sz w:val="28"/>
          <w:szCs w:val="28"/>
          <w:rtl/>
          <w:lang w:bidi="ar-KW"/>
        </w:rPr>
        <w:t>5 مايو</w:t>
      </w:r>
      <w:r w:rsidR="00DA0BE5">
        <w:rPr>
          <w:rFonts w:ascii="Traditional Arabic" w:hAnsi="Traditional Arabic" w:cs="Traditional Arabic" w:hint="cs"/>
          <w:b/>
          <w:bCs/>
          <w:sz w:val="28"/>
          <w:szCs w:val="28"/>
          <w:rtl/>
          <w:lang w:bidi="ar-KW"/>
        </w:rPr>
        <w:t xml:space="preserve"> 2023</w:t>
      </w:r>
    </w:p>
    <w:p w14:paraId="091E58AA" w14:textId="77777777" w:rsidR="00426FB9" w:rsidRPr="0099356A" w:rsidRDefault="00426FB9" w:rsidP="00095BDF">
      <w:pPr>
        <w:bidi/>
        <w:spacing w:line="240" w:lineRule="auto"/>
        <w:ind w:firstLine="720"/>
        <w:jc w:val="both"/>
        <w:rPr>
          <w:rFonts w:ascii="Traditional Arabic" w:hAnsi="Traditional Arabic" w:cs="Traditional Arabic"/>
          <w:b/>
          <w:bCs/>
          <w:sz w:val="36"/>
          <w:szCs w:val="36"/>
          <w:rtl/>
          <w:lang w:bidi="ar-KW"/>
        </w:rPr>
      </w:pPr>
      <w:r w:rsidRPr="0099356A">
        <w:rPr>
          <w:rFonts w:ascii="Traditional Arabic" w:hAnsi="Traditional Arabic" w:cs="Traditional Arabic" w:hint="cs"/>
          <w:b/>
          <w:bCs/>
          <w:sz w:val="36"/>
          <w:szCs w:val="36"/>
          <w:rtl/>
        </w:rPr>
        <w:t>يهدي الوفد الدائم لدولة الكويت لدى الأمم المتحدة في جنيف أطيب تحياته إلى مكتب المفوضية السامية لحقوق الانسان</w:t>
      </w:r>
      <w:r w:rsidR="00F82C65">
        <w:rPr>
          <w:rFonts w:ascii="Traditional Arabic" w:hAnsi="Traditional Arabic" w:cs="Traditional Arabic" w:hint="cs"/>
          <w:b/>
          <w:bCs/>
          <w:sz w:val="36"/>
          <w:szCs w:val="36"/>
          <w:rtl/>
        </w:rPr>
        <w:t xml:space="preserve">. </w:t>
      </w:r>
    </w:p>
    <w:p w14:paraId="6C3C2874" w14:textId="77777777" w:rsidR="00F82C65" w:rsidRDefault="00426FB9" w:rsidP="00426FB9">
      <w:pPr>
        <w:bidi/>
        <w:spacing w:line="240" w:lineRule="auto"/>
        <w:ind w:firstLine="720"/>
        <w:jc w:val="both"/>
        <w:rPr>
          <w:rFonts w:ascii="Traditional Arabic" w:hAnsi="Traditional Arabic" w:cs="Traditional Arabic"/>
          <w:b/>
          <w:bCs/>
          <w:sz w:val="36"/>
          <w:szCs w:val="36"/>
          <w:lang w:bidi="ar-KW"/>
        </w:rPr>
      </w:pPr>
      <w:r w:rsidRPr="0099356A">
        <w:rPr>
          <w:rFonts w:ascii="Traditional Arabic" w:hAnsi="Traditional Arabic" w:cs="Traditional Arabic" w:hint="cs"/>
          <w:b/>
          <w:bCs/>
          <w:sz w:val="36"/>
          <w:szCs w:val="36"/>
          <w:rtl/>
          <w:lang w:bidi="ar-KW"/>
        </w:rPr>
        <w:t>بالإش</w:t>
      </w:r>
      <w:r w:rsidR="00941128">
        <w:rPr>
          <w:rFonts w:ascii="Traditional Arabic" w:hAnsi="Traditional Arabic" w:cs="Traditional Arabic" w:hint="cs"/>
          <w:b/>
          <w:bCs/>
          <w:sz w:val="36"/>
          <w:szCs w:val="36"/>
          <w:rtl/>
          <w:lang w:bidi="ar-KW"/>
        </w:rPr>
        <w:t>ـــ</w:t>
      </w:r>
      <w:r w:rsidRPr="0099356A">
        <w:rPr>
          <w:rFonts w:ascii="Traditional Arabic" w:hAnsi="Traditional Arabic" w:cs="Traditional Arabic" w:hint="cs"/>
          <w:b/>
          <w:bCs/>
          <w:sz w:val="36"/>
          <w:szCs w:val="36"/>
          <w:rtl/>
          <w:lang w:bidi="ar-KW"/>
        </w:rPr>
        <w:t>ارة إلى</w:t>
      </w:r>
      <w:r w:rsidR="00B11FF8">
        <w:rPr>
          <w:rFonts w:ascii="Traditional Arabic" w:hAnsi="Traditional Arabic" w:cs="Traditional Arabic" w:hint="cs"/>
          <w:b/>
          <w:bCs/>
          <w:sz w:val="36"/>
          <w:szCs w:val="36"/>
          <w:rtl/>
          <w:lang w:bidi="ar-KW"/>
        </w:rPr>
        <w:t xml:space="preserve"> </w:t>
      </w:r>
      <w:r w:rsidRPr="0099356A">
        <w:rPr>
          <w:rFonts w:ascii="Traditional Arabic" w:hAnsi="Traditional Arabic" w:cs="Traditional Arabic" w:hint="cs"/>
          <w:b/>
          <w:bCs/>
          <w:sz w:val="36"/>
          <w:szCs w:val="36"/>
          <w:rtl/>
          <w:lang w:bidi="ar-KW"/>
        </w:rPr>
        <w:t>رس</w:t>
      </w:r>
      <w:r w:rsidR="00941128">
        <w:rPr>
          <w:rFonts w:ascii="Traditional Arabic" w:hAnsi="Traditional Arabic" w:cs="Traditional Arabic" w:hint="cs"/>
          <w:b/>
          <w:bCs/>
          <w:sz w:val="36"/>
          <w:szCs w:val="36"/>
          <w:rtl/>
          <w:lang w:bidi="ar-KW"/>
        </w:rPr>
        <w:t>ـــ</w:t>
      </w:r>
      <w:r w:rsidRPr="0099356A">
        <w:rPr>
          <w:rFonts w:ascii="Traditional Arabic" w:hAnsi="Traditional Arabic" w:cs="Traditional Arabic" w:hint="cs"/>
          <w:b/>
          <w:bCs/>
          <w:sz w:val="36"/>
          <w:szCs w:val="36"/>
          <w:rtl/>
          <w:lang w:bidi="ar-KW"/>
        </w:rPr>
        <w:t xml:space="preserve">الة </w:t>
      </w:r>
      <w:r w:rsidR="00445B14">
        <w:rPr>
          <w:rFonts w:ascii="Traditional Arabic" w:hAnsi="Traditional Arabic" w:cs="Traditional Arabic" w:hint="cs"/>
          <w:b/>
          <w:bCs/>
          <w:sz w:val="36"/>
          <w:szCs w:val="36"/>
          <w:rtl/>
          <w:lang w:bidi="ar-KW"/>
        </w:rPr>
        <w:t>المقرر</w:t>
      </w:r>
      <w:r w:rsidR="00F07D79">
        <w:rPr>
          <w:rFonts w:ascii="Traditional Arabic" w:hAnsi="Traditional Arabic" w:cs="Traditional Arabic" w:hint="cs"/>
          <w:b/>
          <w:bCs/>
          <w:sz w:val="36"/>
          <w:szCs w:val="36"/>
          <w:rtl/>
          <w:lang w:bidi="ar-KW"/>
        </w:rPr>
        <w:t>ة</w:t>
      </w:r>
      <w:r w:rsidR="00445B14">
        <w:rPr>
          <w:rFonts w:ascii="Traditional Arabic" w:hAnsi="Traditional Arabic" w:cs="Traditional Arabic" w:hint="cs"/>
          <w:b/>
          <w:bCs/>
          <w:sz w:val="36"/>
          <w:szCs w:val="36"/>
          <w:rtl/>
          <w:lang w:bidi="ar-KW"/>
        </w:rPr>
        <w:t xml:space="preserve"> الخاص</w:t>
      </w:r>
      <w:r w:rsidR="00F07D79">
        <w:rPr>
          <w:rFonts w:ascii="Traditional Arabic" w:hAnsi="Traditional Arabic" w:cs="Traditional Arabic" w:hint="cs"/>
          <w:b/>
          <w:bCs/>
          <w:sz w:val="36"/>
          <w:szCs w:val="36"/>
          <w:rtl/>
          <w:lang w:bidi="ar-KW"/>
        </w:rPr>
        <w:t>ة</w:t>
      </w:r>
      <w:r w:rsidR="00445B14">
        <w:rPr>
          <w:rFonts w:ascii="Traditional Arabic" w:hAnsi="Traditional Arabic" w:cs="Traditional Arabic" w:hint="cs"/>
          <w:b/>
          <w:bCs/>
          <w:sz w:val="36"/>
          <w:szCs w:val="36"/>
          <w:rtl/>
          <w:lang w:bidi="ar-KW"/>
        </w:rPr>
        <w:t xml:space="preserve"> المعني</w:t>
      </w:r>
      <w:r w:rsidR="00F07D79">
        <w:rPr>
          <w:rFonts w:ascii="Traditional Arabic" w:hAnsi="Traditional Arabic" w:cs="Traditional Arabic" w:hint="cs"/>
          <w:b/>
          <w:bCs/>
          <w:sz w:val="36"/>
          <w:szCs w:val="36"/>
          <w:rtl/>
          <w:lang w:bidi="ar-KW"/>
        </w:rPr>
        <w:t>ة</w:t>
      </w:r>
      <w:r w:rsidR="00445B14">
        <w:rPr>
          <w:rFonts w:ascii="Traditional Arabic" w:hAnsi="Traditional Arabic" w:cs="Traditional Arabic" w:hint="cs"/>
          <w:b/>
          <w:bCs/>
          <w:sz w:val="36"/>
          <w:szCs w:val="36"/>
          <w:rtl/>
          <w:lang w:bidi="ar-KW"/>
        </w:rPr>
        <w:t xml:space="preserve"> </w:t>
      </w:r>
      <w:r w:rsidR="005D7925">
        <w:rPr>
          <w:rFonts w:ascii="Traditional Arabic" w:hAnsi="Traditional Arabic" w:cs="Traditional Arabic" w:hint="cs"/>
          <w:b/>
          <w:bCs/>
          <w:sz w:val="36"/>
          <w:szCs w:val="36"/>
          <w:rtl/>
          <w:lang w:bidi="ar-KW"/>
        </w:rPr>
        <w:t>باستقلال القضاة والمحامين بتاريخ 9 مارس 2023</w:t>
      </w:r>
      <w:r w:rsidR="00445B14">
        <w:rPr>
          <w:rFonts w:ascii="Traditional Arabic" w:hAnsi="Traditional Arabic" w:cs="Traditional Arabic" w:hint="cs"/>
          <w:b/>
          <w:bCs/>
          <w:sz w:val="36"/>
          <w:szCs w:val="36"/>
          <w:rtl/>
          <w:lang w:bidi="ar-KW"/>
        </w:rPr>
        <w:t xml:space="preserve"> </w:t>
      </w:r>
      <w:r w:rsidR="00621C36">
        <w:rPr>
          <w:rFonts w:ascii="Traditional Arabic" w:hAnsi="Traditional Arabic" w:cs="Traditional Arabic" w:hint="cs"/>
          <w:b/>
          <w:bCs/>
          <w:sz w:val="36"/>
          <w:szCs w:val="36"/>
          <w:rtl/>
          <w:lang w:bidi="ar-KW"/>
        </w:rPr>
        <w:t xml:space="preserve">بشأن </w:t>
      </w:r>
      <w:r w:rsidR="00445B14">
        <w:rPr>
          <w:rFonts w:ascii="Traditional Arabic" w:hAnsi="Traditional Arabic" w:cs="Traditional Arabic" w:hint="cs"/>
          <w:b/>
          <w:bCs/>
          <w:sz w:val="36"/>
          <w:szCs w:val="36"/>
          <w:rtl/>
          <w:lang w:bidi="ar-KW"/>
        </w:rPr>
        <w:t xml:space="preserve">طلب </w:t>
      </w:r>
      <w:r w:rsidR="00621C36">
        <w:rPr>
          <w:rFonts w:ascii="Traditional Arabic" w:hAnsi="Traditional Arabic" w:cs="Traditional Arabic" w:hint="cs"/>
          <w:b/>
          <w:bCs/>
          <w:sz w:val="36"/>
          <w:szCs w:val="36"/>
          <w:rtl/>
          <w:lang w:bidi="ar-KW"/>
        </w:rPr>
        <w:t>إبلاغه</w:t>
      </w:r>
      <w:r w:rsidR="00F07D79">
        <w:rPr>
          <w:rFonts w:ascii="Traditional Arabic" w:hAnsi="Traditional Arabic" w:cs="Traditional Arabic" w:hint="cs"/>
          <w:b/>
          <w:bCs/>
          <w:sz w:val="36"/>
          <w:szCs w:val="36"/>
          <w:rtl/>
          <w:lang w:bidi="ar-KW"/>
        </w:rPr>
        <w:t>ا</w:t>
      </w:r>
      <w:r w:rsidR="00621C36">
        <w:rPr>
          <w:rFonts w:ascii="Traditional Arabic" w:hAnsi="Traditional Arabic" w:cs="Traditional Arabic" w:hint="cs"/>
          <w:b/>
          <w:bCs/>
          <w:sz w:val="36"/>
          <w:szCs w:val="36"/>
          <w:rtl/>
          <w:lang w:bidi="ar-KW"/>
        </w:rPr>
        <w:t xml:space="preserve"> بمعلومات </w:t>
      </w:r>
      <w:r w:rsidR="005D7925">
        <w:rPr>
          <w:rFonts w:ascii="Traditional Arabic" w:hAnsi="Traditional Arabic" w:cs="Traditional Arabic" w:hint="cs"/>
          <w:b/>
          <w:bCs/>
          <w:sz w:val="36"/>
          <w:szCs w:val="36"/>
          <w:rtl/>
          <w:lang w:bidi="ar-KW"/>
        </w:rPr>
        <w:t>أو تعليقات عن مجموعة المسائل المرفقة ضمن الرسالة،</w:t>
      </w:r>
      <w:r w:rsidR="00F82C65">
        <w:rPr>
          <w:rFonts w:ascii="Traditional Arabic" w:hAnsi="Traditional Arabic" w:cs="Traditional Arabic" w:hint="cs"/>
          <w:b/>
          <w:bCs/>
          <w:sz w:val="36"/>
          <w:szCs w:val="36"/>
          <w:rtl/>
          <w:lang w:bidi="ar-KW"/>
        </w:rPr>
        <w:t xml:space="preserve"> نفيدكم برد وزارة </w:t>
      </w:r>
      <w:r w:rsidR="00445B14">
        <w:rPr>
          <w:rFonts w:ascii="Traditional Arabic" w:hAnsi="Traditional Arabic" w:cs="Traditional Arabic" w:hint="cs"/>
          <w:b/>
          <w:bCs/>
          <w:sz w:val="36"/>
          <w:szCs w:val="36"/>
          <w:rtl/>
          <w:lang w:bidi="ar-KW"/>
        </w:rPr>
        <w:t xml:space="preserve">العدل في نطاق اختصاصها </w:t>
      </w:r>
      <w:r w:rsidR="00F82C65">
        <w:rPr>
          <w:rFonts w:ascii="Traditional Arabic" w:hAnsi="Traditional Arabic" w:cs="Traditional Arabic" w:hint="cs"/>
          <w:b/>
          <w:bCs/>
          <w:sz w:val="36"/>
          <w:szCs w:val="36"/>
          <w:rtl/>
          <w:lang w:bidi="ar-KW"/>
        </w:rPr>
        <w:t>على أسئل</w:t>
      </w:r>
      <w:r w:rsidR="007B2719">
        <w:rPr>
          <w:rFonts w:ascii="Traditional Arabic" w:hAnsi="Traditional Arabic" w:cs="Traditional Arabic" w:hint="cs"/>
          <w:b/>
          <w:bCs/>
          <w:sz w:val="36"/>
          <w:szCs w:val="36"/>
          <w:rtl/>
          <w:lang w:bidi="ar-KW"/>
        </w:rPr>
        <w:t xml:space="preserve">ة </w:t>
      </w:r>
      <w:r w:rsidR="00445B14">
        <w:rPr>
          <w:rFonts w:ascii="Traditional Arabic" w:hAnsi="Traditional Arabic" w:cs="Traditional Arabic" w:hint="cs"/>
          <w:b/>
          <w:bCs/>
          <w:sz w:val="36"/>
          <w:szCs w:val="36"/>
          <w:rtl/>
          <w:lang w:bidi="ar-KW"/>
        </w:rPr>
        <w:t>المقرر</w:t>
      </w:r>
      <w:r w:rsidR="00A20010">
        <w:rPr>
          <w:rFonts w:ascii="Traditional Arabic" w:hAnsi="Traditional Arabic" w:cs="Traditional Arabic" w:hint="cs"/>
          <w:b/>
          <w:bCs/>
          <w:sz w:val="36"/>
          <w:szCs w:val="36"/>
          <w:rtl/>
          <w:lang w:bidi="ar-KW"/>
        </w:rPr>
        <w:t>ة</w:t>
      </w:r>
      <w:r w:rsidR="00445B14">
        <w:rPr>
          <w:rFonts w:ascii="Traditional Arabic" w:hAnsi="Traditional Arabic" w:cs="Traditional Arabic" w:hint="cs"/>
          <w:b/>
          <w:bCs/>
          <w:sz w:val="36"/>
          <w:szCs w:val="36"/>
          <w:rtl/>
          <w:lang w:bidi="ar-KW"/>
        </w:rPr>
        <w:t xml:space="preserve"> الخاص</w:t>
      </w:r>
      <w:r w:rsidR="00A20010">
        <w:rPr>
          <w:rFonts w:ascii="Traditional Arabic" w:hAnsi="Traditional Arabic" w:cs="Traditional Arabic" w:hint="cs"/>
          <w:b/>
          <w:bCs/>
          <w:sz w:val="36"/>
          <w:szCs w:val="36"/>
          <w:rtl/>
          <w:lang w:bidi="ar-KW"/>
        </w:rPr>
        <w:t>ة</w:t>
      </w:r>
      <w:r w:rsidR="00445B14">
        <w:rPr>
          <w:rFonts w:ascii="Traditional Arabic" w:hAnsi="Traditional Arabic" w:cs="Traditional Arabic" w:hint="cs"/>
          <w:b/>
          <w:bCs/>
          <w:sz w:val="36"/>
          <w:szCs w:val="36"/>
          <w:rtl/>
          <w:lang w:bidi="ar-KW"/>
        </w:rPr>
        <w:t xml:space="preserve"> </w:t>
      </w:r>
      <w:r w:rsidR="00F82C65">
        <w:rPr>
          <w:rFonts w:ascii="Traditional Arabic" w:hAnsi="Traditional Arabic" w:cs="Traditional Arabic" w:hint="cs"/>
          <w:b/>
          <w:bCs/>
          <w:sz w:val="36"/>
          <w:szCs w:val="36"/>
          <w:rtl/>
          <w:lang w:bidi="ar-KW"/>
        </w:rPr>
        <w:t xml:space="preserve">كما </w:t>
      </w:r>
      <w:r w:rsidRPr="0099356A">
        <w:rPr>
          <w:rFonts w:ascii="Traditional Arabic" w:hAnsi="Traditional Arabic" w:cs="Traditional Arabic" w:hint="cs"/>
          <w:b/>
          <w:bCs/>
          <w:sz w:val="36"/>
          <w:szCs w:val="36"/>
          <w:rtl/>
          <w:lang w:bidi="ar-KW"/>
        </w:rPr>
        <w:t>يلي:</w:t>
      </w:r>
    </w:p>
    <w:p w14:paraId="5AE8DAE8" w14:textId="77777777" w:rsidR="0071690B" w:rsidRDefault="0071690B" w:rsidP="0071690B">
      <w:pPr>
        <w:bidi/>
        <w:spacing w:line="240" w:lineRule="auto"/>
        <w:jc w:val="both"/>
        <w:rPr>
          <w:rFonts w:ascii="Traditional Arabic" w:hAnsi="Traditional Arabic" w:cs="Traditional Arabic"/>
          <w:b/>
          <w:bCs/>
          <w:sz w:val="36"/>
          <w:szCs w:val="36"/>
          <w:rtl/>
          <w:lang w:bidi="ar-KW"/>
        </w:rPr>
      </w:pPr>
      <w:r>
        <w:rPr>
          <w:rFonts w:ascii="Traditional Arabic" w:hAnsi="Traditional Arabic" w:cs="Traditional Arabic"/>
          <w:b/>
          <w:bCs/>
          <w:sz w:val="36"/>
          <w:szCs w:val="36"/>
          <w:rtl/>
          <w:lang w:bidi="ar-KW"/>
        </w:rPr>
        <w:tab/>
      </w:r>
      <w:r>
        <w:rPr>
          <w:rFonts w:ascii="Traditional Arabic" w:hAnsi="Traditional Arabic" w:cs="Traditional Arabic" w:hint="cs"/>
          <w:b/>
          <w:bCs/>
          <w:sz w:val="36"/>
          <w:szCs w:val="36"/>
          <w:rtl/>
          <w:lang w:bidi="ar-KW"/>
        </w:rPr>
        <w:t>يعرف التمكين القانوني بأنه اللجوء للقانون للحصول على الحقوق الكاملة والارتقاء بالمصالح كما أنه توسيع لحرية الاختيار والاستفادة من سلطة القانون والنظام القانوني والخدمات القانونية لحماية حقوق الأفراد ومصالحهم، وأهم ركيزة من ركائز التمكين القانوني هي تيسير الوصول للعدالة والاستجابة السريعة والفعالة والعادلة لحماية الحقوق، وعلى ذلك التزمت دولة الكويت بصورة عامة بمعطيات سيادة القانون على المستو</w:t>
      </w:r>
      <w:r w:rsidR="00095BDF">
        <w:rPr>
          <w:rFonts w:ascii="Traditional Arabic" w:hAnsi="Traditional Arabic" w:cs="Traditional Arabic" w:hint="cs"/>
          <w:b/>
          <w:bCs/>
          <w:sz w:val="36"/>
          <w:szCs w:val="36"/>
          <w:rtl/>
          <w:lang w:bidi="ar-KW"/>
        </w:rPr>
        <w:t>يين</w:t>
      </w:r>
      <w:r>
        <w:rPr>
          <w:rFonts w:ascii="Traditional Arabic" w:hAnsi="Traditional Arabic" w:cs="Traditional Arabic" w:hint="cs"/>
          <w:b/>
          <w:bCs/>
          <w:sz w:val="36"/>
          <w:szCs w:val="36"/>
          <w:rtl/>
          <w:lang w:bidi="ar-KW"/>
        </w:rPr>
        <w:t xml:space="preserve"> الوطني </w:t>
      </w:r>
      <w:r w:rsidR="00665AEA">
        <w:rPr>
          <w:rFonts w:ascii="Traditional Arabic" w:hAnsi="Traditional Arabic" w:cs="Traditional Arabic" w:hint="cs"/>
          <w:b/>
          <w:bCs/>
          <w:sz w:val="36"/>
          <w:szCs w:val="36"/>
          <w:rtl/>
          <w:lang w:bidi="ar-KW"/>
        </w:rPr>
        <w:t xml:space="preserve">والدولي لما يمثله هذا المبدأ من ركيزة أساسية في حقوق الإنسان. </w:t>
      </w:r>
    </w:p>
    <w:p w14:paraId="3222DE5C" w14:textId="77777777" w:rsidR="00665AEA" w:rsidRDefault="00665AEA" w:rsidP="00665AEA">
      <w:pPr>
        <w:bidi/>
        <w:spacing w:line="240" w:lineRule="auto"/>
        <w:jc w:val="both"/>
        <w:rPr>
          <w:rFonts w:ascii="Traditional Arabic" w:hAnsi="Traditional Arabic" w:cs="Traditional Arabic"/>
          <w:b/>
          <w:bCs/>
          <w:sz w:val="36"/>
          <w:szCs w:val="36"/>
          <w:rtl/>
          <w:lang w:bidi="ar-KW"/>
        </w:rPr>
      </w:pPr>
      <w:r>
        <w:rPr>
          <w:rFonts w:ascii="Traditional Arabic" w:hAnsi="Traditional Arabic" w:cs="Traditional Arabic"/>
          <w:b/>
          <w:bCs/>
          <w:sz w:val="36"/>
          <w:szCs w:val="36"/>
          <w:rtl/>
          <w:lang w:bidi="ar-KW"/>
        </w:rPr>
        <w:tab/>
      </w:r>
      <w:r>
        <w:rPr>
          <w:rFonts w:ascii="Traditional Arabic" w:hAnsi="Traditional Arabic" w:cs="Traditional Arabic" w:hint="cs"/>
          <w:b/>
          <w:bCs/>
          <w:sz w:val="36"/>
          <w:szCs w:val="36"/>
          <w:rtl/>
          <w:lang w:bidi="ar-KW"/>
        </w:rPr>
        <w:t>حيث حرص المشرع بدولة الكويت على ضمان اتاحة حرية اللجوء إلى القضاء أمام الجميع سواء مواطنين أو مقيمين، ويعد حق التقاضي وحرياته من الضمانات القانونية التي كفلها الدستور لا تمييز في ذلك بين رجل و</w:t>
      </w:r>
      <w:r w:rsidR="00A220B0">
        <w:rPr>
          <w:rFonts w:ascii="Traditional Arabic" w:hAnsi="Traditional Arabic" w:cs="Traditional Arabic" w:hint="cs"/>
          <w:b/>
          <w:bCs/>
          <w:sz w:val="36"/>
          <w:szCs w:val="36"/>
          <w:rtl/>
          <w:lang w:bidi="ar-KW"/>
        </w:rPr>
        <w:t>ا</w:t>
      </w:r>
      <w:r>
        <w:rPr>
          <w:rFonts w:ascii="Traditional Arabic" w:hAnsi="Traditional Arabic" w:cs="Traditional Arabic" w:hint="cs"/>
          <w:b/>
          <w:bCs/>
          <w:sz w:val="36"/>
          <w:szCs w:val="36"/>
          <w:rtl/>
          <w:lang w:bidi="ar-KW"/>
        </w:rPr>
        <w:t xml:space="preserve">مرأة وذلك وفقاً للمادة (166) من الدستور والتي نصت على أن "حق التقاضي مكفول للناس ويبين القانون والإجراءات والأوضاع اللازمة لممارسة هذا الحق"، كما نصت المادة (29) من الدستور على أن "الناس سواسية في الكرامة الإنسانية وهم متساوون لدى القانون في الحقوق </w:t>
      </w:r>
      <w:r w:rsidR="003B7524">
        <w:rPr>
          <w:rFonts w:ascii="Traditional Arabic" w:hAnsi="Traditional Arabic" w:cs="Traditional Arabic" w:hint="cs"/>
          <w:b/>
          <w:bCs/>
          <w:sz w:val="36"/>
          <w:szCs w:val="36"/>
          <w:rtl/>
          <w:lang w:bidi="ar-KW"/>
        </w:rPr>
        <w:t>و</w:t>
      </w:r>
      <w:r>
        <w:rPr>
          <w:rFonts w:ascii="Traditional Arabic" w:hAnsi="Traditional Arabic" w:cs="Traditional Arabic" w:hint="cs"/>
          <w:b/>
          <w:bCs/>
          <w:sz w:val="36"/>
          <w:szCs w:val="36"/>
          <w:rtl/>
          <w:lang w:bidi="ar-KW"/>
        </w:rPr>
        <w:t>الواجبات العامة لا تمييز بينهم في ذلك بسبب الجنس أو الأصل أو الل</w:t>
      </w:r>
      <w:r w:rsidR="00A220B0">
        <w:rPr>
          <w:rFonts w:ascii="Traditional Arabic" w:hAnsi="Traditional Arabic" w:cs="Traditional Arabic" w:hint="cs"/>
          <w:b/>
          <w:bCs/>
          <w:sz w:val="36"/>
          <w:szCs w:val="36"/>
          <w:rtl/>
          <w:lang w:bidi="ar-KW"/>
        </w:rPr>
        <w:t xml:space="preserve">غة أو الدين". </w:t>
      </w:r>
    </w:p>
    <w:p w14:paraId="7EB92E5C" w14:textId="77777777" w:rsidR="00A220B0" w:rsidRDefault="00A220B0" w:rsidP="005412EB">
      <w:pPr>
        <w:bidi/>
        <w:spacing w:line="240" w:lineRule="auto"/>
        <w:ind w:firstLine="720"/>
        <w:jc w:val="both"/>
        <w:rPr>
          <w:rFonts w:ascii="Traditional Arabic" w:hAnsi="Traditional Arabic" w:cs="Traditional Arabic"/>
          <w:b/>
          <w:bCs/>
          <w:sz w:val="36"/>
          <w:szCs w:val="36"/>
          <w:rtl/>
          <w:lang w:bidi="ar-KW"/>
        </w:rPr>
      </w:pPr>
      <w:r>
        <w:rPr>
          <w:rFonts w:ascii="Traditional Arabic" w:hAnsi="Traditional Arabic" w:cs="Traditional Arabic" w:hint="cs"/>
          <w:b/>
          <w:bCs/>
          <w:sz w:val="36"/>
          <w:szCs w:val="36"/>
          <w:rtl/>
          <w:lang w:bidi="ar-KW"/>
        </w:rPr>
        <w:lastRenderedPageBreak/>
        <w:t xml:space="preserve">كما سمح الدستور في مادته (45) لكل فرد بأن يخاطب السلطات العامة كتابة وبتوقيعه حيث نصت على "لكل فرد أن يخاطب السلطات العامة كتابة وبتوقيعه ولا تكون مخاطبة السلطات العامة باسم الجماعات إلا للهيئات النظامية والأشخاص المعنوية". </w:t>
      </w:r>
    </w:p>
    <w:p w14:paraId="21346F71" w14:textId="77777777" w:rsidR="00A220B0" w:rsidRDefault="00A220B0" w:rsidP="005412EB">
      <w:pPr>
        <w:bidi/>
        <w:spacing w:line="240" w:lineRule="auto"/>
        <w:ind w:firstLine="720"/>
        <w:jc w:val="both"/>
        <w:rPr>
          <w:rFonts w:ascii="Traditional Arabic" w:hAnsi="Traditional Arabic" w:cs="Traditional Arabic"/>
          <w:b/>
          <w:bCs/>
          <w:sz w:val="36"/>
          <w:szCs w:val="36"/>
          <w:rtl/>
          <w:lang w:bidi="ar-KW"/>
        </w:rPr>
      </w:pPr>
      <w:r>
        <w:rPr>
          <w:rFonts w:ascii="Traditional Arabic" w:hAnsi="Traditional Arabic" w:cs="Traditional Arabic" w:hint="cs"/>
          <w:b/>
          <w:bCs/>
          <w:sz w:val="36"/>
          <w:szCs w:val="36"/>
          <w:rtl/>
          <w:lang w:bidi="ar-KW"/>
        </w:rPr>
        <w:t xml:space="preserve">وايماناً من المشرع في حق الأشخاص في التقاضي ولا سيما حقهم في الطعن أمام المحكمة الدستورية في أي قانون أو مرسوم بقانون أو لائحة إذا ما قامت شبهة بمخالفته لأحكام الدستور أن صدر القانون رقم 109 لسنة 2014 بتعديل بعض أحكام القانون رقم 14 لسنة 1973 بإنشاء المحكمة الدستورية حيث منح كل شخص سواء طبيعي أو اعتباري حق الطعن مباشرة أمام المحكمة الدستورية بدعوى أصلية. </w:t>
      </w:r>
    </w:p>
    <w:p w14:paraId="73A40ACE" w14:textId="77777777" w:rsidR="00A220B0" w:rsidRDefault="00A220B0" w:rsidP="005412EB">
      <w:pPr>
        <w:bidi/>
        <w:spacing w:line="240" w:lineRule="auto"/>
        <w:ind w:firstLine="720"/>
        <w:jc w:val="both"/>
        <w:rPr>
          <w:rFonts w:ascii="Traditional Arabic" w:hAnsi="Traditional Arabic" w:cs="Traditional Arabic"/>
          <w:b/>
          <w:bCs/>
          <w:sz w:val="36"/>
          <w:szCs w:val="36"/>
          <w:rtl/>
          <w:lang w:bidi="ar-KW"/>
        </w:rPr>
      </w:pPr>
      <w:r>
        <w:rPr>
          <w:rFonts w:ascii="Traditional Arabic" w:hAnsi="Traditional Arabic" w:cs="Traditional Arabic" w:hint="cs"/>
          <w:b/>
          <w:bCs/>
          <w:sz w:val="36"/>
          <w:szCs w:val="36"/>
          <w:rtl/>
          <w:lang w:bidi="ar-KW"/>
        </w:rPr>
        <w:t xml:space="preserve">هذا وينظم إجراءات التقاضي أمام المحكمة الكويتية على اختلاف درجاتها القانون 38 لسنة 1980 الخاص بإصدار قانون المرافعات المدنية والتجارية والقانون رقم 17 لسنة 1960 الخاص بإصدار قانون الإجراءات والمحاكمات الجزائية واللذان تسريان أحكامهما على جميع المتقاضين لا فرق في ذلك بين رجل وامرأة. </w:t>
      </w:r>
    </w:p>
    <w:p w14:paraId="773F68FC" w14:textId="77777777" w:rsidR="00A220B0" w:rsidRDefault="00A220B0" w:rsidP="005412EB">
      <w:pPr>
        <w:bidi/>
        <w:spacing w:line="240" w:lineRule="auto"/>
        <w:ind w:firstLine="360"/>
        <w:jc w:val="both"/>
        <w:rPr>
          <w:rFonts w:ascii="Traditional Arabic" w:hAnsi="Traditional Arabic" w:cs="Traditional Arabic"/>
          <w:b/>
          <w:bCs/>
          <w:sz w:val="36"/>
          <w:szCs w:val="36"/>
          <w:rtl/>
          <w:lang w:bidi="ar-KW"/>
        </w:rPr>
      </w:pPr>
      <w:r>
        <w:rPr>
          <w:rFonts w:ascii="Traditional Arabic" w:hAnsi="Traditional Arabic" w:cs="Traditional Arabic" w:hint="cs"/>
          <w:b/>
          <w:bCs/>
          <w:sz w:val="36"/>
          <w:szCs w:val="36"/>
          <w:rtl/>
          <w:lang w:bidi="ar-KW"/>
        </w:rPr>
        <w:t xml:space="preserve">وحيث تعد المساعدة القانونية إحدى الآليات المهمة للوصول </w:t>
      </w:r>
      <w:r w:rsidR="00F77BED">
        <w:rPr>
          <w:rFonts w:ascii="Traditional Arabic" w:hAnsi="Traditional Arabic" w:cs="Traditional Arabic" w:hint="cs"/>
          <w:b/>
          <w:bCs/>
          <w:sz w:val="36"/>
          <w:szCs w:val="36"/>
          <w:rtl/>
          <w:lang w:bidi="ar-KW"/>
        </w:rPr>
        <w:t xml:space="preserve">إلى العدالة على أساس من المساواة حتى لا تحول الإمكانية المالية للأفراد دون وصولهم للعدالة، تضع العديد من الوثائق الدولية المعنية بحقوق الإنسان التزماً على عاتق الدول الأطراف لتقديم </w:t>
      </w:r>
      <w:r w:rsidR="00326AB9">
        <w:rPr>
          <w:rFonts w:ascii="Traditional Arabic" w:hAnsi="Traditional Arabic" w:cs="Traditional Arabic" w:hint="cs"/>
          <w:b/>
          <w:bCs/>
          <w:sz w:val="36"/>
          <w:szCs w:val="36"/>
          <w:rtl/>
          <w:lang w:bidi="ar-KW"/>
        </w:rPr>
        <w:t xml:space="preserve">المساعدات القانونية من أجل إنفاذ حق الجميع في الوصول إلى العدالة ومنها الإعلان العالمي لحقوق الإنسان، </w:t>
      </w:r>
      <w:r w:rsidR="005412EB">
        <w:rPr>
          <w:rFonts w:ascii="Traditional Arabic" w:hAnsi="Traditional Arabic" w:cs="Traditional Arabic" w:hint="cs"/>
          <w:b/>
          <w:bCs/>
          <w:sz w:val="36"/>
          <w:szCs w:val="36"/>
          <w:rtl/>
          <w:lang w:bidi="ar-KW"/>
        </w:rPr>
        <w:t>و</w:t>
      </w:r>
      <w:r w:rsidR="00326AB9">
        <w:rPr>
          <w:rFonts w:ascii="Traditional Arabic" w:hAnsi="Traditional Arabic" w:cs="Traditional Arabic" w:hint="cs"/>
          <w:b/>
          <w:bCs/>
          <w:sz w:val="36"/>
          <w:szCs w:val="36"/>
          <w:rtl/>
          <w:lang w:bidi="ar-KW"/>
        </w:rPr>
        <w:t xml:space="preserve">العهد الدولي للحقوق الاقتصادية والاجتماعية والقافية، والميثاق العربي لحقوق الإنسان والتزام المشرع الوطني بذلك حيث أنه وفقاً للمادة 14 من قانون الرسوم القضائية رقم 17 </w:t>
      </w:r>
      <w:r w:rsidR="00095BDF">
        <w:rPr>
          <w:rFonts w:ascii="Traditional Arabic" w:hAnsi="Traditional Arabic" w:cs="Traditional Arabic" w:hint="cs"/>
          <w:b/>
          <w:bCs/>
          <w:sz w:val="36"/>
          <w:szCs w:val="36"/>
          <w:rtl/>
          <w:lang w:bidi="ar-KW"/>
        </w:rPr>
        <w:t>لسنة 1973 فإنه "يعف</w:t>
      </w:r>
      <w:r w:rsidR="005412EB">
        <w:rPr>
          <w:rFonts w:ascii="Traditional Arabic" w:hAnsi="Traditional Arabic" w:cs="Traditional Arabic" w:hint="cs"/>
          <w:b/>
          <w:bCs/>
          <w:sz w:val="36"/>
          <w:szCs w:val="36"/>
          <w:rtl/>
          <w:lang w:bidi="ar-KW"/>
        </w:rPr>
        <w:t>ي</w:t>
      </w:r>
      <w:r w:rsidR="00095BDF">
        <w:rPr>
          <w:rFonts w:ascii="Traditional Arabic" w:hAnsi="Traditional Arabic" w:cs="Traditional Arabic" w:hint="cs"/>
          <w:b/>
          <w:bCs/>
          <w:sz w:val="36"/>
          <w:szCs w:val="36"/>
          <w:rtl/>
          <w:lang w:bidi="ar-KW"/>
        </w:rPr>
        <w:t xml:space="preserve"> من المرسوم القضائية كلها أو بعضها من يثبت عجزه عن دفعها ويشترط للإعفاء احتمال كسب الدعوى</w:t>
      </w:r>
      <w:r w:rsidR="005412EB">
        <w:rPr>
          <w:rFonts w:ascii="Traditional Arabic" w:hAnsi="Traditional Arabic" w:cs="Traditional Arabic" w:hint="cs"/>
          <w:b/>
          <w:bCs/>
          <w:sz w:val="36"/>
          <w:szCs w:val="36"/>
          <w:rtl/>
          <w:lang w:bidi="ar-KW"/>
        </w:rPr>
        <w:t>".</w:t>
      </w:r>
      <w:r w:rsidR="00095BDF">
        <w:rPr>
          <w:rFonts w:ascii="Traditional Arabic" w:hAnsi="Traditional Arabic" w:cs="Traditional Arabic" w:hint="cs"/>
          <w:b/>
          <w:bCs/>
          <w:sz w:val="36"/>
          <w:szCs w:val="36"/>
          <w:rtl/>
          <w:lang w:bidi="ar-KW"/>
        </w:rPr>
        <w:t xml:space="preserve"> كما أن لكل متهم في جناية الحق في أن يوكل من يدافع عنه وعلى المحكمة أن تنتدب من المحامين من يقوم بهذه المهمة إذا لم يوكل المتهم أحداً وذلك وفقا للمادة (120) من قانون الإجراءات والمحاكمات الجزائية رقم 17 لسنة 1960. </w:t>
      </w:r>
    </w:p>
    <w:p w14:paraId="56AB77F8" w14:textId="77777777" w:rsidR="00426FB9" w:rsidRPr="00941128" w:rsidRDefault="00A220B0" w:rsidP="005412EB">
      <w:pPr>
        <w:bidi/>
        <w:spacing w:line="240" w:lineRule="auto"/>
        <w:jc w:val="both"/>
        <w:rPr>
          <w:rFonts w:ascii="Traditional Arabic" w:hAnsi="Traditional Arabic" w:cs="Traditional Arabic"/>
          <w:b/>
          <w:bCs/>
          <w:sz w:val="36"/>
          <w:szCs w:val="36"/>
          <w:rtl/>
          <w:lang w:bidi="ar-KW"/>
        </w:rPr>
      </w:pPr>
      <w:r>
        <w:rPr>
          <w:rFonts w:ascii="Traditional Arabic" w:hAnsi="Traditional Arabic" w:cs="Traditional Arabic" w:hint="cs"/>
          <w:b/>
          <w:bCs/>
          <w:sz w:val="36"/>
          <w:szCs w:val="36"/>
          <w:rtl/>
          <w:lang w:bidi="ar-KW"/>
        </w:rPr>
        <w:lastRenderedPageBreak/>
        <w:t xml:space="preserve">  </w:t>
      </w:r>
      <w:r w:rsidR="005412EB">
        <w:rPr>
          <w:rFonts w:ascii="Traditional Arabic" w:hAnsi="Traditional Arabic" w:cs="Traditional Arabic"/>
          <w:b/>
          <w:bCs/>
          <w:sz w:val="36"/>
          <w:szCs w:val="36"/>
          <w:rtl/>
          <w:lang w:bidi="ar-KW"/>
        </w:rPr>
        <w:tab/>
      </w:r>
      <w:r w:rsidR="00426FB9" w:rsidRPr="0099356A">
        <w:rPr>
          <w:rFonts w:ascii="Traditional Arabic" w:hAnsi="Traditional Arabic" w:cs="Traditional Arabic" w:hint="cs"/>
          <w:b/>
          <w:bCs/>
          <w:sz w:val="36"/>
          <w:szCs w:val="36"/>
          <w:rtl/>
        </w:rPr>
        <w:t>وينتهز الوفد الدائم لدولة الكويت هذه المناسبة ليعرب لمكتب المفوضية السامية لحقوق الانسان عن فائق امتنانه وتقديره.</w:t>
      </w:r>
    </w:p>
    <w:p w14:paraId="0B2638A4" w14:textId="77777777" w:rsidR="00426FB9" w:rsidRPr="00CB4D33" w:rsidRDefault="00426FB9" w:rsidP="00426FB9">
      <w:pPr>
        <w:spacing w:after="0" w:line="240" w:lineRule="auto"/>
        <w:jc w:val="both"/>
        <w:rPr>
          <w:rFonts w:ascii="Traditional Arabic" w:hAnsi="Traditional Arabic" w:cs="Traditional Arabic"/>
          <w:b/>
          <w:bCs/>
          <w:lang w:bidi="ar-KW"/>
        </w:rPr>
      </w:pPr>
      <w:r w:rsidRPr="00CB4D33">
        <w:rPr>
          <w:rFonts w:ascii="Traditional Arabic" w:hAnsi="Traditional Arabic" w:cs="Traditional Arabic" w:hint="cs"/>
          <w:b/>
          <w:bCs/>
          <w:lang w:bidi="ar-KW"/>
        </w:rPr>
        <w:t>Office of the High Commissioner for Human Rights</w:t>
      </w:r>
    </w:p>
    <w:p w14:paraId="5457B35C" w14:textId="77777777" w:rsidR="00426FB9" w:rsidRPr="00CB4D33" w:rsidRDefault="00426FB9" w:rsidP="00426FB9">
      <w:pPr>
        <w:spacing w:after="0" w:line="240" w:lineRule="auto"/>
        <w:jc w:val="both"/>
        <w:rPr>
          <w:rFonts w:ascii="Traditional Arabic" w:hAnsi="Traditional Arabic" w:cs="Traditional Arabic"/>
          <w:b/>
          <w:bCs/>
          <w:lang w:bidi="ar-KW"/>
        </w:rPr>
      </w:pPr>
      <w:r w:rsidRPr="00CB4D33">
        <w:rPr>
          <w:rFonts w:ascii="Traditional Arabic" w:hAnsi="Traditional Arabic" w:cs="Traditional Arabic" w:hint="cs"/>
          <w:b/>
          <w:bCs/>
          <w:lang w:bidi="ar-KW"/>
        </w:rPr>
        <w:t xml:space="preserve">Palais des Nations </w:t>
      </w:r>
    </w:p>
    <w:p w14:paraId="4388AAB6" w14:textId="77777777" w:rsidR="00426FB9" w:rsidRPr="00CB4D33" w:rsidRDefault="00426FB9" w:rsidP="00426FB9">
      <w:pPr>
        <w:spacing w:after="0" w:line="240" w:lineRule="auto"/>
        <w:jc w:val="both"/>
        <w:rPr>
          <w:rFonts w:ascii="Traditional Arabic" w:hAnsi="Traditional Arabic" w:cs="Traditional Arabic"/>
          <w:b/>
          <w:bCs/>
          <w:lang w:bidi="ar-KW"/>
        </w:rPr>
      </w:pPr>
      <w:r w:rsidRPr="00CB4D33">
        <w:rPr>
          <w:rFonts w:ascii="Traditional Arabic" w:hAnsi="Traditional Arabic" w:cs="Traditional Arabic" w:hint="cs"/>
          <w:b/>
          <w:bCs/>
          <w:lang w:bidi="ar-KW"/>
        </w:rPr>
        <w:t>1211 Geneva 10</w:t>
      </w:r>
    </w:p>
    <w:p w14:paraId="6D09DD3C" w14:textId="77777777" w:rsidR="00745F15" w:rsidRDefault="00745F15"/>
    <w:sectPr w:rsidR="00745F15" w:rsidSect="00095BDF">
      <w:footerReference w:type="default" r:id="rId7"/>
      <w:pgSz w:w="11906" w:h="16838"/>
      <w:pgMar w:top="283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FA9AA" w14:textId="77777777" w:rsidR="000517B2" w:rsidRDefault="000517B2" w:rsidP="00AD3794">
      <w:pPr>
        <w:spacing w:after="0" w:line="240" w:lineRule="auto"/>
      </w:pPr>
      <w:r>
        <w:separator/>
      </w:r>
    </w:p>
  </w:endnote>
  <w:endnote w:type="continuationSeparator" w:id="0">
    <w:p w14:paraId="661DA6A8" w14:textId="77777777" w:rsidR="000517B2" w:rsidRDefault="000517B2" w:rsidP="00AD3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418528"/>
      <w:docPartObj>
        <w:docPartGallery w:val="Page Numbers (Bottom of Page)"/>
        <w:docPartUnique/>
      </w:docPartObj>
    </w:sdtPr>
    <w:sdtEndPr>
      <w:rPr>
        <w:noProof/>
      </w:rPr>
    </w:sdtEndPr>
    <w:sdtContent>
      <w:p w14:paraId="0D270218" w14:textId="77777777" w:rsidR="00AD3794" w:rsidRDefault="00AD37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88060C" w14:textId="77777777" w:rsidR="00AD3794" w:rsidRDefault="00AD3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92DD3" w14:textId="77777777" w:rsidR="000517B2" w:rsidRDefault="000517B2" w:rsidP="00AD3794">
      <w:pPr>
        <w:spacing w:after="0" w:line="240" w:lineRule="auto"/>
      </w:pPr>
      <w:r>
        <w:separator/>
      </w:r>
    </w:p>
  </w:footnote>
  <w:footnote w:type="continuationSeparator" w:id="0">
    <w:p w14:paraId="1910307C" w14:textId="77777777" w:rsidR="000517B2" w:rsidRDefault="000517B2" w:rsidP="00AD37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86D27"/>
    <w:multiLevelType w:val="hybridMultilevel"/>
    <w:tmpl w:val="763EC83A"/>
    <w:lvl w:ilvl="0" w:tplc="56D8225C">
      <w:numFmt w:val="bullet"/>
      <w:lvlText w:val="-"/>
      <w:lvlJc w:val="left"/>
      <w:pPr>
        <w:ind w:left="720" w:hanging="360"/>
      </w:pPr>
      <w:rPr>
        <w:rFonts w:ascii="Simplified Arabic" w:eastAsiaTheme="minorHAnsi" w:hAnsi="Simplified Arabic" w:cs="Simplified Arabic"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E8A01B9"/>
    <w:multiLevelType w:val="hybridMultilevel"/>
    <w:tmpl w:val="07F6A91E"/>
    <w:lvl w:ilvl="0" w:tplc="98603B0E">
      <w:numFmt w:val="bullet"/>
      <w:lvlText w:val="-"/>
      <w:lvlJc w:val="left"/>
      <w:pPr>
        <w:ind w:left="720" w:hanging="360"/>
      </w:pPr>
      <w:rPr>
        <w:rFonts w:ascii="Traditional Arabic" w:eastAsiaTheme="minorHAnsi" w:hAnsi="Traditional Arabic" w:cs="Traditional Arabic"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862010285">
    <w:abstractNumId w:val="0"/>
  </w:num>
  <w:num w:numId="2" w16cid:durableId="915630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B9"/>
    <w:rsid w:val="00045501"/>
    <w:rsid w:val="000517B2"/>
    <w:rsid w:val="00054944"/>
    <w:rsid w:val="00076616"/>
    <w:rsid w:val="00095BDF"/>
    <w:rsid w:val="001104B2"/>
    <w:rsid w:val="001C0BD2"/>
    <w:rsid w:val="00326AB9"/>
    <w:rsid w:val="003603CD"/>
    <w:rsid w:val="003B7524"/>
    <w:rsid w:val="00426FB9"/>
    <w:rsid w:val="00445B14"/>
    <w:rsid w:val="004E1B41"/>
    <w:rsid w:val="005412EB"/>
    <w:rsid w:val="005A08B0"/>
    <w:rsid w:val="005D7925"/>
    <w:rsid w:val="00621C36"/>
    <w:rsid w:val="00665AEA"/>
    <w:rsid w:val="00683CA8"/>
    <w:rsid w:val="00701961"/>
    <w:rsid w:val="0071690B"/>
    <w:rsid w:val="00745F15"/>
    <w:rsid w:val="007469D8"/>
    <w:rsid w:val="007726C9"/>
    <w:rsid w:val="007B2719"/>
    <w:rsid w:val="007F4B0A"/>
    <w:rsid w:val="0088373F"/>
    <w:rsid w:val="00895487"/>
    <w:rsid w:val="009160AC"/>
    <w:rsid w:val="00941128"/>
    <w:rsid w:val="009F5374"/>
    <w:rsid w:val="00A20010"/>
    <w:rsid w:val="00A220B0"/>
    <w:rsid w:val="00A4538B"/>
    <w:rsid w:val="00AD3794"/>
    <w:rsid w:val="00B11FF8"/>
    <w:rsid w:val="00B16A3F"/>
    <w:rsid w:val="00B2466C"/>
    <w:rsid w:val="00B828CF"/>
    <w:rsid w:val="00DA0BE5"/>
    <w:rsid w:val="00F07D79"/>
    <w:rsid w:val="00F77BED"/>
    <w:rsid w:val="00F82C65"/>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0ACBA"/>
  <w15:chartTrackingRefBased/>
  <w15:docId w15:val="{92C03F42-BF5B-4417-8622-541875133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FB9"/>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FB9"/>
    <w:pPr>
      <w:ind w:left="720"/>
      <w:contextualSpacing/>
    </w:pPr>
  </w:style>
  <w:style w:type="paragraph" w:styleId="Header">
    <w:name w:val="header"/>
    <w:basedOn w:val="Normal"/>
    <w:link w:val="HeaderChar"/>
    <w:uiPriority w:val="99"/>
    <w:unhideWhenUsed/>
    <w:rsid w:val="00AD37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3794"/>
    <w:rPr>
      <w:lang w:val="en-US"/>
    </w:rPr>
  </w:style>
  <w:style w:type="paragraph" w:styleId="Footer">
    <w:name w:val="footer"/>
    <w:basedOn w:val="Normal"/>
    <w:link w:val="FooterChar"/>
    <w:uiPriority w:val="99"/>
    <w:unhideWhenUsed/>
    <w:rsid w:val="00AD37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79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annex</Doctype>
    <Contributor xmlns="d42e65b2-cf21-49c1-b27d-d23f90380c0e">Kuwait</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2F802B78-FA0A-4E1B-8EAC-82B95680846E}"/>
</file>

<file path=customXml/itemProps2.xml><?xml version="1.0" encoding="utf-8"?>
<ds:datastoreItem xmlns:ds="http://schemas.openxmlformats.org/officeDocument/2006/customXml" ds:itemID="{61798668-3133-4E18-8D5B-C6A9836E3242}"/>
</file>

<file path=customXml/itemProps3.xml><?xml version="1.0" encoding="utf-8"?>
<ds:datastoreItem xmlns:ds="http://schemas.openxmlformats.org/officeDocument/2006/customXml" ds:itemID="{7E772730-D470-4C7C-B073-BB8479726D1D}"/>
</file>

<file path=docProps/app.xml><?xml version="1.0" encoding="utf-8"?>
<Properties xmlns="http://schemas.openxmlformats.org/officeDocument/2006/extended-properties" xmlns:vt="http://schemas.openxmlformats.org/officeDocument/2006/docPropsVTypes">
  <Template>Normal.dotm</Template>
  <TotalTime>0</TotalTime>
  <Pages>3</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Radhia BALTI</dc:creator>
  <cp:keywords/>
  <dc:description/>
  <cp:lastModifiedBy>Melanie Santizo Sandoval</cp:lastModifiedBy>
  <cp:revision>2</cp:revision>
  <cp:lastPrinted>2023-03-10T11:27:00Z</cp:lastPrinted>
  <dcterms:created xsi:type="dcterms:W3CDTF">2023-05-08T08:44:00Z</dcterms:created>
  <dcterms:modified xsi:type="dcterms:W3CDTF">2023-05-08T08:44:00Z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