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BCB2" w14:textId="77777777" w:rsidR="007E06D4" w:rsidRPr="007A0960" w:rsidRDefault="007E06D4" w:rsidP="007E06D4">
      <w:pPr>
        <w:spacing w:line="276" w:lineRule="auto"/>
        <w:jc w:val="both"/>
        <w:rPr>
          <w:rFonts w:ascii="Montserrat" w:eastAsia="Arial" w:hAnsi="Montserrat" w:cs="Arial"/>
          <w:color w:val="000000" w:themeColor="text1"/>
          <w:sz w:val="24"/>
          <w:szCs w:val="24"/>
          <w:lang w:val="es-ES_tradnl"/>
        </w:rPr>
      </w:pPr>
      <w:r w:rsidRPr="007A0960">
        <w:rPr>
          <w:rFonts w:ascii="Montserrat" w:eastAsia="Arial" w:hAnsi="Montserrat" w:cs="Arial"/>
          <w:color w:val="000000" w:themeColor="text1"/>
          <w:sz w:val="24"/>
          <w:szCs w:val="24"/>
          <w:lang w:val="es-ES_tradnl"/>
        </w:rPr>
        <w:t xml:space="preserve">En el </w:t>
      </w:r>
      <w:r w:rsidRPr="007A0960">
        <w:rPr>
          <w:rFonts w:ascii="Montserrat" w:eastAsia="Arial" w:hAnsi="Montserrat" w:cs="Arial"/>
          <w:b/>
          <w:bCs/>
          <w:color w:val="000000" w:themeColor="text1"/>
          <w:sz w:val="24"/>
          <w:szCs w:val="24"/>
          <w:lang w:val="es-ES_tradnl"/>
        </w:rPr>
        <w:t>Amparo d</w:t>
      </w:r>
      <w:r w:rsidRPr="007A0960">
        <w:rPr>
          <w:rStyle w:val="eop"/>
          <w:rFonts w:ascii="Montserrat" w:eastAsia="Arial" w:hAnsi="Montserrat" w:cs="Arial"/>
          <w:b/>
          <w:bCs/>
          <w:color w:val="000000" w:themeColor="text1"/>
          <w:sz w:val="24"/>
          <w:szCs w:val="24"/>
          <w:lang w:val="es-ES_tradnl"/>
        </w:rPr>
        <w:t>irecto 9/2018</w:t>
      </w:r>
      <w:r w:rsidRPr="007A0960">
        <w:rPr>
          <w:rStyle w:val="FootnoteReference"/>
          <w:rFonts w:ascii="Montserrat" w:eastAsia="Arial" w:hAnsi="Montserrat" w:cs="Arial"/>
          <w:color w:val="000000" w:themeColor="text1"/>
          <w:sz w:val="24"/>
          <w:szCs w:val="24"/>
          <w:lang w:val="es-ES_tradnl"/>
        </w:rPr>
        <w:footnoteReference w:id="1"/>
      </w:r>
      <w:r w:rsidRPr="007A0960">
        <w:rPr>
          <w:rFonts w:ascii="Montserrat" w:eastAsia="Arial" w:hAnsi="Montserrat" w:cs="Arial"/>
          <w:color w:val="000000" w:themeColor="text1"/>
          <w:sz w:val="24"/>
          <w:szCs w:val="24"/>
          <w:lang w:val="es-ES_tradnl"/>
        </w:rPr>
        <w:t xml:space="preserve"> la S</w:t>
      </w:r>
      <w:r w:rsidR="00A74B9D">
        <w:rPr>
          <w:rFonts w:ascii="Montserrat" w:eastAsia="Arial" w:hAnsi="Montserrat" w:cs="Arial"/>
          <w:color w:val="000000" w:themeColor="text1"/>
          <w:sz w:val="24"/>
          <w:szCs w:val="24"/>
          <w:lang w:val="es-ES_tradnl"/>
        </w:rPr>
        <w:t>uprema Corte de Justicia de la Nación (S</w:t>
      </w:r>
      <w:r w:rsidRPr="007A0960">
        <w:rPr>
          <w:rFonts w:ascii="Montserrat" w:eastAsia="Arial" w:hAnsi="Montserrat" w:cs="Arial"/>
          <w:color w:val="000000" w:themeColor="text1"/>
          <w:sz w:val="24"/>
          <w:szCs w:val="24"/>
          <w:lang w:val="es-ES_tradnl"/>
        </w:rPr>
        <w:t>CJN</w:t>
      </w:r>
      <w:r w:rsidR="00A74B9D">
        <w:rPr>
          <w:rFonts w:ascii="Montserrat" w:eastAsia="Arial" w:hAnsi="Montserrat" w:cs="Arial"/>
          <w:color w:val="000000" w:themeColor="text1"/>
          <w:sz w:val="24"/>
          <w:szCs w:val="24"/>
          <w:lang w:val="es-ES_tradnl"/>
        </w:rPr>
        <w:t>)</w:t>
      </w:r>
      <w:r w:rsidRPr="007A0960">
        <w:rPr>
          <w:rFonts w:ascii="Montserrat" w:eastAsia="Arial" w:hAnsi="Montserrat" w:cs="Arial"/>
          <w:color w:val="000000" w:themeColor="text1"/>
          <w:sz w:val="24"/>
          <w:szCs w:val="24"/>
          <w:lang w:val="es-ES_tradnl"/>
        </w:rPr>
        <w:t xml:space="preserve"> se pronunció sobre los derechos de las personas trabajadoras del hogar, tras analizar si el hecho de que las personas empleadoras no tuvieran la obligación jurídica de inscribir a las personas trabajadoras del hogar ante el Instituto Mexicano del Seguro Social (IMSS) constituía un trato discriminatorio, así como una violación al derecho humano a la seguridad social. Para resolver el caso, la SCJN consideró las siguientes premisas:</w:t>
      </w:r>
    </w:p>
    <w:p w14:paraId="1CDADB1F" w14:textId="77777777" w:rsidR="007E06D4" w:rsidRPr="007A0960" w:rsidRDefault="007E06D4" w:rsidP="007E06D4">
      <w:pPr>
        <w:pStyle w:val="ListParagraph"/>
        <w:numPr>
          <w:ilvl w:val="0"/>
          <w:numId w:val="2"/>
        </w:numPr>
        <w:spacing w:line="276" w:lineRule="auto"/>
        <w:jc w:val="both"/>
        <w:rPr>
          <w:rFonts w:ascii="Montserrat" w:eastAsia="Arial" w:hAnsi="Montserrat" w:cs="Arial"/>
          <w:color w:val="000000" w:themeColor="text1"/>
          <w:sz w:val="24"/>
          <w:szCs w:val="24"/>
          <w:lang w:val="es-ES_tradnl"/>
        </w:rPr>
      </w:pPr>
      <w:r w:rsidRPr="007A0960">
        <w:rPr>
          <w:rFonts w:ascii="Montserrat" w:eastAsia="Arial" w:hAnsi="Montserrat" w:cs="Arial"/>
          <w:color w:val="000000" w:themeColor="text1"/>
          <w:sz w:val="24"/>
          <w:szCs w:val="24"/>
          <w:lang w:val="es-ES_tradnl"/>
        </w:rPr>
        <w:t>Las personas que realizan el trabajo del hogar o doméstico, que en su gran mayoría son mujeres, constituyen un grupo con un alto nivel de discriminación.</w:t>
      </w:r>
      <w:r w:rsidRPr="007A0960">
        <w:rPr>
          <w:rStyle w:val="FootnoteReference"/>
          <w:rFonts w:ascii="Montserrat" w:eastAsia="Arial" w:hAnsi="Montserrat" w:cs="Arial"/>
          <w:color w:val="000000" w:themeColor="text1"/>
          <w:sz w:val="24"/>
          <w:szCs w:val="24"/>
          <w:lang w:val="es-ES_tradnl"/>
        </w:rPr>
        <w:footnoteReference w:id="2"/>
      </w:r>
      <w:r w:rsidRPr="007A0960">
        <w:rPr>
          <w:rFonts w:ascii="Montserrat" w:eastAsia="Arial" w:hAnsi="Montserrat" w:cs="Arial"/>
          <w:color w:val="000000" w:themeColor="text1"/>
          <w:sz w:val="24"/>
          <w:szCs w:val="24"/>
          <w:lang w:val="es-ES_tradnl"/>
        </w:rPr>
        <w:t xml:space="preserve"> </w:t>
      </w:r>
    </w:p>
    <w:p w14:paraId="131501AA" w14:textId="77777777" w:rsidR="007E06D4" w:rsidRPr="007A0960" w:rsidRDefault="007E06D4" w:rsidP="007E06D4">
      <w:pPr>
        <w:pStyle w:val="ListParagraph"/>
        <w:numPr>
          <w:ilvl w:val="0"/>
          <w:numId w:val="2"/>
        </w:numPr>
        <w:spacing w:line="276" w:lineRule="auto"/>
        <w:jc w:val="both"/>
        <w:rPr>
          <w:rFonts w:ascii="Montserrat" w:eastAsia="Arial" w:hAnsi="Montserrat" w:cs="Arial"/>
          <w:color w:val="000000" w:themeColor="text1"/>
          <w:sz w:val="24"/>
          <w:szCs w:val="24"/>
          <w:lang w:val="es-ES_tradnl"/>
        </w:rPr>
      </w:pPr>
      <w:r w:rsidRPr="007A0960">
        <w:rPr>
          <w:rFonts w:ascii="Montserrat" w:eastAsia="Arial" w:hAnsi="Montserrat" w:cs="Arial"/>
          <w:color w:val="000000" w:themeColor="text1"/>
          <w:sz w:val="24"/>
          <w:szCs w:val="24"/>
          <w:lang w:val="es-ES_tradnl"/>
        </w:rPr>
        <w:t>La exclusión del régimen de seguridad social de las personas trabajadoras del hogar o domésticas ha generado y permitido que se incremente su condición de vulnerabilidad y precariedad, lo que a su vez abona a su condición de marginación y desigualdades laborales y sociales entre el hombre y la mujer, así como a la perpetuación de estereotipos y prejuicios respecto a la carencia de valor que tiene el trabajo doméstico.</w:t>
      </w:r>
      <w:r w:rsidRPr="007A0960">
        <w:rPr>
          <w:rStyle w:val="FootnoteReference"/>
          <w:rFonts w:ascii="Montserrat" w:eastAsia="Arial" w:hAnsi="Montserrat" w:cs="Arial"/>
          <w:color w:val="000000" w:themeColor="text1"/>
          <w:sz w:val="24"/>
          <w:szCs w:val="24"/>
          <w:lang w:val="es-ES_tradnl"/>
        </w:rPr>
        <w:footnoteReference w:id="3"/>
      </w:r>
      <w:r w:rsidRPr="007A0960">
        <w:rPr>
          <w:rFonts w:ascii="Montserrat" w:eastAsia="Arial" w:hAnsi="Montserrat" w:cs="Arial"/>
          <w:color w:val="000000" w:themeColor="text1"/>
          <w:sz w:val="24"/>
          <w:szCs w:val="24"/>
          <w:lang w:val="es-ES_tradnl"/>
        </w:rPr>
        <w:t xml:space="preserve"> </w:t>
      </w:r>
    </w:p>
    <w:p w14:paraId="27EDA296" w14:textId="77777777" w:rsidR="007E06D4" w:rsidRPr="007A0960" w:rsidRDefault="007E06D4" w:rsidP="007E06D4">
      <w:pPr>
        <w:spacing w:line="276" w:lineRule="auto"/>
        <w:jc w:val="both"/>
        <w:rPr>
          <w:rFonts w:ascii="Montserrat" w:eastAsia="Arial" w:hAnsi="Montserrat" w:cs="Arial"/>
          <w:color w:val="000000" w:themeColor="text1"/>
          <w:sz w:val="24"/>
          <w:szCs w:val="24"/>
          <w:lang w:val="es-ES_tradnl"/>
        </w:rPr>
      </w:pPr>
      <w:r w:rsidRPr="007A0960">
        <w:rPr>
          <w:rFonts w:ascii="Montserrat" w:eastAsia="Arial" w:hAnsi="Montserrat" w:cs="Arial"/>
          <w:color w:val="000000" w:themeColor="text1"/>
          <w:sz w:val="24"/>
          <w:szCs w:val="24"/>
          <w:lang w:val="es-ES_tradnl"/>
        </w:rPr>
        <w:t>Por tanto, la SCJN concluyó que, el hecho de que las personas trabajadoras del hogar se encontraran excluidas del régimen obligatorio del IMSS, resultaba violatorio del derecho humano a la seguridad social en igualdad de condiciones.</w:t>
      </w:r>
      <w:r w:rsidRPr="007A0960">
        <w:rPr>
          <w:rStyle w:val="FootnoteReference"/>
          <w:rFonts w:ascii="Montserrat" w:eastAsia="Arial" w:hAnsi="Montserrat" w:cs="Arial"/>
          <w:color w:val="000000" w:themeColor="text1"/>
          <w:sz w:val="24"/>
          <w:szCs w:val="24"/>
          <w:lang w:val="es-ES_tradnl"/>
        </w:rPr>
        <w:footnoteReference w:id="4"/>
      </w:r>
      <w:r w:rsidRPr="007A0960">
        <w:rPr>
          <w:rFonts w:ascii="Montserrat" w:eastAsia="Arial" w:hAnsi="Montserrat" w:cs="Arial"/>
          <w:color w:val="000000" w:themeColor="text1"/>
          <w:sz w:val="24"/>
          <w:szCs w:val="24"/>
          <w:lang w:val="es-ES_tradnl"/>
        </w:rPr>
        <w:t xml:space="preserve"> Por tanto, decidió otorgar el amparo con los siguientes efectos:</w:t>
      </w:r>
    </w:p>
    <w:p w14:paraId="62832770" w14:textId="77777777" w:rsidR="007E06D4" w:rsidRPr="007A0960" w:rsidRDefault="007E06D4" w:rsidP="007E06D4">
      <w:pPr>
        <w:pStyle w:val="ListParagraph"/>
        <w:numPr>
          <w:ilvl w:val="0"/>
          <w:numId w:val="1"/>
        </w:numPr>
        <w:spacing w:line="276" w:lineRule="auto"/>
        <w:jc w:val="both"/>
        <w:rPr>
          <w:rFonts w:ascii="Montserrat" w:eastAsia="Arial" w:hAnsi="Montserrat" w:cs="Arial"/>
          <w:color w:val="000000" w:themeColor="text1"/>
          <w:sz w:val="24"/>
          <w:szCs w:val="24"/>
          <w:vertAlign w:val="superscript"/>
          <w:lang w:val="es-ES_tradnl"/>
        </w:rPr>
      </w:pPr>
      <w:r w:rsidRPr="007A0960">
        <w:rPr>
          <w:rFonts w:ascii="Montserrat" w:eastAsia="Arial" w:hAnsi="Montserrat" w:cs="Arial"/>
          <w:color w:val="000000" w:themeColor="text1"/>
          <w:sz w:val="24"/>
          <w:szCs w:val="24"/>
          <w:lang w:val="es-ES_tradnl"/>
        </w:rPr>
        <w:t>La norma que excluye a las personas trabajadoras domésticas resulta inconstitucional.</w:t>
      </w:r>
      <w:r w:rsidRPr="007A0960">
        <w:rPr>
          <w:rStyle w:val="FootnoteReference"/>
          <w:rFonts w:ascii="Montserrat" w:eastAsia="Arial" w:hAnsi="Montserrat" w:cs="Arial"/>
          <w:color w:val="000000" w:themeColor="text1"/>
          <w:sz w:val="24"/>
          <w:szCs w:val="24"/>
          <w:lang w:val="es-ES_tradnl"/>
        </w:rPr>
        <w:footnoteReference w:id="5"/>
      </w:r>
    </w:p>
    <w:p w14:paraId="5C8CD073" w14:textId="77777777" w:rsidR="007E06D4" w:rsidRPr="007A0960" w:rsidRDefault="007E06D4" w:rsidP="007E06D4">
      <w:pPr>
        <w:pStyle w:val="ListParagraph"/>
        <w:numPr>
          <w:ilvl w:val="0"/>
          <w:numId w:val="1"/>
        </w:numPr>
        <w:spacing w:line="276" w:lineRule="auto"/>
        <w:jc w:val="both"/>
        <w:rPr>
          <w:rFonts w:ascii="Montserrat" w:eastAsia="Arial" w:hAnsi="Montserrat" w:cs="Arial"/>
          <w:color w:val="000000" w:themeColor="text1"/>
          <w:sz w:val="24"/>
          <w:szCs w:val="24"/>
          <w:lang w:val="es-ES_tradnl"/>
        </w:rPr>
      </w:pPr>
      <w:r w:rsidRPr="007A0960">
        <w:rPr>
          <w:rFonts w:ascii="Montserrat" w:eastAsia="Arial" w:hAnsi="Montserrat" w:cs="Arial"/>
          <w:color w:val="000000" w:themeColor="text1"/>
          <w:sz w:val="24"/>
          <w:szCs w:val="24"/>
          <w:lang w:val="es-ES_tradnl"/>
        </w:rPr>
        <w:t>La emisión de la sentencia implica un aviso al IMSS sobre el problema de discriminación detectado en la exclusión inconstitucional de las trabajadoras domésticas del régimen obligatorio del Seguro Social, por lo que los estándares y directrices de la sentencia deben servir para que dicha institución pueda atender el problema.</w:t>
      </w:r>
      <w:r w:rsidRPr="007A0960">
        <w:rPr>
          <w:rStyle w:val="FootnoteReference"/>
          <w:rFonts w:ascii="Montserrat" w:eastAsia="Arial" w:hAnsi="Montserrat" w:cs="Arial"/>
          <w:color w:val="000000" w:themeColor="text1"/>
          <w:sz w:val="24"/>
          <w:szCs w:val="24"/>
          <w:lang w:val="es-ES_tradnl"/>
        </w:rPr>
        <w:footnoteReference w:id="6"/>
      </w:r>
    </w:p>
    <w:p w14:paraId="2125A0AC" w14:textId="77777777" w:rsidR="007E06D4" w:rsidRPr="007A0960" w:rsidRDefault="007E06D4" w:rsidP="007E06D4">
      <w:pPr>
        <w:pStyle w:val="ListParagraph"/>
        <w:numPr>
          <w:ilvl w:val="0"/>
          <w:numId w:val="1"/>
        </w:numPr>
        <w:spacing w:line="276" w:lineRule="auto"/>
        <w:jc w:val="both"/>
        <w:rPr>
          <w:rFonts w:ascii="Montserrat" w:eastAsia="Arial" w:hAnsi="Montserrat" w:cs="Arial"/>
          <w:color w:val="000000" w:themeColor="text1"/>
          <w:sz w:val="24"/>
          <w:szCs w:val="24"/>
          <w:lang w:val="es-ES_tradnl"/>
        </w:rPr>
      </w:pPr>
      <w:r w:rsidRPr="007A0960">
        <w:rPr>
          <w:rFonts w:ascii="Montserrat" w:eastAsia="Arial" w:hAnsi="Montserrat" w:cs="Arial"/>
          <w:color w:val="000000" w:themeColor="text1"/>
          <w:sz w:val="24"/>
          <w:szCs w:val="24"/>
          <w:lang w:val="es-ES_tradnl"/>
        </w:rPr>
        <w:lastRenderedPageBreak/>
        <w:t>La sentencia contiene un exhorto al IMSS para que promueva la reforma en su legislación a fin de que el Congreso de la Unión realice las adecuaciones normativas necesarias.</w:t>
      </w:r>
      <w:r w:rsidRPr="007A0960">
        <w:rPr>
          <w:rStyle w:val="FootnoteReference"/>
          <w:rFonts w:ascii="Montserrat" w:eastAsia="Arial" w:hAnsi="Montserrat" w:cs="Arial"/>
          <w:color w:val="000000" w:themeColor="text1"/>
          <w:sz w:val="24"/>
          <w:szCs w:val="24"/>
          <w:lang w:val="es-ES_tradnl"/>
        </w:rPr>
        <w:footnoteReference w:id="7"/>
      </w:r>
      <w:r w:rsidRPr="007A0960">
        <w:rPr>
          <w:rFonts w:ascii="Montserrat" w:eastAsia="Arial" w:hAnsi="Montserrat" w:cs="Arial"/>
          <w:color w:val="000000" w:themeColor="text1"/>
          <w:sz w:val="24"/>
          <w:szCs w:val="24"/>
          <w:lang w:val="es-ES_tradnl"/>
        </w:rPr>
        <w:t xml:space="preserve"> </w:t>
      </w:r>
    </w:p>
    <w:p w14:paraId="3B91B89B" w14:textId="77777777" w:rsidR="007E06D4" w:rsidRPr="007A0960" w:rsidRDefault="007E06D4" w:rsidP="007E06D4">
      <w:pPr>
        <w:spacing w:line="276" w:lineRule="auto"/>
        <w:jc w:val="both"/>
        <w:rPr>
          <w:rFonts w:ascii="Montserrat" w:eastAsia="Arial" w:hAnsi="Montserrat" w:cs="Arial"/>
          <w:color w:val="000000" w:themeColor="text1"/>
          <w:sz w:val="24"/>
          <w:szCs w:val="24"/>
          <w:lang w:val="es-ES_tradnl"/>
        </w:rPr>
      </w:pPr>
      <w:r w:rsidRPr="007A0960">
        <w:rPr>
          <w:rFonts w:ascii="Montserrat" w:eastAsia="Arial" w:hAnsi="Montserrat" w:cs="Arial"/>
          <w:color w:val="000000" w:themeColor="text1"/>
          <w:sz w:val="24"/>
          <w:szCs w:val="24"/>
          <w:lang w:val="es-ES_tradnl"/>
        </w:rPr>
        <w:t xml:space="preserve">Respecto de los derechos de las personas con discapacidad, en el </w:t>
      </w:r>
      <w:r w:rsidRPr="007A0960">
        <w:rPr>
          <w:rFonts w:ascii="Montserrat" w:eastAsia="Arial" w:hAnsi="Montserrat" w:cs="Arial"/>
          <w:b/>
          <w:bCs/>
          <w:color w:val="000000" w:themeColor="text1"/>
          <w:sz w:val="24"/>
          <w:szCs w:val="24"/>
          <w:lang w:val="es-ES_tradnl"/>
        </w:rPr>
        <w:t>Amparo en revisión 1368/2015</w:t>
      </w:r>
      <w:r w:rsidRPr="007A0960">
        <w:rPr>
          <w:rStyle w:val="FootnoteReference"/>
          <w:rFonts w:ascii="Montserrat" w:eastAsia="Arial" w:hAnsi="Montserrat" w:cs="Arial"/>
          <w:color w:val="000000" w:themeColor="text1"/>
          <w:sz w:val="24"/>
          <w:szCs w:val="24"/>
          <w:lang w:val="es-ES_tradnl"/>
        </w:rPr>
        <w:footnoteReference w:id="8"/>
      </w:r>
      <w:r w:rsidRPr="007A0960">
        <w:rPr>
          <w:rFonts w:ascii="Montserrat" w:eastAsia="Arial" w:hAnsi="Montserrat" w:cs="Arial"/>
          <w:color w:val="000000" w:themeColor="text1"/>
          <w:sz w:val="24"/>
          <w:szCs w:val="24"/>
          <w:lang w:val="es-ES_tradnl"/>
        </w:rPr>
        <w:t xml:space="preserve"> y el </w:t>
      </w:r>
      <w:r w:rsidRPr="007A0960">
        <w:rPr>
          <w:rFonts w:ascii="Montserrat" w:eastAsia="Arial" w:hAnsi="Montserrat" w:cs="Arial"/>
          <w:b/>
          <w:bCs/>
          <w:color w:val="000000" w:themeColor="text1"/>
          <w:sz w:val="24"/>
          <w:szCs w:val="24"/>
          <w:lang w:val="es-ES_tradnl"/>
        </w:rPr>
        <w:t>Amparo directo en revisión 44/2018</w:t>
      </w:r>
      <w:r w:rsidRPr="007A0960">
        <w:rPr>
          <w:rStyle w:val="FootnoteReference"/>
          <w:rFonts w:ascii="Montserrat" w:eastAsia="Arial" w:hAnsi="Montserrat" w:cs="Arial"/>
          <w:color w:val="000000" w:themeColor="text1"/>
          <w:sz w:val="24"/>
          <w:szCs w:val="24"/>
          <w:lang w:val="es-ES_tradnl"/>
        </w:rPr>
        <w:footnoteReference w:id="9"/>
      </w:r>
      <w:r w:rsidRPr="007A0960">
        <w:rPr>
          <w:rFonts w:ascii="Montserrat" w:eastAsia="Arial" w:hAnsi="Montserrat" w:cs="Arial"/>
          <w:color w:val="000000" w:themeColor="text1"/>
          <w:sz w:val="24"/>
          <w:szCs w:val="24"/>
          <w:lang w:val="es-ES_tradnl"/>
        </w:rPr>
        <w:t xml:space="preserve">  la SCJN analizó y declaró inconstitucional el régimen de incapacidad —también conocido como estado de interdicción— respecto de las personas mayores de edad con discapacidad.</w:t>
      </w:r>
      <w:r w:rsidRPr="007A0960">
        <w:rPr>
          <w:rStyle w:val="FootnoteReference"/>
          <w:rFonts w:ascii="Montserrat" w:eastAsia="Arial" w:hAnsi="Montserrat" w:cs="Arial"/>
          <w:color w:val="000000" w:themeColor="text1"/>
          <w:sz w:val="24"/>
          <w:szCs w:val="24"/>
          <w:lang w:val="es-ES_tradnl"/>
        </w:rPr>
        <w:footnoteReference w:id="10"/>
      </w:r>
      <w:r w:rsidRPr="007A0960">
        <w:rPr>
          <w:rFonts w:ascii="Montserrat" w:eastAsia="Arial" w:hAnsi="Montserrat" w:cs="Arial"/>
          <w:color w:val="000000" w:themeColor="text1"/>
          <w:sz w:val="24"/>
          <w:szCs w:val="24"/>
          <w:lang w:val="es-ES_tradnl"/>
        </w:rPr>
        <w:t xml:space="preserve"> Al respecto, determinó que la figura del estado de interdicción era violatoria del derecho a la igualdad y no discriminación, entre muchos otros derechos. </w:t>
      </w:r>
    </w:p>
    <w:p w14:paraId="6063EF25" w14:textId="77777777" w:rsidR="007E06D4" w:rsidRPr="007A0960" w:rsidRDefault="007E06D4" w:rsidP="007E06D4">
      <w:pPr>
        <w:spacing w:line="276" w:lineRule="auto"/>
        <w:jc w:val="both"/>
        <w:rPr>
          <w:rFonts w:ascii="Montserrat" w:eastAsia="Arial" w:hAnsi="Montserrat" w:cs="Arial"/>
          <w:color w:val="000000" w:themeColor="text1"/>
          <w:sz w:val="24"/>
          <w:szCs w:val="24"/>
          <w:lang w:val="es-ES_tradnl"/>
        </w:rPr>
      </w:pPr>
      <w:r w:rsidRPr="007A0960">
        <w:rPr>
          <w:rFonts w:ascii="Montserrat" w:eastAsia="Arial" w:hAnsi="Montserrat" w:cs="Arial"/>
          <w:color w:val="000000" w:themeColor="text1"/>
          <w:sz w:val="24"/>
          <w:szCs w:val="24"/>
          <w:lang w:val="es-ES_tradnl"/>
        </w:rPr>
        <w:t xml:space="preserve">Además, al resolver la </w:t>
      </w:r>
      <w:r w:rsidRPr="007A0960">
        <w:rPr>
          <w:rFonts w:ascii="Montserrat" w:eastAsia="Arial" w:hAnsi="Montserrat" w:cs="Arial"/>
          <w:b/>
          <w:bCs/>
          <w:color w:val="000000" w:themeColor="text1"/>
          <w:sz w:val="24"/>
          <w:szCs w:val="24"/>
          <w:lang w:val="es-ES_tradnl"/>
        </w:rPr>
        <w:t>Acción de inconstitucionalidad 90/2018</w:t>
      </w:r>
      <w:r w:rsidRPr="007A0960">
        <w:rPr>
          <w:rFonts w:ascii="Montserrat" w:eastAsia="Arial" w:hAnsi="Montserrat" w:cs="Arial"/>
          <w:color w:val="000000" w:themeColor="text1"/>
          <w:sz w:val="24"/>
          <w:szCs w:val="24"/>
          <w:lang w:val="es-ES_tradnl"/>
        </w:rPr>
        <w:t>,</w:t>
      </w:r>
      <w:r w:rsidRPr="007A0960">
        <w:rPr>
          <w:rStyle w:val="FootnoteReference"/>
          <w:rFonts w:ascii="Montserrat" w:eastAsia="Arial" w:hAnsi="Montserrat" w:cs="Arial"/>
          <w:color w:val="000000" w:themeColor="text1"/>
          <w:sz w:val="24"/>
          <w:szCs w:val="24"/>
          <w:lang w:val="es-ES_tradnl"/>
        </w:rPr>
        <w:footnoteReference w:id="11"/>
      </w:r>
      <w:r w:rsidRPr="007A0960">
        <w:rPr>
          <w:rFonts w:ascii="Montserrat" w:eastAsia="Arial" w:hAnsi="Montserrat" w:cs="Arial"/>
          <w:color w:val="000000" w:themeColor="text1"/>
          <w:sz w:val="24"/>
          <w:szCs w:val="24"/>
          <w:lang w:val="es-ES_tradnl"/>
        </w:rPr>
        <w:t xml:space="preserve"> la SCJN declaró inconstitucional una disposición de la legislación civil de Guanajuato que prohibía a las personas con discapacidad intelectual contraer matrimonio, pues la consideró discriminatoria. Para ello, señaló que el matrimonio tiene un papel relevante en el proyecto de vida y enfatizó que las personas con discapacidad intelectual tienen derecho a los apoyos y salvaguardias necesarias para que ejerzan sus derechos en igualdad de condiciones con las demás personas. </w:t>
      </w:r>
    </w:p>
    <w:p w14:paraId="74DA3A4D" w14:textId="77777777" w:rsidR="007E06D4" w:rsidRPr="007A0960" w:rsidRDefault="007E06D4" w:rsidP="007E06D4">
      <w:pPr>
        <w:spacing w:line="276" w:lineRule="auto"/>
        <w:jc w:val="both"/>
        <w:rPr>
          <w:rFonts w:ascii="Montserrat" w:eastAsia="Arial" w:hAnsi="Montserrat" w:cs="Arial"/>
          <w:color w:val="000000" w:themeColor="text1"/>
          <w:sz w:val="24"/>
          <w:szCs w:val="24"/>
          <w:vertAlign w:val="superscript"/>
          <w:lang w:val="es-ES_tradnl"/>
        </w:rPr>
      </w:pPr>
      <w:r w:rsidRPr="007A0960">
        <w:rPr>
          <w:rFonts w:ascii="Montserrat" w:eastAsia="Arial" w:hAnsi="Montserrat" w:cs="Arial"/>
          <w:color w:val="000000" w:themeColor="text1"/>
          <w:sz w:val="24"/>
          <w:szCs w:val="24"/>
          <w:lang w:val="es-ES_tradnl"/>
        </w:rPr>
        <w:t xml:space="preserve">En cuanto a los derechos de las personas en situación de movilidad, en el </w:t>
      </w:r>
      <w:r w:rsidRPr="007A0960">
        <w:rPr>
          <w:rFonts w:ascii="Montserrat" w:eastAsia="Arial" w:hAnsi="Montserrat" w:cs="Arial"/>
          <w:b/>
          <w:bCs/>
          <w:color w:val="000000" w:themeColor="text1"/>
          <w:sz w:val="24"/>
          <w:szCs w:val="24"/>
          <w:lang w:val="es-ES_tradnl"/>
        </w:rPr>
        <w:t>Amparo en revisión 114/2020</w:t>
      </w:r>
      <w:r w:rsidRPr="007A0960">
        <w:rPr>
          <w:rStyle w:val="FootnoteReference"/>
          <w:rFonts w:ascii="Montserrat" w:eastAsia="Arial" w:hAnsi="Montserrat" w:cs="Arial"/>
          <w:color w:val="000000" w:themeColor="text1"/>
          <w:sz w:val="24"/>
          <w:szCs w:val="24"/>
          <w:lang w:val="es-ES_tradnl"/>
        </w:rPr>
        <w:footnoteReference w:id="12"/>
      </w:r>
      <w:r w:rsidRPr="007A0960">
        <w:rPr>
          <w:rFonts w:ascii="Montserrat" w:eastAsia="Arial" w:hAnsi="Montserrat" w:cs="Arial"/>
          <w:b/>
          <w:bCs/>
          <w:color w:val="000000" w:themeColor="text1"/>
          <w:sz w:val="24"/>
          <w:szCs w:val="24"/>
          <w:lang w:val="es-ES_tradnl"/>
        </w:rPr>
        <w:t xml:space="preserve"> </w:t>
      </w:r>
      <w:r w:rsidRPr="007A0960">
        <w:rPr>
          <w:rFonts w:ascii="Montserrat" w:eastAsia="Arial" w:hAnsi="Montserrat" w:cs="Arial"/>
          <w:color w:val="000000" w:themeColor="text1"/>
          <w:sz w:val="24"/>
          <w:szCs w:val="24"/>
          <w:lang w:val="es-ES_tradnl"/>
        </w:rPr>
        <w:t>la SCJN analizó la constitucionalidad de los artículos 52 y 59 de la Ley de Migración que regulaban la exclusión de las personas solicitantes de la condición de refugiado del acceso a la Clave Única de Registro de Población (CURP), en relación con los derechos de igualdad y no discriminación, a la identidad y personalidad jurídica, así como el ejercicio efectivo de otros como la salud, la educación y el trabajo</w:t>
      </w:r>
      <w:r w:rsidRPr="007A0960">
        <w:rPr>
          <w:rStyle w:val="FootnoteReference"/>
          <w:rFonts w:ascii="Montserrat" w:eastAsia="Arial" w:hAnsi="Montserrat" w:cs="Arial"/>
          <w:color w:val="000000" w:themeColor="text1"/>
          <w:sz w:val="24"/>
          <w:szCs w:val="24"/>
          <w:lang w:val="es-ES_tradnl"/>
        </w:rPr>
        <w:footnoteReference w:id="13"/>
      </w:r>
      <w:r w:rsidRPr="007A0960">
        <w:rPr>
          <w:rFonts w:ascii="Montserrat" w:hAnsi="Montserrat" w:cs="Arial"/>
          <w:sz w:val="24"/>
          <w:szCs w:val="24"/>
          <w:lang w:val="es-ES_tradnl"/>
        </w:rPr>
        <w:t>.</w:t>
      </w:r>
    </w:p>
    <w:p w14:paraId="72FB9055" w14:textId="77777777" w:rsidR="007E06D4" w:rsidRPr="007A0960" w:rsidRDefault="007E06D4" w:rsidP="007E06D4">
      <w:pPr>
        <w:spacing w:line="276" w:lineRule="auto"/>
        <w:jc w:val="both"/>
        <w:rPr>
          <w:rFonts w:ascii="Montserrat" w:eastAsia="Arial" w:hAnsi="Montserrat" w:cs="Arial"/>
          <w:color w:val="000000" w:themeColor="text1"/>
          <w:sz w:val="24"/>
          <w:szCs w:val="24"/>
          <w:vertAlign w:val="superscript"/>
          <w:lang w:val="es-ES_tradnl"/>
        </w:rPr>
      </w:pPr>
      <w:r w:rsidRPr="007A0960">
        <w:rPr>
          <w:rFonts w:ascii="Montserrat" w:eastAsia="Arial" w:hAnsi="Montserrat" w:cs="Arial"/>
          <w:color w:val="000000" w:themeColor="text1"/>
          <w:sz w:val="24"/>
          <w:szCs w:val="24"/>
          <w:lang w:val="es-ES_tradnl"/>
        </w:rPr>
        <w:t xml:space="preserve">La SCJN concluyó que el otorgamiento de los documentos que aseguren el reconocimiento a la personalidad jurídica en su dimensión formal –como la CURP–, y garantizar que no haya dilación en el trámite, brinda la posibilidad de que las personas solicitantes obtengan un ingreso </w:t>
      </w:r>
      <w:r w:rsidRPr="007A0960">
        <w:rPr>
          <w:rFonts w:ascii="Montserrat" w:eastAsia="Arial" w:hAnsi="Montserrat" w:cs="Arial"/>
          <w:color w:val="000000" w:themeColor="text1"/>
          <w:sz w:val="24"/>
          <w:szCs w:val="24"/>
          <w:lang w:val="es-ES_tradnl"/>
        </w:rPr>
        <w:lastRenderedPageBreak/>
        <w:t>económico para satisfacer sus necesidades básicas, mantener un nivel de vida adecuado y un desarrollo acorde a su plan de vida posible.</w:t>
      </w:r>
      <w:r w:rsidRPr="007A0960">
        <w:rPr>
          <w:rStyle w:val="FootnoteReference"/>
          <w:rFonts w:ascii="Montserrat" w:eastAsia="Arial" w:hAnsi="Montserrat" w:cs="Arial"/>
          <w:color w:val="000000" w:themeColor="text1"/>
          <w:sz w:val="24"/>
          <w:szCs w:val="24"/>
          <w:lang w:val="es-ES_tradnl"/>
        </w:rPr>
        <w:footnoteReference w:id="14"/>
      </w:r>
    </w:p>
    <w:p w14:paraId="37DD1087" w14:textId="77777777" w:rsidR="007E06D4" w:rsidRPr="007A0960" w:rsidRDefault="007E06D4" w:rsidP="007E06D4">
      <w:pPr>
        <w:spacing w:line="276" w:lineRule="auto"/>
        <w:jc w:val="both"/>
        <w:rPr>
          <w:rFonts w:ascii="Montserrat" w:eastAsia="Arial" w:hAnsi="Montserrat" w:cs="Arial"/>
          <w:sz w:val="24"/>
          <w:szCs w:val="24"/>
          <w:lang w:val="es-ES_tradnl"/>
        </w:rPr>
      </w:pPr>
      <w:r w:rsidRPr="007A0960">
        <w:rPr>
          <w:rFonts w:ascii="Montserrat" w:eastAsia="Arial" w:hAnsi="Montserrat" w:cs="Arial"/>
          <w:sz w:val="24"/>
          <w:szCs w:val="24"/>
          <w:lang w:val="es-ES_tradnl"/>
        </w:rPr>
        <w:t xml:space="preserve">Respecto de los derechos de las personas de la comunidad LGBTIQ+, en el </w:t>
      </w:r>
      <w:r w:rsidRPr="007A0960">
        <w:rPr>
          <w:rFonts w:ascii="Montserrat" w:eastAsia="Arial" w:hAnsi="Montserrat" w:cs="Arial"/>
          <w:b/>
          <w:bCs/>
          <w:sz w:val="24"/>
          <w:szCs w:val="24"/>
          <w:lang w:val="es-ES_tradnl"/>
        </w:rPr>
        <w:t>Amparo en revisión 750/2018</w:t>
      </w:r>
      <w:r w:rsidRPr="007A0960">
        <w:rPr>
          <w:rStyle w:val="FootnoteReference"/>
          <w:rFonts w:ascii="Montserrat" w:eastAsia="Arial" w:hAnsi="Montserrat" w:cs="Arial"/>
          <w:sz w:val="24"/>
          <w:szCs w:val="24"/>
          <w:lang w:val="es-ES_tradnl"/>
        </w:rPr>
        <w:footnoteReference w:id="15"/>
      </w:r>
      <w:r w:rsidRPr="007A0960">
        <w:rPr>
          <w:rFonts w:ascii="Montserrat" w:eastAsia="Arial" w:hAnsi="Montserrat" w:cs="Arial"/>
          <w:sz w:val="24"/>
          <w:szCs w:val="24"/>
          <w:lang w:val="es-ES_tradnl"/>
        </w:rPr>
        <w:t xml:space="preserve"> la SCJN analizó la disposición normativa que regula los supuestos de procedencia de la pensión por viudez, contenida en la Ley del Seguro Social, y encontró que tenía como requisito una relación de matrimonio o concubinato entre personas de sexo distinto para poder brindar la pensión de viudez a la persona beneficiaria, cuestión que condicionaba la seguridad social a un modelo específico de familia.</w:t>
      </w:r>
    </w:p>
    <w:p w14:paraId="36CFEA6D" w14:textId="77777777" w:rsidR="007E06D4" w:rsidRPr="007A0960" w:rsidRDefault="007E06D4" w:rsidP="007E06D4">
      <w:pPr>
        <w:spacing w:line="276" w:lineRule="auto"/>
        <w:jc w:val="both"/>
        <w:rPr>
          <w:rFonts w:ascii="Montserrat" w:eastAsia="Arial" w:hAnsi="Montserrat" w:cs="Arial"/>
          <w:sz w:val="24"/>
          <w:szCs w:val="24"/>
          <w:lang w:val="es-ES_tradnl"/>
        </w:rPr>
      </w:pPr>
      <w:r w:rsidRPr="007A0960">
        <w:rPr>
          <w:rFonts w:ascii="Montserrat" w:eastAsia="Arial" w:hAnsi="Montserrat" w:cs="Arial"/>
          <w:sz w:val="24"/>
          <w:szCs w:val="24"/>
          <w:lang w:val="es-ES_tradnl"/>
        </w:rPr>
        <w:t>En consecuencia, la SCJN consideró que la norma era discriminatoria y que vulneraba los derechos a la igualdad, a la seguridad social, a la familia, a la identidad personal en relación con la orientación sexual y al libre desarrollo de la personalidad, ya que no existe justificación para que se condicione el acceso a los derechos de seguridad jurídica a un modelo de familia o a vínculos afectivos basados en preferencias sexuales.</w:t>
      </w:r>
      <w:r w:rsidRPr="007A0960">
        <w:rPr>
          <w:rStyle w:val="FootnoteReference"/>
          <w:rFonts w:ascii="Montserrat" w:eastAsia="Arial" w:hAnsi="Montserrat" w:cs="Arial"/>
          <w:sz w:val="24"/>
          <w:szCs w:val="24"/>
          <w:lang w:val="es-ES_tradnl"/>
        </w:rPr>
        <w:footnoteReference w:id="16"/>
      </w:r>
      <w:r w:rsidRPr="007A0960">
        <w:rPr>
          <w:rFonts w:ascii="Montserrat" w:eastAsia="Arial" w:hAnsi="Montserrat" w:cs="Arial"/>
          <w:sz w:val="24"/>
          <w:szCs w:val="24"/>
          <w:lang w:val="es-ES_tradnl"/>
        </w:rPr>
        <w:t xml:space="preserve"> </w:t>
      </w:r>
    </w:p>
    <w:p w14:paraId="61613A34" w14:textId="77777777" w:rsidR="007E06D4" w:rsidRPr="007A0960" w:rsidRDefault="007E06D4" w:rsidP="007E06D4">
      <w:pPr>
        <w:spacing w:line="276" w:lineRule="auto"/>
        <w:jc w:val="both"/>
        <w:rPr>
          <w:rFonts w:ascii="Montserrat" w:eastAsia="Arial" w:hAnsi="Montserrat" w:cs="Arial"/>
          <w:sz w:val="24"/>
          <w:szCs w:val="24"/>
          <w:vertAlign w:val="superscript"/>
          <w:lang w:val="es-ES_tradnl"/>
        </w:rPr>
      </w:pPr>
      <w:r w:rsidRPr="007A0960">
        <w:rPr>
          <w:rFonts w:ascii="Montserrat" w:eastAsia="Arial" w:hAnsi="Montserrat" w:cs="Arial"/>
          <w:sz w:val="24"/>
          <w:szCs w:val="24"/>
          <w:lang w:val="es-ES_tradnl"/>
        </w:rPr>
        <w:t xml:space="preserve">Sobre la garantía de los derechos de las personas, pueblos y comunidades indígenas, en la </w:t>
      </w:r>
      <w:r w:rsidRPr="007A0960">
        <w:rPr>
          <w:rFonts w:ascii="Montserrat" w:eastAsia="Arial" w:hAnsi="Montserrat" w:cs="Arial"/>
          <w:b/>
          <w:bCs/>
          <w:sz w:val="24"/>
          <w:szCs w:val="24"/>
          <w:lang w:val="es-ES_tradnl"/>
        </w:rPr>
        <w:t>Controversia constitucional 32/2012</w:t>
      </w:r>
      <w:r w:rsidRPr="007A0960">
        <w:rPr>
          <w:rStyle w:val="FootnoteReference"/>
          <w:rFonts w:ascii="Montserrat" w:eastAsia="Arial" w:hAnsi="Montserrat" w:cs="Arial"/>
          <w:sz w:val="24"/>
          <w:szCs w:val="24"/>
          <w:lang w:val="es-ES_tradnl"/>
        </w:rPr>
        <w:footnoteReference w:id="17"/>
      </w:r>
      <w:r w:rsidRPr="007A0960">
        <w:rPr>
          <w:rFonts w:ascii="Montserrat" w:eastAsia="Arial" w:hAnsi="Montserrat" w:cs="Arial"/>
          <w:sz w:val="24"/>
          <w:szCs w:val="24"/>
          <w:lang w:val="es-ES_tradnl"/>
        </w:rPr>
        <w:t xml:space="preserve"> la SCJN determinó que los pueblos indígenas tienen el derecho humano a ser consultados, mediante procedimientos culturalmente adecuados, informados y de buena fe a través de sus representantes, cada vez que se prevean medidas legislativas susceptibles de afectarles directamente, de conformidad con los tratados internacionales y la Constitución Federal. Así, se determinó que las legislaturas locales tienen el deber de prever una fase adicional en el proceso de creación de leyes para consultar a los representantes de ese sector de la población en esos casos.</w:t>
      </w:r>
      <w:r w:rsidRPr="007A0960">
        <w:rPr>
          <w:rStyle w:val="FootnoteReference"/>
          <w:rFonts w:ascii="Montserrat" w:eastAsia="Arial" w:hAnsi="Montserrat" w:cs="Arial"/>
          <w:sz w:val="24"/>
          <w:szCs w:val="24"/>
          <w:lang w:val="es-ES_tradnl"/>
        </w:rPr>
        <w:footnoteReference w:id="18"/>
      </w:r>
      <w:r w:rsidRPr="007A0960">
        <w:rPr>
          <w:rFonts w:ascii="Montserrat" w:eastAsia="Arial" w:hAnsi="Montserrat" w:cs="Arial"/>
          <w:sz w:val="24"/>
          <w:szCs w:val="24"/>
          <w:lang w:val="es-ES_tradnl"/>
        </w:rPr>
        <w:t xml:space="preserve"> Dicho estándar fue ampliado en la</w:t>
      </w:r>
      <w:r w:rsidRPr="007A0960">
        <w:rPr>
          <w:rFonts w:ascii="Montserrat" w:eastAsia="Arial" w:hAnsi="Montserrat" w:cs="Arial"/>
          <w:b/>
          <w:bCs/>
          <w:sz w:val="24"/>
          <w:szCs w:val="24"/>
          <w:lang w:val="es-ES_tradnl"/>
        </w:rPr>
        <w:t xml:space="preserve"> Acción de inconstitucionalidad 116/2019</w:t>
      </w:r>
      <w:r w:rsidRPr="007A0960">
        <w:rPr>
          <w:rFonts w:ascii="Montserrat" w:eastAsia="Arial" w:hAnsi="Montserrat" w:cs="Arial"/>
          <w:sz w:val="24"/>
          <w:szCs w:val="24"/>
          <w:lang w:val="es-ES_tradnl"/>
        </w:rPr>
        <w:t>,</w:t>
      </w:r>
      <w:r w:rsidRPr="007A0960">
        <w:rPr>
          <w:rStyle w:val="FootnoteReference"/>
          <w:rFonts w:ascii="Montserrat" w:eastAsia="Arial" w:hAnsi="Montserrat" w:cs="Arial"/>
          <w:sz w:val="24"/>
          <w:szCs w:val="24"/>
          <w:lang w:val="es-ES_tradnl"/>
        </w:rPr>
        <w:footnoteReference w:id="19"/>
      </w:r>
      <w:r w:rsidRPr="007A0960">
        <w:rPr>
          <w:rFonts w:ascii="Montserrat" w:eastAsia="Arial" w:hAnsi="Montserrat" w:cs="Arial"/>
          <w:sz w:val="24"/>
          <w:szCs w:val="24"/>
          <w:lang w:val="es-ES_tradnl"/>
        </w:rPr>
        <w:t xml:space="preserve"> ya que la SCJN profundizó en el alcance y contenido del derecho a la consulta de los pueblos y comunidades indígenas y afromexicanas, empezando por especificar las características que debe reunir, las cuales son: a) previa; b) culturalmente adecuada; c) informada, y d) de buena fe.</w:t>
      </w:r>
    </w:p>
    <w:p w14:paraId="6A02B83A" w14:textId="77777777" w:rsidR="00917387" w:rsidRPr="007E06D4" w:rsidRDefault="0066413B">
      <w:pPr>
        <w:rPr>
          <w:lang w:val="es-ES_tradnl"/>
        </w:rPr>
      </w:pPr>
    </w:p>
    <w:sectPr w:rsidR="00917387" w:rsidRPr="007E06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AE41" w14:textId="77777777" w:rsidR="008A6112" w:rsidRDefault="008A6112" w:rsidP="007E06D4">
      <w:pPr>
        <w:spacing w:after="0" w:line="240" w:lineRule="auto"/>
      </w:pPr>
      <w:r>
        <w:separator/>
      </w:r>
    </w:p>
  </w:endnote>
  <w:endnote w:type="continuationSeparator" w:id="0">
    <w:p w14:paraId="10466236" w14:textId="77777777" w:rsidR="008A6112" w:rsidRDefault="008A6112" w:rsidP="007E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7306" w14:textId="77777777" w:rsidR="008A6112" w:rsidRDefault="008A6112" w:rsidP="007E06D4">
      <w:pPr>
        <w:spacing w:after="0" w:line="240" w:lineRule="auto"/>
      </w:pPr>
      <w:r>
        <w:separator/>
      </w:r>
    </w:p>
  </w:footnote>
  <w:footnote w:type="continuationSeparator" w:id="0">
    <w:p w14:paraId="2914294F" w14:textId="77777777" w:rsidR="008A6112" w:rsidRDefault="008A6112" w:rsidP="007E06D4">
      <w:pPr>
        <w:spacing w:after="0" w:line="240" w:lineRule="auto"/>
      </w:pPr>
      <w:r>
        <w:continuationSeparator/>
      </w:r>
    </w:p>
  </w:footnote>
  <w:footnote w:id="1">
    <w:p w14:paraId="273EB2CF" w14:textId="77777777" w:rsidR="007E06D4" w:rsidRPr="007A0960" w:rsidRDefault="007E06D4" w:rsidP="007E06D4">
      <w:pPr>
        <w:pStyle w:val="FootnoteText"/>
        <w:rPr>
          <w:rFonts w:ascii="Montserrat" w:eastAsia="Arial" w:hAnsi="Montserrat" w:cs="Arial"/>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Amparo Directo 9/2018. Fecha de resolución 5 de diciembre de 2018. p. 10. Ver </w:t>
      </w:r>
      <w:hyperlink r:id="rId1">
        <w:r w:rsidRPr="007A0960">
          <w:rPr>
            <w:rStyle w:val="Hyperlink"/>
            <w:rFonts w:ascii="Montserrat" w:eastAsia="Arial" w:hAnsi="Montserrat" w:cs="Arial"/>
            <w:sz w:val="16"/>
            <w:szCs w:val="16"/>
          </w:rPr>
          <w:t>engrose.</w:t>
        </w:r>
      </w:hyperlink>
      <w:r w:rsidRPr="007A0960">
        <w:rPr>
          <w:rFonts w:ascii="Montserrat" w:eastAsia="Arial" w:hAnsi="Montserrat" w:cs="Arial"/>
          <w:sz w:val="16"/>
          <w:szCs w:val="16"/>
        </w:rPr>
        <w:t xml:space="preserve"> </w:t>
      </w:r>
    </w:p>
  </w:footnote>
  <w:footnote w:id="2">
    <w:p w14:paraId="2B5E8777" w14:textId="77777777" w:rsidR="007E06D4" w:rsidRPr="007A0960" w:rsidRDefault="007E06D4" w:rsidP="007E06D4">
      <w:pPr>
        <w:pStyle w:val="FootnoteText"/>
        <w:rPr>
          <w:rFonts w:ascii="Montserrat" w:eastAsia="Arial" w:hAnsi="Montserrat" w:cs="Arial"/>
          <w:color w:val="000000" w:themeColor="text1"/>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Amparo Directo 9/2018. Fecha de resolución 5 de diciembre de 2018. </w:t>
      </w:r>
      <w:r w:rsidRPr="007A0960">
        <w:rPr>
          <w:rFonts w:ascii="Montserrat" w:eastAsia="Arial" w:hAnsi="Montserrat" w:cs="Arial"/>
          <w:color w:val="000000" w:themeColor="text1"/>
          <w:sz w:val="16"/>
          <w:szCs w:val="16"/>
        </w:rPr>
        <w:t>pp. 20-23 y 24.</w:t>
      </w:r>
    </w:p>
  </w:footnote>
  <w:footnote w:id="3">
    <w:p w14:paraId="647FB905" w14:textId="77777777" w:rsidR="007E06D4" w:rsidRPr="007A0960" w:rsidRDefault="007E06D4" w:rsidP="007E06D4">
      <w:pPr>
        <w:pStyle w:val="FootnoteText"/>
        <w:rPr>
          <w:rFonts w:ascii="Montserrat" w:eastAsia="Arial" w:hAnsi="Montserrat" w:cs="Arial"/>
          <w:color w:val="000000" w:themeColor="text1"/>
          <w:sz w:val="16"/>
          <w:szCs w:val="16"/>
        </w:rPr>
      </w:pPr>
      <w:r w:rsidRPr="007A0960">
        <w:rPr>
          <w:rStyle w:val="FootnoteReference"/>
          <w:rFonts w:ascii="Montserrat" w:hAnsi="Montserrat"/>
          <w:sz w:val="16"/>
          <w:szCs w:val="16"/>
        </w:rPr>
        <w:footnoteRef/>
      </w:r>
      <w:r w:rsidRPr="007A0960">
        <w:rPr>
          <w:rFonts w:ascii="Montserrat" w:hAnsi="Montserrat"/>
          <w:sz w:val="16"/>
          <w:szCs w:val="16"/>
        </w:rPr>
        <w:t xml:space="preserve"> </w:t>
      </w:r>
      <w:r w:rsidRPr="007A0960">
        <w:rPr>
          <w:rFonts w:ascii="Montserrat" w:eastAsia="Arial" w:hAnsi="Montserrat" w:cs="Arial"/>
          <w:sz w:val="16"/>
          <w:szCs w:val="16"/>
        </w:rPr>
        <w:t>Amparo Directo 9/2018. Fecha de resolución 5 de diciembre de 2018. p</w:t>
      </w:r>
      <w:r w:rsidRPr="007A0960">
        <w:rPr>
          <w:rFonts w:ascii="Montserrat" w:eastAsia="Arial" w:hAnsi="Montserrat" w:cs="Arial"/>
          <w:color w:val="000000" w:themeColor="text1"/>
          <w:sz w:val="16"/>
          <w:szCs w:val="16"/>
        </w:rPr>
        <w:t xml:space="preserve"> 37.</w:t>
      </w:r>
    </w:p>
  </w:footnote>
  <w:footnote w:id="4">
    <w:p w14:paraId="12E9D806" w14:textId="77777777" w:rsidR="007E06D4" w:rsidRPr="007A0960" w:rsidRDefault="007E06D4" w:rsidP="007E06D4">
      <w:pPr>
        <w:pStyle w:val="FootnoteText"/>
        <w:rPr>
          <w:rFonts w:ascii="Montserrat" w:eastAsia="Arial" w:hAnsi="Montserrat" w:cs="Arial"/>
          <w:sz w:val="16"/>
          <w:szCs w:val="16"/>
        </w:rPr>
      </w:pPr>
      <w:r w:rsidRPr="007A0960">
        <w:rPr>
          <w:rStyle w:val="FootnoteReference"/>
          <w:rFonts w:ascii="Montserrat" w:hAnsi="Montserrat"/>
          <w:sz w:val="16"/>
          <w:szCs w:val="16"/>
        </w:rPr>
        <w:footnoteRef/>
      </w:r>
      <w:r w:rsidRPr="007A0960">
        <w:rPr>
          <w:rFonts w:ascii="Montserrat" w:hAnsi="Montserrat"/>
          <w:sz w:val="16"/>
          <w:szCs w:val="16"/>
        </w:rPr>
        <w:t xml:space="preserve"> </w:t>
      </w:r>
      <w:r w:rsidRPr="007A0960">
        <w:rPr>
          <w:rFonts w:ascii="Montserrat" w:eastAsia="Arial" w:hAnsi="Montserrat" w:cs="Arial"/>
          <w:sz w:val="16"/>
          <w:szCs w:val="16"/>
        </w:rPr>
        <w:t>Amparo Directo 9/2018. Fecha de resolución 5 de diciembre de 2018. pp. 40-41</w:t>
      </w:r>
    </w:p>
  </w:footnote>
  <w:footnote w:id="5">
    <w:p w14:paraId="3011248A" w14:textId="77777777" w:rsidR="007E06D4" w:rsidRPr="007A0960" w:rsidRDefault="007E06D4" w:rsidP="007E06D4">
      <w:pPr>
        <w:pStyle w:val="FootnoteText"/>
        <w:rPr>
          <w:rFonts w:ascii="Montserrat" w:eastAsia="Arial" w:hAnsi="Montserrat" w:cs="Arial"/>
          <w:sz w:val="16"/>
          <w:szCs w:val="16"/>
        </w:rPr>
      </w:pPr>
      <w:r w:rsidRPr="007A0960">
        <w:rPr>
          <w:rStyle w:val="FootnoteReference"/>
          <w:rFonts w:ascii="Montserrat" w:hAnsi="Montserrat"/>
          <w:sz w:val="16"/>
          <w:szCs w:val="16"/>
        </w:rPr>
        <w:footnoteRef/>
      </w:r>
      <w:r w:rsidRPr="007A0960">
        <w:rPr>
          <w:rFonts w:ascii="Montserrat" w:hAnsi="Montserrat"/>
          <w:sz w:val="16"/>
          <w:szCs w:val="16"/>
        </w:rPr>
        <w:t xml:space="preserve"> </w:t>
      </w:r>
      <w:r w:rsidRPr="007A0960">
        <w:rPr>
          <w:rFonts w:ascii="Montserrat" w:eastAsia="Arial" w:hAnsi="Montserrat" w:cs="Arial"/>
          <w:sz w:val="16"/>
          <w:szCs w:val="16"/>
        </w:rPr>
        <w:t>Amparo Directo 9/2018. Fecha de resolución 5 de diciembre de 2018. p. 46</w:t>
      </w:r>
    </w:p>
  </w:footnote>
  <w:footnote w:id="6">
    <w:p w14:paraId="1CB38B1E" w14:textId="77777777" w:rsidR="007E06D4" w:rsidRPr="007A0960" w:rsidRDefault="007E06D4" w:rsidP="007E06D4">
      <w:pPr>
        <w:pStyle w:val="FootnoteText"/>
        <w:rPr>
          <w:rFonts w:ascii="Montserrat" w:eastAsia="Arial" w:hAnsi="Montserrat" w:cs="Arial"/>
          <w:color w:val="000000" w:themeColor="text1"/>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Amparo Directo 9/2018. Fecha de resolución 5 de diciembre de 2018. p</w:t>
      </w:r>
      <w:r w:rsidRPr="007A0960">
        <w:rPr>
          <w:rFonts w:ascii="Montserrat" w:eastAsia="Arial" w:hAnsi="Montserrat" w:cs="Arial"/>
          <w:color w:val="000000" w:themeColor="text1"/>
          <w:sz w:val="16"/>
          <w:szCs w:val="16"/>
        </w:rPr>
        <w:t>p. 48-49.</w:t>
      </w:r>
    </w:p>
  </w:footnote>
  <w:footnote w:id="7">
    <w:p w14:paraId="2EECAE3B" w14:textId="77777777" w:rsidR="007E06D4" w:rsidRPr="007A0960" w:rsidRDefault="007E06D4" w:rsidP="007E06D4">
      <w:pPr>
        <w:pStyle w:val="FootnoteText"/>
        <w:jc w:val="both"/>
        <w:rPr>
          <w:rFonts w:ascii="Montserrat" w:eastAsia="Arial" w:hAnsi="Montserrat" w:cs="Arial"/>
          <w:color w:val="000000" w:themeColor="text1"/>
          <w:sz w:val="16"/>
          <w:szCs w:val="16"/>
        </w:rPr>
      </w:pPr>
      <w:r w:rsidRPr="007A0960">
        <w:rPr>
          <w:rStyle w:val="FootnoteReference"/>
          <w:rFonts w:ascii="Montserrat" w:hAnsi="Montserrat" w:cs="Arial"/>
          <w:sz w:val="16"/>
          <w:szCs w:val="16"/>
        </w:rPr>
        <w:footnoteRef/>
      </w:r>
      <w:r w:rsidRPr="007A0960">
        <w:rPr>
          <w:rFonts w:ascii="Montserrat" w:hAnsi="Montserrat" w:cs="Arial"/>
          <w:sz w:val="16"/>
          <w:szCs w:val="16"/>
        </w:rPr>
        <w:t xml:space="preserve"> </w:t>
      </w:r>
      <w:r w:rsidRPr="007A0960">
        <w:rPr>
          <w:rFonts w:ascii="Montserrat" w:eastAsia="Arial" w:hAnsi="Montserrat" w:cs="Arial"/>
          <w:sz w:val="16"/>
          <w:szCs w:val="16"/>
        </w:rPr>
        <w:t>Amparo Directo 9/2018. Fecha de resolución 5 de diciembre de 2018. p. 52.</w:t>
      </w:r>
    </w:p>
  </w:footnote>
  <w:footnote w:id="8">
    <w:p w14:paraId="48E4C6FA" w14:textId="77777777" w:rsidR="007E06D4" w:rsidRPr="007A0960" w:rsidRDefault="007E06D4" w:rsidP="007E06D4">
      <w:pPr>
        <w:pStyle w:val="FootnoteText"/>
        <w:jc w:val="both"/>
        <w:rPr>
          <w:rFonts w:ascii="Montserrat" w:eastAsia="Arial" w:hAnsi="Montserrat" w:cs="Arial"/>
          <w:color w:val="000000" w:themeColor="text1"/>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Amparo en Revisión 1368/2015. Fecha de resolución </w:t>
      </w:r>
      <w:r w:rsidRPr="007A0960">
        <w:rPr>
          <w:rFonts w:ascii="Montserrat" w:eastAsia="Arial" w:hAnsi="Montserrat" w:cs="Arial"/>
          <w:color w:val="000000" w:themeColor="text1"/>
          <w:sz w:val="16"/>
          <w:szCs w:val="16"/>
        </w:rPr>
        <w:t xml:space="preserve">13 de marzo de 2019. </w:t>
      </w:r>
      <w:proofErr w:type="spellStart"/>
      <w:r w:rsidRPr="007A0960">
        <w:rPr>
          <w:rFonts w:ascii="Montserrat" w:eastAsia="Arial" w:hAnsi="Montserrat" w:cs="Arial"/>
          <w:color w:val="000000" w:themeColor="text1"/>
          <w:sz w:val="16"/>
          <w:szCs w:val="16"/>
        </w:rPr>
        <w:t>párrs</w:t>
      </w:r>
      <w:proofErr w:type="spellEnd"/>
      <w:r w:rsidRPr="007A0960">
        <w:rPr>
          <w:rFonts w:ascii="Montserrat" w:eastAsia="Arial" w:hAnsi="Montserrat" w:cs="Arial"/>
          <w:color w:val="000000" w:themeColor="text1"/>
          <w:sz w:val="16"/>
          <w:szCs w:val="16"/>
        </w:rPr>
        <w:t xml:space="preserve">. 35, 123-125 y 128.Ver </w:t>
      </w:r>
      <w:hyperlink r:id="rId2">
        <w:r w:rsidRPr="007A0960">
          <w:rPr>
            <w:rStyle w:val="Hyperlink"/>
            <w:rFonts w:ascii="Montserrat" w:eastAsia="Arial" w:hAnsi="Montserrat" w:cs="Arial"/>
            <w:sz w:val="16"/>
            <w:szCs w:val="16"/>
          </w:rPr>
          <w:t>engrose.</w:t>
        </w:r>
      </w:hyperlink>
      <w:r w:rsidRPr="007A0960">
        <w:rPr>
          <w:rFonts w:ascii="Montserrat" w:eastAsia="Arial" w:hAnsi="Montserrat" w:cs="Arial"/>
          <w:color w:val="000000" w:themeColor="text1"/>
          <w:sz w:val="16"/>
          <w:szCs w:val="16"/>
        </w:rPr>
        <w:t xml:space="preserve"> </w:t>
      </w:r>
    </w:p>
  </w:footnote>
  <w:footnote w:id="9">
    <w:p w14:paraId="0BB251D8" w14:textId="77777777" w:rsidR="007E06D4" w:rsidRPr="007A0960" w:rsidRDefault="007E06D4" w:rsidP="007E06D4">
      <w:pPr>
        <w:pStyle w:val="FootnoteText"/>
        <w:jc w:val="both"/>
        <w:rPr>
          <w:rFonts w:ascii="Montserrat" w:eastAsia="Arial" w:hAnsi="Montserrat" w:cs="Arial"/>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Amparo Directo en Revisión 44/2018. Fecha de resolución 13 de marzo de 2019. pp. 75-76.Ver </w:t>
      </w:r>
      <w:hyperlink r:id="rId3" w:history="1">
        <w:r w:rsidRPr="007A0960">
          <w:rPr>
            <w:rStyle w:val="Hyperlink"/>
            <w:rFonts w:ascii="Montserrat" w:eastAsia="Arial" w:hAnsi="Montserrat" w:cs="Arial"/>
            <w:sz w:val="16"/>
            <w:szCs w:val="16"/>
          </w:rPr>
          <w:t>engrose</w:t>
        </w:r>
      </w:hyperlink>
      <w:r w:rsidRPr="007A0960">
        <w:rPr>
          <w:rFonts w:ascii="Montserrat" w:eastAsia="Arial" w:hAnsi="Montserrat" w:cs="Arial"/>
          <w:sz w:val="16"/>
          <w:szCs w:val="16"/>
        </w:rPr>
        <w:t xml:space="preserve">. </w:t>
      </w:r>
    </w:p>
  </w:footnote>
  <w:footnote w:id="10">
    <w:p w14:paraId="52FA89F5" w14:textId="77777777" w:rsidR="007E06D4" w:rsidRPr="007A0960" w:rsidRDefault="007E06D4" w:rsidP="007E06D4">
      <w:pPr>
        <w:pStyle w:val="FootnoteText"/>
        <w:jc w:val="both"/>
        <w:rPr>
          <w:rFonts w:ascii="Montserrat" w:hAnsi="Montserrat" w:cs="Arial"/>
          <w:sz w:val="16"/>
          <w:szCs w:val="16"/>
          <w:lang w:val="es-ES_tradnl"/>
        </w:rPr>
      </w:pPr>
      <w:r w:rsidRPr="007A0960">
        <w:rPr>
          <w:rStyle w:val="FootnoteReference"/>
          <w:rFonts w:ascii="Montserrat" w:hAnsi="Montserrat" w:cs="Arial"/>
          <w:sz w:val="16"/>
          <w:szCs w:val="16"/>
        </w:rPr>
        <w:footnoteRef/>
      </w:r>
      <w:r w:rsidRPr="007A0960">
        <w:rPr>
          <w:rFonts w:ascii="Montserrat" w:hAnsi="Montserrat" w:cs="Arial"/>
          <w:sz w:val="16"/>
          <w:szCs w:val="16"/>
        </w:rPr>
        <w:t xml:space="preserve"> </w:t>
      </w:r>
      <w:r w:rsidRPr="007A0960">
        <w:rPr>
          <w:rFonts w:ascii="Montserrat" w:hAnsi="Montserrat" w:cs="Arial"/>
          <w:sz w:val="16"/>
          <w:szCs w:val="16"/>
          <w:lang w:val="es-419"/>
        </w:rPr>
        <w:t>Regulado en el artículo 450, fracción II, en relación con otros preceptos del Código Civil para el Distrito Federal (ahora Ciudad de México).</w:t>
      </w:r>
    </w:p>
  </w:footnote>
  <w:footnote w:id="11">
    <w:p w14:paraId="708B6893" w14:textId="77777777" w:rsidR="007E06D4" w:rsidRPr="007A0960" w:rsidRDefault="007E06D4" w:rsidP="007E06D4">
      <w:pPr>
        <w:pStyle w:val="FootnoteText"/>
        <w:jc w:val="both"/>
        <w:rPr>
          <w:rFonts w:ascii="Montserrat" w:eastAsia="Arial" w:hAnsi="Montserrat" w:cs="Arial"/>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Acción de Inconstitucionalidad 90/2018. Fecha de resolución 30 de enero de 2020. pp. 36-38.Ver </w:t>
      </w:r>
      <w:hyperlink r:id="rId4" w:history="1">
        <w:r w:rsidRPr="007A0960">
          <w:rPr>
            <w:rStyle w:val="Hyperlink"/>
            <w:rFonts w:ascii="Montserrat" w:eastAsia="Arial" w:hAnsi="Montserrat" w:cs="Arial"/>
            <w:sz w:val="16"/>
            <w:szCs w:val="16"/>
          </w:rPr>
          <w:t>engrose</w:t>
        </w:r>
      </w:hyperlink>
      <w:r w:rsidRPr="007A0960">
        <w:rPr>
          <w:rFonts w:ascii="Montserrat" w:eastAsia="Arial" w:hAnsi="Montserrat" w:cs="Arial"/>
          <w:sz w:val="16"/>
          <w:szCs w:val="16"/>
        </w:rPr>
        <w:t xml:space="preserve">. </w:t>
      </w:r>
    </w:p>
  </w:footnote>
  <w:footnote w:id="12">
    <w:p w14:paraId="2F37B0CF" w14:textId="77777777" w:rsidR="007E06D4" w:rsidRPr="007A0960" w:rsidRDefault="007E06D4" w:rsidP="007E06D4">
      <w:pPr>
        <w:pStyle w:val="FootnoteText"/>
        <w:jc w:val="both"/>
        <w:rPr>
          <w:rFonts w:ascii="Montserrat" w:eastAsia="Arial" w:hAnsi="Montserrat" w:cs="Arial"/>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Amparo en revisión 114/2020. Fecha de resolución 22 de septiembre de 2021. pp. 2-3. Ver </w:t>
      </w:r>
      <w:hyperlink r:id="rId5" w:history="1">
        <w:r w:rsidRPr="007A0960">
          <w:rPr>
            <w:rStyle w:val="Hyperlink"/>
            <w:rFonts w:ascii="Montserrat" w:eastAsia="Arial" w:hAnsi="Montserrat" w:cs="Arial"/>
            <w:sz w:val="16"/>
            <w:szCs w:val="16"/>
          </w:rPr>
          <w:t>engrose</w:t>
        </w:r>
      </w:hyperlink>
      <w:r w:rsidRPr="007A0960">
        <w:rPr>
          <w:rFonts w:ascii="Montserrat" w:eastAsia="Arial" w:hAnsi="Montserrat" w:cs="Arial"/>
          <w:sz w:val="16"/>
          <w:szCs w:val="16"/>
        </w:rPr>
        <w:t xml:space="preserve">. </w:t>
      </w:r>
    </w:p>
  </w:footnote>
  <w:footnote w:id="13">
    <w:p w14:paraId="0686D423" w14:textId="77777777" w:rsidR="007E06D4" w:rsidRPr="008049F0" w:rsidRDefault="007E06D4" w:rsidP="007E06D4">
      <w:pPr>
        <w:pStyle w:val="FootnoteText"/>
        <w:jc w:val="both"/>
      </w:pPr>
      <w:r w:rsidRPr="007A0960">
        <w:rPr>
          <w:rStyle w:val="FootnoteReference"/>
          <w:rFonts w:ascii="Montserrat" w:hAnsi="Montserrat" w:cs="Arial"/>
          <w:sz w:val="16"/>
          <w:szCs w:val="16"/>
        </w:rPr>
        <w:footnoteRef/>
      </w:r>
      <w:r w:rsidRPr="007A0960">
        <w:rPr>
          <w:rFonts w:ascii="Montserrat" w:hAnsi="Montserrat" w:cs="Arial"/>
          <w:sz w:val="16"/>
          <w:szCs w:val="16"/>
        </w:rPr>
        <w:t xml:space="preserve"> </w:t>
      </w:r>
      <w:r w:rsidRPr="007A0960">
        <w:rPr>
          <w:rFonts w:ascii="Montserrat" w:eastAsia="Arial" w:hAnsi="Montserrat" w:cs="Arial"/>
          <w:sz w:val="16"/>
          <w:szCs w:val="16"/>
        </w:rPr>
        <w:t>Amparo en revisión 114/2020. Fecha de resolución 22 de septiembre de 2021. párr. 179.</w:t>
      </w:r>
    </w:p>
  </w:footnote>
  <w:footnote w:id="14">
    <w:p w14:paraId="7D84FB82" w14:textId="77777777" w:rsidR="007E06D4" w:rsidRPr="007A0960" w:rsidRDefault="007E06D4" w:rsidP="007A0960">
      <w:pPr>
        <w:pStyle w:val="FootnoteText"/>
        <w:jc w:val="both"/>
        <w:rPr>
          <w:rStyle w:val="FootnoteReference"/>
          <w:rFonts w:ascii="Montserrat" w:eastAsia="Arial" w:hAnsi="Montserrat" w:cs="Arial"/>
          <w:sz w:val="16"/>
          <w:szCs w:val="16"/>
          <w:lang w:val="es-ES_tradnl"/>
        </w:rPr>
      </w:pPr>
      <w:r w:rsidRPr="007A0960">
        <w:rPr>
          <w:rStyle w:val="FootnoteReference"/>
          <w:rFonts w:ascii="Montserrat" w:eastAsia="Arial" w:hAnsi="Montserrat" w:cs="Arial"/>
          <w:sz w:val="16"/>
          <w:szCs w:val="16"/>
          <w:lang w:val="es-ES_tradnl"/>
        </w:rPr>
        <w:footnoteRef/>
      </w:r>
      <w:r w:rsidRPr="007A0960">
        <w:rPr>
          <w:rFonts w:ascii="Montserrat" w:eastAsia="Arial" w:hAnsi="Montserrat" w:cs="Arial"/>
          <w:sz w:val="16"/>
          <w:szCs w:val="16"/>
          <w:lang w:val="es-ES_tradnl"/>
        </w:rPr>
        <w:t xml:space="preserve"> Amparo en revisión 114/2020. Fecha de resolución 22 de septiembre de 2021. párr. 170</w:t>
      </w:r>
      <w:r w:rsidRPr="007A0960">
        <w:rPr>
          <w:rStyle w:val="FootnoteReference"/>
          <w:rFonts w:ascii="Montserrat" w:eastAsia="Arial" w:hAnsi="Montserrat" w:cs="Arial"/>
          <w:sz w:val="16"/>
          <w:szCs w:val="16"/>
          <w:lang w:val="es-ES_tradnl"/>
        </w:rPr>
        <w:t>.</w:t>
      </w:r>
    </w:p>
  </w:footnote>
  <w:footnote w:id="15">
    <w:p w14:paraId="71B19E4A" w14:textId="77777777" w:rsidR="007E06D4" w:rsidRPr="007A0960" w:rsidRDefault="007E06D4" w:rsidP="007A0960">
      <w:pPr>
        <w:pStyle w:val="FootnoteText"/>
        <w:jc w:val="both"/>
        <w:rPr>
          <w:rFonts w:ascii="Montserrat" w:eastAsia="Arial" w:hAnsi="Montserrat" w:cs="Arial"/>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Amparo en revisión 750/2018. Fecha de resolución 09 de enero de 2019. </w:t>
      </w:r>
      <w:proofErr w:type="spellStart"/>
      <w:r w:rsidRPr="007A0960">
        <w:rPr>
          <w:rFonts w:ascii="Montserrat" w:eastAsia="Arial" w:hAnsi="Montserrat" w:cs="Arial"/>
          <w:sz w:val="16"/>
          <w:szCs w:val="16"/>
        </w:rPr>
        <w:t>párrs</w:t>
      </w:r>
      <w:proofErr w:type="spellEnd"/>
      <w:r w:rsidRPr="007A0960">
        <w:rPr>
          <w:rFonts w:ascii="Montserrat" w:eastAsia="Arial" w:hAnsi="Montserrat" w:cs="Arial"/>
          <w:sz w:val="16"/>
          <w:szCs w:val="16"/>
        </w:rPr>
        <w:t xml:space="preserve">. 38-41.Ver </w:t>
      </w:r>
      <w:hyperlink r:id="rId6">
        <w:r w:rsidRPr="007A0960">
          <w:rPr>
            <w:rStyle w:val="Hyperlink"/>
            <w:rFonts w:ascii="Montserrat" w:eastAsia="Arial" w:hAnsi="Montserrat" w:cs="Arial"/>
            <w:sz w:val="16"/>
            <w:szCs w:val="16"/>
          </w:rPr>
          <w:t>engrose</w:t>
        </w:r>
      </w:hyperlink>
      <w:r w:rsidRPr="007A0960">
        <w:rPr>
          <w:rFonts w:ascii="Montserrat" w:eastAsia="Arial" w:hAnsi="Montserrat" w:cs="Arial"/>
          <w:sz w:val="16"/>
          <w:szCs w:val="16"/>
        </w:rPr>
        <w:t xml:space="preserve">. </w:t>
      </w:r>
    </w:p>
  </w:footnote>
  <w:footnote w:id="16">
    <w:p w14:paraId="461264A9" w14:textId="77777777" w:rsidR="007E06D4" w:rsidRPr="007A0960" w:rsidRDefault="007E06D4" w:rsidP="007A0960">
      <w:pPr>
        <w:pStyle w:val="FootnoteText"/>
        <w:jc w:val="both"/>
        <w:rPr>
          <w:rFonts w:ascii="Montserrat" w:eastAsia="Arial" w:hAnsi="Montserrat" w:cs="Arial"/>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La SCJN consideró que el artículo 130 de la Ley de Seguridad Social vulnera los derechos fundamentales de igualdad, no discriminación y seguridad social previstos en los artículos 1°, 4° y 123, apartado A, fracción XXIX, de la Constitución Federal. Amparo en revisión 750/2018. Fecha de resolución 09 de enero de 2019. </w:t>
      </w:r>
      <w:proofErr w:type="spellStart"/>
      <w:r w:rsidRPr="007A0960">
        <w:rPr>
          <w:rFonts w:ascii="Montserrat" w:eastAsia="Arial" w:hAnsi="Montserrat" w:cs="Arial"/>
          <w:sz w:val="16"/>
          <w:szCs w:val="16"/>
        </w:rPr>
        <w:t>párrs</w:t>
      </w:r>
      <w:proofErr w:type="spellEnd"/>
      <w:r w:rsidRPr="007A0960">
        <w:rPr>
          <w:rFonts w:ascii="Montserrat" w:eastAsia="Arial" w:hAnsi="Montserrat" w:cs="Arial"/>
          <w:sz w:val="16"/>
          <w:szCs w:val="16"/>
        </w:rPr>
        <w:t xml:space="preserve">. 49-51, 55, 58,  </w:t>
      </w:r>
    </w:p>
  </w:footnote>
  <w:footnote w:id="17">
    <w:p w14:paraId="4AAC70E6" w14:textId="77777777" w:rsidR="007E06D4" w:rsidRPr="007A0960" w:rsidRDefault="007E06D4" w:rsidP="007A0960">
      <w:pPr>
        <w:pStyle w:val="FootnoteText"/>
        <w:jc w:val="both"/>
        <w:rPr>
          <w:rFonts w:ascii="Montserrat" w:eastAsia="Arial" w:hAnsi="Montserrat" w:cs="Arial"/>
          <w:sz w:val="16"/>
          <w:szCs w:val="16"/>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Controversia Constitucional 32/2012. Fecha de resolución 29 de mayo de 2014. p. 76 y 77. Ver </w:t>
      </w:r>
      <w:hyperlink r:id="rId7">
        <w:r w:rsidRPr="007A0960">
          <w:rPr>
            <w:rStyle w:val="Hyperlink"/>
            <w:rFonts w:ascii="Montserrat" w:eastAsia="Arial" w:hAnsi="Montserrat" w:cs="Arial"/>
            <w:sz w:val="16"/>
            <w:szCs w:val="16"/>
          </w:rPr>
          <w:t>engrose</w:t>
        </w:r>
      </w:hyperlink>
      <w:r w:rsidRPr="007A0960">
        <w:rPr>
          <w:rFonts w:ascii="Montserrat" w:eastAsia="Arial" w:hAnsi="Montserrat" w:cs="Arial"/>
          <w:sz w:val="16"/>
          <w:szCs w:val="16"/>
        </w:rPr>
        <w:t>.</w:t>
      </w:r>
    </w:p>
  </w:footnote>
  <w:footnote w:id="18">
    <w:p w14:paraId="547408A9" w14:textId="77777777" w:rsidR="007E06D4" w:rsidRPr="007A0960" w:rsidRDefault="007E06D4" w:rsidP="007A0960">
      <w:pPr>
        <w:pStyle w:val="FootnoteText"/>
        <w:jc w:val="both"/>
        <w:rPr>
          <w:rFonts w:ascii="Montserrat" w:eastAsia="Arial" w:hAnsi="Montserrat" w:cs="Arial"/>
          <w:sz w:val="16"/>
          <w:szCs w:val="16"/>
        </w:rPr>
      </w:pPr>
      <w:r w:rsidRPr="007A0960">
        <w:rPr>
          <w:rStyle w:val="FootnoteReference"/>
          <w:rFonts w:ascii="Montserrat" w:hAnsi="Montserrat"/>
          <w:sz w:val="16"/>
          <w:szCs w:val="16"/>
        </w:rPr>
        <w:footnoteRef/>
      </w:r>
      <w:r w:rsidRPr="007A0960">
        <w:rPr>
          <w:rFonts w:ascii="Montserrat" w:hAnsi="Montserrat"/>
          <w:sz w:val="16"/>
          <w:szCs w:val="16"/>
        </w:rPr>
        <w:t xml:space="preserve"> </w:t>
      </w:r>
      <w:r w:rsidRPr="007A0960">
        <w:rPr>
          <w:rFonts w:ascii="Montserrat" w:eastAsia="Arial" w:hAnsi="Montserrat" w:cs="Arial"/>
          <w:sz w:val="16"/>
          <w:szCs w:val="16"/>
        </w:rPr>
        <w:t xml:space="preserve">Controversia Constitucional 32/2012. Fecha de resolución 29 de mayo de 2014. p. 77  </w:t>
      </w:r>
    </w:p>
  </w:footnote>
  <w:footnote w:id="19">
    <w:p w14:paraId="027D24D3" w14:textId="77777777" w:rsidR="007E06D4" w:rsidRPr="0027667B" w:rsidRDefault="007E06D4" w:rsidP="007A0960">
      <w:pPr>
        <w:pStyle w:val="FootnoteText"/>
        <w:jc w:val="both"/>
        <w:rPr>
          <w:rFonts w:ascii="Arial" w:eastAsia="Arial" w:hAnsi="Arial" w:cs="Arial"/>
        </w:rPr>
      </w:pPr>
      <w:r w:rsidRPr="007A0960">
        <w:rPr>
          <w:rStyle w:val="FootnoteReference"/>
          <w:rFonts w:ascii="Montserrat" w:eastAsia="Arial" w:hAnsi="Montserrat" w:cs="Arial"/>
          <w:sz w:val="16"/>
          <w:szCs w:val="16"/>
        </w:rPr>
        <w:footnoteRef/>
      </w:r>
      <w:r w:rsidRPr="007A0960">
        <w:rPr>
          <w:rFonts w:ascii="Montserrat" w:eastAsia="Arial" w:hAnsi="Montserrat" w:cs="Arial"/>
          <w:sz w:val="16"/>
          <w:szCs w:val="16"/>
        </w:rPr>
        <w:t xml:space="preserve"> Acción de Inconstitucionalidad 116/2019. Fecha de resolución 12 de marzo de 2020. párr. 90. Ver </w:t>
      </w:r>
      <w:hyperlink r:id="rId8">
        <w:r w:rsidRPr="007A0960">
          <w:rPr>
            <w:rStyle w:val="Hyperlink"/>
            <w:rFonts w:ascii="Montserrat" w:eastAsia="Arial" w:hAnsi="Montserrat" w:cs="Arial"/>
            <w:sz w:val="16"/>
            <w:szCs w:val="16"/>
          </w:rPr>
          <w:t>engrose</w:t>
        </w:r>
      </w:hyperlink>
      <w:r w:rsidRPr="007A0960">
        <w:rPr>
          <w:rFonts w:ascii="Montserrat" w:eastAsia="Arial" w:hAnsi="Montserrat"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7CDB"/>
    <w:multiLevelType w:val="hybridMultilevel"/>
    <w:tmpl w:val="5ADAF866"/>
    <w:lvl w:ilvl="0" w:tplc="22B60F3A">
      <w:start w:val="1"/>
      <w:numFmt w:val="decimal"/>
      <w:lvlText w:val="%1."/>
      <w:lvlJc w:val="left"/>
      <w:pPr>
        <w:ind w:left="360" w:hanging="360"/>
      </w:pPr>
      <w:rPr>
        <w:sz w:val="24"/>
        <w:szCs w:val="24"/>
        <w:vertAlign w:val="baseline"/>
      </w:rPr>
    </w:lvl>
    <w:lvl w:ilvl="1" w:tplc="0E1EE6D2">
      <w:start w:val="1"/>
      <w:numFmt w:val="lowerLetter"/>
      <w:lvlText w:val="%2."/>
      <w:lvlJc w:val="left"/>
      <w:pPr>
        <w:ind w:left="1080" w:hanging="360"/>
      </w:pPr>
    </w:lvl>
    <w:lvl w:ilvl="2" w:tplc="9EDA9DDE">
      <w:start w:val="1"/>
      <w:numFmt w:val="lowerRoman"/>
      <w:lvlText w:val="%3."/>
      <w:lvlJc w:val="right"/>
      <w:pPr>
        <w:ind w:left="1800" w:hanging="180"/>
      </w:pPr>
    </w:lvl>
    <w:lvl w:ilvl="3" w:tplc="FC5623A0">
      <w:start w:val="1"/>
      <w:numFmt w:val="decimal"/>
      <w:lvlText w:val="%4."/>
      <w:lvlJc w:val="left"/>
      <w:pPr>
        <w:ind w:left="2520" w:hanging="360"/>
      </w:pPr>
    </w:lvl>
    <w:lvl w:ilvl="4" w:tplc="F3720D42">
      <w:start w:val="1"/>
      <w:numFmt w:val="lowerLetter"/>
      <w:lvlText w:val="%5."/>
      <w:lvlJc w:val="left"/>
      <w:pPr>
        <w:ind w:left="3240" w:hanging="360"/>
      </w:pPr>
    </w:lvl>
    <w:lvl w:ilvl="5" w:tplc="DE32D6F2">
      <w:start w:val="1"/>
      <w:numFmt w:val="lowerRoman"/>
      <w:lvlText w:val="%6."/>
      <w:lvlJc w:val="right"/>
      <w:pPr>
        <w:ind w:left="3960" w:hanging="180"/>
      </w:pPr>
    </w:lvl>
    <w:lvl w:ilvl="6" w:tplc="955A454C">
      <w:start w:val="1"/>
      <w:numFmt w:val="decimal"/>
      <w:lvlText w:val="%7."/>
      <w:lvlJc w:val="left"/>
      <w:pPr>
        <w:ind w:left="4680" w:hanging="360"/>
      </w:pPr>
    </w:lvl>
    <w:lvl w:ilvl="7" w:tplc="D8421E54">
      <w:start w:val="1"/>
      <w:numFmt w:val="lowerLetter"/>
      <w:lvlText w:val="%8."/>
      <w:lvlJc w:val="left"/>
      <w:pPr>
        <w:ind w:left="5400" w:hanging="360"/>
      </w:pPr>
    </w:lvl>
    <w:lvl w:ilvl="8" w:tplc="01A674BC">
      <w:start w:val="1"/>
      <w:numFmt w:val="lowerRoman"/>
      <w:lvlText w:val="%9."/>
      <w:lvlJc w:val="right"/>
      <w:pPr>
        <w:ind w:left="6120" w:hanging="180"/>
      </w:pPr>
    </w:lvl>
  </w:abstractNum>
  <w:abstractNum w:abstractNumId="1" w15:restartNumberingAfterBreak="0">
    <w:nsid w:val="724E5275"/>
    <w:multiLevelType w:val="hybridMultilevel"/>
    <w:tmpl w:val="763C5E6C"/>
    <w:lvl w:ilvl="0" w:tplc="DF2AE28E">
      <w:start w:val="1"/>
      <w:numFmt w:val="decimal"/>
      <w:lvlText w:val="%1."/>
      <w:lvlJc w:val="left"/>
      <w:pPr>
        <w:ind w:left="360" w:hanging="360"/>
      </w:pPr>
      <w:rPr>
        <w:rFonts w:ascii="Arial" w:hAnsi="Arial" w:hint="default"/>
      </w:rPr>
    </w:lvl>
    <w:lvl w:ilvl="1" w:tplc="FC7E0EDE">
      <w:start w:val="1"/>
      <w:numFmt w:val="lowerLetter"/>
      <w:lvlText w:val="%2."/>
      <w:lvlJc w:val="left"/>
      <w:pPr>
        <w:ind w:left="1080" w:hanging="360"/>
      </w:pPr>
    </w:lvl>
    <w:lvl w:ilvl="2" w:tplc="9F3AE620">
      <w:start w:val="1"/>
      <w:numFmt w:val="lowerRoman"/>
      <w:lvlText w:val="%3."/>
      <w:lvlJc w:val="right"/>
      <w:pPr>
        <w:ind w:left="1800" w:hanging="180"/>
      </w:pPr>
    </w:lvl>
    <w:lvl w:ilvl="3" w:tplc="02667BE8">
      <w:start w:val="1"/>
      <w:numFmt w:val="decimal"/>
      <w:lvlText w:val="%4."/>
      <w:lvlJc w:val="left"/>
      <w:pPr>
        <w:ind w:left="2520" w:hanging="360"/>
      </w:pPr>
    </w:lvl>
    <w:lvl w:ilvl="4" w:tplc="059ED1F4">
      <w:start w:val="1"/>
      <w:numFmt w:val="lowerLetter"/>
      <w:lvlText w:val="%5."/>
      <w:lvlJc w:val="left"/>
      <w:pPr>
        <w:ind w:left="3240" w:hanging="360"/>
      </w:pPr>
    </w:lvl>
    <w:lvl w:ilvl="5" w:tplc="151E92FC">
      <w:start w:val="1"/>
      <w:numFmt w:val="lowerRoman"/>
      <w:lvlText w:val="%6."/>
      <w:lvlJc w:val="right"/>
      <w:pPr>
        <w:ind w:left="3960" w:hanging="180"/>
      </w:pPr>
    </w:lvl>
    <w:lvl w:ilvl="6" w:tplc="524C8816">
      <w:start w:val="1"/>
      <w:numFmt w:val="decimal"/>
      <w:lvlText w:val="%7."/>
      <w:lvlJc w:val="left"/>
      <w:pPr>
        <w:ind w:left="4680" w:hanging="360"/>
      </w:pPr>
    </w:lvl>
    <w:lvl w:ilvl="7" w:tplc="162E5CDA">
      <w:start w:val="1"/>
      <w:numFmt w:val="lowerLetter"/>
      <w:lvlText w:val="%8."/>
      <w:lvlJc w:val="left"/>
      <w:pPr>
        <w:ind w:left="5400" w:hanging="360"/>
      </w:pPr>
    </w:lvl>
    <w:lvl w:ilvl="8" w:tplc="6D30233C">
      <w:start w:val="1"/>
      <w:numFmt w:val="lowerRoman"/>
      <w:lvlText w:val="%9."/>
      <w:lvlJc w:val="right"/>
      <w:pPr>
        <w:ind w:left="6120" w:hanging="180"/>
      </w:pPr>
    </w:lvl>
  </w:abstractNum>
  <w:num w:numId="1" w16cid:durableId="690958194">
    <w:abstractNumId w:val="0"/>
  </w:num>
  <w:num w:numId="2" w16cid:durableId="1226257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6D4"/>
    <w:rsid w:val="00126BF8"/>
    <w:rsid w:val="00373EDA"/>
    <w:rsid w:val="0066413B"/>
    <w:rsid w:val="007A0960"/>
    <w:rsid w:val="007E06D4"/>
    <w:rsid w:val="008A6112"/>
    <w:rsid w:val="00A74B9D"/>
    <w:rsid w:val="00D74570"/>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C6F4"/>
  <w15:chartTrackingRefBased/>
  <w15:docId w15:val="{9CAE2233-B399-4BEA-BEA0-094CA255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D4"/>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uiPriority w:val="1"/>
    <w:rsid w:val="007E06D4"/>
  </w:style>
  <w:style w:type="paragraph" w:styleId="ListParagraph">
    <w:name w:val="List Paragraph"/>
    <w:basedOn w:val="Normal"/>
    <w:uiPriority w:val="34"/>
    <w:qFormat/>
    <w:rsid w:val="007E06D4"/>
    <w:pPr>
      <w:ind w:left="720"/>
      <w:contextualSpacing/>
    </w:pPr>
  </w:style>
  <w:style w:type="character" w:styleId="FootnoteReference">
    <w:name w:val="footnote reference"/>
    <w:basedOn w:val="DefaultParagraphFont"/>
    <w:uiPriority w:val="99"/>
    <w:unhideWhenUsed/>
    <w:rsid w:val="007E06D4"/>
    <w:rPr>
      <w:vertAlign w:val="superscript"/>
    </w:rPr>
  </w:style>
  <w:style w:type="character" w:styleId="Hyperlink">
    <w:name w:val="Hyperlink"/>
    <w:basedOn w:val="DefaultParagraphFont"/>
    <w:uiPriority w:val="99"/>
    <w:unhideWhenUsed/>
    <w:rsid w:val="007E06D4"/>
    <w:rPr>
      <w:color w:val="0563C1" w:themeColor="hyperlink"/>
      <w:u w:val="single"/>
    </w:rPr>
  </w:style>
  <w:style w:type="character" w:customStyle="1" w:styleId="FootnoteTextChar">
    <w:name w:val="Footnote Text Char"/>
    <w:basedOn w:val="DefaultParagraphFont"/>
    <w:link w:val="FootnoteText"/>
    <w:uiPriority w:val="99"/>
    <w:rsid w:val="007E06D4"/>
    <w:rPr>
      <w:sz w:val="20"/>
      <w:szCs w:val="20"/>
    </w:rPr>
  </w:style>
  <w:style w:type="paragraph" w:styleId="FootnoteText">
    <w:name w:val="footnote text"/>
    <w:basedOn w:val="Normal"/>
    <w:link w:val="FootnoteTextChar"/>
    <w:uiPriority w:val="99"/>
    <w:unhideWhenUsed/>
    <w:rsid w:val="007E06D4"/>
    <w:pPr>
      <w:spacing w:after="0" w:line="240" w:lineRule="auto"/>
    </w:pPr>
    <w:rPr>
      <w:sz w:val="20"/>
      <w:szCs w:val="20"/>
      <w:lang w:val="es-MX"/>
    </w:rPr>
  </w:style>
  <w:style w:type="character" w:customStyle="1" w:styleId="TextonotapieCar1">
    <w:name w:val="Texto nota pie Car1"/>
    <w:basedOn w:val="DefaultParagraphFont"/>
    <w:uiPriority w:val="99"/>
    <w:semiHidden/>
    <w:rsid w:val="007E06D4"/>
    <w:rPr>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www2.scjn.gob.mx/ConsultaTematica/PaginasPub/DetallePub.aspx?AsuntoID=264544" TargetMode="External"/><Relationship Id="rId3" Type="http://schemas.openxmlformats.org/officeDocument/2006/relationships/hyperlink" Target="https://www2.scjn.gob.mx/ConsultaTematica/PaginasPub/DetallePub.aspx?AsuntoID=229186" TargetMode="External"/><Relationship Id="rId7" Type="http://schemas.openxmlformats.org/officeDocument/2006/relationships/hyperlink" Target="https://www2.scjn.gob.mx/ConsultaTematica/PaginasPub/DetallePub.aspx?AsuntoID=138752" TargetMode="External"/><Relationship Id="rId2" Type="http://schemas.openxmlformats.org/officeDocument/2006/relationships/hyperlink" Target="https://www2.scjn.gob.mx/ConsultaTematica/PaginasPub/DetallePub.aspx?AsuntoID=190473" TargetMode="External"/><Relationship Id="rId1" Type="http://schemas.openxmlformats.org/officeDocument/2006/relationships/hyperlink" Target="https://www2.scjn.gob.mx/ConsultaTematica/PaginasPub/DetallePub.aspx?AsuntoID=232168" TargetMode="External"/><Relationship Id="rId6" Type="http://schemas.openxmlformats.org/officeDocument/2006/relationships/hyperlink" Target="https://www2.scjn.gob.mx/ConsultaTematica/PaginasPub/DetallePub.aspx?AsuntoID=242555" TargetMode="External"/><Relationship Id="rId5" Type="http://schemas.openxmlformats.org/officeDocument/2006/relationships/hyperlink" Target="https://www2.scjn.gob.mx/ConsultaTematica/PaginasPub/DetallePub.aspx?AsuntoID=269558" TargetMode="External"/><Relationship Id="rId4" Type="http://schemas.openxmlformats.org/officeDocument/2006/relationships/hyperlink" Target="https://www2.scjn.gob.mx/ConsultaTematica/PaginasPub/DetallePub.aspx?AsuntoID=2458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annex-2</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A69E8BE-FBBA-47CD-9FE9-1781EC67D2FC}"/>
</file>

<file path=customXml/itemProps2.xml><?xml version="1.0" encoding="utf-8"?>
<ds:datastoreItem xmlns:ds="http://schemas.openxmlformats.org/officeDocument/2006/customXml" ds:itemID="{657EEBBA-1C3B-4C38-B28A-2A5E32FE56DB}"/>
</file>

<file path=customXml/itemProps3.xml><?xml version="1.0" encoding="utf-8"?>
<ds:datastoreItem xmlns:ds="http://schemas.openxmlformats.org/officeDocument/2006/customXml" ds:itemID="{4F28C341-9961-42E7-B30A-AE50EEE6E5F3}"/>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Escalante Sandoval, Miguel Fernando</dc:creator>
  <cp:keywords/>
  <dc:description/>
  <cp:lastModifiedBy>Melanie Santizo Sandoval</cp:lastModifiedBy>
  <cp:revision>2</cp:revision>
  <dcterms:created xsi:type="dcterms:W3CDTF">2023-05-08T08:01:00Z</dcterms:created>
  <dcterms:modified xsi:type="dcterms:W3CDTF">2023-05-08T08:01:00Z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