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1EE1" w14:textId="173A8B42" w:rsidR="00D26154" w:rsidRPr="00A53480" w:rsidRDefault="00EB1ED0" w:rsidP="00BC6D1C">
      <w:pPr>
        <w:pStyle w:val="H23G"/>
        <w:spacing w:line="360" w:lineRule="auto"/>
        <w:ind w:left="0" w:firstLine="0"/>
        <w:rPr>
          <w:b w:val="0"/>
          <w:bCs/>
          <w:i/>
          <w:iCs/>
          <w:sz w:val="24"/>
          <w:szCs w:val="24"/>
          <w:u w:val="single"/>
        </w:rPr>
      </w:pPr>
      <w:r w:rsidRPr="00A53480">
        <w:rPr>
          <w:noProof/>
          <w:sz w:val="24"/>
          <w:szCs w:val="24"/>
          <w:lang w:eastAsia="en-GB"/>
        </w:rPr>
        <w:drawing>
          <wp:anchor distT="0" distB="0" distL="114300" distR="114300" simplePos="0" relativeHeight="251659264" behindDoc="0" locked="0" layoutInCell="1" allowOverlap="1" wp14:anchorId="3BFD23CB" wp14:editId="0DCA5FDE">
            <wp:simplePos x="0" y="0"/>
            <wp:positionH relativeFrom="margin">
              <wp:posOffset>1706880</wp:posOffset>
            </wp:positionH>
            <wp:positionV relativeFrom="paragraph">
              <wp:posOffset>0</wp:posOffset>
            </wp:positionV>
            <wp:extent cx="2410460" cy="112395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046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98FDA" w14:textId="77777777" w:rsidR="003601CC" w:rsidRPr="00A53480" w:rsidRDefault="003601CC" w:rsidP="00BC6D1C">
      <w:pPr>
        <w:pStyle w:val="H23G"/>
        <w:spacing w:line="360" w:lineRule="auto"/>
        <w:ind w:left="0"/>
        <w:jc w:val="center"/>
        <w:rPr>
          <w:sz w:val="24"/>
          <w:szCs w:val="24"/>
        </w:rPr>
      </w:pPr>
    </w:p>
    <w:p w14:paraId="208B6DAD" w14:textId="77777777" w:rsidR="00EB1ED0" w:rsidRPr="00A53480" w:rsidRDefault="00913E10" w:rsidP="00BC6D1C">
      <w:pPr>
        <w:pStyle w:val="H23G"/>
        <w:spacing w:line="360" w:lineRule="auto"/>
        <w:ind w:left="0" w:right="0"/>
        <w:jc w:val="center"/>
        <w:rPr>
          <w:sz w:val="24"/>
          <w:szCs w:val="24"/>
        </w:rPr>
      </w:pPr>
      <w:r w:rsidRPr="00A53480">
        <w:rPr>
          <w:sz w:val="24"/>
          <w:szCs w:val="24"/>
        </w:rPr>
        <w:tab/>
      </w:r>
    </w:p>
    <w:p w14:paraId="08F77B99" w14:textId="77777777" w:rsidR="00EB1ED0" w:rsidRPr="00A53480" w:rsidRDefault="00EB1ED0" w:rsidP="00BC6D1C">
      <w:pPr>
        <w:pStyle w:val="H23G"/>
        <w:spacing w:line="360" w:lineRule="auto"/>
        <w:ind w:left="0" w:right="0"/>
        <w:jc w:val="center"/>
        <w:rPr>
          <w:sz w:val="24"/>
          <w:szCs w:val="24"/>
        </w:rPr>
      </w:pPr>
    </w:p>
    <w:p w14:paraId="33542DFE" w14:textId="5F0A2544" w:rsidR="00EB1ED0" w:rsidRPr="00A53480" w:rsidRDefault="00EB1ED0" w:rsidP="005B41EA">
      <w:pPr>
        <w:pStyle w:val="H23G"/>
        <w:spacing w:line="360" w:lineRule="auto"/>
        <w:ind w:right="0"/>
        <w:jc w:val="center"/>
        <w:rPr>
          <w:sz w:val="24"/>
          <w:szCs w:val="24"/>
        </w:rPr>
      </w:pPr>
      <w:r w:rsidRPr="00A53480">
        <w:rPr>
          <w:sz w:val="24"/>
          <w:szCs w:val="24"/>
        </w:rPr>
        <w:t xml:space="preserve">UN Expert Mechanism on the Rights of </w:t>
      </w:r>
      <w:r w:rsidR="00AE4B2E">
        <w:rPr>
          <w:sz w:val="24"/>
          <w:szCs w:val="24"/>
        </w:rPr>
        <w:t>Indigenous Peoples</w:t>
      </w:r>
    </w:p>
    <w:p w14:paraId="7EA8F724" w14:textId="14BD3B40" w:rsidR="002B50F1" w:rsidRPr="00A53480" w:rsidRDefault="00EB1ED0" w:rsidP="005B41EA">
      <w:pPr>
        <w:pStyle w:val="H23G"/>
        <w:spacing w:line="360" w:lineRule="auto"/>
        <w:ind w:left="567" w:right="0"/>
        <w:jc w:val="center"/>
        <w:rPr>
          <w:sz w:val="24"/>
          <w:szCs w:val="24"/>
        </w:rPr>
      </w:pPr>
      <w:r w:rsidRPr="00A53480">
        <w:rPr>
          <w:sz w:val="24"/>
          <w:szCs w:val="24"/>
        </w:rPr>
        <w:t>W</w:t>
      </w:r>
      <w:r w:rsidR="003601CC" w:rsidRPr="00A53480">
        <w:rPr>
          <w:sz w:val="24"/>
          <w:szCs w:val="24"/>
        </w:rPr>
        <w:t>ritten contribution to the Expert workshop on possible way to enhance the</w:t>
      </w:r>
      <w:r w:rsidR="005B41EA" w:rsidRPr="00A53480">
        <w:rPr>
          <w:sz w:val="24"/>
          <w:szCs w:val="24"/>
        </w:rPr>
        <w:t xml:space="preserve"> </w:t>
      </w:r>
      <w:r w:rsidR="003601CC" w:rsidRPr="00A53480">
        <w:rPr>
          <w:sz w:val="24"/>
          <w:szCs w:val="24"/>
        </w:rPr>
        <w:t xml:space="preserve">participation of </w:t>
      </w:r>
      <w:r w:rsidR="00AE4B2E">
        <w:rPr>
          <w:sz w:val="24"/>
          <w:szCs w:val="24"/>
        </w:rPr>
        <w:t>Indigenous Peoples</w:t>
      </w:r>
      <w:r w:rsidR="003601CC" w:rsidRPr="00A53480">
        <w:rPr>
          <w:sz w:val="24"/>
          <w:szCs w:val="24"/>
        </w:rPr>
        <w:t xml:space="preserve"> in the work of the</w:t>
      </w:r>
      <w:r w:rsidR="002B50F1" w:rsidRPr="00A53480">
        <w:rPr>
          <w:sz w:val="24"/>
          <w:szCs w:val="24"/>
        </w:rPr>
        <w:t xml:space="preserve"> Human Rights Council</w:t>
      </w:r>
    </w:p>
    <w:p w14:paraId="00F25069" w14:textId="43A3AD2F" w:rsidR="005B41EA" w:rsidRPr="00A53480" w:rsidRDefault="005B41EA" w:rsidP="00BC6D1C">
      <w:pPr>
        <w:spacing w:line="360" w:lineRule="auto"/>
        <w:jc w:val="center"/>
        <w:rPr>
          <w:rFonts w:ascii="Times New Roman" w:hAnsi="Times New Roman" w:cs="Times New Roman"/>
          <w:b/>
          <w:bCs/>
          <w:i/>
          <w:iCs/>
          <w:sz w:val="24"/>
          <w:szCs w:val="24"/>
        </w:rPr>
      </w:pPr>
    </w:p>
    <w:p w14:paraId="7937CAF3" w14:textId="77777777" w:rsidR="00A53480" w:rsidRPr="00A53480" w:rsidRDefault="00A53480" w:rsidP="00BC6D1C">
      <w:pPr>
        <w:spacing w:line="360" w:lineRule="auto"/>
        <w:jc w:val="center"/>
        <w:rPr>
          <w:rFonts w:ascii="Times New Roman" w:hAnsi="Times New Roman" w:cs="Times New Roman"/>
          <w:b/>
          <w:bCs/>
          <w:i/>
          <w:iCs/>
          <w:sz w:val="24"/>
          <w:szCs w:val="24"/>
        </w:rPr>
      </w:pPr>
    </w:p>
    <w:p w14:paraId="23AF62BC" w14:textId="439683C9" w:rsidR="00D26154" w:rsidRPr="00A53480" w:rsidRDefault="00B83109"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Under paragraph 16 of the Human Rights Council resolution 48/11, EMRIP submits written inputs, within its mandate, on enhancing 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w:t>
      </w:r>
    </w:p>
    <w:p w14:paraId="61406493" w14:textId="77777777" w:rsidR="00A53480" w:rsidRPr="00A53480" w:rsidRDefault="00A53480" w:rsidP="00A53480">
      <w:pPr>
        <w:pStyle w:val="ListParagraph"/>
        <w:spacing w:line="360" w:lineRule="auto"/>
        <w:ind w:left="0"/>
        <w:jc w:val="both"/>
        <w:rPr>
          <w:rFonts w:ascii="Times New Roman" w:hAnsi="Times New Roman" w:cs="Times New Roman"/>
          <w:sz w:val="24"/>
          <w:szCs w:val="24"/>
        </w:rPr>
      </w:pPr>
    </w:p>
    <w:p w14:paraId="64F32D08" w14:textId="7E5F4486" w:rsidR="00B83109" w:rsidRPr="00802E9B" w:rsidRDefault="00B83109" w:rsidP="00BC6D1C">
      <w:pPr>
        <w:spacing w:line="360" w:lineRule="auto"/>
        <w:rPr>
          <w:rFonts w:ascii="Times New Roman" w:hAnsi="Times New Roman" w:cs="Times New Roman"/>
          <w:b/>
          <w:bCs/>
          <w:sz w:val="25"/>
          <w:szCs w:val="25"/>
        </w:rPr>
      </w:pPr>
      <w:r w:rsidRPr="00802E9B">
        <w:rPr>
          <w:rFonts w:ascii="Times New Roman" w:hAnsi="Times New Roman" w:cs="Times New Roman"/>
          <w:b/>
          <w:bCs/>
          <w:sz w:val="25"/>
          <w:szCs w:val="25"/>
        </w:rPr>
        <w:t xml:space="preserve">Background of EMRIP </w:t>
      </w:r>
      <w:r w:rsidR="00EB6A1C" w:rsidRPr="00802E9B">
        <w:rPr>
          <w:rFonts w:ascii="Times New Roman" w:hAnsi="Times New Roman" w:cs="Times New Roman"/>
          <w:b/>
          <w:bCs/>
          <w:sz w:val="25"/>
          <w:szCs w:val="25"/>
        </w:rPr>
        <w:t>statement</w:t>
      </w:r>
      <w:r w:rsidR="00F70978" w:rsidRPr="00802E9B">
        <w:rPr>
          <w:rFonts w:ascii="Times New Roman" w:hAnsi="Times New Roman" w:cs="Times New Roman"/>
          <w:b/>
          <w:bCs/>
          <w:sz w:val="25"/>
          <w:szCs w:val="25"/>
        </w:rPr>
        <w:t xml:space="preserve">s and </w:t>
      </w:r>
      <w:r w:rsidRPr="00802E9B">
        <w:rPr>
          <w:rFonts w:ascii="Times New Roman" w:hAnsi="Times New Roman" w:cs="Times New Roman"/>
          <w:b/>
          <w:bCs/>
          <w:sz w:val="25"/>
          <w:szCs w:val="25"/>
        </w:rPr>
        <w:t>proposals</w:t>
      </w:r>
      <w:r w:rsidR="00F70978" w:rsidRPr="00802E9B">
        <w:rPr>
          <w:rFonts w:ascii="Times New Roman" w:hAnsi="Times New Roman" w:cs="Times New Roman"/>
          <w:b/>
          <w:bCs/>
          <w:sz w:val="25"/>
          <w:szCs w:val="25"/>
        </w:rPr>
        <w:t xml:space="preserve"> on the topic</w:t>
      </w:r>
    </w:p>
    <w:p w14:paraId="5843161F" w14:textId="2EC6BFEB" w:rsidR="007D16E7" w:rsidRPr="00A53480" w:rsidRDefault="00784497"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Expert Mechanism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has been a strong proponent of the enhancement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participation in the work of the Human Rights Council. Articles 5 and 18 of the United Nations Declaration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explicitly defined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right to participation in decision-making on matters that related to them, including the overarching right to self-determination, as expressed in articles 3 and 4 of the Declaration. </w:t>
      </w:r>
      <w:r w:rsidR="007D16E7" w:rsidRPr="00A53480">
        <w:rPr>
          <w:rFonts w:ascii="Times New Roman" w:hAnsi="Times New Roman" w:cs="Times New Roman"/>
          <w:sz w:val="24"/>
          <w:szCs w:val="24"/>
        </w:rPr>
        <w:t xml:space="preserve">The United Nations has the obligation to promote the United Nations Declaration on the Rights of </w:t>
      </w:r>
      <w:r w:rsidR="00AE4B2E">
        <w:rPr>
          <w:rFonts w:ascii="Times New Roman" w:hAnsi="Times New Roman" w:cs="Times New Roman"/>
          <w:sz w:val="24"/>
          <w:szCs w:val="24"/>
        </w:rPr>
        <w:t>Indigenous Peoples</w:t>
      </w:r>
      <w:r w:rsidR="007D16E7" w:rsidRPr="00A53480">
        <w:rPr>
          <w:rFonts w:ascii="Times New Roman" w:hAnsi="Times New Roman" w:cs="Times New Roman"/>
          <w:sz w:val="24"/>
          <w:szCs w:val="24"/>
        </w:rPr>
        <w:t xml:space="preserve"> inside as well as outside of the United Nations. Article 41 of the Declaration specifically addresse</w:t>
      </w:r>
      <w:r w:rsidR="00AE4E15" w:rsidRPr="00A53480">
        <w:rPr>
          <w:rFonts w:ascii="Times New Roman" w:hAnsi="Times New Roman" w:cs="Times New Roman"/>
          <w:sz w:val="24"/>
          <w:szCs w:val="24"/>
        </w:rPr>
        <w:t>s</w:t>
      </w:r>
      <w:r w:rsidR="007D16E7" w:rsidRPr="00A53480">
        <w:rPr>
          <w:rFonts w:ascii="Times New Roman" w:hAnsi="Times New Roman" w:cs="Times New Roman"/>
          <w:sz w:val="24"/>
          <w:szCs w:val="24"/>
        </w:rPr>
        <w:t xml:space="preserve"> the role of the United Nations in the full realization of its provisions, including by establishing ways and means of ensuring the participation of </w:t>
      </w:r>
      <w:r w:rsidR="00AE4B2E">
        <w:rPr>
          <w:rFonts w:ascii="Times New Roman" w:hAnsi="Times New Roman" w:cs="Times New Roman"/>
          <w:sz w:val="24"/>
          <w:szCs w:val="24"/>
        </w:rPr>
        <w:t>Indigenous Peoples</w:t>
      </w:r>
      <w:r w:rsidR="007D16E7" w:rsidRPr="00A53480">
        <w:rPr>
          <w:rFonts w:ascii="Times New Roman" w:hAnsi="Times New Roman" w:cs="Times New Roman"/>
          <w:sz w:val="24"/>
          <w:szCs w:val="24"/>
        </w:rPr>
        <w:t xml:space="preserve"> on issues affecting them in the United Nations.</w:t>
      </w:r>
    </w:p>
    <w:p w14:paraId="11B7FB86" w14:textId="2F123126" w:rsidR="007D16E7" w:rsidRPr="00A53480" w:rsidRDefault="007D16E7"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themselves has been essential in the evolution of the Expert Mechanism’s mandate. </w:t>
      </w:r>
      <w:r w:rsidR="00A53480" w:rsidRPr="00A53480">
        <w:rPr>
          <w:rFonts w:ascii="Times New Roman" w:hAnsi="Times New Roman" w:cs="Times New Roman"/>
          <w:sz w:val="24"/>
          <w:szCs w:val="24"/>
        </w:rPr>
        <w:t xml:space="preserve">Its </w:t>
      </w:r>
      <w:r w:rsidR="00213806" w:rsidRPr="00A53480">
        <w:rPr>
          <w:rFonts w:ascii="Times New Roman" w:hAnsi="Times New Roman" w:cs="Times New Roman"/>
          <w:sz w:val="24"/>
          <w:szCs w:val="24"/>
        </w:rPr>
        <w:t xml:space="preserve">new expanded mandate, allowing </w:t>
      </w:r>
      <w:r w:rsidR="00AE4B2E">
        <w:rPr>
          <w:rFonts w:ascii="Times New Roman" w:hAnsi="Times New Roman" w:cs="Times New Roman"/>
          <w:sz w:val="24"/>
          <w:szCs w:val="24"/>
        </w:rPr>
        <w:t>Indigenous Peoples</w:t>
      </w:r>
      <w:r w:rsidR="00213806" w:rsidRPr="00A53480">
        <w:rPr>
          <w:rFonts w:ascii="Times New Roman" w:hAnsi="Times New Roman" w:cs="Times New Roman"/>
          <w:sz w:val="24"/>
          <w:szCs w:val="24"/>
        </w:rPr>
        <w:t xml:space="preserve"> the opportunity to request the support of the Mechanism for the facilitation of dialogue, capacity</w:t>
      </w:r>
      <w:r w:rsidR="00913E10" w:rsidRPr="00A53480">
        <w:rPr>
          <w:rFonts w:ascii="Times New Roman" w:hAnsi="Times New Roman" w:cs="Times New Roman"/>
          <w:sz w:val="24"/>
          <w:szCs w:val="24"/>
        </w:rPr>
        <w:t xml:space="preserve"> </w:t>
      </w:r>
      <w:r w:rsidR="00213806" w:rsidRPr="00A53480">
        <w:rPr>
          <w:rFonts w:ascii="Times New Roman" w:hAnsi="Times New Roman" w:cs="Times New Roman"/>
          <w:sz w:val="24"/>
          <w:szCs w:val="24"/>
        </w:rPr>
        <w:lastRenderedPageBreak/>
        <w:t>building and technical cooperation, is a form of self-determination, as is its revised mandate to decide on the themes of its own reports.</w:t>
      </w:r>
      <w:r w:rsidR="00213806" w:rsidRPr="00A53480">
        <w:rPr>
          <w:rStyle w:val="FootnoteReference"/>
          <w:rFonts w:ascii="Times New Roman" w:hAnsi="Times New Roman" w:cs="Times New Roman"/>
          <w:sz w:val="24"/>
          <w:szCs w:val="24"/>
        </w:rPr>
        <w:footnoteReference w:id="1"/>
      </w:r>
    </w:p>
    <w:p w14:paraId="18818A3E" w14:textId="6B7AB98B" w:rsidR="00784497" w:rsidRPr="00A53480" w:rsidRDefault="00784497"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Expert Mechanism’s report on self-determination, in which it is highlighted that 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internationally, including the expression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world views, lived experiences and perspectives at the United Nations, </w:t>
      </w:r>
      <w:r w:rsidR="007D16E7" w:rsidRPr="00A53480">
        <w:rPr>
          <w:rFonts w:ascii="Times New Roman" w:hAnsi="Times New Roman" w:cs="Times New Roman"/>
          <w:sz w:val="24"/>
          <w:szCs w:val="24"/>
        </w:rPr>
        <w:t>is</w:t>
      </w:r>
      <w:r w:rsidRPr="00A53480">
        <w:rPr>
          <w:rFonts w:ascii="Times New Roman" w:hAnsi="Times New Roman" w:cs="Times New Roman"/>
          <w:sz w:val="24"/>
          <w:szCs w:val="24"/>
        </w:rPr>
        <w:t xml:space="preserve"> an example of the exercise of their self-determination and their right to determine their space in the international community based upon the right to equality. </w:t>
      </w:r>
      <w:r w:rsidR="00F70978" w:rsidRPr="00A53480">
        <w:rPr>
          <w:rFonts w:ascii="Times New Roman" w:hAnsi="Times New Roman" w:cs="Times New Roman"/>
          <w:sz w:val="24"/>
          <w:szCs w:val="24"/>
        </w:rPr>
        <w:t>S</w:t>
      </w:r>
      <w:r w:rsidR="00ED7C92" w:rsidRPr="00A53480">
        <w:rPr>
          <w:rFonts w:ascii="Times New Roman" w:hAnsi="Times New Roman" w:cs="Times New Roman"/>
          <w:sz w:val="24"/>
          <w:szCs w:val="24"/>
        </w:rPr>
        <w:t xml:space="preserve">elf-determination may also include </w:t>
      </w:r>
      <w:r w:rsidR="00AE4B2E">
        <w:rPr>
          <w:rFonts w:ascii="Times New Roman" w:hAnsi="Times New Roman" w:cs="Times New Roman"/>
          <w:sz w:val="24"/>
          <w:szCs w:val="24"/>
        </w:rPr>
        <w:t>Indigenous Peoples</w:t>
      </w:r>
      <w:r w:rsidR="00ED7C92" w:rsidRPr="00A53480">
        <w:rPr>
          <w:rFonts w:ascii="Times New Roman" w:hAnsi="Times New Roman" w:cs="Times New Roman"/>
          <w:sz w:val="24"/>
          <w:szCs w:val="24"/>
        </w:rPr>
        <w:t xml:space="preserve">’ right to determine their place in the international community based upon the principle of equal rights. From an indigenous perspective, participation by </w:t>
      </w:r>
      <w:r w:rsidR="00AE4B2E">
        <w:rPr>
          <w:rFonts w:ascii="Times New Roman" w:hAnsi="Times New Roman" w:cs="Times New Roman"/>
          <w:sz w:val="24"/>
          <w:szCs w:val="24"/>
        </w:rPr>
        <w:t>Indigenous Peoples</w:t>
      </w:r>
      <w:r w:rsidR="00ED7C92" w:rsidRPr="00A53480">
        <w:rPr>
          <w:rFonts w:ascii="Times New Roman" w:hAnsi="Times New Roman" w:cs="Times New Roman"/>
          <w:sz w:val="24"/>
          <w:szCs w:val="24"/>
        </w:rPr>
        <w:t xml:space="preserve"> in the international indigenous movement is an example of the exercise of self-determination. That includes expressions of </w:t>
      </w:r>
      <w:r w:rsidR="00AE4B2E">
        <w:rPr>
          <w:rFonts w:ascii="Times New Roman" w:hAnsi="Times New Roman" w:cs="Times New Roman"/>
          <w:sz w:val="24"/>
          <w:szCs w:val="24"/>
        </w:rPr>
        <w:t>Indigenous Peoples</w:t>
      </w:r>
      <w:r w:rsidR="00ED7C92" w:rsidRPr="00A53480">
        <w:rPr>
          <w:rFonts w:ascii="Times New Roman" w:hAnsi="Times New Roman" w:cs="Times New Roman"/>
          <w:sz w:val="24"/>
          <w:szCs w:val="24"/>
        </w:rPr>
        <w:t xml:space="preserve"> at the United Nations and other international forums where they can express their world views and perspectives on the international level, external to their own communities. The “importance of ensuring that </w:t>
      </w:r>
      <w:r w:rsidR="00AE4B2E">
        <w:rPr>
          <w:rFonts w:ascii="Times New Roman" w:hAnsi="Times New Roman" w:cs="Times New Roman"/>
          <w:sz w:val="24"/>
          <w:szCs w:val="24"/>
        </w:rPr>
        <w:t>Indigenous Peoples</w:t>
      </w:r>
      <w:r w:rsidR="00ED7C92" w:rsidRPr="00A53480">
        <w:rPr>
          <w:rFonts w:ascii="Times New Roman" w:hAnsi="Times New Roman" w:cs="Times New Roman"/>
          <w:sz w:val="24"/>
          <w:szCs w:val="24"/>
        </w:rPr>
        <w:t>’ voices, the very people whose self-determination is affirmed by the Declaration, are heard in the international community through participation in international policy forums and decision-making bodies” is recognized.</w:t>
      </w:r>
      <w:r w:rsidR="00ED7C92" w:rsidRPr="00A53480">
        <w:rPr>
          <w:rStyle w:val="FootnoteReference"/>
          <w:rFonts w:ascii="Times New Roman" w:hAnsi="Times New Roman" w:cs="Times New Roman"/>
          <w:sz w:val="24"/>
          <w:szCs w:val="24"/>
        </w:rPr>
        <w:footnoteReference w:id="2"/>
      </w:r>
    </w:p>
    <w:p w14:paraId="7DBED95F" w14:textId="1CA90663" w:rsidR="00913E10" w:rsidRPr="00A53480" w:rsidRDefault="00213806"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in international forums is an important expression of their self-determination, and many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organizations are increasing their representation at such meetings.</w:t>
      </w:r>
      <w:r w:rsidR="00913E10" w:rsidRPr="00A53480">
        <w:rPr>
          <w:rFonts w:ascii="Times New Roman" w:hAnsi="Times New Roman" w:cs="Times New Roman"/>
          <w:sz w:val="24"/>
          <w:szCs w:val="24"/>
        </w:rPr>
        <w:t xml:space="preserve"> </w:t>
      </w:r>
      <w:r w:rsidRPr="00A53480">
        <w:rPr>
          <w:rFonts w:ascii="Times New Roman" w:hAnsi="Times New Roman" w:cs="Times New Roman"/>
          <w:sz w:val="24"/>
          <w:szCs w:val="24"/>
        </w:rPr>
        <w:t xml:space="preserve">The importance of that participation was recognized by the General Assembly, by its adoption of resolution 71/321, on enhancing 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representatives and institutions in meetings of relevant United Nations bodies on issues affecting them. </w:t>
      </w:r>
      <w:r w:rsidR="00913E10" w:rsidRPr="00A53480">
        <w:rPr>
          <w:rStyle w:val="FootnoteReference"/>
          <w:rFonts w:ascii="Times New Roman" w:hAnsi="Times New Roman" w:cs="Times New Roman"/>
          <w:sz w:val="24"/>
          <w:szCs w:val="24"/>
        </w:rPr>
        <w:footnoteReference w:id="3"/>
      </w:r>
    </w:p>
    <w:p w14:paraId="3DE72A52" w14:textId="6888C599" w:rsidR="00884700" w:rsidRPr="00A53480" w:rsidRDefault="00884700"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Expert Mechanism </w:t>
      </w:r>
      <w:r w:rsidR="00F70978" w:rsidRPr="00A53480">
        <w:rPr>
          <w:rFonts w:ascii="Times New Roman" w:hAnsi="Times New Roman" w:cs="Times New Roman"/>
          <w:sz w:val="24"/>
          <w:szCs w:val="24"/>
        </w:rPr>
        <w:t xml:space="preserve">has </w:t>
      </w:r>
      <w:r w:rsidRPr="00A53480">
        <w:rPr>
          <w:rFonts w:ascii="Times New Roman" w:hAnsi="Times New Roman" w:cs="Times New Roman"/>
          <w:sz w:val="24"/>
          <w:szCs w:val="24"/>
        </w:rPr>
        <w:t>invite</w:t>
      </w:r>
      <w:r w:rsidR="00F70978" w:rsidRPr="00A53480">
        <w:rPr>
          <w:rFonts w:ascii="Times New Roman" w:hAnsi="Times New Roman" w:cs="Times New Roman"/>
          <w:sz w:val="24"/>
          <w:szCs w:val="24"/>
        </w:rPr>
        <w:t>d</w:t>
      </w:r>
      <w:r w:rsidRPr="00A53480">
        <w:rPr>
          <w:rFonts w:ascii="Times New Roman" w:hAnsi="Times New Roman" w:cs="Times New Roman"/>
          <w:sz w:val="24"/>
          <w:szCs w:val="24"/>
        </w:rPr>
        <w:t xml:space="preserve"> the Human Rights Council to continue to facilitate, in consultation with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representatives and representative institutions in the work of the Council, in accordance with the United Nations Declaration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and to commit to reducing as much as possible the barriers to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participation in the work of the Council, such as the languages barriers, as well as to promote the internet access and in person attendance of indigenous representatives.</w:t>
      </w:r>
      <w:r w:rsidR="00DE0866" w:rsidRPr="00A53480">
        <w:rPr>
          <w:rStyle w:val="FootnoteReference"/>
          <w:rFonts w:ascii="Times New Roman" w:hAnsi="Times New Roman" w:cs="Times New Roman"/>
          <w:sz w:val="24"/>
          <w:szCs w:val="24"/>
        </w:rPr>
        <w:footnoteReference w:id="4"/>
      </w:r>
    </w:p>
    <w:p w14:paraId="6F55696A" w14:textId="1BB6720A" w:rsidR="00884700" w:rsidRPr="00A53480" w:rsidRDefault="00884700"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lastRenderedPageBreak/>
        <w:t>The Expert Mechanism further encourage</w:t>
      </w:r>
      <w:r w:rsidR="00F70978" w:rsidRPr="00A53480">
        <w:rPr>
          <w:rFonts w:ascii="Times New Roman" w:hAnsi="Times New Roman" w:cs="Times New Roman"/>
          <w:sz w:val="24"/>
          <w:szCs w:val="24"/>
        </w:rPr>
        <w:t xml:space="preserve">d </w:t>
      </w:r>
      <w:r w:rsidRPr="00A53480">
        <w:rPr>
          <w:rFonts w:ascii="Times New Roman" w:hAnsi="Times New Roman" w:cs="Times New Roman"/>
          <w:sz w:val="24"/>
          <w:szCs w:val="24"/>
        </w:rPr>
        <w:t xml:space="preserve">the registration and accreditation modalities of the workshops to follow the example of the Expert Mechanism (A/HRC/RES/6/36) to allow for the broadest participation possible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The modalities under which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participate in other United Nations mechanisms, such as the Permanent Forum on Indigenous Issues, should be assessed to see whether any aspects of those modalities could be applicable to the work of the Human Rights Council, when its work affects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w:t>
      </w:r>
    </w:p>
    <w:p w14:paraId="622E4DC8" w14:textId="0447C23D" w:rsidR="00DE0866" w:rsidRPr="00A53480" w:rsidRDefault="00784497"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Expert Mechanism </w:t>
      </w:r>
      <w:r w:rsidR="00F70978" w:rsidRPr="00A53480">
        <w:rPr>
          <w:rFonts w:ascii="Times New Roman" w:hAnsi="Times New Roman" w:cs="Times New Roman"/>
          <w:sz w:val="24"/>
          <w:szCs w:val="24"/>
        </w:rPr>
        <w:t xml:space="preserve">has </w:t>
      </w:r>
      <w:r w:rsidRPr="00A53480">
        <w:rPr>
          <w:rFonts w:ascii="Times New Roman" w:hAnsi="Times New Roman" w:cs="Times New Roman"/>
          <w:sz w:val="24"/>
          <w:szCs w:val="24"/>
        </w:rPr>
        <w:t>encourage</w:t>
      </w:r>
      <w:r w:rsidR="00F70978" w:rsidRPr="00A53480">
        <w:rPr>
          <w:rFonts w:ascii="Times New Roman" w:hAnsi="Times New Roman" w:cs="Times New Roman"/>
          <w:sz w:val="24"/>
          <w:szCs w:val="24"/>
        </w:rPr>
        <w:t>d</w:t>
      </w:r>
      <w:r w:rsidRPr="00A53480">
        <w:rPr>
          <w:rFonts w:ascii="Times New Roman" w:hAnsi="Times New Roman" w:cs="Times New Roman"/>
          <w:sz w:val="24"/>
          <w:szCs w:val="24"/>
        </w:rPr>
        <w:t xml:space="preserve"> members of the Human Rights Council to consider how to facilitate 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in its work and discussions, especially in the dialogue with the Expert Mechanism and the Special Rapporteur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which obviously required their inclusion</w:t>
      </w:r>
      <w:r w:rsidR="00884700" w:rsidRPr="00A53480">
        <w:rPr>
          <w:rFonts w:ascii="Times New Roman" w:hAnsi="Times New Roman" w:cs="Times New Roman"/>
          <w:sz w:val="24"/>
          <w:szCs w:val="24"/>
        </w:rPr>
        <w:t>.</w:t>
      </w:r>
      <w:r w:rsidR="00884700" w:rsidRPr="00A53480">
        <w:rPr>
          <w:rStyle w:val="FootnoteReference"/>
          <w:rFonts w:ascii="Times New Roman" w:hAnsi="Times New Roman" w:cs="Times New Roman"/>
          <w:sz w:val="24"/>
          <w:szCs w:val="24"/>
        </w:rPr>
        <w:footnoteReference w:id="5"/>
      </w:r>
    </w:p>
    <w:p w14:paraId="3C586EA9" w14:textId="0E1A4307" w:rsidR="00B83109" w:rsidRPr="00A53480" w:rsidRDefault="00B83109"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Expert Mechanism </w:t>
      </w:r>
      <w:r w:rsidR="00F70978" w:rsidRPr="00A53480">
        <w:rPr>
          <w:rFonts w:ascii="Times New Roman" w:hAnsi="Times New Roman" w:cs="Times New Roman"/>
          <w:sz w:val="24"/>
          <w:szCs w:val="24"/>
        </w:rPr>
        <w:t xml:space="preserve">has </w:t>
      </w:r>
      <w:r w:rsidRPr="00A53480">
        <w:rPr>
          <w:rFonts w:ascii="Times New Roman" w:hAnsi="Times New Roman" w:cs="Times New Roman"/>
          <w:sz w:val="24"/>
          <w:szCs w:val="24"/>
        </w:rPr>
        <w:t>propose</w:t>
      </w:r>
      <w:r w:rsidR="00F70978" w:rsidRPr="00A53480">
        <w:rPr>
          <w:rFonts w:ascii="Times New Roman" w:hAnsi="Times New Roman" w:cs="Times New Roman"/>
          <w:sz w:val="24"/>
          <w:szCs w:val="24"/>
        </w:rPr>
        <w:t>d</w:t>
      </w:r>
      <w:r w:rsidRPr="00A53480">
        <w:rPr>
          <w:rFonts w:ascii="Times New Roman" w:hAnsi="Times New Roman" w:cs="Times New Roman"/>
          <w:sz w:val="24"/>
          <w:szCs w:val="24"/>
        </w:rPr>
        <w:t xml:space="preserve"> that the Human Rights Council, in consultation with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make further efforts to enhance the participation in the Council of representatives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and their representative institutions, in accordance with the United Nations Declaration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That would include all meetings relevant to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including the interactive dialogue with the Mechanism and the Special Rapporteur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the annual half-day discussion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and sessions of the Working Group on the Universal Periodic Review. </w:t>
      </w:r>
      <w:r w:rsidRPr="00A53480">
        <w:rPr>
          <w:rStyle w:val="FootnoteReference"/>
          <w:rFonts w:ascii="Times New Roman" w:hAnsi="Times New Roman" w:cs="Times New Roman"/>
          <w:sz w:val="24"/>
          <w:szCs w:val="24"/>
        </w:rPr>
        <w:footnoteReference w:id="6"/>
      </w:r>
    </w:p>
    <w:p w14:paraId="01E9B558" w14:textId="3ADAA97C" w:rsidR="00F70978" w:rsidRPr="00A53480" w:rsidRDefault="00B83109"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For that purpose, the Expert Mechanism propose</w:t>
      </w:r>
      <w:r w:rsidR="002633BB" w:rsidRPr="00A53480">
        <w:rPr>
          <w:rFonts w:ascii="Times New Roman" w:hAnsi="Times New Roman" w:cs="Times New Roman"/>
          <w:sz w:val="24"/>
          <w:szCs w:val="24"/>
        </w:rPr>
        <w:t xml:space="preserve">d </w:t>
      </w:r>
      <w:r w:rsidRPr="00A53480">
        <w:rPr>
          <w:rFonts w:ascii="Times New Roman" w:hAnsi="Times New Roman" w:cs="Times New Roman"/>
          <w:sz w:val="24"/>
          <w:szCs w:val="24"/>
        </w:rPr>
        <w:t xml:space="preserve">that the Human Rights Council hold a technical workshop on modalities for the enhanced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w:t>
      </w:r>
      <w:r w:rsidR="00F70978" w:rsidRPr="00A53480">
        <w:rPr>
          <w:rFonts w:ascii="Times New Roman" w:hAnsi="Times New Roman" w:cs="Times New Roman"/>
          <w:sz w:val="24"/>
          <w:szCs w:val="24"/>
        </w:rPr>
        <w:t xml:space="preserve">In this regard, the Expert Mechanism welcomes the Human Rights Council resolution 48/11 adopted </w:t>
      </w:r>
      <w:r w:rsidR="00A53480" w:rsidRPr="00A53480">
        <w:rPr>
          <w:rFonts w:ascii="Times New Roman" w:hAnsi="Times New Roman" w:cs="Times New Roman"/>
          <w:spacing w:val="4"/>
          <w:sz w:val="24"/>
          <w:szCs w:val="24"/>
        </w:rPr>
        <w:t>i</w:t>
      </w:r>
      <w:r w:rsidR="00F70978" w:rsidRPr="00A53480">
        <w:rPr>
          <w:rFonts w:ascii="Times New Roman" w:hAnsi="Times New Roman" w:cs="Times New Roman"/>
          <w:spacing w:val="4"/>
          <w:sz w:val="24"/>
          <w:szCs w:val="24"/>
        </w:rPr>
        <w:t xml:space="preserve">n October 2021, where the Council requested OHCHR to convene a four-day expert workshop, in 2022, on possible ways to enhance the participation of </w:t>
      </w:r>
      <w:r w:rsidR="00AE4B2E">
        <w:rPr>
          <w:rFonts w:ascii="Times New Roman" w:hAnsi="Times New Roman" w:cs="Times New Roman"/>
          <w:spacing w:val="4"/>
          <w:sz w:val="24"/>
          <w:szCs w:val="24"/>
        </w:rPr>
        <w:t>Indigenous Peoples</w:t>
      </w:r>
      <w:r w:rsidR="00F70978" w:rsidRPr="00A53480">
        <w:rPr>
          <w:rFonts w:ascii="Times New Roman" w:hAnsi="Times New Roman" w:cs="Times New Roman"/>
          <w:spacing w:val="4"/>
          <w:sz w:val="24"/>
          <w:szCs w:val="24"/>
        </w:rPr>
        <w:t xml:space="preserve"> in the work of the Human Rights Council.</w:t>
      </w:r>
    </w:p>
    <w:p w14:paraId="3093699E" w14:textId="5A3F2A33" w:rsidR="00B83109" w:rsidRPr="00A53480" w:rsidRDefault="00F70978" w:rsidP="00BC6D1C">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As indicated by the Expert Mechanism, t</w:t>
      </w:r>
      <w:r w:rsidR="00B83109" w:rsidRPr="00A53480">
        <w:rPr>
          <w:rFonts w:ascii="Times New Roman" w:hAnsi="Times New Roman" w:cs="Times New Roman"/>
          <w:sz w:val="24"/>
          <w:szCs w:val="24"/>
        </w:rPr>
        <w:t xml:space="preserve">he workshop should ensure representation from all seven indigenous socioeconomic regions and build on the outcomes of the intersessional interactive dialogue held on 15 July 2019, at which many indigenous representatives stressed the importance of a transparent and inclusive consultation process with Member States and the need for a specific status, reflecting the representative institutions of </w:t>
      </w:r>
      <w:r w:rsidR="00AE4B2E">
        <w:rPr>
          <w:rFonts w:ascii="Times New Roman" w:hAnsi="Times New Roman" w:cs="Times New Roman"/>
          <w:sz w:val="24"/>
          <w:szCs w:val="24"/>
        </w:rPr>
        <w:t>Indigenous Peoples</w:t>
      </w:r>
      <w:r w:rsidR="00B83109" w:rsidRPr="00A53480">
        <w:rPr>
          <w:rFonts w:ascii="Times New Roman" w:hAnsi="Times New Roman" w:cs="Times New Roman"/>
          <w:sz w:val="24"/>
          <w:szCs w:val="24"/>
        </w:rPr>
        <w:t>.</w:t>
      </w:r>
      <w:r w:rsidR="00B83109" w:rsidRPr="00A53480">
        <w:rPr>
          <w:rStyle w:val="FootnoteReference"/>
          <w:rFonts w:ascii="Times New Roman" w:hAnsi="Times New Roman" w:cs="Times New Roman"/>
          <w:sz w:val="24"/>
          <w:szCs w:val="24"/>
        </w:rPr>
        <w:footnoteReference w:id="7"/>
      </w:r>
      <w:r w:rsidRPr="00A53480">
        <w:rPr>
          <w:rFonts w:ascii="Times New Roman" w:hAnsi="Times New Roman" w:cs="Times New Roman"/>
          <w:sz w:val="24"/>
          <w:szCs w:val="24"/>
        </w:rPr>
        <w:t xml:space="preserve"> </w:t>
      </w:r>
    </w:p>
    <w:p w14:paraId="252DA28C" w14:textId="4EEEF26D" w:rsidR="00A53480" w:rsidRPr="00802E9B" w:rsidRDefault="00DE0866" w:rsidP="00802E9B">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lastRenderedPageBreak/>
        <w:t>Based on the model of the 2021 Human Rights Council roundtable on the same theme, the Expert Mechanism strongly encourage</w:t>
      </w:r>
      <w:r w:rsidR="002633BB" w:rsidRPr="00A53480">
        <w:rPr>
          <w:rFonts w:ascii="Times New Roman" w:hAnsi="Times New Roman" w:cs="Times New Roman"/>
          <w:sz w:val="24"/>
          <w:szCs w:val="24"/>
        </w:rPr>
        <w:t>d</w:t>
      </w:r>
      <w:r w:rsidRPr="00A53480">
        <w:rPr>
          <w:rFonts w:ascii="Times New Roman" w:hAnsi="Times New Roman" w:cs="Times New Roman"/>
          <w:sz w:val="24"/>
          <w:szCs w:val="24"/>
        </w:rPr>
        <w:t xml:space="preserve"> that the Human Rights Council </w:t>
      </w:r>
      <w:r w:rsidR="002633BB" w:rsidRPr="00A53480">
        <w:rPr>
          <w:rFonts w:ascii="Times New Roman" w:hAnsi="Times New Roman" w:cs="Times New Roman"/>
          <w:sz w:val="24"/>
          <w:szCs w:val="24"/>
        </w:rPr>
        <w:t xml:space="preserve">to </w:t>
      </w:r>
      <w:r w:rsidRPr="00A53480">
        <w:rPr>
          <w:rFonts w:ascii="Times New Roman" w:hAnsi="Times New Roman" w:cs="Times New Roman"/>
          <w:sz w:val="24"/>
          <w:szCs w:val="24"/>
        </w:rPr>
        <w:t>appoint two co-facilitators in advance of th</w:t>
      </w:r>
      <w:r w:rsidR="002633BB" w:rsidRPr="00A53480">
        <w:rPr>
          <w:rFonts w:ascii="Times New Roman" w:hAnsi="Times New Roman" w:cs="Times New Roman"/>
          <w:sz w:val="24"/>
          <w:szCs w:val="24"/>
        </w:rPr>
        <w:t xml:space="preserve">e </w:t>
      </w:r>
      <w:r w:rsidRPr="00A53480">
        <w:rPr>
          <w:rFonts w:ascii="Times New Roman" w:hAnsi="Times New Roman" w:cs="Times New Roman"/>
          <w:sz w:val="24"/>
          <w:szCs w:val="24"/>
        </w:rPr>
        <w:t xml:space="preserve">expert workshop. One </w:t>
      </w:r>
      <w:r w:rsidR="002633BB" w:rsidRPr="00A53480">
        <w:rPr>
          <w:rFonts w:ascii="Times New Roman" w:hAnsi="Times New Roman" w:cs="Times New Roman"/>
          <w:sz w:val="24"/>
          <w:szCs w:val="24"/>
        </w:rPr>
        <w:t xml:space="preserve">co-facilitator </w:t>
      </w:r>
      <w:r w:rsidRPr="00A53480">
        <w:rPr>
          <w:rFonts w:ascii="Times New Roman" w:hAnsi="Times New Roman" w:cs="Times New Roman"/>
          <w:sz w:val="24"/>
          <w:szCs w:val="24"/>
        </w:rPr>
        <w:t xml:space="preserve">nominated by Member States and another one by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w:t>
      </w:r>
      <w:proofErr w:type="gramStart"/>
      <w:r w:rsidRPr="00A53480">
        <w:rPr>
          <w:rFonts w:ascii="Times New Roman" w:hAnsi="Times New Roman" w:cs="Times New Roman"/>
          <w:sz w:val="24"/>
          <w:szCs w:val="24"/>
        </w:rPr>
        <w:t>in order to</w:t>
      </w:r>
      <w:proofErr w:type="gramEnd"/>
      <w:r w:rsidRPr="00A53480">
        <w:rPr>
          <w:rFonts w:ascii="Times New Roman" w:hAnsi="Times New Roman" w:cs="Times New Roman"/>
          <w:sz w:val="24"/>
          <w:szCs w:val="24"/>
        </w:rPr>
        <w:t xml:space="preserve"> assist the President of the Human Rights Council before and during the workshop, to participate in the negotiation process and conduct timely, inclusive, and transparent consultations with Member States, indigenous representatives and institutions from all regions of the world.</w:t>
      </w:r>
    </w:p>
    <w:p w14:paraId="743D450C" w14:textId="583FDDD2" w:rsidR="00FD1D7A" w:rsidRPr="00802E9B" w:rsidRDefault="00FD1D7A" w:rsidP="00A53480">
      <w:pPr>
        <w:spacing w:before="100" w:beforeAutospacing="1" w:after="100" w:afterAutospacing="1" w:line="276" w:lineRule="auto"/>
        <w:jc w:val="both"/>
        <w:rPr>
          <w:rFonts w:ascii="Times New Roman" w:eastAsia="Times New Roman" w:hAnsi="Times New Roman" w:cs="Times New Roman"/>
          <w:sz w:val="25"/>
          <w:szCs w:val="25"/>
          <w:lang w:eastAsia="en-GB"/>
        </w:rPr>
      </w:pPr>
      <w:r w:rsidRPr="00802E9B">
        <w:rPr>
          <w:rFonts w:ascii="Times New Roman" w:eastAsia="Times New Roman" w:hAnsi="Times New Roman" w:cs="Times New Roman"/>
          <w:b/>
          <w:bCs/>
          <w:sz w:val="25"/>
          <w:szCs w:val="25"/>
          <w:lang w:eastAsia="en-GB"/>
        </w:rPr>
        <w:t>Venues of participation</w:t>
      </w:r>
    </w:p>
    <w:p w14:paraId="6D8EC821" w14:textId="38CCBCCF" w:rsidR="00FD1D7A" w:rsidRPr="00A53480" w:rsidRDefault="00AE4B2E" w:rsidP="00FD1D7A">
      <w:pPr>
        <w:pStyle w:val="ListParagraph"/>
        <w:numPr>
          <w:ilvl w:val="0"/>
          <w:numId w:val="2"/>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Indigenous Peoples</w:t>
      </w:r>
      <w:r w:rsidR="00FD1D7A" w:rsidRPr="00A53480">
        <w:rPr>
          <w:rFonts w:ascii="Times New Roman" w:hAnsi="Times New Roman" w:cs="Times New Roman"/>
          <w:sz w:val="24"/>
          <w:szCs w:val="24"/>
        </w:rPr>
        <w:t xml:space="preserve"> take part in all indigenous specific mandates and are taking part at the international level outside indigenous specific mandates, such as the work of the international human rights mechanisms, including the United Nations treaty bodies, the universal periodic review mechanism of the Human Rights Council and the special procedures of the Council.</w:t>
      </w:r>
      <w:r w:rsidR="00FD1D7A" w:rsidRPr="00A53480">
        <w:rPr>
          <w:rStyle w:val="FootnoteReference"/>
          <w:rFonts w:ascii="Times New Roman" w:hAnsi="Times New Roman" w:cs="Times New Roman"/>
          <w:sz w:val="24"/>
          <w:szCs w:val="24"/>
        </w:rPr>
        <w:footnoteReference w:id="8"/>
      </w:r>
      <w:r w:rsidR="00FD1D7A" w:rsidRPr="00A53480">
        <w:rPr>
          <w:rFonts w:ascii="Times New Roman" w:hAnsi="Times New Roman" w:cs="Times New Roman"/>
          <w:sz w:val="24"/>
          <w:szCs w:val="24"/>
        </w:rPr>
        <w:t xml:space="preserve"> </w:t>
      </w:r>
    </w:p>
    <w:p w14:paraId="19A0940D" w14:textId="17AD6E26" w:rsidR="00FD1D7A" w:rsidRPr="00A53480" w:rsidRDefault="00FD1D7A" w:rsidP="00FD1D7A">
      <w:pPr>
        <w:pStyle w:val="ListParagraph"/>
        <w:numPr>
          <w:ilvl w:val="0"/>
          <w:numId w:val="2"/>
        </w:numPr>
        <w:spacing w:line="360" w:lineRule="auto"/>
        <w:ind w:left="0"/>
        <w:jc w:val="both"/>
        <w:rPr>
          <w:rFonts w:ascii="Times New Roman" w:hAnsi="Times New Roman" w:cs="Times New Roman"/>
          <w:sz w:val="24"/>
          <w:szCs w:val="24"/>
        </w:rPr>
      </w:pPr>
      <w:r w:rsidRPr="00A53480">
        <w:rPr>
          <w:rFonts w:ascii="Times New Roman" w:hAnsi="Times New Roman" w:cs="Times New Roman"/>
          <w:sz w:val="24"/>
          <w:szCs w:val="24"/>
        </w:rPr>
        <w:t xml:space="preserve">The Expert Mechanism regrets that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and their representative institutions can only take the floor in the Human Rights Council through non-governmental organizations that had been accredited by the Economic and Social Council, as they were “the peoples”, recognized in article 1 of the United Nations Declaration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and should be given formal status in the United Nations to allow them to express themselves as such. The participation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at the United Nations was indispensable and crucial to informing the United Nations understanding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human rights issues and proposing real measures to address them. </w:t>
      </w:r>
      <w:r w:rsidRPr="00A53480">
        <w:rPr>
          <w:rStyle w:val="FootnoteReference"/>
          <w:rFonts w:ascii="Times New Roman" w:hAnsi="Times New Roman" w:cs="Times New Roman"/>
          <w:sz w:val="24"/>
          <w:szCs w:val="24"/>
        </w:rPr>
        <w:footnoteReference w:id="9"/>
      </w:r>
    </w:p>
    <w:p w14:paraId="3E877A6F" w14:textId="6200A31D" w:rsidR="00FD1D7A" w:rsidRPr="00A53480" w:rsidRDefault="00FD1D7A" w:rsidP="009B47B8">
      <w:pPr>
        <w:pStyle w:val="ListParagraph"/>
        <w:numPr>
          <w:ilvl w:val="0"/>
          <w:numId w:val="2"/>
        </w:numPr>
        <w:spacing w:line="360" w:lineRule="auto"/>
        <w:ind w:left="0"/>
        <w:jc w:val="both"/>
        <w:rPr>
          <w:rFonts w:ascii="Times New Roman" w:eastAsia="Times New Roman" w:hAnsi="Times New Roman" w:cs="Times New Roman"/>
          <w:sz w:val="24"/>
          <w:szCs w:val="24"/>
          <w:lang w:eastAsia="en-GB"/>
        </w:rPr>
      </w:pPr>
      <w:r w:rsidRPr="00A53480">
        <w:rPr>
          <w:rFonts w:ascii="Times New Roman" w:hAnsi="Times New Roman" w:cs="Times New Roman"/>
          <w:sz w:val="24"/>
          <w:szCs w:val="24"/>
        </w:rPr>
        <w:t xml:space="preserve"> When it comes to participation of indigenous </w:t>
      </w:r>
      <w:r w:rsidRPr="00A53480">
        <w:rPr>
          <w:rFonts w:ascii="Times New Roman" w:eastAsia="Times New Roman" w:hAnsi="Times New Roman" w:cs="Times New Roman"/>
          <w:sz w:val="24"/>
          <w:szCs w:val="24"/>
          <w:lang w:eastAsia="en-GB"/>
        </w:rPr>
        <w:t>representatives and institutions in meetings such</w:t>
      </w:r>
      <w:r w:rsidR="002633BB" w:rsidRPr="00A53480">
        <w:rPr>
          <w:rFonts w:ascii="Times New Roman" w:eastAsia="Times New Roman" w:hAnsi="Times New Roman" w:cs="Times New Roman"/>
          <w:sz w:val="24"/>
          <w:szCs w:val="24"/>
          <w:lang w:eastAsia="en-GB"/>
        </w:rPr>
        <w:t xml:space="preserve"> as</w:t>
      </w:r>
      <w:r w:rsidRPr="00A53480">
        <w:rPr>
          <w:rFonts w:ascii="Times New Roman" w:eastAsia="Times New Roman" w:hAnsi="Times New Roman" w:cs="Times New Roman"/>
          <w:sz w:val="24"/>
          <w:szCs w:val="24"/>
          <w:lang w:eastAsia="en-GB"/>
        </w:rPr>
        <w:t xml:space="preserve"> the interactive dialogue with the Special Rapporteur on the rights of </w:t>
      </w:r>
      <w:r w:rsidR="00AE4B2E">
        <w:rPr>
          <w:rFonts w:ascii="Times New Roman" w:eastAsia="Times New Roman" w:hAnsi="Times New Roman" w:cs="Times New Roman"/>
          <w:sz w:val="24"/>
          <w:szCs w:val="24"/>
          <w:lang w:eastAsia="en-GB"/>
        </w:rPr>
        <w:t>Indigenous Peoples</w:t>
      </w:r>
      <w:r w:rsidRPr="00A53480">
        <w:rPr>
          <w:rFonts w:ascii="Times New Roman" w:eastAsia="Times New Roman" w:hAnsi="Times New Roman" w:cs="Times New Roman"/>
          <w:sz w:val="24"/>
          <w:szCs w:val="24"/>
          <w:lang w:eastAsia="en-GB"/>
        </w:rPr>
        <w:t xml:space="preserve">; the interactive dialogue with the Expert Mechanism on the Rights of </w:t>
      </w:r>
      <w:r w:rsidR="00AE4B2E">
        <w:rPr>
          <w:rFonts w:ascii="Times New Roman" w:eastAsia="Times New Roman" w:hAnsi="Times New Roman" w:cs="Times New Roman"/>
          <w:sz w:val="24"/>
          <w:szCs w:val="24"/>
          <w:lang w:eastAsia="en-GB"/>
        </w:rPr>
        <w:t>Indigenous Peoples</w:t>
      </w:r>
      <w:r w:rsidRPr="00A53480">
        <w:rPr>
          <w:rFonts w:ascii="Times New Roman" w:eastAsia="Times New Roman" w:hAnsi="Times New Roman" w:cs="Times New Roman"/>
          <w:sz w:val="24"/>
          <w:szCs w:val="24"/>
          <w:lang w:eastAsia="en-GB"/>
        </w:rPr>
        <w:t xml:space="preserve">; and annual half-day discussions, panels and intersessional activities on the rights of </w:t>
      </w:r>
      <w:r w:rsidR="00AE4B2E">
        <w:rPr>
          <w:rFonts w:ascii="Times New Roman" w:eastAsia="Times New Roman" w:hAnsi="Times New Roman" w:cs="Times New Roman"/>
          <w:sz w:val="24"/>
          <w:szCs w:val="24"/>
          <w:lang w:eastAsia="en-GB"/>
        </w:rPr>
        <w:t>Indigenous Peoples</w:t>
      </w:r>
      <w:r w:rsidRPr="00A53480">
        <w:rPr>
          <w:rFonts w:ascii="Times New Roman" w:eastAsia="Times New Roman" w:hAnsi="Times New Roman" w:cs="Times New Roman"/>
          <w:sz w:val="24"/>
          <w:szCs w:val="24"/>
          <w:lang w:eastAsia="en-GB"/>
        </w:rPr>
        <w:t xml:space="preserve">, </w:t>
      </w:r>
      <w:r w:rsidR="00E02712" w:rsidRPr="00A53480">
        <w:rPr>
          <w:rFonts w:ascii="Times New Roman" w:hAnsi="Times New Roman" w:cs="Times New Roman"/>
          <w:sz w:val="24"/>
          <w:szCs w:val="24"/>
        </w:rPr>
        <w:t>which obviously require their inclusion</w:t>
      </w:r>
      <w:r w:rsidR="00E02712" w:rsidRPr="00A53480">
        <w:rPr>
          <w:rFonts w:ascii="Times New Roman" w:eastAsia="Times New Roman" w:hAnsi="Times New Roman" w:cs="Times New Roman"/>
          <w:sz w:val="24"/>
          <w:szCs w:val="24"/>
          <w:lang w:eastAsia="en-GB"/>
        </w:rPr>
        <w:t xml:space="preserve">, </w:t>
      </w:r>
      <w:r w:rsidRPr="00A53480">
        <w:rPr>
          <w:rFonts w:ascii="Times New Roman" w:eastAsia="Times New Roman" w:hAnsi="Times New Roman" w:cs="Times New Roman"/>
          <w:sz w:val="24"/>
          <w:szCs w:val="24"/>
          <w:lang w:eastAsia="en-GB"/>
        </w:rPr>
        <w:t xml:space="preserve">participation modalities could be assimilated to those contained in HRC resolution 6/36 concerning the Expert Mechanism on the rights of </w:t>
      </w:r>
      <w:r w:rsidR="00AE4B2E">
        <w:rPr>
          <w:rFonts w:ascii="Times New Roman" w:eastAsia="Times New Roman" w:hAnsi="Times New Roman" w:cs="Times New Roman"/>
          <w:sz w:val="24"/>
          <w:szCs w:val="24"/>
          <w:lang w:eastAsia="en-GB"/>
        </w:rPr>
        <w:t>Indigenous Peoples</w:t>
      </w:r>
      <w:r w:rsidRPr="00A53480">
        <w:rPr>
          <w:rFonts w:ascii="Times New Roman" w:eastAsia="Times New Roman" w:hAnsi="Times New Roman" w:cs="Times New Roman"/>
          <w:sz w:val="24"/>
          <w:szCs w:val="24"/>
          <w:lang w:eastAsia="en-GB"/>
        </w:rPr>
        <w:t>.</w:t>
      </w:r>
    </w:p>
    <w:p w14:paraId="0EF14063" w14:textId="449D164A" w:rsidR="00A53480" w:rsidRDefault="00A53480" w:rsidP="001072EA">
      <w:pPr>
        <w:spacing w:line="360" w:lineRule="auto"/>
        <w:rPr>
          <w:rFonts w:ascii="Times New Roman" w:eastAsia="Times New Roman" w:hAnsi="Times New Roman" w:cs="Times New Roman"/>
          <w:b/>
          <w:bCs/>
          <w:sz w:val="24"/>
          <w:szCs w:val="24"/>
        </w:rPr>
      </w:pPr>
    </w:p>
    <w:p w14:paraId="596CE55B" w14:textId="77777777" w:rsidR="00802E9B" w:rsidRDefault="00802E9B" w:rsidP="001072EA">
      <w:pPr>
        <w:spacing w:line="360" w:lineRule="auto"/>
        <w:rPr>
          <w:rFonts w:ascii="Times New Roman" w:eastAsia="Times New Roman" w:hAnsi="Times New Roman" w:cs="Times New Roman"/>
          <w:b/>
          <w:bCs/>
          <w:sz w:val="24"/>
          <w:szCs w:val="24"/>
        </w:rPr>
      </w:pPr>
    </w:p>
    <w:p w14:paraId="38C48E63" w14:textId="7988C4C2" w:rsidR="001072EA" w:rsidRPr="00802E9B" w:rsidRDefault="00E02712" w:rsidP="001072EA">
      <w:pPr>
        <w:spacing w:line="360" w:lineRule="auto"/>
        <w:rPr>
          <w:rFonts w:ascii="Times New Roman" w:eastAsia="Times New Roman" w:hAnsi="Times New Roman" w:cs="Times New Roman"/>
          <w:b/>
          <w:bCs/>
          <w:sz w:val="25"/>
          <w:szCs w:val="25"/>
        </w:rPr>
      </w:pPr>
      <w:r w:rsidRPr="00802E9B">
        <w:rPr>
          <w:rFonts w:ascii="Times New Roman" w:eastAsia="Times New Roman" w:hAnsi="Times New Roman" w:cs="Times New Roman"/>
          <w:b/>
          <w:bCs/>
          <w:sz w:val="25"/>
          <w:szCs w:val="25"/>
        </w:rPr>
        <w:lastRenderedPageBreak/>
        <w:t>P</w:t>
      </w:r>
      <w:r w:rsidR="00D22C3A" w:rsidRPr="00802E9B">
        <w:rPr>
          <w:rFonts w:ascii="Times New Roman" w:eastAsia="Times New Roman" w:hAnsi="Times New Roman" w:cs="Times New Roman"/>
          <w:b/>
          <w:bCs/>
          <w:sz w:val="25"/>
          <w:szCs w:val="25"/>
        </w:rPr>
        <w:t>articipation modalities</w:t>
      </w:r>
      <w:r w:rsidR="00A53480" w:rsidRPr="00802E9B">
        <w:rPr>
          <w:rFonts w:ascii="Times New Roman" w:eastAsia="Times New Roman" w:hAnsi="Times New Roman" w:cs="Times New Roman"/>
          <w:b/>
          <w:bCs/>
          <w:sz w:val="25"/>
          <w:szCs w:val="25"/>
        </w:rPr>
        <w:t>-EMRIP model</w:t>
      </w:r>
    </w:p>
    <w:p w14:paraId="4DBA5F31" w14:textId="0B06DB37" w:rsidR="001072EA" w:rsidRPr="00A53480" w:rsidRDefault="00E02712" w:rsidP="001072EA">
      <w:pPr>
        <w:pStyle w:val="ListParagraph"/>
        <w:numPr>
          <w:ilvl w:val="0"/>
          <w:numId w:val="2"/>
        </w:numPr>
        <w:spacing w:line="360" w:lineRule="auto"/>
        <w:ind w:left="-3"/>
        <w:jc w:val="both"/>
        <w:rPr>
          <w:rFonts w:ascii="Times New Roman" w:eastAsia="Times New Roman" w:hAnsi="Times New Roman" w:cs="Times New Roman"/>
          <w:b/>
          <w:bCs/>
          <w:sz w:val="24"/>
          <w:szCs w:val="24"/>
        </w:rPr>
      </w:pPr>
      <w:r w:rsidRPr="00A53480">
        <w:rPr>
          <w:rFonts w:ascii="Times New Roman" w:hAnsi="Times New Roman" w:cs="Times New Roman"/>
          <w:sz w:val="24"/>
          <w:szCs w:val="24"/>
        </w:rPr>
        <w:t xml:space="preserve">The Expert Mechanism as a subsidiary body of the Human Rights Council is open to the participation, as observers, of States, United Nations mechanisms, bodies and specialized agencies, funds and programmes, intergovernmental organizations, regional organizations and mechanisms in the field of human rights, national human rights institutions and other relevant national bodies, academics and experts on indigenous issues, non-governmental organizations in consultative status with the Economic and Social Council; the meeting is also open to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organizations and non-governmental organizations, whose aims and purposes are in conformity with the spirit, purposes and principles of the Charter of the United Nations, based on arrangements, including Economic and Social Council resolution 1996/31 of 25 July 1996, and practices observed by the Commission on Human Rights, through an open and transparent accreditation procedure in accordance with the rules of procedure of the Human Rights Council, which will provide for the timely information on participation and consultation with States concerned;</w:t>
      </w:r>
    </w:p>
    <w:p w14:paraId="64220639" w14:textId="51890147" w:rsidR="00802E9B" w:rsidRPr="00802E9B" w:rsidRDefault="00E0637A" w:rsidP="00802E9B">
      <w:pPr>
        <w:pStyle w:val="ListParagraph"/>
        <w:numPr>
          <w:ilvl w:val="0"/>
          <w:numId w:val="2"/>
        </w:numPr>
        <w:spacing w:line="360" w:lineRule="auto"/>
        <w:ind w:left="-3"/>
        <w:jc w:val="both"/>
        <w:rPr>
          <w:rFonts w:ascii="Times New Roman" w:eastAsia="Times New Roman" w:hAnsi="Times New Roman" w:cs="Times New Roman"/>
          <w:b/>
          <w:bCs/>
          <w:sz w:val="24"/>
          <w:szCs w:val="24"/>
        </w:rPr>
      </w:pPr>
      <w:r w:rsidRPr="00A53480">
        <w:rPr>
          <w:rFonts w:ascii="Times New Roman" w:hAnsi="Times New Roman" w:cs="Times New Roman"/>
          <w:sz w:val="24"/>
          <w:szCs w:val="24"/>
        </w:rPr>
        <w:t xml:space="preserve">Right to speak </w:t>
      </w:r>
      <w:r w:rsidR="00E27DBA" w:rsidRPr="00A53480">
        <w:rPr>
          <w:rFonts w:ascii="Times New Roman" w:hAnsi="Times New Roman" w:cs="Times New Roman"/>
          <w:sz w:val="24"/>
          <w:szCs w:val="24"/>
        </w:rPr>
        <w:t xml:space="preserve">in the context of the Expert Mechanism’s </w:t>
      </w:r>
      <w:r w:rsidR="00A53480">
        <w:rPr>
          <w:rFonts w:ascii="Times New Roman" w:hAnsi="Times New Roman" w:cs="Times New Roman"/>
          <w:sz w:val="24"/>
          <w:szCs w:val="24"/>
        </w:rPr>
        <w:t xml:space="preserve">annual </w:t>
      </w:r>
      <w:r w:rsidR="00E27DBA" w:rsidRPr="00A53480">
        <w:rPr>
          <w:rFonts w:ascii="Times New Roman" w:hAnsi="Times New Roman" w:cs="Times New Roman"/>
          <w:sz w:val="24"/>
          <w:szCs w:val="24"/>
        </w:rPr>
        <w:t xml:space="preserve">session </w:t>
      </w:r>
      <w:r w:rsidRPr="00A53480">
        <w:rPr>
          <w:rFonts w:ascii="Times New Roman" w:hAnsi="Times New Roman" w:cs="Times New Roman"/>
          <w:sz w:val="24"/>
          <w:szCs w:val="24"/>
        </w:rPr>
        <w:t>is based on first come first serve</w:t>
      </w:r>
      <w:r w:rsidR="00E02712" w:rsidRPr="00A53480">
        <w:rPr>
          <w:rFonts w:ascii="Times New Roman" w:hAnsi="Times New Roman" w:cs="Times New Roman"/>
          <w:sz w:val="24"/>
          <w:szCs w:val="24"/>
        </w:rPr>
        <w:t xml:space="preserve"> basis</w:t>
      </w:r>
      <w:r w:rsidR="00A53480">
        <w:rPr>
          <w:rFonts w:ascii="Times New Roman" w:hAnsi="Times New Roman" w:cs="Times New Roman"/>
          <w:sz w:val="24"/>
          <w:szCs w:val="24"/>
        </w:rPr>
        <w:t>,</w:t>
      </w:r>
      <w:r w:rsidRPr="00A53480">
        <w:rPr>
          <w:rFonts w:ascii="Times New Roman" w:hAnsi="Times New Roman" w:cs="Times New Roman"/>
          <w:sz w:val="24"/>
          <w:szCs w:val="24"/>
        </w:rPr>
        <w:t xml:space="preserve"> upon signing </w:t>
      </w:r>
      <w:r w:rsidR="00E02712" w:rsidRPr="00A53480">
        <w:rPr>
          <w:rFonts w:ascii="Times New Roman" w:hAnsi="Times New Roman" w:cs="Times New Roman"/>
          <w:sz w:val="24"/>
          <w:szCs w:val="24"/>
        </w:rPr>
        <w:t>up</w:t>
      </w:r>
      <w:r w:rsidRPr="00A53480">
        <w:rPr>
          <w:rFonts w:ascii="Times New Roman" w:hAnsi="Times New Roman" w:cs="Times New Roman"/>
          <w:sz w:val="24"/>
          <w:szCs w:val="24"/>
        </w:rPr>
        <w:t xml:space="preserve"> in the list of speakers. All participants can take the floor</w:t>
      </w:r>
      <w:r w:rsidR="00E02712" w:rsidRPr="00A53480">
        <w:rPr>
          <w:rFonts w:ascii="Times New Roman" w:hAnsi="Times New Roman" w:cs="Times New Roman"/>
          <w:sz w:val="24"/>
          <w:szCs w:val="24"/>
        </w:rPr>
        <w:t xml:space="preserve"> a</w:t>
      </w:r>
      <w:r w:rsidRPr="00A53480">
        <w:rPr>
          <w:rFonts w:ascii="Times New Roman" w:hAnsi="Times New Roman" w:cs="Times New Roman"/>
          <w:sz w:val="24"/>
          <w:szCs w:val="24"/>
        </w:rPr>
        <w:t>nd for an equal amount of time</w:t>
      </w:r>
      <w:r w:rsidR="00E02712" w:rsidRPr="00A53480">
        <w:rPr>
          <w:rFonts w:ascii="Times New Roman" w:hAnsi="Times New Roman" w:cs="Times New Roman"/>
          <w:sz w:val="24"/>
          <w:szCs w:val="24"/>
        </w:rPr>
        <w:t xml:space="preserve">, two to three minutes depending on </w:t>
      </w:r>
      <w:r w:rsidR="009B47B8" w:rsidRPr="00A53480">
        <w:rPr>
          <w:rFonts w:ascii="Times New Roman" w:hAnsi="Times New Roman" w:cs="Times New Roman"/>
          <w:sz w:val="24"/>
          <w:szCs w:val="24"/>
        </w:rPr>
        <w:t>how long the list of speakers is and at the discretion of the Chair</w:t>
      </w:r>
      <w:r w:rsidR="00E02712" w:rsidRPr="00A53480">
        <w:rPr>
          <w:rFonts w:ascii="Times New Roman" w:hAnsi="Times New Roman" w:cs="Times New Roman"/>
          <w:sz w:val="24"/>
          <w:szCs w:val="24"/>
        </w:rPr>
        <w:t>. S</w:t>
      </w:r>
      <w:r w:rsidRPr="00A53480">
        <w:rPr>
          <w:rFonts w:ascii="Times New Roman" w:hAnsi="Times New Roman" w:cs="Times New Roman"/>
          <w:color w:val="4A4A4A"/>
          <w:spacing w:val="4"/>
          <w:sz w:val="24"/>
          <w:szCs w:val="24"/>
        </w:rPr>
        <w:t>eating arrangements are also free.</w:t>
      </w:r>
    </w:p>
    <w:p w14:paraId="1002F011" w14:textId="77777777" w:rsidR="00802E9B" w:rsidRPr="00802E9B" w:rsidRDefault="00802E9B" w:rsidP="00802E9B">
      <w:pPr>
        <w:pStyle w:val="ListParagraph"/>
        <w:spacing w:line="360" w:lineRule="auto"/>
        <w:ind w:left="-3"/>
        <w:jc w:val="both"/>
        <w:rPr>
          <w:rFonts w:ascii="Times New Roman" w:eastAsia="Times New Roman" w:hAnsi="Times New Roman" w:cs="Times New Roman"/>
          <w:b/>
          <w:bCs/>
          <w:sz w:val="24"/>
          <w:szCs w:val="24"/>
        </w:rPr>
      </w:pPr>
    </w:p>
    <w:p w14:paraId="767942C5" w14:textId="7EF7380A" w:rsidR="003F0D4A" w:rsidRPr="00802E9B" w:rsidRDefault="001072EA" w:rsidP="009B47B8">
      <w:pPr>
        <w:spacing w:line="360" w:lineRule="auto"/>
        <w:jc w:val="both"/>
        <w:rPr>
          <w:rFonts w:ascii="Times New Roman" w:eastAsia="Times New Roman" w:hAnsi="Times New Roman" w:cs="Times New Roman"/>
          <w:sz w:val="25"/>
          <w:szCs w:val="25"/>
        </w:rPr>
      </w:pPr>
      <w:r w:rsidRPr="00802E9B">
        <w:rPr>
          <w:rFonts w:ascii="Times New Roman" w:eastAsia="Times New Roman" w:hAnsi="Times New Roman" w:cs="Times New Roman"/>
          <w:b/>
          <w:bCs/>
          <w:sz w:val="25"/>
          <w:szCs w:val="25"/>
        </w:rPr>
        <w:t>S</w:t>
      </w:r>
      <w:r w:rsidR="00D22C3A" w:rsidRPr="00802E9B">
        <w:rPr>
          <w:rFonts w:ascii="Times New Roman" w:eastAsia="Times New Roman" w:hAnsi="Times New Roman" w:cs="Times New Roman"/>
          <w:b/>
          <w:bCs/>
          <w:sz w:val="25"/>
          <w:szCs w:val="25"/>
        </w:rPr>
        <w:t>election criteria and selection modalities</w:t>
      </w:r>
    </w:p>
    <w:p w14:paraId="37BB5473" w14:textId="16D889EA" w:rsidR="001072EA" w:rsidRDefault="001072EA" w:rsidP="001072EA">
      <w:pPr>
        <w:pStyle w:val="ListParagraph"/>
        <w:numPr>
          <w:ilvl w:val="0"/>
          <w:numId w:val="2"/>
        </w:numPr>
        <w:spacing w:line="360" w:lineRule="auto"/>
        <w:ind w:left="-3"/>
        <w:jc w:val="both"/>
        <w:rPr>
          <w:rFonts w:ascii="Times New Roman" w:eastAsia="Times New Roman" w:hAnsi="Times New Roman" w:cs="Times New Roman"/>
          <w:sz w:val="24"/>
          <w:szCs w:val="24"/>
        </w:rPr>
      </w:pPr>
      <w:r w:rsidRPr="00A53480">
        <w:rPr>
          <w:rFonts w:ascii="Times New Roman" w:eastAsia="Times New Roman" w:hAnsi="Times New Roman" w:cs="Times New Roman"/>
          <w:sz w:val="24"/>
          <w:szCs w:val="24"/>
        </w:rPr>
        <w:t>The Expert Mechanism has looked at several other models that could be examined:</w:t>
      </w:r>
    </w:p>
    <w:p w14:paraId="0C2F9B2C" w14:textId="77777777" w:rsidR="00A53480" w:rsidRPr="00A53480" w:rsidRDefault="00A53480" w:rsidP="00A53480">
      <w:pPr>
        <w:pStyle w:val="ListParagraph"/>
        <w:spacing w:line="360" w:lineRule="auto"/>
        <w:ind w:left="-3"/>
        <w:jc w:val="both"/>
        <w:rPr>
          <w:rFonts w:ascii="Times New Roman" w:eastAsia="Times New Roman" w:hAnsi="Times New Roman" w:cs="Times New Roman"/>
          <w:sz w:val="24"/>
          <w:szCs w:val="24"/>
        </w:rPr>
      </w:pPr>
    </w:p>
    <w:p w14:paraId="7938EB24" w14:textId="5A1DF4D7" w:rsidR="001B3F20" w:rsidRDefault="001072EA" w:rsidP="00A53480">
      <w:pPr>
        <w:pStyle w:val="ListParagraph"/>
        <w:numPr>
          <w:ilvl w:val="0"/>
          <w:numId w:val="6"/>
        </w:numPr>
        <w:spacing w:line="360" w:lineRule="auto"/>
        <w:ind w:left="-3"/>
        <w:jc w:val="both"/>
        <w:rPr>
          <w:rFonts w:ascii="Times New Roman" w:eastAsia="Times New Roman" w:hAnsi="Times New Roman" w:cs="Times New Roman"/>
          <w:color w:val="000000"/>
          <w:sz w:val="24"/>
          <w:szCs w:val="24"/>
          <w:lang w:val="en-CA"/>
        </w:rPr>
      </w:pPr>
      <w:r w:rsidRPr="00A53480">
        <w:rPr>
          <w:rFonts w:ascii="Times New Roman" w:eastAsia="Times New Roman" w:hAnsi="Times New Roman" w:cs="Times New Roman"/>
          <w:sz w:val="24"/>
          <w:szCs w:val="24"/>
        </w:rPr>
        <w:t xml:space="preserve">The </w:t>
      </w:r>
      <w:r w:rsidR="001B3F20" w:rsidRPr="00A53480">
        <w:rPr>
          <w:rFonts w:ascii="Times New Roman" w:eastAsia="Times New Roman" w:hAnsi="Times New Roman" w:cs="Times New Roman"/>
          <w:color w:val="000000"/>
          <w:sz w:val="24"/>
          <w:szCs w:val="24"/>
          <w:lang w:val="en-CA"/>
        </w:rPr>
        <w:t>observer status of Non-Governmental Organizations (NGOs) and their manual for participation in the Human Rights Council as a possible model for consideration.</w:t>
      </w:r>
      <w:r w:rsidR="001B3F20" w:rsidRPr="00A53480">
        <w:rPr>
          <w:rStyle w:val="FootnoteReference"/>
          <w:rFonts w:ascii="Times New Roman" w:eastAsia="Times New Roman" w:hAnsi="Times New Roman" w:cs="Times New Roman"/>
          <w:color w:val="000000"/>
          <w:sz w:val="24"/>
          <w:szCs w:val="24"/>
          <w:lang w:val="en-CA"/>
        </w:rPr>
        <w:footnoteReference w:id="10"/>
      </w:r>
      <w:r w:rsidR="001B3F20" w:rsidRPr="00A53480">
        <w:rPr>
          <w:rFonts w:ascii="Times New Roman" w:eastAsia="Times New Roman" w:hAnsi="Times New Roman" w:cs="Times New Roman"/>
          <w:color w:val="000000"/>
          <w:sz w:val="24"/>
          <w:szCs w:val="24"/>
          <w:lang w:val="en-CA"/>
        </w:rPr>
        <w:t xml:space="preserve"> NGOs are accredited through the Economic and Social Council (ECOSOC). ECOSOC accredited NGOs can: a) attend and observe all proceedings of the Council </w:t>
      </w:r>
      <w:proofErr w:type="gramStart"/>
      <w:r w:rsidR="001B3F20" w:rsidRPr="00A53480">
        <w:rPr>
          <w:rFonts w:ascii="Times New Roman" w:eastAsia="Times New Roman" w:hAnsi="Times New Roman" w:cs="Times New Roman"/>
          <w:color w:val="000000"/>
          <w:sz w:val="24"/>
          <w:szCs w:val="24"/>
          <w:lang w:val="en-CA"/>
        </w:rPr>
        <w:t>with the exception of</w:t>
      </w:r>
      <w:proofErr w:type="gramEnd"/>
      <w:r w:rsidR="001B3F20" w:rsidRPr="00A53480">
        <w:rPr>
          <w:rFonts w:ascii="Times New Roman" w:eastAsia="Times New Roman" w:hAnsi="Times New Roman" w:cs="Times New Roman"/>
          <w:color w:val="000000"/>
          <w:sz w:val="24"/>
          <w:szCs w:val="24"/>
          <w:lang w:val="en-CA"/>
        </w:rPr>
        <w:t xml:space="preserve"> the Council deliberations under the Complaints Procedure; b) submit written statements to the Human Rights Council; c) make oral interventions to the Human Rights Council; d) participate in debates, interactive dialogues, panel discussions and informal meetings; and e) organize “parallel events” on issues relevant to the work of the Human Rights Council.</w:t>
      </w:r>
      <w:r w:rsidRPr="00A53480">
        <w:rPr>
          <w:rFonts w:ascii="Times New Roman" w:eastAsia="Times New Roman" w:hAnsi="Times New Roman" w:cs="Times New Roman"/>
          <w:sz w:val="24"/>
          <w:szCs w:val="24"/>
        </w:rPr>
        <w:t xml:space="preserve"> </w:t>
      </w:r>
      <w:r w:rsidR="001B3F20" w:rsidRPr="00A53480">
        <w:rPr>
          <w:rFonts w:ascii="Times New Roman" w:eastAsia="Times New Roman" w:hAnsi="Times New Roman" w:cs="Times New Roman"/>
          <w:color w:val="000000"/>
          <w:sz w:val="24"/>
          <w:szCs w:val="24"/>
          <w:lang w:val="en-CA"/>
        </w:rPr>
        <w:t>In most cases, ECOSOC decides to approve the recommendations. In very rare cases, it does not.</w:t>
      </w:r>
    </w:p>
    <w:p w14:paraId="4A46BD4A" w14:textId="77777777" w:rsidR="00A53480" w:rsidRPr="00A53480" w:rsidRDefault="00A53480" w:rsidP="00A53480">
      <w:pPr>
        <w:pStyle w:val="ListParagraph"/>
        <w:spacing w:line="360" w:lineRule="auto"/>
        <w:jc w:val="both"/>
        <w:rPr>
          <w:rFonts w:ascii="Times New Roman" w:eastAsia="Times New Roman" w:hAnsi="Times New Roman" w:cs="Times New Roman"/>
          <w:color w:val="000000"/>
          <w:sz w:val="24"/>
          <w:szCs w:val="24"/>
          <w:lang w:val="en-CA"/>
        </w:rPr>
      </w:pPr>
    </w:p>
    <w:p w14:paraId="75B3F983" w14:textId="2BC74C36" w:rsidR="00DE3EAF" w:rsidRPr="00A53480" w:rsidRDefault="00B73383" w:rsidP="00A53480">
      <w:pPr>
        <w:pStyle w:val="ListParagraph"/>
        <w:numPr>
          <w:ilvl w:val="0"/>
          <w:numId w:val="6"/>
        </w:numPr>
        <w:spacing w:line="360" w:lineRule="auto"/>
        <w:ind w:left="-3"/>
        <w:jc w:val="both"/>
        <w:rPr>
          <w:rFonts w:ascii="Times New Roman" w:eastAsia="Times New Roman" w:hAnsi="Times New Roman" w:cs="Times New Roman"/>
          <w:sz w:val="24"/>
          <w:szCs w:val="24"/>
        </w:rPr>
      </w:pPr>
      <w:r w:rsidRPr="00A53480">
        <w:rPr>
          <w:rFonts w:ascii="Times New Roman" w:hAnsi="Times New Roman" w:cs="Times New Roman"/>
          <w:bCs/>
          <w:sz w:val="24"/>
          <w:szCs w:val="24"/>
          <w:lang w:eastAsia="en-GB"/>
        </w:rPr>
        <w:t xml:space="preserve">The </w:t>
      </w:r>
      <w:r w:rsidR="006F059E" w:rsidRPr="00A53480">
        <w:rPr>
          <w:rFonts w:ascii="Times New Roman" w:hAnsi="Times New Roman" w:cs="Times New Roman"/>
          <w:bCs/>
          <w:sz w:val="24"/>
          <w:szCs w:val="24"/>
          <w:lang w:eastAsia="en-GB"/>
        </w:rPr>
        <w:t xml:space="preserve">observer status </w:t>
      </w:r>
      <w:r w:rsidRPr="00A53480">
        <w:rPr>
          <w:rFonts w:ascii="Times New Roman" w:hAnsi="Times New Roman" w:cs="Times New Roman"/>
          <w:bCs/>
          <w:sz w:val="24"/>
          <w:szCs w:val="24"/>
          <w:lang w:eastAsia="en-GB"/>
        </w:rPr>
        <w:t>of national human rights institutions (NHRIs) as a useful model for consideration of participation venue, modalities, selection criteria and selection modalities</w:t>
      </w:r>
      <w:r w:rsidR="007A37FD" w:rsidRPr="00A53480">
        <w:rPr>
          <w:rFonts w:ascii="Times New Roman" w:hAnsi="Times New Roman" w:cs="Times New Roman"/>
          <w:bCs/>
          <w:sz w:val="24"/>
          <w:szCs w:val="24"/>
          <w:lang w:eastAsia="en-GB"/>
        </w:rPr>
        <w:t xml:space="preserve"> for </w:t>
      </w:r>
      <w:r w:rsidR="00AE4B2E">
        <w:rPr>
          <w:rFonts w:ascii="Times New Roman" w:hAnsi="Times New Roman" w:cs="Times New Roman"/>
          <w:bCs/>
          <w:sz w:val="24"/>
          <w:szCs w:val="24"/>
          <w:lang w:eastAsia="en-GB"/>
        </w:rPr>
        <w:t>Indigenous Peoples</w:t>
      </w:r>
      <w:r w:rsidR="007A37FD" w:rsidRPr="00A53480">
        <w:rPr>
          <w:rFonts w:ascii="Times New Roman" w:hAnsi="Times New Roman" w:cs="Times New Roman"/>
          <w:bCs/>
          <w:sz w:val="24"/>
          <w:szCs w:val="24"/>
          <w:lang w:eastAsia="en-GB"/>
        </w:rPr>
        <w:t>’ enhanced participation in the Human Rights Council.</w:t>
      </w:r>
      <w:r w:rsidR="007A37FD" w:rsidRPr="00A53480">
        <w:rPr>
          <w:rStyle w:val="FootnoteReference"/>
          <w:rFonts w:ascii="Times New Roman" w:hAnsi="Times New Roman" w:cs="Times New Roman"/>
          <w:bCs/>
          <w:sz w:val="24"/>
          <w:szCs w:val="24"/>
          <w:lang w:eastAsia="en-GB"/>
        </w:rPr>
        <w:footnoteReference w:id="11"/>
      </w:r>
      <w:r w:rsidR="007A37FD" w:rsidRPr="00A53480">
        <w:rPr>
          <w:rFonts w:ascii="Times New Roman" w:hAnsi="Times New Roman" w:cs="Times New Roman"/>
          <w:bCs/>
          <w:sz w:val="24"/>
          <w:szCs w:val="24"/>
          <w:lang w:eastAsia="en-GB"/>
        </w:rPr>
        <w:t xml:space="preserve"> While NHRIs have been recognized as international actors since the inception of the UN, their participation avenues were formalized through the “Paris Principles” developed during the UN International Workshop on National Institutions for the Promotion and Protection of Human Rights, which was held in Paris in 1991.</w:t>
      </w:r>
      <w:r w:rsidR="00A53480">
        <w:rPr>
          <w:rStyle w:val="FootnoteReference"/>
          <w:rFonts w:ascii="Times New Roman" w:hAnsi="Times New Roman" w:cs="Times New Roman"/>
          <w:bCs/>
          <w:sz w:val="24"/>
          <w:szCs w:val="24"/>
          <w:lang w:eastAsia="en-GB"/>
        </w:rPr>
        <w:footnoteReference w:id="12"/>
      </w:r>
      <w:r w:rsidR="007A37FD" w:rsidRPr="00A53480">
        <w:rPr>
          <w:rFonts w:ascii="Times New Roman" w:hAnsi="Times New Roman" w:cs="Times New Roman"/>
          <w:bCs/>
          <w:sz w:val="24"/>
          <w:szCs w:val="24"/>
          <w:lang w:eastAsia="en-GB"/>
        </w:rPr>
        <w:t xml:space="preserve"> </w:t>
      </w:r>
      <w:r w:rsidR="00387A7D" w:rsidRPr="00A53480">
        <w:rPr>
          <w:rFonts w:ascii="Times New Roman" w:hAnsi="Times New Roman" w:cs="Times New Roman"/>
          <w:bCs/>
          <w:sz w:val="24"/>
          <w:szCs w:val="24"/>
          <w:lang w:eastAsia="en-GB"/>
        </w:rPr>
        <w:t xml:space="preserve">NHRIs are accredited by </w:t>
      </w:r>
      <w:r w:rsidR="00E27DBA" w:rsidRPr="00A53480">
        <w:rPr>
          <w:rFonts w:ascii="Times New Roman" w:hAnsi="Times New Roman" w:cs="Times New Roman"/>
          <w:bCs/>
          <w:sz w:val="24"/>
          <w:szCs w:val="24"/>
          <w:lang w:eastAsia="en-GB"/>
        </w:rPr>
        <w:t>the</w:t>
      </w:r>
      <w:r w:rsidR="00AE4E15" w:rsidRPr="00A53480">
        <w:rPr>
          <w:rFonts w:ascii="Times New Roman" w:hAnsi="Times New Roman" w:cs="Times New Roman"/>
          <w:bCs/>
          <w:sz w:val="24"/>
          <w:szCs w:val="24"/>
          <w:lang w:eastAsia="en-GB"/>
        </w:rPr>
        <w:t xml:space="preserve"> </w:t>
      </w:r>
      <w:r w:rsidR="00E27DBA" w:rsidRPr="00A53480">
        <w:rPr>
          <w:rFonts w:ascii="Times New Roman" w:hAnsi="Times New Roman" w:cs="Times New Roman"/>
          <w:bCs/>
          <w:sz w:val="24"/>
          <w:szCs w:val="24"/>
          <w:lang w:eastAsia="en-GB"/>
        </w:rPr>
        <w:t>Global Alliance of National Human Rights Institutions</w:t>
      </w:r>
      <w:r w:rsidR="00D02312" w:rsidRPr="00A53480">
        <w:rPr>
          <w:rFonts w:ascii="Times New Roman" w:hAnsi="Times New Roman" w:cs="Times New Roman"/>
          <w:bCs/>
          <w:sz w:val="24"/>
          <w:szCs w:val="24"/>
          <w:lang w:eastAsia="en-GB"/>
        </w:rPr>
        <w:t xml:space="preserve"> (</w:t>
      </w:r>
      <w:r w:rsidR="00387A7D" w:rsidRPr="00A53480">
        <w:rPr>
          <w:rFonts w:ascii="Times New Roman" w:hAnsi="Times New Roman" w:cs="Times New Roman"/>
          <w:bCs/>
          <w:sz w:val="24"/>
          <w:szCs w:val="24"/>
          <w:lang w:eastAsia="en-GB"/>
        </w:rPr>
        <w:t>GANHRI</w:t>
      </w:r>
      <w:r w:rsidR="00D02312" w:rsidRPr="00A53480">
        <w:rPr>
          <w:rFonts w:ascii="Times New Roman" w:hAnsi="Times New Roman" w:cs="Times New Roman"/>
          <w:bCs/>
          <w:sz w:val="24"/>
          <w:szCs w:val="24"/>
          <w:lang w:eastAsia="en-GB"/>
        </w:rPr>
        <w:t>)</w:t>
      </w:r>
      <w:r w:rsidR="00387A7D" w:rsidRPr="00A53480">
        <w:rPr>
          <w:rFonts w:ascii="Times New Roman" w:hAnsi="Times New Roman" w:cs="Times New Roman"/>
          <w:bCs/>
          <w:sz w:val="24"/>
          <w:szCs w:val="24"/>
          <w:lang w:eastAsia="en-GB"/>
        </w:rPr>
        <w:t xml:space="preserve"> with either “A status” (full compliance) or “B status” (partial compliance), based on the extent of their compliance with the Paris Principles.</w:t>
      </w:r>
      <w:r w:rsidR="00387A7D" w:rsidRPr="00A53480">
        <w:rPr>
          <w:rStyle w:val="FootnoteReference"/>
          <w:rFonts w:ascii="Times New Roman" w:hAnsi="Times New Roman" w:cs="Times New Roman"/>
          <w:bCs/>
          <w:sz w:val="24"/>
          <w:szCs w:val="24"/>
          <w:lang w:eastAsia="en-GB"/>
        </w:rPr>
        <w:footnoteReference w:id="13"/>
      </w:r>
      <w:r w:rsidR="00387A7D" w:rsidRPr="00A53480">
        <w:rPr>
          <w:rFonts w:ascii="Times New Roman" w:hAnsi="Times New Roman" w:cs="Times New Roman"/>
          <w:bCs/>
          <w:sz w:val="24"/>
          <w:szCs w:val="24"/>
          <w:lang w:eastAsia="en-GB"/>
        </w:rPr>
        <w:t xml:space="preserve"> GANHRI’s Sub-Committee on Accreditation (SCA) reviews and accredits NHRIs’ compliance with the Paris Principles.</w:t>
      </w:r>
      <w:r w:rsidR="00387A7D" w:rsidRPr="00A53480">
        <w:rPr>
          <w:rStyle w:val="FootnoteReference"/>
          <w:rFonts w:ascii="Times New Roman" w:hAnsi="Times New Roman" w:cs="Times New Roman"/>
          <w:bCs/>
          <w:sz w:val="24"/>
          <w:szCs w:val="24"/>
          <w:lang w:eastAsia="en-GB"/>
        </w:rPr>
        <w:footnoteReference w:id="14"/>
      </w:r>
      <w:r w:rsidR="00387A7D" w:rsidRPr="00A53480">
        <w:rPr>
          <w:rFonts w:ascii="Times New Roman" w:hAnsi="Times New Roman" w:cs="Times New Roman"/>
          <w:bCs/>
          <w:sz w:val="24"/>
          <w:szCs w:val="24"/>
          <w:lang w:eastAsia="en-GB"/>
        </w:rPr>
        <w:t xml:space="preserve"> The SCA includes one NHRI representative from each of the four regional groups. Members are voted in by their respective regional network and serve for a three-year term, which is renewable. Regional networks also appoint an alternate for times when a member is unavailable or has a conflict of interest. </w:t>
      </w:r>
    </w:p>
    <w:p w14:paraId="73CB523F" w14:textId="150BDF6D" w:rsidR="00DE3EAF" w:rsidRPr="00A53480" w:rsidRDefault="00DE3EAF" w:rsidP="00E27DBA">
      <w:pPr>
        <w:spacing w:line="360" w:lineRule="auto"/>
        <w:jc w:val="both"/>
        <w:rPr>
          <w:rFonts w:ascii="Times New Roman" w:eastAsia="Times New Roman" w:hAnsi="Times New Roman" w:cs="Times New Roman"/>
          <w:color w:val="000000"/>
          <w:sz w:val="24"/>
          <w:szCs w:val="24"/>
          <w:lang w:val="en-CA"/>
        </w:rPr>
      </w:pPr>
      <w:r w:rsidRPr="00A53480">
        <w:rPr>
          <w:rFonts w:ascii="Times New Roman" w:hAnsi="Times New Roman" w:cs="Times New Roman"/>
          <w:bCs/>
          <w:sz w:val="24"/>
          <w:szCs w:val="24"/>
          <w:lang w:eastAsia="en-GB"/>
        </w:rPr>
        <w:t xml:space="preserve">At the Human Rights Council, NHRIs with “A status” can: 1) </w:t>
      </w:r>
      <w:r w:rsidRPr="00A53480">
        <w:rPr>
          <w:rFonts w:ascii="Times New Roman" w:eastAsia="Times New Roman" w:hAnsi="Times New Roman" w:cs="Times New Roman"/>
          <w:color w:val="000000"/>
          <w:sz w:val="24"/>
          <w:szCs w:val="24"/>
          <w:lang w:val="en-CA"/>
        </w:rPr>
        <w:t xml:space="preserve">participate in person or through pre-recorded video messages in the HRC plenary debates, including during the adoption of the outcome of the UPR of the country by the Council, the interactive dialogue following the presentation of a country mission report by a special procedures mandate holder and panels or annual discussions; and 2) submit documents, which will be issued with UN document symbol. Further, according to paragraph 28 of Human Rights Council resolution 16/21 on the Review of the work and functioning of the Human Rights Council, the “A” status NHRI of the country concerned shall be entitled to intervene immediately after the country concerned during the interactive dialogue, following the presentation of a country mission report by a special procedure mandate holder </w:t>
      </w:r>
      <w:proofErr w:type="gramStart"/>
      <w:r w:rsidRPr="00A53480">
        <w:rPr>
          <w:rFonts w:ascii="Times New Roman" w:eastAsia="Times New Roman" w:hAnsi="Times New Roman" w:cs="Times New Roman"/>
          <w:color w:val="000000"/>
          <w:sz w:val="24"/>
          <w:szCs w:val="24"/>
          <w:lang w:val="en-CA"/>
        </w:rPr>
        <w:t>and also</w:t>
      </w:r>
      <w:proofErr w:type="gramEnd"/>
      <w:r w:rsidRPr="00A53480">
        <w:rPr>
          <w:rFonts w:ascii="Times New Roman" w:eastAsia="Times New Roman" w:hAnsi="Times New Roman" w:cs="Times New Roman"/>
          <w:color w:val="000000"/>
          <w:sz w:val="24"/>
          <w:szCs w:val="24"/>
          <w:lang w:val="en-CA"/>
        </w:rPr>
        <w:t xml:space="preserve"> immediately after the State under review at the adoption of the UPR report in plenary. Resolution 16/21 also grants “A” status NHRIs the right to nominate candidates as special procedures mandate holders (paragraph 22(a)).</w:t>
      </w:r>
      <w:r w:rsidR="001E6828" w:rsidRPr="00A53480">
        <w:rPr>
          <w:rStyle w:val="FootnoteReference"/>
          <w:rFonts w:ascii="Times New Roman" w:eastAsia="Times New Roman" w:hAnsi="Times New Roman" w:cs="Times New Roman"/>
          <w:color w:val="000000"/>
          <w:sz w:val="24"/>
          <w:szCs w:val="24"/>
          <w:lang w:val="en-CA"/>
        </w:rPr>
        <w:footnoteReference w:id="15"/>
      </w:r>
    </w:p>
    <w:p w14:paraId="5F466DF2" w14:textId="31D80D9F" w:rsidR="00803916" w:rsidRPr="00A53480" w:rsidRDefault="001E6828" w:rsidP="00E27DBA">
      <w:pPr>
        <w:spacing w:line="360" w:lineRule="auto"/>
        <w:jc w:val="both"/>
        <w:rPr>
          <w:rFonts w:ascii="Times New Roman" w:eastAsia="Times New Roman" w:hAnsi="Times New Roman" w:cs="Times New Roman"/>
          <w:color w:val="000000"/>
          <w:sz w:val="24"/>
          <w:szCs w:val="24"/>
          <w:lang w:val="en-CA"/>
        </w:rPr>
      </w:pPr>
      <w:r w:rsidRPr="00A53480">
        <w:rPr>
          <w:rFonts w:ascii="Times New Roman" w:eastAsia="Times New Roman" w:hAnsi="Times New Roman" w:cs="Times New Roman"/>
          <w:color w:val="000000"/>
          <w:sz w:val="24"/>
          <w:szCs w:val="24"/>
          <w:lang w:val="en-CA"/>
        </w:rPr>
        <w:lastRenderedPageBreak/>
        <w:t xml:space="preserve">In accordance with Human Rights Council resolution 5/1, “A” status NHRIs are entitled to submit documentation at Council sessions. NHRIs may submit reports, policy papers, etc. </w:t>
      </w:r>
      <w:r w:rsidR="00803916" w:rsidRPr="00A53480">
        <w:rPr>
          <w:rFonts w:ascii="Times New Roman" w:eastAsia="Times New Roman" w:hAnsi="Times New Roman" w:cs="Times New Roman"/>
          <w:color w:val="000000"/>
          <w:sz w:val="24"/>
          <w:szCs w:val="24"/>
          <w:lang w:val="en-CA"/>
        </w:rPr>
        <w:t xml:space="preserve">“A” status NHRIs may also submit written statements to the Human Rights Council. </w:t>
      </w:r>
      <w:r w:rsidR="00802E9B">
        <w:rPr>
          <w:rFonts w:ascii="Times New Roman" w:eastAsia="Times New Roman" w:hAnsi="Times New Roman" w:cs="Times New Roman"/>
          <w:color w:val="000000"/>
          <w:sz w:val="24"/>
          <w:szCs w:val="24"/>
          <w:lang w:val="en-CA"/>
        </w:rPr>
        <w:t xml:space="preserve"> </w:t>
      </w:r>
      <w:r w:rsidR="00803916" w:rsidRPr="00A53480">
        <w:rPr>
          <w:rFonts w:ascii="Times New Roman" w:eastAsia="Times New Roman" w:hAnsi="Times New Roman" w:cs="Times New Roman"/>
          <w:color w:val="000000"/>
          <w:sz w:val="24"/>
          <w:szCs w:val="24"/>
          <w:lang w:val="en-CA"/>
        </w:rPr>
        <w:t xml:space="preserve">"A" status NHRIs, the GANHRI and regional coordinating bodies of NHRIs speaking on behalf of “A” status accredited members, may present oral interventions to the Human Rights Council. Regional coordinating committees may present an oral statement, </w:t>
      </w:r>
      <w:proofErr w:type="gramStart"/>
      <w:r w:rsidR="00803916" w:rsidRPr="00A53480">
        <w:rPr>
          <w:rFonts w:ascii="Times New Roman" w:eastAsia="Times New Roman" w:hAnsi="Times New Roman" w:cs="Times New Roman"/>
          <w:color w:val="000000"/>
          <w:sz w:val="24"/>
          <w:szCs w:val="24"/>
          <w:lang w:val="en-CA"/>
        </w:rPr>
        <w:t>provided that</w:t>
      </w:r>
      <w:proofErr w:type="gramEnd"/>
      <w:r w:rsidR="00803916" w:rsidRPr="00A53480">
        <w:rPr>
          <w:rFonts w:ascii="Times New Roman" w:eastAsia="Times New Roman" w:hAnsi="Times New Roman" w:cs="Times New Roman"/>
          <w:color w:val="000000"/>
          <w:sz w:val="24"/>
          <w:szCs w:val="24"/>
          <w:lang w:val="en-CA"/>
        </w:rPr>
        <w:t xml:space="preserve"> they only speak on behalf of their member NHRIs that are in full conformity with the Paris Principles, evidenced by an “A” status accreditation with the GANHRI. At the beginning of the statement, the regional coordinating committee must state the names of the NHRIs on whose behalf they speak.</w:t>
      </w:r>
    </w:p>
    <w:p w14:paraId="6A4B6EF1" w14:textId="3E45D9B0" w:rsidR="00E27DBA" w:rsidRPr="00802E9B" w:rsidRDefault="006F059E" w:rsidP="00802E9B">
      <w:pPr>
        <w:pStyle w:val="ListParagraph"/>
        <w:numPr>
          <w:ilvl w:val="0"/>
          <w:numId w:val="2"/>
        </w:numPr>
        <w:spacing w:line="360" w:lineRule="auto"/>
        <w:ind w:left="-3"/>
        <w:jc w:val="both"/>
        <w:rPr>
          <w:rFonts w:ascii="Times New Roman" w:eastAsia="Times New Roman" w:hAnsi="Times New Roman" w:cs="Times New Roman"/>
          <w:color w:val="000000"/>
          <w:sz w:val="24"/>
          <w:szCs w:val="24"/>
          <w:lang w:val="en-CA"/>
        </w:rPr>
      </w:pPr>
      <w:r w:rsidRPr="00802E9B">
        <w:rPr>
          <w:rFonts w:ascii="Times New Roman" w:eastAsia="Times New Roman" w:hAnsi="Times New Roman" w:cs="Times New Roman"/>
          <w:color w:val="000000"/>
          <w:sz w:val="24"/>
          <w:szCs w:val="24"/>
          <w:lang w:val="en-CA"/>
        </w:rPr>
        <w:t xml:space="preserve">The Expert Mechanism notes that a key difference between NGO accreditation through ECOSOC and NHRI accreditation through </w:t>
      </w:r>
      <w:r w:rsidRPr="00802E9B">
        <w:rPr>
          <w:rFonts w:ascii="Times New Roman" w:hAnsi="Times New Roman" w:cs="Times New Roman"/>
          <w:bCs/>
          <w:sz w:val="24"/>
          <w:szCs w:val="24"/>
          <w:lang w:eastAsia="en-GB"/>
        </w:rPr>
        <w:t xml:space="preserve">GANHRI is that NGO accreditation must be approved by Member States while NHRIs are approved through their own committee, made up only of other NHRIs. </w:t>
      </w:r>
      <w:r w:rsidR="00802E9B">
        <w:rPr>
          <w:rFonts w:ascii="Times New Roman" w:hAnsi="Times New Roman" w:cs="Times New Roman"/>
          <w:bCs/>
          <w:sz w:val="24"/>
          <w:szCs w:val="24"/>
          <w:lang w:eastAsia="en-GB"/>
        </w:rPr>
        <w:t xml:space="preserve">These are models that could be explored. </w:t>
      </w:r>
    </w:p>
    <w:p w14:paraId="18BD094F" w14:textId="77777777" w:rsidR="00802E9B" w:rsidRPr="00802E9B" w:rsidRDefault="00802E9B" w:rsidP="00802E9B">
      <w:pPr>
        <w:pStyle w:val="ListParagraph"/>
        <w:spacing w:line="360" w:lineRule="auto"/>
        <w:ind w:left="-3"/>
        <w:jc w:val="both"/>
        <w:rPr>
          <w:rFonts w:ascii="Times New Roman" w:eastAsia="Times New Roman" w:hAnsi="Times New Roman" w:cs="Times New Roman"/>
          <w:color w:val="000000"/>
          <w:sz w:val="24"/>
          <w:szCs w:val="24"/>
          <w:lang w:val="en-CA"/>
        </w:rPr>
      </w:pPr>
    </w:p>
    <w:p w14:paraId="3857C02F" w14:textId="5BC06589" w:rsidR="00E27DBA" w:rsidRDefault="00E27DBA" w:rsidP="007572B5">
      <w:pPr>
        <w:shd w:val="clear" w:color="auto" w:fill="FFFFFF"/>
        <w:rPr>
          <w:rFonts w:ascii="Times New Roman" w:hAnsi="Times New Roman" w:cs="Times New Roman"/>
          <w:b/>
          <w:bCs/>
          <w:sz w:val="25"/>
          <w:szCs w:val="25"/>
          <w:u w:val="single"/>
        </w:rPr>
      </w:pPr>
      <w:r w:rsidRPr="00802E9B">
        <w:rPr>
          <w:rFonts w:ascii="Times New Roman" w:hAnsi="Times New Roman" w:cs="Times New Roman"/>
          <w:b/>
          <w:bCs/>
          <w:sz w:val="25"/>
          <w:szCs w:val="25"/>
          <w:u w:val="single"/>
        </w:rPr>
        <w:t>Next steps</w:t>
      </w:r>
    </w:p>
    <w:p w14:paraId="7F041CCC" w14:textId="77777777" w:rsidR="00802E9B" w:rsidRPr="00802E9B" w:rsidRDefault="00802E9B" w:rsidP="007572B5">
      <w:pPr>
        <w:shd w:val="clear" w:color="auto" w:fill="FFFFFF"/>
        <w:rPr>
          <w:rFonts w:ascii="Times New Roman" w:hAnsi="Times New Roman" w:cs="Times New Roman"/>
          <w:b/>
          <w:bCs/>
          <w:sz w:val="25"/>
          <w:szCs w:val="25"/>
          <w:u w:val="single"/>
        </w:rPr>
      </w:pPr>
    </w:p>
    <w:p w14:paraId="66B2943C" w14:textId="06658572" w:rsidR="00802E9B" w:rsidRDefault="00E27DBA" w:rsidP="00802E9B">
      <w:pPr>
        <w:pStyle w:val="ListParagraph"/>
        <w:numPr>
          <w:ilvl w:val="0"/>
          <w:numId w:val="2"/>
        </w:numPr>
        <w:shd w:val="clear" w:color="auto" w:fill="FFFFFF"/>
        <w:spacing w:line="360" w:lineRule="auto"/>
        <w:ind w:left="-3"/>
        <w:jc w:val="both"/>
        <w:rPr>
          <w:rFonts w:ascii="Times New Roman" w:hAnsi="Times New Roman" w:cs="Times New Roman"/>
          <w:sz w:val="24"/>
          <w:szCs w:val="24"/>
        </w:rPr>
      </w:pPr>
      <w:r w:rsidRPr="00A53480">
        <w:rPr>
          <w:rFonts w:ascii="Times New Roman" w:hAnsi="Times New Roman" w:cs="Times New Roman"/>
          <w:sz w:val="24"/>
          <w:szCs w:val="24"/>
        </w:rPr>
        <w:t xml:space="preserve">The Expert Mechanism has proposed that the Human Rights Council, in consultation with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make further efforts to enhance the participation in the Council of representatives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 xml:space="preserve"> and their representative institutions, in accordance with the United Nations Declaration on the Rights of </w:t>
      </w:r>
      <w:r w:rsidR="00AE4B2E">
        <w:rPr>
          <w:rFonts w:ascii="Times New Roman" w:hAnsi="Times New Roman" w:cs="Times New Roman"/>
          <w:sz w:val="24"/>
          <w:szCs w:val="24"/>
        </w:rPr>
        <w:t>Indigenous Peoples</w:t>
      </w:r>
      <w:r w:rsidRPr="00A53480">
        <w:rPr>
          <w:rFonts w:ascii="Times New Roman" w:hAnsi="Times New Roman" w:cs="Times New Roman"/>
          <w:sz w:val="24"/>
          <w:szCs w:val="24"/>
        </w:rPr>
        <w:t>.</w:t>
      </w:r>
    </w:p>
    <w:p w14:paraId="473574A6" w14:textId="0B5E44CB" w:rsidR="00AE4B2E" w:rsidRPr="00AE4B2E" w:rsidRDefault="00E452FB" w:rsidP="00802E9B">
      <w:pPr>
        <w:pStyle w:val="ListParagraph"/>
        <w:numPr>
          <w:ilvl w:val="0"/>
          <w:numId w:val="2"/>
        </w:numPr>
        <w:shd w:val="clear" w:color="auto" w:fill="FFFFFF"/>
        <w:spacing w:line="360" w:lineRule="auto"/>
        <w:ind w:left="-3"/>
        <w:jc w:val="both"/>
        <w:rPr>
          <w:rFonts w:ascii="Times New Roman" w:hAnsi="Times New Roman" w:cs="Times New Roman"/>
          <w:sz w:val="24"/>
          <w:szCs w:val="24"/>
        </w:rPr>
      </w:pPr>
      <w:r>
        <w:rPr>
          <w:rFonts w:ascii="Times New Roman" w:eastAsia="Times New Roman" w:hAnsi="Times New Roman" w:cs="Times New Roman"/>
          <w:sz w:val="24"/>
          <w:szCs w:val="24"/>
        </w:rPr>
        <w:t>The</w:t>
      </w:r>
      <w:r w:rsidR="00AE4E15" w:rsidRPr="00802E9B">
        <w:rPr>
          <w:rFonts w:ascii="Times New Roman" w:eastAsia="Times New Roman" w:hAnsi="Times New Roman" w:cs="Times New Roman"/>
          <w:sz w:val="24"/>
          <w:szCs w:val="24"/>
        </w:rPr>
        <w:t xml:space="preserve"> Expert Mechanism proposes that the Human Rights Council, in consultation with </w:t>
      </w:r>
      <w:r w:rsidR="00AE4B2E">
        <w:rPr>
          <w:rFonts w:ascii="Times New Roman" w:eastAsia="Times New Roman" w:hAnsi="Times New Roman" w:cs="Times New Roman"/>
          <w:sz w:val="24"/>
          <w:szCs w:val="24"/>
        </w:rPr>
        <w:t>Indigenous Peoples</w:t>
      </w:r>
      <w:r w:rsidR="00AE4E15" w:rsidRPr="00802E9B">
        <w:rPr>
          <w:rFonts w:ascii="Times New Roman" w:eastAsia="Times New Roman" w:hAnsi="Times New Roman" w:cs="Times New Roman"/>
          <w:sz w:val="24"/>
          <w:szCs w:val="24"/>
        </w:rPr>
        <w:t xml:space="preserve">, </w:t>
      </w:r>
      <w:r w:rsidR="00802E9B">
        <w:rPr>
          <w:rFonts w:ascii="Times New Roman" w:eastAsia="Times New Roman" w:hAnsi="Times New Roman" w:cs="Times New Roman"/>
          <w:sz w:val="24"/>
          <w:szCs w:val="24"/>
        </w:rPr>
        <w:t>consider the establishment</w:t>
      </w:r>
      <w:r w:rsidR="00B7562D" w:rsidRPr="00802E9B">
        <w:rPr>
          <w:rFonts w:ascii="Times New Roman" w:eastAsia="Times New Roman" w:hAnsi="Times New Roman" w:cs="Times New Roman"/>
          <w:sz w:val="24"/>
          <w:szCs w:val="24"/>
        </w:rPr>
        <w:t xml:space="preserve"> a working group with equal representation from </w:t>
      </w:r>
      <w:r w:rsidR="00802E9B">
        <w:rPr>
          <w:rFonts w:ascii="Times New Roman" w:eastAsia="Times New Roman" w:hAnsi="Times New Roman" w:cs="Times New Roman"/>
          <w:sz w:val="24"/>
          <w:szCs w:val="24"/>
        </w:rPr>
        <w:t>S</w:t>
      </w:r>
      <w:r w:rsidR="00B7562D" w:rsidRPr="00802E9B">
        <w:rPr>
          <w:rFonts w:ascii="Times New Roman" w:eastAsia="Times New Roman" w:hAnsi="Times New Roman" w:cs="Times New Roman"/>
          <w:sz w:val="24"/>
          <w:szCs w:val="24"/>
        </w:rPr>
        <w:t xml:space="preserve">tates and </w:t>
      </w:r>
      <w:r w:rsidR="00AE4B2E">
        <w:rPr>
          <w:rFonts w:ascii="Times New Roman" w:eastAsia="Times New Roman" w:hAnsi="Times New Roman" w:cs="Times New Roman"/>
          <w:sz w:val="24"/>
          <w:szCs w:val="24"/>
        </w:rPr>
        <w:t>Indigenous Peoples</w:t>
      </w:r>
      <w:r w:rsidR="00B7562D" w:rsidRPr="00802E9B">
        <w:rPr>
          <w:rFonts w:ascii="Times New Roman" w:eastAsia="Times New Roman" w:hAnsi="Times New Roman" w:cs="Times New Roman"/>
          <w:sz w:val="24"/>
          <w:szCs w:val="24"/>
        </w:rPr>
        <w:t xml:space="preserve">, </w:t>
      </w:r>
      <w:proofErr w:type="gramStart"/>
      <w:r w:rsidR="00B7562D" w:rsidRPr="00802E9B">
        <w:rPr>
          <w:rFonts w:ascii="Times New Roman" w:eastAsia="Times New Roman" w:hAnsi="Times New Roman" w:cs="Times New Roman"/>
          <w:sz w:val="24"/>
          <w:szCs w:val="24"/>
        </w:rPr>
        <w:t>taking into account</w:t>
      </w:r>
      <w:proofErr w:type="gramEnd"/>
      <w:r w:rsidR="00B7562D" w:rsidRPr="00802E9B">
        <w:rPr>
          <w:rFonts w:ascii="Times New Roman" w:eastAsia="Times New Roman" w:hAnsi="Times New Roman" w:cs="Times New Roman"/>
          <w:sz w:val="24"/>
          <w:szCs w:val="24"/>
        </w:rPr>
        <w:t xml:space="preserve"> the need for representation from all 7 socio-cultural regions, </w:t>
      </w:r>
      <w:r w:rsidR="007572B5" w:rsidRPr="00802E9B">
        <w:rPr>
          <w:rFonts w:ascii="Times New Roman" w:eastAsia="Times New Roman" w:hAnsi="Times New Roman" w:cs="Times New Roman"/>
          <w:sz w:val="24"/>
          <w:szCs w:val="24"/>
        </w:rPr>
        <w:t>to continue th</w:t>
      </w:r>
      <w:r w:rsidR="00802E9B">
        <w:rPr>
          <w:rFonts w:ascii="Times New Roman" w:eastAsia="Times New Roman" w:hAnsi="Times New Roman" w:cs="Times New Roman"/>
          <w:sz w:val="24"/>
          <w:szCs w:val="24"/>
        </w:rPr>
        <w:t>e</w:t>
      </w:r>
      <w:r w:rsidR="007572B5" w:rsidRPr="00802E9B">
        <w:rPr>
          <w:rFonts w:ascii="Times New Roman" w:eastAsia="Times New Roman" w:hAnsi="Times New Roman" w:cs="Times New Roman"/>
          <w:sz w:val="24"/>
          <w:szCs w:val="24"/>
        </w:rPr>
        <w:t xml:space="preserve"> discussion</w:t>
      </w:r>
      <w:r w:rsidR="00B7562D" w:rsidRPr="00802E9B">
        <w:rPr>
          <w:rFonts w:ascii="Times New Roman" w:eastAsia="Times New Roman" w:hAnsi="Times New Roman" w:cs="Times New Roman"/>
          <w:sz w:val="24"/>
          <w:szCs w:val="24"/>
        </w:rPr>
        <w:t xml:space="preserve"> a</w:t>
      </w:r>
      <w:r w:rsidR="00802E9B">
        <w:rPr>
          <w:rFonts w:ascii="Times New Roman" w:eastAsia="Times New Roman" w:hAnsi="Times New Roman" w:cs="Times New Roman"/>
          <w:sz w:val="24"/>
          <w:szCs w:val="24"/>
        </w:rPr>
        <w:t>s well as</w:t>
      </w:r>
      <w:r w:rsidR="00B7562D" w:rsidRPr="00802E9B">
        <w:rPr>
          <w:rFonts w:ascii="Times New Roman" w:eastAsia="Times New Roman" w:hAnsi="Times New Roman" w:cs="Times New Roman"/>
          <w:sz w:val="24"/>
          <w:szCs w:val="24"/>
        </w:rPr>
        <w:t xml:space="preserve"> to start drafting working proposals on</w:t>
      </w:r>
      <w:r w:rsidR="00802E9B">
        <w:rPr>
          <w:rFonts w:ascii="Times New Roman" w:eastAsia="Times New Roman" w:hAnsi="Times New Roman" w:cs="Times New Roman"/>
          <w:sz w:val="24"/>
          <w:szCs w:val="24"/>
        </w:rPr>
        <w:t>,</w:t>
      </w:r>
      <w:r w:rsidR="00B7562D" w:rsidRPr="00802E9B">
        <w:rPr>
          <w:rFonts w:ascii="Times New Roman" w:eastAsia="Times New Roman" w:hAnsi="Times New Roman" w:cs="Times New Roman"/>
          <w:sz w:val="24"/>
          <w:szCs w:val="24"/>
        </w:rPr>
        <w:t xml:space="preserve"> </w:t>
      </w:r>
      <w:r w:rsidR="00B7562D" w:rsidRPr="00802E9B">
        <w:rPr>
          <w:rFonts w:ascii="Times New Roman" w:eastAsia="Times New Roman" w:hAnsi="Times New Roman" w:cs="Times New Roman"/>
          <w:i/>
          <w:iCs/>
          <w:sz w:val="24"/>
          <w:szCs w:val="24"/>
        </w:rPr>
        <w:t>inter alia</w:t>
      </w:r>
      <w:r w:rsidR="00802E9B">
        <w:rPr>
          <w:rFonts w:ascii="Times New Roman" w:eastAsia="Times New Roman" w:hAnsi="Times New Roman" w:cs="Times New Roman"/>
          <w:sz w:val="24"/>
          <w:szCs w:val="24"/>
        </w:rPr>
        <w:t xml:space="preserve">, </w:t>
      </w:r>
      <w:r w:rsidR="00B7562D" w:rsidRPr="00802E9B">
        <w:rPr>
          <w:rFonts w:ascii="Times New Roman" w:eastAsia="Times New Roman" w:hAnsi="Times New Roman" w:cs="Times New Roman"/>
          <w:sz w:val="24"/>
          <w:szCs w:val="24"/>
        </w:rPr>
        <w:t>selection modalities and criteria</w:t>
      </w:r>
      <w:r w:rsidR="00802E9B">
        <w:rPr>
          <w:rFonts w:ascii="Times New Roman" w:eastAsia="Times New Roman" w:hAnsi="Times New Roman" w:cs="Times New Roman"/>
          <w:sz w:val="24"/>
          <w:szCs w:val="24"/>
        </w:rPr>
        <w:t>. These</w:t>
      </w:r>
      <w:r w:rsidR="00B7562D" w:rsidRPr="00802E9B">
        <w:rPr>
          <w:rFonts w:ascii="Times New Roman" w:eastAsia="Times New Roman" w:hAnsi="Times New Roman" w:cs="Times New Roman"/>
          <w:sz w:val="24"/>
          <w:szCs w:val="24"/>
        </w:rPr>
        <w:t xml:space="preserve"> proposals will be submitted to the</w:t>
      </w:r>
      <w:r w:rsidR="007572B5" w:rsidRPr="00802E9B">
        <w:rPr>
          <w:rFonts w:ascii="Times New Roman" w:eastAsia="Times New Roman" w:hAnsi="Times New Roman" w:cs="Times New Roman"/>
          <w:sz w:val="24"/>
          <w:szCs w:val="24"/>
        </w:rPr>
        <w:t xml:space="preserve"> </w:t>
      </w:r>
      <w:r w:rsidR="00802E9B">
        <w:rPr>
          <w:rFonts w:ascii="Times New Roman" w:eastAsia="Times New Roman" w:hAnsi="Times New Roman" w:cs="Times New Roman"/>
          <w:sz w:val="24"/>
          <w:szCs w:val="24"/>
        </w:rPr>
        <w:t>Human Rights Council</w:t>
      </w:r>
      <w:r w:rsidR="00B7562D" w:rsidRPr="00802E9B">
        <w:rPr>
          <w:rFonts w:ascii="Times New Roman" w:eastAsia="Times New Roman" w:hAnsi="Times New Roman" w:cs="Times New Roman"/>
          <w:sz w:val="24"/>
          <w:szCs w:val="24"/>
        </w:rPr>
        <w:t xml:space="preserve"> for consideration</w:t>
      </w:r>
      <w:r w:rsidR="007572B5" w:rsidRPr="00802E9B">
        <w:rPr>
          <w:rFonts w:ascii="Times New Roman" w:eastAsia="Times New Roman" w:hAnsi="Times New Roman" w:cs="Times New Roman"/>
          <w:sz w:val="24"/>
          <w:szCs w:val="24"/>
        </w:rPr>
        <w:t>. </w:t>
      </w:r>
    </w:p>
    <w:p w14:paraId="08CA1214" w14:textId="799CF8C3" w:rsidR="00BC6D1C" w:rsidRPr="00AE4B2E" w:rsidRDefault="00AE4B2E" w:rsidP="00AE4B2E">
      <w:pPr>
        <w:pStyle w:val="ListParagraph"/>
        <w:numPr>
          <w:ilvl w:val="0"/>
          <w:numId w:val="2"/>
        </w:numPr>
        <w:shd w:val="clear" w:color="auto" w:fill="FFFFFF"/>
        <w:spacing w:line="360" w:lineRule="auto"/>
        <w:ind w:left="-3"/>
        <w:jc w:val="both"/>
        <w:rPr>
          <w:rFonts w:ascii="Times New Roman" w:hAnsi="Times New Roman" w:cs="Times New Roman"/>
          <w:sz w:val="24"/>
          <w:szCs w:val="24"/>
        </w:rPr>
      </w:pPr>
      <w:r>
        <w:rPr>
          <w:rFonts w:ascii="Times New Roman" w:eastAsia="Times New Roman" w:hAnsi="Times New Roman" w:cs="Times New Roman"/>
          <w:sz w:val="24"/>
          <w:szCs w:val="24"/>
        </w:rPr>
        <w:t>Considering</w:t>
      </w:r>
      <w:r w:rsidR="00802E9B">
        <w:rPr>
          <w:rFonts w:ascii="Times New Roman" w:eastAsia="Times New Roman" w:hAnsi="Times New Roman" w:cs="Times New Roman"/>
          <w:sz w:val="24"/>
          <w:szCs w:val="24"/>
        </w:rPr>
        <w:t xml:space="preserve"> the</w:t>
      </w:r>
      <w:r w:rsidR="00B7562D" w:rsidRPr="00802E9B">
        <w:rPr>
          <w:rFonts w:ascii="Times New Roman" w:eastAsia="Times New Roman" w:hAnsi="Times New Roman" w:cs="Times New Roman"/>
          <w:sz w:val="24"/>
          <w:szCs w:val="24"/>
        </w:rPr>
        <w:t xml:space="preserve"> Expert Mechanism</w:t>
      </w:r>
      <w:r w:rsidR="00E452FB">
        <w:rPr>
          <w:rFonts w:ascii="Times New Roman" w:eastAsia="Times New Roman" w:hAnsi="Times New Roman" w:cs="Times New Roman"/>
          <w:sz w:val="24"/>
          <w:szCs w:val="24"/>
        </w:rPr>
        <w:t>’s</w:t>
      </w:r>
      <w:r w:rsidR="00B7562D" w:rsidRPr="00802E9B">
        <w:rPr>
          <w:rFonts w:ascii="Times New Roman" w:eastAsia="Times New Roman" w:hAnsi="Times New Roman" w:cs="Times New Roman"/>
          <w:sz w:val="24"/>
          <w:szCs w:val="24"/>
        </w:rPr>
        <w:t xml:space="preserve"> mandate</w:t>
      </w:r>
      <w:r>
        <w:rPr>
          <w:rFonts w:ascii="Times New Roman" w:eastAsia="Times New Roman" w:hAnsi="Times New Roman" w:cs="Times New Roman"/>
          <w:sz w:val="24"/>
          <w:szCs w:val="24"/>
        </w:rPr>
        <w:t>, which includes</w:t>
      </w:r>
      <w:r w:rsidR="00B7562D" w:rsidRPr="00802E9B">
        <w:rPr>
          <w:rFonts w:ascii="Times New Roman" w:eastAsia="Times New Roman" w:hAnsi="Times New Roman" w:cs="Times New Roman"/>
          <w:sz w:val="24"/>
          <w:szCs w:val="24"/>
        </w:rPr>
        <w:t xml:space="preserve"> to facilitate dialogue between </w:t>
      </w:r>
      <w:r>
        <w:rPr>
          <w:rFonts w:ascii="Times New Roman" w:eastAsia="Times New Roman" w:hAnsi="Times New Roman" w:cs="Times New Roman"/>
          <w:sz w:val="24"/>
          <w:szCs w:val="24"/>
        </w:rPr>
        <w:t>S</w:t>
      </w:r>
      <w:r w:rsidR="00B7562D" w:rsidRPr="00802E9B">
        <w:rPr>
          <w:rFonts w:ascii="Times New Roman" w:eastAsia="Times New Roman" w:hAnsi="Times New Roman" w:cs="Times New Roman"/>
          <w:sz w:val="24"/>
          <w:szCs w:val="24"/>
        </w:rPr>
        <w:t xml:space="preserve">tates and </w:t>
      </w:r>
      <w:r>
        <w:rPr>
          <w:rFonts w:ascii="Times New Roman" w:eastAsia="Times New Roman" w:hAnsi="Times New Roman" w:cs="Times New Roman"/>
          <w:sz w:val="24"/>
          <w:szCs w:val="24"/>
        </w:rPr>
        <w:t>Indigenous Peoples</w:t>
      </w:r>
      <w:r w:rsidR="00B7562D" w:rsidRPr="00802E9B">
        <w:rPr>
          <w:rFonts w:ascii="Times New Roman" w:eastAsia="Times New Roman" w:hAnsi="Times New Roman" w:cs="Times New Roman"/>
          <w:sz w:val="24"/>
          <w:szCs w:val="24"/>
        </w:rPr>
        <w:t xml:space="preserve">, EMRIP </w:t>
      </w:r>
      <w:r w:rsidR="00802E9B">
        <w:rPr>
          <w:rFonts w:ascii="Times New Roman" w:eastAsia="Times New Roman" w:hAnsi="Times New Roman" w:cs="Times New Roman"/>
          <w:sz w:val="24"/>
          <w:szCs w:val="24"/>
        </w:rPr>
        <w:t>makes itself available to</w:t>
      </w:r>
      <w:r w:rsidR="00B7562D" w:rsidRPr="00802E9B">
        <w:rPr>
          <w:rFonts w:ascii="Times New Roman" w:eastAsia="Times New Roman" w:hAnsi="Times New Roman" w:cs="Times New Roman"/>
          <w:sz w:val="24"/>
          <w:szCs w:val="24"/>
        </w:rPr>
        <w:t xml:space="preserve"> take part in this process as facilitator of such continued dialogue</w:t>
      </w:r>
      <w:r w:rsidR="00802E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Furthermore, the</w:t>
      </w:r>
      <w:r w:rsidR="00802E9B">
        <w:rPr>
          <w:rFonts w:ascii="Times New Roman" w:eastAsia="Times New Roman" w:hAnsi="Times New Roman" w:cs="Times New Roman"/>
          <w:sz w:val="24"/>
          <w:szCs w:val="24"/>
        </w:rPr>
        <w:t xml:space="preserve"> Expert Mechanism could</w:t>
      </w:r>
      <w:r w:rsidR="00B7562D" w:rsidRPr="00802E9B">
        <w:rPr>
          <w:rFonts w:ascii="Times New Roman" w:eastAsia="Times New Roman" w:hAnsi="Times New Roman" w:cs="Times New Roman"/>
          <w:sz w:val="24"/>
          <w:szCs w:val="24"/>
        </w:rPr>
        <w:t xml:space="preserve"> provide technical </w:t>
      </w:r>
      <w:r w:rsidR="00802E9B" w:rsidRPr="00802E9B">
        <w:rPr>
          <w:rFonts w:ascii="Times New Roman" w:eastAsia="Times New Roman" w:hAnsi="Times New Roman" w:cs="Times New Roman"/>
          <w:sz w:val="24"/>
          <w:szCs w:val="24"/>
        </w:rPr>
        <w:t>advice</w:t>
      </w:r>
      <w:r w:rsidR="00B7562D" w:rsidRPr="00802E9B">
        <w:rPr>
          <w:rFonts w:ascii="Times New Roman" w:eastAsia="Times New Roman" w:hAnsi="Times New Roman" w:cs="Times New Roman"/>
          <w:sz w:val="24"/>
          <w:szCs w:val="24"/>
        </w:rPr>
        <w:t xml:space="preserve"> </w:t>
      </w:r>
      <w:r w:rsidR="00802E9B">
        <w:rPr>
          <w:rFonts w:ascii="Times New Roman" w:eastAsia="Times New Roman" w:hAnsi="Times New Roman" w:cs="Times New Roman"/>
          <w:sz w:val="24"/>
          <w:szCs w:val="24"/>
        </w:rPr>
        <w:t>on</w:t>
      </w:r>
      <w:r w:rsidR="00B7562D" w:rsidRPr="00802E9B">
        <w:rPr>
          <w:rFonts w:ascii="Times New Roman" w:eastAsia="Times New Roman" w:hAnsi="Times New Roman" w:cs="Times New Roman"/>
          <w:sz w:val="24"/>
          <w:szCs w:val="24"/>
        </w:rPr>
        <w:t xml:space="preserve"> the proposals</w:t>
      </w:r>
      <w:r w:rsidR="00802E9B">
        <w:rPr>
          <w:rFonts w:ascii="Times New Roman" w:eastAsia="Times New Roman" w:hAnsi="Times New Roman" w:cs="Times New Roman"/>
          <w:sz w:val="24"/>
          <w:szCs w:val="24"/>
        </w:rPr>
        <w:t>, if requested to do so</w:t>
      </w:r>
      <w:r w:rsidR="00B7562D" w:rsidRPr="00802E9B">
        <w:rPr>
          <w:rFonts w:ascii="Times New Roman" w:eastAsia="Times New Roman" w:hAnsi="Times New Roman" w:cs="Times New Roman"/>
          <w:sz w:val="24"/>
          <w:szCs w:val="24"/>
        </w:rPr>
        <w:t>.</w:t>
      </w:r>
    </w:p>
    <w:sectPr w:rsidR="00BC6D1C" w:rsidRPr="00AE4B2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0340" w14:textId="77777777" w:rsidR="00E06FAD" w:rsidRDefault="00E06FAD" w:rsidP="002F012D">
      <w:pPr>
        <w:spacing w:after="0" w:line="240" w:lineRule="auto"/>
      </w:pPr>
      <w:r>
        <w:separator/>
      </w:r>
    </w:p>
  </w:endnote>
  <w:endnote w:type="continuationSeparator" w:id="0">
    <w:p w14:paraId="235BEC2D" w14:textId="77777777" w:rsidR="00E06FAD" w:rsidRDefault="00E06FAD" w:rsidP="002F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424387"/>
      <w:docPartObj>
        <w:docPartGallery w:val="Page Numbers (Bottom of Page)"/>
        <w:docPartUnique/>
      </w:docPartObj>
    </w:sdtPr>
    <w:sdtEndPr>
      <w:rPr>
        <w:noProof/>
      </w:rPr>
    </w:sdtEndPr>
    <w:sdtContent>
      <w:p w14:paraId="5DB66EB9" w14:textId="56FBD869" w:rsidR="00E452FB" w:rsidRDefault="00E45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05001" w14:textId="77777777" w:rsidR="00E452FB" w:rsidRDefault="00E4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A82C" w14:textId="77777777" w:rsidR="00E06FAD" w:rsidRDefault="00E06FAD" w:rsidP="002F012D">
      <w:pPr>
        <w:spacing w:after="0" w:line="240" w:lineRule="auto"/>
      </w:pPr>
      <w:r>
        <w:separator/>
      </w:r>
    </w:p>
  </w:footnote>
  <w:footnote w:type="continuationSeparator" w:id="0">
    <w:p w14:paraId="34D704E1" w14:textId="77777777" w:rsidR="00E06FAD" w:rsidRDefault="00E06FAD" w:rsidP="002F012D">
      <w:pPr>
        <w:spacing w:after="0" w:line="240" w:lineRule="auto"/>
      </w:pPr>
      <w:r>
        <w:continuationSeparator/>
      </w:r>
    </w:p>
  </w:footnote>
  <w:footnote w:id="1">
    <w:p w14:paraId="7967E92E" w14:textId="57B08F7F" w:rsidR="00213806" w:rsidRPr="00802E9B" w:rsidRDefault="00213806" w:rsidP="00802E9B">
      <w:pPr>
        <w:pStyle w:val="FootnoteText"/>
        <w:spacing w:line="276" w:lineRule="auto"/>
        <w:rPr>
          <w:rFonts w:ascii="Times New Roman" w:hAnsi="Times New Roman" w:cs="Times New Roman"/>
          <w:sz w:val="18"/>
          <w:szCs w:val="18"/>
          <w:lang w:val="es-ES_tradnl"/>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es-ES_tradnl"/>
        </w:rPr>
        <w:t xml:space="preserve"> A/HRC/48/75 Para. 32.</w:t>
      </w:r>
    </w:p>
  </w:footnote>
  <w:footnote w:id="2">
    <w:p w14:paraId="410DA31B" w14:textId="08582F94" w:rsidR="00ED7C92" w:rsidRPr="00802E9B" w:rsidRDefault="00ED7C92" w:rsidP="00802E9B">
      <w:pPr>
        <w:pStyle w:val="FootnoteText"/>
        <w:spacing w:line="276" w:lineRule="auto"/>
        <w:rPr>
          <w:rFonts w:ascii="Times New Roman" w:hAnsi="Times New Roman" w:cs="Times New Roman"/>
          <w:sz w:val="18"/>
          <w:szCs w:val="18"/>
          <w:lang w:val="es-ES_tradnl"/>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es-ES_tradnl"/>
        </w:rPr>
        <w:t xml:space="preserve"> A/HRC/48/75</w:t>
      </w:r>
      <w:r w:rsidR="00185E60" w:rsidRPr="00802E9B">
        <w:rPr>
          <w:rFonts w:ascii="Times New Roman" w:hAnsi="Times New Roman" w:cs="Times New Roman"/>
          <w:sz w:val="18"/>
          <w:szCs w:val="18"/>
          <w:lang w:val="es-ES_tradnl"/>
        </w:rPr>
        <w:t>, para</w:t>
      </w:r>
      <w:r w:rsidR="00884700" w:rsidRPr="00802E9B">
        <w:rPr>
          <w:rFonts w:ascii="Times New Roman" w:hAnsi="Times New Roman" w:cs="Times New Roman"/>
          <w:sz w:val="18"/>
          <w:szCs w:val="18"/>
          <w:lang w:val="es-ES_tradnl"/>
        </w:rPr>
        <w:t xml:space="preserve"> </w:t>
      </w:r>
      <w:r w:rsidR="00185E60" w:rsidRPr="00802E9B">
        <w:rPr>
          <w:rFonts w:ascii="Times New Roman" w:hAnsi="Times New Roman" w:cs="Times New Roman"/>
          <w:sz w:val="18"/>
          <w:szCs w:val="18"/>
          <w:lang w:val="es-ES_tradnl"/>
        </w:rPr>
        <w:t>17.</w:t>
      </w:r>
    </w:p>
  </w:footnote>
  <w:footnote w:id="3">
    <w:p w14:paraId="3066C2A2" w14:textId="2A61AA56" w:rsidR="00913E10" w:rsidRPr="00802E9B" w:rsidRDefault="00913E10" w:rsidP="00802E9B">
      <w:pPr>
        <w:pStyle w:val="FootnoteText"/>
        <w:spacing w:line="276" w:lineRule="auto"/>
        <w:rPr>
          <w:rFonts w:ascii="Times New Roman" w:hAnsi="Times New Roman" w:cs="Times New Roman"/>
          <w:sz w:val="18"/>
          <w:szCs w:val="18"/>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rPr>
        <w:t xml:space="preserve"> A/HRC/48/75, para</w:t>
      </w:r>
      <w:r w:rsidR="00884700" w:rsidRPr="00802E9B">
        <w:rPr>
          <w:rFonts w:ascii="Times New Roman" w:hAnsi="Times New Roman" w:cs="Times New Roman"/>
          <w:sz w:val="18"/>
          <w:szCs w:val="18"/>
        </w:rPr>
        <w:t xml:space="preserve"> </w:t>
      </w:r>
      <w:r w:rsidRPr="00802E9B">
        <w:rPr>
          <w:rFonts w:ascii="Times New Roman" w:hAnsi="Times New Roman" w:cs="Times New Roman"/>
          <w:sz w:val="18"/>
          <w:szCs w:val="18"/>
        </w:rPr>
        <w:t>31</w:t>
      </w:r>
      <w:r w:rsidR="00884700" w:rsidRPr="00802E9B">
        <w:rPr>
          <w:rFonts w:ascii="Times New Roman" w:hAnsi="Times New Roman" w:cs="Times New Roman"/>
          <w:sz w:val="18"/>
          <w:szCs w:val="18"/>
        </w:rPr>
        <w:t>.</w:t>
      </w:r>
    </w:p>
  </w:footnote>
  <w:footnote w:id="4">
    <w:p w14:paraId="1704DA4E" w14:textId="78945A8C" w:rsidR="00DE0866" w:rsidRPr="00802E9B" w:rsidRDefault="00DE0866" w:rsidP="00802E9B">
      <w:pPr>
        <w:pStyle w:val="FootnoteText"/>
        <w:spacing w:line="276" w:lineRule="auto"/>
        <w:rPr>
          <w:rFonts w:ascii="Times New Roman" w:hAnsi="Times New Roman" w:cs="Times New Roman"/>
          <w:sz w:val="18"/>
          <w:szCs w:val="18"/>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rPr>
        <w:t xml:space="preserve"> Proposals for the Human Rights Council July 2020</w:t>
      </w:r>
    </w:p>
  </w:footnote>
  <w:footnote w:id="5">
    <w:p w14:paraId="265B92A0" w14:textId="40CAC48D" w:rsidR="00884700" w:rsidRPr="00802E9B" w:rsidRDefault="00884700" w:rsidP="00802E9B">
      <w:pPr>
        <w:pStyle w:val="FootnoteText"/>
        <w:spacing w:line="276" w:lineRule="auto"/>
        <w:rPr>
          <w:rFonts w:ascii="Times New Roman" w:hAnsi="Times New Roman" w:cs="Times New Roman"/>
          <w:sz w:val="18"/>
          <w:szCs w:val="18"/>
          <w:lang w:val="pt-PT"/>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pt-PT"/>
        </w:rPr>
        <w:t>A/HRC/49/69, Para 53.</w:t>
      </w:r>
    </w:p>
  </w:footnote>
  <w:footnote w:id="6">
    <w:p w14:paraId="260C0C19" w14:textId="2BCEDDC7" w:rsidR="00B83109" w:rsidRPr="00802E9B" w:rsidRDefault="00B83109" w:rsidP="00802E9B">
      <w:pPr>
        <w:pStyle w:val="FootnoteText"/>
        <w:spacing w:line="276" w:lineRule="auto"/>
        <w:rPr>
          <w:rFonts w:ascii="Times New Roman" w:hAnsi="Times New Roman" w:cs="Times New Roman"/>
          <w:sz w:val="18"/>
          <w:szCs w:val="18"/>
          <w:lang w:val="pt-PT"/>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pt-PT"/>
        </w:rPr>
        <w:t xml:space="preserve"> A/HRC/42/55, para 12</w:t>
      </w:r>
    </w:p>
  </w:footnote>
  <w:footnote w:id="7">
    <w:p w14:paraId="50D16979" w14:textId="01CC9FDE" w:rsidR="00B83109" w:rsidRPr="00A53480" w:rsidRDefault="00B83109" w:rsidP="00802E9B">
      <w:pPr>
        <w:pStyle w:val="FootnoteText"/>
        <w:spacing w:line="276" w:lineRule="auto"/>
        <w:rPr>
          <w:rFonts w:ascii="Times New Roman" w:hAnsi="Times New Roman" w:cs="Times New Roman"/>
          <w:lang w:val="pt-PT"/>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pt-PT"/>
        </w:rPr>
        <w:t xml:space="preserve"> A/HRC/42/55 para 13</w:t>
      </w:r>
    </w:p>
  </w:footnote>
  <w:footnote w:id="8">
    <w:p w14:paraId="405C6627" w14:textId="77777777" w:rsidR="00FD1D7A" w:rsidRPr="00802E9B" w:rsidRDefault="00FD1D7A" w:rsidP="00802E9B">
      <w:pPr>
        <w:pStyle w:val="FootnoteText"/>
        <w:spacing w:line="276" w:lineRule="auto"/>
        <w:rPr>
          <w:rFonts w:ascii="Times New Roman" w:hAnsi="Times New Roman" w:cs="Times New Roman"/>
          <w:sz w:val="18"/>
          <w:szCs w:val="18"/>
          <w:lang w:val="pt-PT"/>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pt-PT"/>
        </w:rPr>
        <w:t xml:space="preserve"> A/HRC/48/75, para 32.</w:t>
      </w:r>
    </w:p>
  </w:footnote>
  <w:footnote w:id="9">
    <w:p w14:paraId="33C7BF2F" w14:textId="77777777" w:rsidR="00FD1D7A" w:rsidRPr="00A53480" w:rsidRDefault="00FD1D7A" w:rsidP="00802E9B">
      <w:pPr>
        <w:pStyle w:val="FootnoteText"/>
        <w:spacing w:line="276" w:lineRule="auto"/>
        <w:rPr>
          <w:rFonts w:ascii="Times New Roman" w:hAnsi="Times New Roman" w:cs="Times New Roman"/>
          <w:lang w:val="pt-PT"/>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pt-PT"/>
        </w:rPr>
        <w:t xml:space="preserve"> A/HRC/49/69, para 52.</w:t>
      </w:r>
    </w:p>
  </w:footnote>
  <w:footnote w:id="10">
    <w:p w14:paraId="17A1AD0E" w14:textId="77777777" w:rsidR="001B3F20" w:rsidRPr="00802E9B" w:rsidRDefault="001B3F20" w:rsidP="001B3F20">
      <w:pPr>
        <w:pStyle w:val="FootnoteText"/>
        <w:rPr>
          <w:rFonts w:ascii="Times New Roman" w:hAnsi="Times New Roman" w:cs="Times New Roman"/>
          <w:sz w:val="18"/>
          <w:szCs w:val="18"/>
          <w:lang w:val="pt-PT"/>
        </w:rPr>
      </w:pPr>
      <w:r w:rsidRPr="00802E9B">
        <w:rPr>
          <w:rStyle w:val="FootnoteReference"/>
          <w:rFonts w:ascii="Times New Roman" w:hAnsi="Times New Roman" w:cs="Times New Roman"/>
          <w:sz w:val="18"/>
          <w:szCs w:val="18"/>
        </w:rPr>
        <w:footnoteRef/>
      </w:r>
      <w:r w:rsidRPr="00802E9B">
        <w:rPr>
          <w:rFonts w:ascii="Times New Roman" w:hAnsi="Times New Roman" w:cs="Times New Roman"/>
          <w:sz w:val="18"/>
          <w:szCs w:val="18"/>
          <w:lang w:val="pt-PT"/>
        </w:rPr>
        <w:t xml:space="preserve"> https://www.ohchr.org/sites/default/files/Documents/HRBodies/HRCouncil/PracticalGuideNGO_en.pdf</w:t>
      </w:r>
    </w:p>
  </w:footnote>
  <w:footnote w:id="11">
    <w:p w14:paraId="19289E1C" w14:textId="415DDC54" w:rsidR="007A37FD" w:rsidRPr="00A53480" w:rsidRDefault="007A37FD" w:rsidP="00802E9B">
      <w:pPr>
        <w:spacing w:line="276" w:lineRule="auto"/>
        <w:jc w:val="both"/>
        <w:rPr>
          <w:rFonts w:ascii="Times New Roman" w:eastAsia="Times New Roman" w:hAnsi="Times New Roman" w:cs="Times New Roman"/>
          <w:color w:val="000000"/>
          <w:sz w:val="18"/>
          <w:szCs w:val="18"/>
          <w:lang w:val="pt-PT"/>
        </w:rPr>
      </w:pPr>
      <w:r w:rsidRPr="00A53480">
        <w:rPr>
          <w:rStyle w:val="FootnoteReference"/>
          <w:rFonts w:ascii="Times New Roman" w:hAnsi="Times New Roman" w:cs="Times New Roman"/>
          <w:sz w:val="18"/>
          <w:szCs w:val="18"/>
        </w:rPr>
        <w:footnoteRef/>
      </w:r>
      <w:r w:rsidRPr="00A53480">
        <w:rPr>
          <w:rFonts w:ascii="Times New Roman" w:hAnsi="Times New Roman" w:cs="Times New Roman"/>
          <w:sz w:val="18"/>
          <w:szCs w:val="18"/>
          <w:lang w:val="pt-PT"/>
        </w:rPr>
        <w:t xml:space="preserve"> </w:t>
      </w:r>
      <w:r w:rsidR="005A503D">
        <w:fldChar w:fldCharType="begin"/>
      </w:r>
      <w:r w:rsidR="005A503D" w:rsidRPr="00E452FB">
        <w:rPr>
          <w:lang w:val="pt-PT"/>
        </w:rPr>
        <w:instrText xml:space="preserve"> HYPERLINK "https://www.ohchr.org/en/hr-bodies/hrc/nhri-participation" </w:instrText>
      </w:r>
      <w:r w:rsidR="005A503D">
        <w:fldChar w:fldCharType="separate"/>
      </w:r>
      <w:r w:rsidRPr="00A53480">
        <w:rPr>
          <w:rStyle w:val="Hyperlink"/>
          <w:rFonts w:ascii="Times New Roman" w:eastAsia="Times New Roman" w:hAnsi="Times New Roman" w:cs="Times New Roman"/>
          <w:sz w:val="18"/>
          <w:szCs w:val="18"/>
          <w:lang w:val="pt-PT"/>
        </w:rPr>
        <w:t>https://www.ohchr.org/en/hr-bodies/hrc/nhri-participation</w:t>
      </w:r>
      <w:r w:rsidR="005A503D">
        <w:rPr>
          <w:rStyle w:val="Hyperlink"/>
          <w:rFonts w:ascii="Times New Roman" w:eastAsia="Times New Roman" w:hAnsi="Times New Roman" w:cs="Times New Roman"/>
          <w:sz w:val="18"/>
          <w:szCs w:val="18"/>
          <w:lang w:val="pt-PT"/>
        </w:rPr>
        <w:fldChar w:fldCharType="end"/>
      </w:r>
    </w:p>
  </w:footnote>
  <w:footnote w:id="12">
    <w:p w14:paraId="3A106F65" w14:textId="557512D9" w:rsidR="00A53480" w:rsidRPr="00A53480" w:rsidRDefault="00A53480" w:rsidP="00802E9B">
      <w:pPr>
        <w:pStyle w:val="FootnoteText"/>
        <w:spacing w:line="276" w:lineRule="auto"/>
        <w:jc w:val="both"/>
        <w:rPr>
          <w:rFonts w:ascii="Times New Roman" w:hAnsi="Times New Roman" w:cs="Times New Roman"/>
          <w:sz w:val="18"/>
          <w:szCs w:val="18"/>
        </w:rPr>
      </w:pPr>
      <w:r w:rsidRPr="00A53480">
        <w:rPr>
          <w:rStyle w:val="FootnoteReference"/>
          <w:rFonts w:ascii="Times New Roman" w:hAnsi="Times New Roman" w:cs="Times New Roman"/>
          <w:sz w:val="18"/>
          <w:szCs w:val="18"/>
        </w:rPr>
        <w:footnoteRef/>
      </w:r>
      <w:r w:rsidRPr="00A53480">
        <w:rPr>
          <w:rFonts w:ascii="Times New Roman" w:hAnsi="Times New Roman" w:cs="Times New Roman"/>
          <w:sz w:val="18"/>
          <w:szCs w:val="18"/>
        </w:rPr>
        <w:t xml:space="preserve"> </w:t>
      </w:r>
      <w:r w:rsidRPr="00A53480">
        <w:rPr>
          <w:rFonts w:ascii="Times New Roman" w:hAnsi="Times New Roman" w:cs="Times New Roman"/>
          <w:bCs/>
          <w:sz w:val="18"/>
          <w:szCs w:val="18"/>
          <w:lang w:eastAsia="en-GB"/>
        </w:rPr>
        <w:t xml:space="preserve">The Paris Principles, or the “Principles Relating to the Status of National Human Rights Institutions” establish the minimum standards that NHRIs must meet to be considered credible. The Paris Principles require that NHRIs have pluralism in membership, broad functions, adequate powers, a broad mandate, cooperative methods and engage with international bodies. </w:t>
      </w:r>
      <w:r w:rsidRPr="00A53480">
        <w:rPr>
          <w:rFonts w:ascii="Times New Roman" w:eastAsia="Times New Roman" w:hAnsi="Times New Roman" w:cs="Times New Roman"/>
          <w:sz w:val="18"/>
          <w:szCs w:val="18"/>
        </w:rPr>
        <w:t xml:space="preserve"> </w:t>
      </w:r>
    </w:p>
  </w:footnote>
  <w:footnote w:id="13">
    <w:p w14:paraId="15FCC904" w14:textId="69501C62" w:rsidR="00387A7D" w:rsidRPr="00A53480" w:rsidRDefault="00387A7D" w:rsidP="00802E9B">
      <w:pPr>
        <w:pStyle w:val="FootnoteText"/>
        <w:spacing w:line="276" w:lineRule="auto"/>
        <w:jc w:val="both"/>
        <w:rPr>
          <w:rFonts w:ascii="Times New Roman" w:hAnsi="Times New Roman" w:cs="Times New Roman"/>
          <w:sz w:val="18"/>
          <w:szCs w:val="18"/>
          <w:lang w:val="pt-PT"/>
        </w:rPr>
      </w:pPr>
      <w:r w:rsidRPr="00A53480">
        <w:rPr>
          <w:rStyle w:val="FootnoteReference"/>
          <w:rFonts w:ascii="Times New Roman" w:hAnsi="Times New Roman" w:cs="Times New Roman"/>
          <w:sz w:val="18"/>
          <w:szCs w:val="18"/>
        </w:rPr>
        <w:footnoteRef/>
      </w:r>
      <w:r w:rsidRPr="00A53480">
        <w:rPr>
          <w:rFonts w:ascii="Times New Roman" w:hAnsi="Times New Roman" w:cs="Times New Roman"/>
          <w:sz w:val="18"/>
          <w:szCs w:val="18"/>
          <w:lang w:val="pt-PT"/>
        </w:rPr>
        <w:t xml:space="preserve"> https://ganhri.org/nhri/</w:t>
      </w:r>
    </w:p>
  </w:footnote>
  <w:footnote w:id="14">
    <w:p w14:paraId="5EA8383D" w14:textId="52947639" w:rsidR="00387A7D" w:rsidRPr="00A53480" w:rsidRDefault="00387A7D" w:rsidP="00802E9B">
      <w:pPr>
        <w:pStyle w:val="FootnoteText"/>
        <w:spacing w:line="276" w:lineRule="auto"/>
        <w:jc w:val="both"/>
        <w:rPr>
          <w:rFonts w:ascii="Times New Roman" w:hAnsi="Times New Roman" w:cs="Times New Roman"/>
          <w:sz w:val="18"/>
          <w:szCs w:val="18"/>
          <w:lang w:val="pt-PT"/>
        </w:rPr>
      </w:pPr>
      <w:r w:rsidRPr="00A53480">
        <w:rPr>
          <w:rStyle w:val="FootnoteReference"/>
          <w:rFonts w:ascii="Times New Roman" w:hAnsi="Times New Roman" w:cs="Times New Roman"/>
          <w:sz w:val="18"/>
          <w:szCs w:val="18"/>
        </w:rPr>
        <w:footnoteRef/>
      </w:r>
      <w:r w:rsidRPr="00A53480">
        <w:rPr>
          <w:rFonts w:ascii="Times New Roman" w:hAnsi="Times New Roman" w:cs="Times New Roman"/>
          <w:sz w:val="18"/>
          <w:szCs w:val="18"/>
          <w:lang w:val="pt-PT"/>
        </w:rPr>
        <w:t xml:space="preserve"> https://ganhri.org/accreditation/</w:t>
      </w:r>
    </w:p>
  </w:footnote>
  <w:footnote w:id="15">
    <w:p w14:paraId="5C026914" w14:textId="4ABEA0F9" w:rsidR="001E6828" w:rsidRPr="00A53480" w:rsidRDefault="001E6828" w:rsidP="00802E9B">
      <w:pPr>
        <w:pStyle w:val="FootnoteText"/>
        <w:spacing w:line="276" w:lineRule="auto"/>
        <w:jc w:val="both"/>
        <w:rPr>
          <w:rFonts w:ascii="Times New Roman" w:hAnsi="Times New Roman" w:cs="Times New Roman"/>
          <w:sz w:val="18"/>
          <w:szCs w:val="18"/>
          <w:lang w:val="pt-PT"/>
        </w:rPr>
      </w:pPr>
      <w:r w:rsidRPr="00A53480">
        <w:rPr>
          <w:rStyle w:val="FootnoteReference"/>
          <w:rFonts w:ascii="Times New Roman" w:hAnsi="Times New Roman" w:cs="Times New Roman"/>
          <w:sz w:val="18"/>
          <w:szCs w:val="18"/>
        </w:rPr>
        <w:footnoteRef/>
      </w:r>
      <w:r w:rsidRPr="00A53480">
        <w:rPr>
          <w:rFonts w:ascii="Times New Roman" w:hAnsi="Times New Roman" w:cs="Times New Roman"/>
          <w:sz w:val="18"/>
          <w:szCs w:val="18"/>
          <w:lang w:val="pt-PT"/>
        </w:rPr>
        <w:t xml:space="preserve"> https://www.ohchr.org/en/hr-bodies/hrc/nhri-participation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C1526"/>
    <w:multiLevelType w:val="multilevel"/>
    <w:tmpl w:val="2B40A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9210B"/>
    <w:multiLevelType w:val="hybridMultilevel"/>
    <w:tmpl w:val="F45E5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F398C"/>
    <w:multiLevelType w:val="multilevel"/>
    <w:tmpl w:val="EF4CF9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536E7D60"/>
    <w:multiLevelType w:val="hybridMultilevel"/>
    <w:tmpl w:val="D37264A8"/>
    <w:lvl w:ilvl="0" w:tplc="0374C0D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35122C"/>
    <w:multiLevelType w:val="multilevel"/>
    <w:tmpl w:val="ABEC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F1249"/>
    <w:multiLevelType w:val="hybridMultilevel"/>
    <w:tmpl w:val="39D403DC"/>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54"/>
    <w:rsid w:val="001072EA"/>
    <w:rsid w:val="00116F51"/>
    <w:rsid w:val="001731E1"/>
    <w:rsid w:val="00185E60"/>
    <w:rsid w:val="001B3F20"/>
    <w:rsid w:val="001E6828"/>
    <w:rsid w:val="00213806"/>
    <w:rsid w:val="002162CC"/>
    <w:rsid w:val="002633BB"/>
    <w:rsid w:val="0029726C"/>
    <w:rsid w:val="002B50F1"/>
    <w:rsid w:val="002F012D"/>
    <w:rsid w:val="0030644B"/>
    <w:rsid w:val="00322E6B"/>
    <w:rsid w:val="003601CC"/>
    <w:rsid w:val="00387A7D"/>
    <w:rsid w:val="003914E4"/>
    <w:rsid w:val="003A1A76"/>
    <w:rsid w:val="003F0D4A"/>
    <w:rsid w:val="0044009B"/>
    <w:rsid w:val="00443A0F"/>
    <w:rsid w:val="005A503D"/>
    <w:rsid w:val="005B41EA"/>
    <w:rsid w:val="005C3B4A"/>
    <w:rsid w:val="005C72E7"/>
    <w:rsid w:val="006F059E"/>
    <w:rsid w:val="007572B5"/>
    <w:rsid w:val="00772E8F"/>
    <w:rsid w:val="00784497"/>
    <w:rsid w:val="007A37FD"/>
    <w:rsid w:val="007D16E7"/>
    <w:rsid w:val="00802E9B"/>
    <w:rsid w:val="00803916"/>
    <w:rsid w:val="00810767"/>
    <w:rsid w:val="00817173"/>
    <w:rsid w:val="00830EC0"/>
    <w:rsid w:val="0084522F"/>
    <w:rsid w:val="00857CF0"/>
    <w:rsid w:val="00884700"/>
    <w:rsid w:val="008F137D"/>
    <w:rsid w:val="00913E10"/>
    <w:rsid w:val="00923FCF"/>
    <w:rsid w:val="009B47B8"/>
    <w:rsid w:val="00A32B28"/>
    <w:rsid w:val="00A53480"/>
    <w:rsid w:val="00A70C8E"/>
    <w:rsid w:val="00A90CEF"/>
    <w:rsid w:val="00AC1E8C"/>
    <w:rsid w:val="00AE4B2E"/>
    <w:rsid w:val="00AE4E15"/>
    <w:rsid w:val="00B06848"/>
    <w:rsid w:val="00B637C5"/>
    <w:rsid w:val="00B73383"/>
    <w:rsid w:val="00B7562D"/>
    <w:rsid w:val="00B83109"/>
    <w:rsid w:val="00BC6D1C"/>
    <w:rsid w:val="00D02312"/>
    <w:rsid w:val="00D14A84"/>
    <w:rsid w:val="00D22C3A"/>
    <w:rsid w:val="00D26154"/>
    <w:rsid w:val="00DE0866"/>
    <w:rsid w:val="00DE3EAF"/>
    <w:rsid w:val="00E02712"/>
    <w:rsid w:val="00E0637A"/>
    <w:rsid w:val="00E06FAD"/>
    <w:rsid w:val="00E27DBA"/>
    <w:rsid w:val="00E452FB"/>
    <w:rsid w:val="00E62DD8"/>
    <w:rsid w:val="00EB1ED0"/>
    <w:rsid w:val="00EB6A1C"/>
    <w:rsid w:val="00ED7C92"/>
    <w:rsid w:val="00F70978"/>
    <w:rsid w:val="00FD1D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63C3"/>
  <w15:chartTrackingRefBased/>
  <w15:docId w15:val="{64D8A0D5-636F-4DB4-A868-17E71DD3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D26154"/>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23G">
    <w:name w:val="_ H_2/3_G"/>
    <w:basedOn w:val="Normal"/>
    <w:next w:val="Normal"/>
    <w:rsid w:val="00D2615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character" w:styleId="Hyperlink">
    <w:name w:val="Hyperlink"/>
    <w:basedOn w:val="DefaultParagraphFont"/>
    <w:uiPriority w:val="99"/>
    <w:unhideWhenUsed/>
    <w:rsid w:val="003601CC"/>
    <w:rPr>
      <w:color w:val="0563C1"/>
      <w:u w:val="single"/>
    </w:rPr>
  </w:style>
  <w:style w:type="paragraph" w:styleId="ListParagraph">
    <w:name w:val="List Paragraph"/>
    <w:basedOn w:val="Normal"/>
    <w:uiPriority w:val="34"/>
    <w:qFormat/>
    <w:rsid w:val="00443A0F"/>
    <w:pPr>
      <w:ind w:left="720"/>
      <w:contextualSpacing/>
    </w:pPr>
  </w:style>
  <w:style w:type="paragraph" w:customStyle="1" w:styleId="Default">
    <w:name w:val="Default"/>
    <w:rsid w:val="00443A0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F0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12D"/>
    <w:rPr>
      <w:sz w:val="20"/>
      <w:szCs w:val="20"/>
    </w:rPr>
  </w:style>
  <w:style w:type="character" w:styleId="FootnoteReference">
    <w:name w:val="footnote reference"/>
    <w:basedOn w:val="DefaultParagraphFont"/>
    <w:uiPriority w:val="99"/>
    <w:semiHidden/>
    <w:unhideWhenUsed/>
    <w:rsid w:val="002F012D"/>
    <w:rPr>
      <w:vertAlign w:val="superscript"/>
    </w:rPr>
  </w:style>
  <w:style w:type="paragraph" w:styleId="EndnoteText">
    <w:name w:val="endnote text"/>
    <w:basedOn w:val="Normal"/>
    <w:link w:val="EndnoteTextChar"/>
    <w:uiPriority w:val="99"/>
    <w:semiHidden/>
    <w:unhideWhenUsed/>
    <w:rsid w:val="00B73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383"/>
    <w:rPr>
      <w:sz w:val="20"/>
      <w:szCs w:val="20"/>
    </w:rPr>
  </w:style>
  <w:style w:type="character" w:styleId="EndnoteReference">
    <w:name w:val="endnote reference"/>
    <w:basedOn w:val="DefaultParagraphFont"/>
    <w:uiPriority w:val="99"/>
    <w:semiHidden/>
    <w:unhideWhenUsed/>
    <w:rsid w:val="00B73383"/>
    <w:rPr>
      <w:vertAlign w:val="superscript"/>
    </w:rPr>
  </w:style>
  <w:style w:type="character" w:styleId="UnresolvedMention">
    <w:name w:val="Unresolved Mention"/>
    <w:basedOn w:val="DefaultParagraphFont"/>
    <w:uiPriority w:val="99"/>
    <w:semiHidden/>
    <w:unhideWhenUsed/>
    <w:rsid w:val="00B73383"/>
    <w:rPr>
      <w:color w:val="605E5C"/>
      <w:shd w:val="clear" w:color="auto" w:fill="E1DFDD"/>
    </w:rPr>
  </w:style>
  <w:style w:type="paragraph" w:styleId="BalloonText">
    <w:name w:val="Balloon Text"/>
    <w:basedOn w:val="Normal"/>
    <w:link w:val="BalloonTextChar"/>
    <w:uiPriority w:val="99"/>
    <w:semiHidden/>
    <w:unhideWhenUsed/>
    <w:rsid w:val="00BC6D1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6D1C"/>
    <w:rPr>
      <w:rFonts w:ascii="Times New Roman" w:hAnsi="Times New Roman" w:cs="Times New Roman"/>
      <w:sz w:val="18"/>
      <w:szCs w:val="18"/>
    </w:rPr>
  </w:style>
  <w:style w:type="character" w:styleId="Strong">
    <w:name w:val="Strong"/>
    <w:basedOn w:val="DefaultParagraphFont"/>
    <w:uiPriority w:val="22"/>
    <w:qFormat/>
    <w:rsid w:val="00B06848"/>
    <w:rPr>
      <w:b/>
      <w:bCs/>
    </w:rPr>
  </w:style>
  <w:style w:type="character" w:styleId="CommentReference">
    <w:name w:val="annotation reference"/>
    <w:basedOn w:val="DefaultParagraphFont"/>
    <w:uiPriority w:val="99"/>
    <w:semiHidden/>
    <w:unhideWhenUsed/>
    <w:rsid w:val="002633BB"/>
    <w:rPr>
      <w:sz w:val="16"/>
      <w:szCs w:val="16"/>
    </w:rPr>
  </w:style>
  <w:style w:type="paragraph" w:styleId="CommentText">
    <w:name w:val="annotation text"/>
    <w:basedOn w:val="Normal"/>
    <w:link w:val="CommentTextChar"/>
    <w:uiPriority w:val="99"/>
    <w:semiHidden/>
    <w:unhideWhenUsed/>
    <w:rsid w:val="002633BB"/>
    <w:pPr>
      <w:spacing w:line="240" w:lineRule="auto"/>
    </w:pPr>
    <w:rPr>
      <w:sz w:val="20"/>
      <w:szCs w:val="20"/>
    </w:rPr>
  </w:style>
  <w:style w:type="character" w:customStyle="1" w:styleId="CommentTextChar">
    <w:name w:val="Comment Text Char"/>
    <w:basedOn w:val="DefaultParagraphFont"/>
    <w:link w:val="CommentText"/>
    <w:uiPriority w:val="99"/>
    <w:semiHidden/>
    <w:rsid w:val="002633BB"/>
    <w:rPr>
      <w:sz w:val="20"/>
      <w:szCs w:val="20"/>
    </w:rPr>
  </w:style>
  <w:style w:type="paragraph" w:styleId="CommentSubject">
    <w:name w:val="annotation subject"/>
    <w:basedOn w:val="CommentText"/>
    <w:next w:val="CommentText"/>
    <w:link w:val="CommentSubjectChar"/>
    <w:uiPriority w:val="99"/>
    <w:semiHidden/>
    <w:unhideWhenUsed/>
    <w:rsid w:val="002633BB"/>
    <w:rPr>
      <w:b/>
      <w:bCs/>
    </w:rPr>
  </w:style>
  <w:style w:type="character" w:customStyle="1" w:styleId="CommentSubjectChar">
    <w:name w:val="Comment Subject Char"/>
    <w:basedOn w:val="CommentTextChar"/>
    <w:link w:val="CommentSubject"/>
    <w:uiPriority w:val="99"/>
    <w:semiHidden/>
    <w:rsid w:val="002633BB"/>
    <w:rPr>
      <w:b/>
      <w:bCs/>
      <w:sz w:val="20"/>
      <w:szCs w:val="20"/>
    </w:rPr>
  </w:style>
  <w:style w:type="paragraph" w:styleId="Revision">
    <w:name w:val="Revision"/>
    <w:hidden/>
    <w:uiPriority w:val="99"/>
    <w:semiHidden/>
    <w:rsid w:val="00AE4E15"/>
    <w:pPr>
      <w:spacing w:after="0" w:line="240" w:lineRule="auto"/>
    </w:pPr>
  </w:style>
  <w:style w:type="paragraph" w:styleId="Header">
    <w:name w:val="header"/>
    <w:basedOn w:val="Normal"/>
    <w:link w:val="HeaderChar"/>
    <w:uiPriority w:val="99"/>
    <w:unhideWhenUsed/>
    <w:rsid w:val="00E45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2FB"/>
  </w:style>
  <w:style w:type="paragraph" w:styleId="Footer">
    <w:name w:val="footer"/>
    <w:basedOn w:val="Normal"/>
    <w:link w:val="FooterChar"/>
    <w:uiPriority w:val="99"/>
    <w:unhideWhenUsed/>
    <w:rsid w:val="00E45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4086">
      <w:bodyDiv w:val="1"/>
      <w:marLeft w:val="0"/>
      <w:marRight w:val="0"/>
      <w:marTop w:val="0"/>
      <w:marBottom w:val="0"/>
      <w:divBdr>
        <w:top w:val="none" w:sz="0" w:space="0" w:color="auto"/>
        <w:left w:val="none" w:sz="0" w:space="0" w:color="auto"/>
        <w:bottom w:val="none" w:sz="0" w:space="0" w:color="auto"/>
        <w:right w:val="none" w:sz="0" w:space="0" w:color="auto"/>
      </w:divBdr>
    </w:div>
    <w:div w:id="319846648">
      <w:bodyDiv w:val="1"/>
      <w:marLeft w:val="0"/>
      <w:marRight w:val="0"/>
      <w:marTop w:val="0"/>
      <w:marBottom w:val="0"/>
      <w:divBdr>
        <w:top w:val="none" w:sz="0" w:space="0" w:color="auto"/>
        <w:left w:val="none" w:sz="0" w:space="0" w:color="auto"/>
        <w:bottom w:val="none" w:sz="0" w:space="0" w:color="auto"/>
        <w:right w:val="none" w:sz="0" w:space="0" w:color="auto"/>
      </w:divBdr>
    </w:div>
    <w:div w:id="345249203">
      <w:bodyDiv w:val="1"/>
      <w:marLeft w:val="0"/>
      <w:marRight w:val="0"/>
      <w:marTop w:val="0"/>
      <w:marBottom w:val="0"/>
      <w:divBdr>
        <w:top w:val="none" w:sz="0" w:space="0" w:color="auto"/>
        <w:left w:val="none" w:sz="0" w:space="0" w:color="auto"/>
        <w:bottom w:val="none" w:sz="0" w:space="0" w:color="auto"/>
        <w:right w:val="none" w:sz="0" w:space="0" w:color="auto"/>
      </w:divBdr>
    </w:div>
    <w:div w:id="386689704">
      <w:bodyDiv w:val="1"/>
      <w:marLeft w:val="0"/>
      <w:marRight w:val="0"/>
      <w:marTop w:val="0"/>
      <w:marBottom w:val="0"/>
      <w:divBdr>
        <w:top w:val="none" w:sz="0" w:space="0" w:color="auto"/>
        <w:left w:val="none" w:sz="0" w:space="0" w:color="auto"/>
        <w:bottom w:val="none" w:sz="0" w:space="0" w:color="auto"/>
        <w:right w:val="none" w:sz="0" w:space="0" w:color="auto"/>
      </w:divBdr>
    </w:div>
    <w:div w:id="552814839">
      <w:bodyDiv w:val="1"/>
      <w:marLeft w:val="0"/>
      <w:marRight w:val="0"/>
      <w:marTop w:val="0"/>
      <w:marBottom w:val="0"/>
      <w:divBdr>
        <w:top w:val="none" w:sz="0" w:space="0" w:color="auto"/>
        <w:left w:val="none" w:sz="0" w:space="0" w:color="auto"/>
        <w:bottom w:val="none" w:sz="0" w:space="0" w:color="auto"/>
        <w:right w:val="none" w:sz="0" w:space="0" w:color="auto"/>
      </w:divBdr>
    </w:div>
    <w:div w:id="1483305870">
      <w:bodyDiv w:val="1"/>
      <w:marLeft w:val="0"/>
      <w:marRight w:val="0"/>
      <w:marTop w:val="0"/>
      <w:marBottom w:val="0"/>
      <w:divBdr>
        <w:top w:val="none" w:sz="0" w:space="0" w:color="auto"/>
        <w:left w:val="none" w:sz="0" w:space="0" w:color="auto"/>
        <w:bottom w:val="none" w:sz="0" w:space="0" w:color="auto"/>
        <w:right w:val="none" w:sz="0" w:space="0" w:color="auto"/>
      </w:divBdr>
    </w:div>
    <w:div w:id="18278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2EF0-2C2F-4B59-9218-F2854819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2374</Words>
  <Characters>13538</Characters>
  <Application>Microsoft Office Word</Application>
  <DocSecurity>0</DocSecurity>
  <Lines>112</Lines>
  <Paragraphs>31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OHCHR</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Rodriguez de Alba Freiria</dc:creator>
  <cp:keywords/>
  <dc:description/>
  <cp:lastModifiedBy>Belen Rodriguez de Alba Freiria</cp:lastModifiedBy>
  <cp:revision>2</cp:revision>
  <dcterms:created xsi:type="dcterms:W3CDTF">2022-11-02T13:00:00Z</dcterms:created>
  <dcterms:modified xsi:type="dcterms:W3CDTF">2022-11-02T13:00:00Z</dcterms:modified>
</cp:coreProperties>
</file>