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685C" w14:textId="77777777" w:rsidR="008E6372" w:rsidRDefault="007A4E23" w:rsidP="008E6372">
      <w:pPr>
        <w:spacing w:before="0" w:after="0"/>
        <w:jc w:val="center"/>
        <w:rPr>
          <w:rFonts w:eastAsia="Arial"/>
          <w:b/>
          <w:bCs/>
        </w:rPr>
      </w:pPr>
      <w:r>
        <w:rPr>
          <w:rFonts w:eastAsia="Arial"/>
          <w:b/>
          <w:bCs/>
        </w:rPr>
        <w:t xml:space="preserve">Joint input from Aotearoa Independent Monitoring Mechanism and </w:t>
      </w:r>
    </w:p>
    <w:p w14:paraId="02B90A37" w14:textId="44A121BF" w:rsidR="007A4E23" w:rsidRDefault="007A4E23" w:rsidP="008E6372">
      <w:pPr>
        <w:spacing w:before="0" w:after="0"/>
        <w:jc w:val="center"/>
        <w:rPr>
          <w:rFonts w:eastAsia="Arial"/>
          <w:b/>
          <w:bCs/>
        </w:rPr>
      </w:pPr>
      <w:r>
        <w:rPr>
          <w:rFonts w:eastAsia="Arial"/>
          <w:b/>
          <w:bCs/>
        </w:rPr>
        <w:t xml:space="preserve">Te </w:t>
      </w:r>
      <w:proofErr w:type="spellStart"/>
      <w:r>
        <w:rPr>
          <w:rFonts w:eastAsia="Arial"/>
          <w:b/>
          <w:bCs/>
        </w:rPr>
        <w:t>Kāhui</w:t>
      </w:r>
      <w:proofErr w:type="spellEnd"/>
      <w:r>
        <w:rPr>
          <w:rFonts w:eastAsia="Arial"/>
          <w:b/>
          <w:bCs/>
        </w:rPr>
        <w:t xml:space="preserve"> Tika Tangata </w:t>
      </w:r>
      <w:r w:rsidR="008E6372">
        <w:rPr>
          <w:rFonts w:eastAsia="Arial"/>
          <w:b/>
          <w:bCs/>
        </w:rPr>
        <w:t>| New Zealand Human Rights Commission</w:t>
      </w:r>
    </w:p>
    <w:p w14:paraId="5556501A" w14:textId="77777777" w:rsidR="007D6E3B" w:rsidRDefault="007D6E3B" w:rsidP="008E6372">
      <w:pPr>
        <w:spacing w:before="0" w:after="0"/>
        <w:jc w:val="center"/>
        <w:rPr>
          <w:rFonts w:eastAsia="Arial"/>
          <w:b/>
          <w:bCs/>
        </w:rPr>
      </w:pPr>
    </w:p>
    <w:p w14:paraId="799BDFF0" w14:textId="2D028934" w:rsidR="007D6E3B" w:rsidRDefault="007D6E3B" w:rsidP="008E6372">
      <w:pPr>
        <w:spacing w:before="0" w:after="0"/>
        <w:jc w:val="center"/>
        <w:rPr>
          <w:rFonts w:eastAsia="Arial"/>
          <w:b/>
          <w:bCs/>
        </w:rPr>
      </w:pPr>
      <w:r>
        <w:rPr>
          <w:rFonts w:eastAsia="Arial"/>
          <w:b/>
          <w:bCs/>
        </w:rPr>
        <w:t>To the Expert Mechanism on the Rights of Indigenous Peoples</w:t>
      </w:r>
    </w:p>
    <w:p w14:paraId="2CC5CFFC" w14:textId="6BEAE28F" w:rsidR="000968B4" w:rsidRDefault="00FC4315" w:rsidP="008E6372">
      <w:pPr>
        <w:spacing w:before="0" w:after="0"/>
        <w:jc w:val="center"/>
        <w:rPr>
          <w:rFonts w:eastAsia="Arial"/>
          <w:b/>
          <w:bCs/>
        </w:rPr>
      </w:pPr>
      <w:r w:rsidRPr="003C5891">
        <w:rPr>
          <w:rFonts w:eastAsia="Arial"/>
          <w:b/>
          <w:bCs/>
        </w:rPr>
        <w:t>Report on “Establishing monitoring mechanisms at the national and regional level for implementation of the UN Declaration on the rights of Indigenous Peoples”</w:t>
      </w:r>
    </w:p>
    <w:p w14:paraId="76DBFE4E" w14:textId="77777777" w:rsidR="008E6372" w:rsidRPr="003C5891" w:rsidRDefault="008E6372" w:rsidP="008E6372">
      <w:pPr>
        <w:spacing w:before="0" w:after="0"/>
        <w:jc w:val="center"/>
      </w:pPr>
      <w:r w:rsidRPr="003C5891">
        <w:rPr>
          <w:rFonts w:eastAsia="Arial"/>
        </w:rPr>
        <w:t>17 March 2023</w:t>
      </w:r>
    </w:p>
    <w:p w14:paraId="7CA1912E" w14:textId="435F9342" w:rsidR="000968B4" w:rsidRPr="003C5891" w:rsidRDefault="008E6372" w:rsidP="25035A9C">
      <w:pPr>
        <w:spacing w:before="0" w:after="0"/>
      </w:pPr>
      <w:r w:rsidRPr="003C5891">
        <w:rPr>
          <w:rFonts w:eastAsia="Arial"/>
        </w:rPr>
        <w:t xml:space="preserve"> </w:t>
      </w:r>
    </w:p>
    <w:p w14:paraId="34876E3B" w14:textId="4FBEBCD7" w:rsidR="00274855" w:rsidRPr="003C5891" w:rsidRDefault="00A87A6C" w:rsidP="25035A9C">
      <w:pPr>
        <w:spacing w:before="0" w:after="0"/>
        <w:rPr>
          <w:rFonts w:eastAsia="Arial"/>
        </w:rPr>
      </w:pPr>
      <w:r w:rsidRPr="00E33C64">
        <w:rPr>
          <w:rFonts w:eastAsia="Arial"/>
        </w:rPr>
        <w:t>The Aotearoa Independent Monitoring Mechanism</w:t>
      </w:r>
      <w:r w:rsidR="005C150F" w:rsidRPr="00E33C64">
        <w:rPr>
          <w:rFonts w:eastAsia="Arial"/>
        </w:rPr>
        <w:t xml:space="preserve"> </w:t>
      </w:r>
      <w:r w:rsidR="00E33C64">
        <w:rPr>
          <w:rFonts w:eastAsia="Arial"/>
        </w:rPr>
        <w:t xml:space="preserve">(AIMM) </w:t>
      </w:r>
      <w:r w:rsidR="005C150F" w:rsidRPr="00E33C64">
        <w:rPr>
          <w:rFonts w:eastAsia="Arial"/>
        </w:rPr>
        <w:t>an</w:t>
      </w:r>
      <w:r w:rsidR="00E33C64" w:rsidRPr="00E33C64">
        <w:rPr>
          <w:rFonts w:eastAsia="Arial"/>
        </w:rPr>
        <w:t>d</w:t>
      </w:r>
      <w:r w:rsidR="005C150F" w:rsidRPr="00E33C64">
        <w:rPr>
          <w:rFonts w:eastAsia="Arial"/>
        </w:rPr>
        <w:t xml:space="preserve"> </w:t>
      </w:r>
      <w:r w:rsidR="00FC4315" w:rsidRPr="00E33C64">
        <w:rPr>
          <w:rFonts w:eastAsia="Arial"/>
        </w:rPr>
        <w:t>Te</w:t>
      </w:r>
      <w:r w:rsidR="00FC4315" w:rsidRPr="003C5891">
        <w:rPr>
          <w:rFonts w:eastAsia="Arial"/>
        </w:rPr>
        <w:t xml:space="preserve"> </w:t>
      </w:r>
      <w:proofErr w:type="spellStart"/>
      <w:r w:rsidR="00FC4315" w:rsidRPr="003C5891">
        <w:rPr>
          <w:rFonts w:eastAsia="Arial"/>
        </w:rPr>
        <w:t>Kāhui</w:t>
      </w:r>
      <w:proofErr w:type="spellEnd"/>
      <w:r w:rsidR="00FC4315" w:rsidRPr="003C5891">
        <w:rPr>
          <w:rFonts w:eastAsia="Arial"/>
        </w:rPr>
        <w:t xml:space="preserve"> Tika Tangata | New Zealand Human Rights Commission </w:t>
      </w:r>
      <w:r w:rsidR="00E33C64">
        <w:rPr>
          <w:rFonts w:eastAsia="Arial"/>
        </w:rPr>
        <w:t xml:space="preserve">(the Commission) </w:t>
      </w:r>
      <w:r w:rsidR="00FC4315" w:rsidRPr="003C5891">
        <w:rPr>
          <w:rFonts w:eastAsia="Arial"/>
        </w:rPr>
        <w:t xml:space="preserve">appreciate the opportunity to provide input to the Expert Mechanism’s forthcoming report. </w:t>
      </w:r>
    </w:p>
    <w:p w14:paraId="14E37C41" w14:textId="6EE6B959" w:rsidR="00112E88" w:rsidRDefault="00112E88" w:rsidP="25035A9C">
      <w:pPr>
        <w:spacing w:before="0" w:after="0"/>
        <w:rPr>
          <w:rFonts w:eastAsia="Arial"/>
        </w:rPr>
      </w:pPr>
    </w:p>
    <w:p w14:paraId="4C8EFFF6" w14:textId="7B6BCAE4" w:rsidR="00FB2F6B" w:rsidRPr="003C5891" w:rsidRDefault="00FB2F6B" w:rsidP="00FB2F6B">
      <w:pPr>
        <w:spacing w:before="0" w:after="0"/>
        <w:rPr>
          <w:rFonts w:eastAsia="Arial"/>
        </w:rPr>
      </w:pPr>
      <w:r>
        <w:rPr>
          <w:rFonts w:eastAsia="Arial"/>
        </w:rPr>
        <w:t>The AIMM was established by the National Iwi Chairs Forum (NICF), which is comprised of representatives of the national tribal nations’ chairs body, to monitor each year New Zealand’s progress in implementing the UN Declaration on the Rights of Indigenous Peoples.  As detailed below, the AIMM and the Human Rights Commission work together on this project.</w:t>
      </w:r>
    </w:p>
    <w:p w14:paraId="651EEFE9" w14:textId="77777777" w:rsidR="00FB2F6B" w:rsidRPr="003C5891" w:rsidRDefault="00FB2F6B" w:rsidP="25035A9C">
      <w:pPr>
        <w:spacing w:before="0" w:after="0"/>
        <w:rPr>
          <w:rFonts w:eastAsia="Arial"/>
        </w:rPr>
      </w:pPr>
    </w:p>
    <w:p w14:paraId="245F2A71" w14:textId="6C72EA74" w:rsidR="00112E88" w:rsidRDefault="00112E88" w:rsidP="25035A9C">
      <w:pPr>
        <w:spacing w:before="0" w:after="0"/>
        <w:rPr>
          <w:rFonts w:eastAsia="Arial"/>
        </w:rPr>
      </w:pPr>
      <w:r w:rsidRPr="003C5891">
        <w:rPr>
          <w:rFonts w:eastAsia="Arial"/>
        </w:rPr>
        <w:t>Further to the presentation</w:t>
      </w:r>
      <w:r w:rsidR="002C5CEA">
        <w:rPr>
          <w:rFonts w:eastAsia="Arial"/>
        </w:rPr>
        <w:t>s</w:t>
      </w:r>
      <w:r w:rsidRPr="003C5891">
        <w:rPr>
          <w:rFonts w:eastAsia="Arial"/>
        </w:rPr>
        <w:t xml:space="preserve"> provided to the </w:t>
      </w:r>
      <w:r w:rsidR="001000A9" w:rsidRPr="003C5891">
        <w:rPr>
          <w:rFonts w:eastAsia="Arial"/>
        </w:rPr>
        <w:t>recent Expert Seminar on this topic</w:t>
      </w:r>
      <w:r w:rsidR="008A10BC">
        <w:rPr>
          <w:rFonts w:eastAsia="Arial"/>
        </w:rPr>
        <w:t xml:space="preserve"> </w:t>
      </w:r>
      <w:r w:rsidR="008A10BC">
        <w:rPr>
          <w:rFonts w:eastAsia="Arial"/>
        </w:rPr>
        <w:t>at the University of British Columbia, Vancouver</w:t>
      </w:r>
      <w:r w:rsidR="001000A9" w:rsidRPr="003C5891">
        <w:rPr>
          <w:rFonts w:eastAsia="Arial"/>
        </w:rPr>
        <w:t>, below we provide comments on</w:t>
      </w:r>
      <w:r w:rsidR="00582C25">
        <w:rPr>
          <w:rFonts w:eastAsia="Arial"/>
        </w:rPr>
        <w:t xml:space="preserve"> areas of</w:t>
      </w:r>
      <w:r w:rsidR="001000A9" w:rsidRPr="003C5891">
        <w:rPr>
          <w:rFonts w:eastAsia="Arial"/>
        </w:rPr>
        <w:t xml:space="preserve"> </w:t>
      </w:r>
      <w:r w:rsidR="005C150F">
        <w:rPr>
          <w:rFonts w:eastAsia="Arial"/>
        </w:rPr>
        <w:t>our work</w:t>
      </w:r>
      <w:r w:rsidR="00582C25">
        <w:rPr>
          <w:rFonts w:eastAsia="Arial"/>
        </w:rPr>
        <w:t xml:space="preserve"> related to the </w:t>
      </w:r>
      <w:r w:rsidR="004E13F7" w:rsidRPr="003C5891">
        <w:rPr>
          <w:rFonts w:eastAsia="Arial"/>
        </w:rPr>
        <w:t>Expert Mechanism</w:t>
      </w:r>
      <w:r w:rsidR="005977D3" w:rsidRPr="003C5891">
        <w:rPr>
          <w:rFonts w:eastAsia="Arial"/>
        </w:rPr>
        <w:t>’s report.</w:t>
      </w:r>
      <w:r w:rsidR="004E13F7" w:rsidRPr="003C5891">
        <w:rPr>
          <w:rFonts w:eastAsia="Arial"/>
        </w:rPr>
        <w:t xml:space="preserve"> </w:t>
      </w:r>
    </w:p>
    <w:p w14:paraId="41917C73" w14:textId="708F7508" w:rsidR="00801095" w:rsidRDefault="00801095" w:rsidP="25035A9C">
      <w:pPr>
        <w:spacing w:before="0" w:after="0"/>
        <w:rPr>
          <w:rFonts w:eastAsia="Arial"/>
        </w:rPr>
      </w:pPr>
    </w:p>
    <w:p w14:paraId="4A89946A" w14:textId="1FC9C078" w:rsidR="00801095" w:rsidRDefault="00801095" w:rsidP="00801095">
      <w:pPr>
        <w:pStyle w:val="Heading2"/>
      </w:pPr>
      <w:r>
        <w:t xml:space="preserve">Overall </w:t>
      </w:r>
      <w:r w:rsidR="001040B8">
        <w:t>C</w:t>
      </w:r>
      <w:r>
        <w:t xml:space="preserve">omment on </w:t>
      </w:r>
      <w:r w:rsidR="001040B8">
        <w:t>M</w:t>
      </w:r>
      <w:r>
        <w:t>onitoring</w:t>
      </w:r>
    </w:p>
    <w:p w14:paraId="26B04B38" w14:textId="30CB1052" w:rsidR="00801095" w:rsidRDefault="005C150F" w:rsidP="00801095">
      <w:pPr>
        <w:rPr>
          <w:rFonts w:ascii="Calibri" w:eastAsia="Times New Roman" w:hAnsi="Calibri" w:cs="Calibri"/>
          <w:sz w:val="22"/>
          <w:szCs w:val="22"/>
        </w:rPr>
      </w:pPr>
      <w:r>
        <w:rPr>
          <w:rFonts w:eastAsia="Times New Roman"/>
        </w:rPr>
        <w:t>M</w:t>
      </w:r>
      <w:r w:rsidR="00801095">
        <w:rPr>
          <w:rFonts w:eastAsia="Times New Roman"/>
        </w:rPr>
        <w:t>onitoring</w:t>
      </w:r>
      <w:r>
        <w:rPr>
          <w:rFonts w:eastAsia="Times New Roman"/>
        </w:rPr>
        <w:t xml:space="preserve"> of implementation of the Declaration</w:t>
      </w:r>
      <w:r w:rsidR="00801095">
        <w:rPr>
          <w:rFonts w:eastAsia="Times New Roman"/>
        </w:rPr>
        <w:t xml:space="preserve"> has come mainly from </w:t>
      </w:r>
      <w:r>
        <w:rPr>
          <w:rFonts w:eastAsia="Times New Roman"/>
        </w:rPr>
        <w:t>the A</w:t>
      </w:r>
      <w:r w:rsidR="00801095">
        <w:rPr>
          <w:rFonts w:eastAsia="Times New Roman"/>
        </w:rPr>
        <w:t>IMM</w:t>
      </w:r>
      <w:r>
        <w:rPr>
          <w:rFonts w:eastAsia="Times New Roman"/>
        </w:rPr>
        <w:t>, the Commission</w:t>
      </w:r>
      <w:r w:rsidR="00801095">
        <w:rPr>
          <w:rFonts w:eastAsia="Times New Roman"/>
        </w:rPr>
        <w:t xml:space="preserve"> and civil society and includes </w:t>
      </w:r>
      <w:r w:rsidR="004C0E0C">
        <w:rPr>
          <w:rFonts w:eastAsia="Times New Roman"/>
        </w:rPr>
        <w:t xml:space="preserve">tracking of developments and progress, </w:t>
      </w:r>
      <w:r w:rsidR="00801095">
        <w:rPr>
          <w:rFonts w:eastAsia="Times New Roman"/>
        </w:rPr>
        <w:t>advocacy</w:t>
      </w:r>
      <w:r w:rsidR="004C0E0C">
        <w:rPr>
          <w:rFonts w:eastAsia="Times New Roman"/>
        </w:rPr>
        <w:t xml:space="preserve"> on policy and legislation</w:t>
      </w:r>
      <w:r w:rsidR="00233D02">
        <w:rPr>
          <w:rFonts w:eastAsia="Times New Roman"/>
        </w:rPr>
        <w:t xml:space="preserve">, and reporting to international human rights bodies. </w:t>
      </w:r>
      <w:proofErr w:type="gramStart"/>
      <w:r w:rsidR="00506A5D">
        <w:rPr>
          <w:rFonts w:eastAsia="Times New Roman"/>
        </w:rPr>
        <w:t>However</w:t>
      </w:r>
      <w:proofErr w:type="gramEnd"/>
      <w:r w:rsidR="00506A5D">
        <w:rPr>
          <w:rFonts w:eastAsia="Times New Roman"/>
        </w:rPr>
        <w:t xml:space="preserve"> in </w:t>
      </w:r>
      <w:r w:rsidR="00E622AF">
        <w:rPr>
          <w:rFonts w:eastAsia="Times New Roman"/>
        </w:rPr>
        <w:t xml:space="preserve">the absence of </w:t>
      </w:r>
      <w:r w:rsidR="00A154C6">
        <w:rPr>
          <w:rFonts w:eastAsia="Times New Roman"/>
        </w:rPr>
        <w:t xml:space="preserve">an </w:t>
      </w:r>
      <w:r w:rsidR="00801095">
        <w:rPr>
          <w:rFonts w:eastAsia="Times New Roman"/>
        </w:rPr>
        <w:t xml:space="preserve">enforcement mechanism to hold </w:t>
      </w:r>
      <w:r w:rsidR="00A154C6">
        <w:rPr>
          <w:rFonts w:eastAsia="Times New Roman"/>
        </w:rPr>
        <w:t xml:space="preserve">government </w:t>
      </w:r>
      <w:r w:rsidR="00801095">
        <w:rPr>
          <w:rFonts w:eastAsia="Times New Roman"/>
        </w:rPr>
        <w:t>to account</w:t>
      </w:r>
      <w:r w:rsidR="00A154C6">
        <w:rPr>
          <w:rFonts w:eastAsia="Times New Roman"/>
        </w:rPr>
        <w:t xml:space="preserve"> for its obligations, </w:t>
      </w:r>
      <w:r w:rsidR="00CC5A0C">
        <w:rPr>
          <w:rFonts w:eastAsia="Times New Roman"/>
        </w:rPr>
        <w:t xml:space="preserve">and domestic legal framework where </w:t>
      </w:r>
      <w:r w:rsidR="008A0466">
        <w:rPr>
          <w:rFonts w:eastAsia="Times New Roman"/>
        </w:rPr>
        <w:t xml:space="preserve">rights are subordinate to legislation generally, </w:t>
      </w:r>
      <w:r w:rsidR="0062138D">
        <w:rPr>
          <w:rFonts w:eastAsia="Times New Roman"/>
        </w:rPr>
        <w:t>progress remains largely reliant on political will and expediency</w:t>
      </w:r>
      <w:r w:rsidR="00801095">
        <w:rPr>
          <w:rFonts w:eastAsia="Times New Roman"/>
        </w:rPr>
        <w:t xml:space="preserve">. </w:t>
      </w:r>
    </w:p>
    <w:p w14:paraId="5D2F425C" w14:textId="696C16C4" w:rsidR="00337099" w:rsidRPr="004046DD" w:rsidRDefault="00BB40CF" w:rsidP="00146554">
      <w:pPr>
        <w:pStyle w:val="Heading2"/>
      </w:pPr>
      <w:r w:rsidRPr="004046DD">
        <w:t>Indigenous People</w:t>
      </w:r>
      <w:r w:rsidR="008A10BC">
        <w:t>s</w:t>
      </w:r>
      <w:r w:rsidRPr="004046DD">
        <w:t xml:space="preserve">’ </w:t>
      </w:r>
      <w:r w:rsidR="008A10BC">
        <w:t>M</w:t>
      </w:r>
      <w:r w:rsidRPr="004046DD">
        <w:t xml:space="preserve">onitoring </w:t>
      </w:r>
      <w:r w:rsidR="008A10BC">
        <w:t>M</w:t>
      </w:r>
      <w:r w:rsidRPr="00146554">
        <w:t>echanism</w:t>
      </w:r>
    </w:p>
    <w:p w14:paraId="47B203DF" w14:textId="698982F3" w:rsidR="0058679B" w:rsidRPr="003C5891" w:rsidRDefault="003E7541" w:rsidP="25035A9C">
      <w:pPr>
        <w:spacing w:before="0" w:after="0"/>
        <w:rPr>
          <w:rFonts w:eastAsia="Arial"/>
        </w:rPr>
      </w:pPr>
      <w:r w:rsidRPr="003C5891">
        <w:rPr>
          <w:rFonts w:eastAsia="Arial"/>
        </w:rPr>
        <w:t xml:space="preserve">The Commission continues to support the operations of the </w:t>
      </w:r>
      <w:r w:rsidR="00530A21">
        <w:rPr>
          <w:rFonts w:eastAsia="Arial"/>
        </w:rPr>
        <w:t>AIMM</w:t>
      </w:r>
      <w:r w:rsidRPr="003C5891">
        <w:rPr>
          <w:rFonts w:eastAsia="Arial"/>
        </w:rPr>
        <w:t>.</w:t>
      </w:r>
      <w:r w:rsidR="003E014A" w:rsidRPr="003C5891">
        <w:rPr>
          <w:rFonts w:eastAsia="Arial"/>
        </w:rPr>
        <w:t xml:space="preserve"> This support includes secretariat support and assisting with the preparation of the Monitoring Mechanism’s annual monitoring reports. </w:t>
      </w:r>
    </w:p>
    <w:p w14:paraId="4DF58185" w14:textId="77777777" w:rsidR="0058679B" w:rsidRPr="003C5891" w:rsidRDefault="0058679B" w:rsidP="25035A9C">
      <w:pPr>
        <w:spacing w:before="0" w:after="0"/>
        <w:rPr>
          <w:rFonts w:eastAsia="Arial"/>
        </w:rPr>
      </w:pPr>
    </w:p>
    <w:p w14:paraId="009400C8" w14:textId="2B6B2244" w:rsidR="003E7541" w:rsidRPr="003C5891" w:rsidRDefault="003E014A" w:rsidP="25035A9C">
      <w:pPr>
        <w:spacing w:before="0" w:after="0"/>
        <w:rPr>
          <w:rFonts w:eastAsia="Arial"/>
        </w:rPr>
      </w:pPr>
      <w:r w:rsidRPr="003C5891">
        <w:rPr>
          <w:rFonts w:eastAsia="Arial"/>
        </w:rPr>
        <w:t xml:space="preserve">Priorities for those reports have remained </w:t>
      </w:r>
      <w:r w:rsidR="005746DE" w:rsidRPr="003C5891">
        <w:rPr>
          <w:rFonts w:eastAsia="Arial"/>
        </w:rPr>
        <w:t>c</w:t>
      </w:r>
      <w:r w:rsidRPr="003C5891">
        <w:rPr>
          <w:rFonts w:eastAsia="Arial"/>
        </w:rPr>
        <w:t xml:space="preserve">onsistent over the eight years of the </w:t>
      </w:r>
      <w:r w:rsidR="007F6B99">
        <w:rPr>
          <w:rFonts w:eastAsia="Arial"/>
        </w:rPr>
        <w:t>AIMM</w:t>
      </w:r>
      <w:r w:rsidRPr="003C5891">
        <w:rPr>
          <w:rFonts w:eastAsia="Arial"/>
        </w:rPr>
        <w:t xml:space="preserve">’s operation, and are determined by the Monitoring Mechanism members, with the wider membership of the Forum invited to </w:t>
      </w:r>
      <w:r w:rsidR="005746DE" w:rsidRPr="003C5891">
        <w:rPr>
          <w:rFonts w:eastAsia="Arial"/>
        </w:rPr>
        <w:t>provide input should they wish.</w:t>
      </w:r>
    </w:p>
    <w:p w14:paraId="3B19CB56" w14:textId="77777777" w:rsidR="005746DE" w:rsidRPr="003C5891" w:rsidRDefault="005746DE" w:rsidP="25035A9C">
      <w:pPr>
        <w:spacing w:before="0" w:after="0"/>
        <w:rPr>
          <w:rFonts w:eastAsia="Arial"/>
        </w:rPr>
      </w:pPr>
    </w:p>
    <w:p w14:paraId="2C28EAE7" w14:textId="6C1D7578" w:rsidR="00BA10D4" w:rsidRDefault="00975E80" w:rsidP="25035A9C">
      <w:pPr>
        <w:spacing w:before="0" w:after="0"/>
        <w:rPr>
          <w:rFonts w:eastAsia="Arial"/>
        </w:rPr>
      </w:pPr>
      <w:r w:rsidRPr="003C5891">
        <w:rPr>
          <w:rFonts w:eastAsia="Arial"/>
        </w:rPr>
        <w:t>The Commission is part of other formal monitoring mechanisms, established under UN human rights treaties</w:t>
      </w:r>
      <w:r w:rsidR="00836ED1">
        <w:rPr>
          <w:rFonts w:eastAsia="Arial"/>
        </w:rPr>
        <w:t>,</w:t>
      </w:r>
      <w:r w:rsidRPr="003C5891">
        <w:rPr>
          <w:rFonts w:eastAsia="Arial"/>
        </w:rPr>
        <w:t xml:space="preserve"> namely</w:t>
      </w:r>
      <w:r w:rsidR="00836ED1">
        <w:rPr>
          <w:rFonts w:eastAsia="Arial"/>
        </w:rPr>
        <w:t>:</w:t>
      </w:r>
      <w:r w:rsidRPr="003C5891">
        <w:rPr>
          <w:rFonts w:eastAsia="Arial"/>
        </w:rPr>
        <w:t xml:space="preserve"> the Independent Monitoring Mechanism for the </w:t>
      </w:r>
      <w:r w:rsidR="007F6B99">
        <w:rPr>
          <w:rFonts w:eastAsia="Arial"/>
        </w:rPr>
        <w:t>Convention on the Rights of Persons with Disabilities</w:t>
      </w:r>
      <w:r w:rsidRPr="003C5891">
        <w:rPr>
          <w:rFonts w:eastAsia="Arial"/>
        </w:rPr>
        <w:t xml:space="preserve">, and as part of the National Preventive Mechanism for the OPCAT. </w:t>
      </w:r>
      <w:r w:rsidR="004B316C">
        <w:rPr>
          <w:rFonts w:eastAsia="Arial"/>
        </w:rPr>
        <w:t xml:space="preserve">We can raise Indigenous peoples’ rights issues within these processes. </w:t>
      </w:r>
      <w:r w:rsidR="00D66076" w:rsidRPr="003C5891">
        <w:rPr>
          <w:rFonts w:eastAsia="Arial"/>
        </w:rPr>
        <w:t xml:space="preserve">There are </w:t>
      </w:r>
      <w:r w:rsidR="00BA10D4">
        <w:rPr>
          <w:rFonts w:eastAsia="Arial"/>
        </w:rPr>
        <w:t xml:space="preserve">some </w:t>
      </w:r>
      <w:r w:rsidR="00D66076" w:rsidRPr="003C5891">
        <w:rPr>
          <w:rFonts w:eastAsia="Arial"/>
        </w:rPr>
        <w:t>benefits of having these sorts of formally established mechanisms</w:t>
      </w:r>
      <w:r w:rsidR="00DE3E1C">
        <w:rPr>
          <w:rFonts w:eastAsia="Arial"/>
        </w:rPr>
        <w:t>, i</w:t>
      </w:r>
      <w:r w:rsidR="00165267">
        <w:rPr>
          <w:rFonts w:eastAsia="Arial"/>
        </w:rPr>
        <w:t xml:space="preserve">n particular clearer obligations on government to fund </w:t>
      </w:r>
      <w:r w:rsidR="00BA10D4">
        <w:rPr>
          <w:rFonts w:eastAsia="Arial"/>
        </w:rPr>
        <w:t xml:space="preserve">and respond to </w:t>
      </w:r>
      <w:r w:rsidR="00A271A4">
        <w:rPr>
          <w:rFonts w:eastAsia="Arial"/>
        </w:rPr>
        <w:t xml:space="preserve">them. However, in our experience, that hasn’t necessarily translated into </w:t>
      </w:r>
      <w:r w:rsidR="00BE0FB3">
        <w:rPr>
          <w:rFonts w:eastAsia="Arial"/>
        </w:rPr>
        <w:t>adequate funding support</w:t>
      </w:r>
      <w:r w:rsidR="00BA10D4">
        <w:rPr>
          <w:rFonts w:eastAsia="Arial"/>
        </w:rPr>
        <w:t xml:space="preserve"> or response</w:t>
      </w:r>
      <w:r w:rsidR="00BE0FB3">
        <w:rPr>
          <w:rFonts w:eastAsia="Arial"/>
        </w:rPr>
        <w:t xml:space="preserve">. </w:t>
      </w:r>
    </w:p>
    <w:p w14:paraId="7D0DE37E" w14:textId="77777777" w:rsidR="00BA10D4" w:rsidRDefault="00BA10D4" w:rsidP="25035A9C">
      <w:pPr>
        <w:spacing w:before="0" w:after="0"/>
        <w:rPr>
          <w:rFonts w:eastAsia="Arial"/>
        </w:rPr>
      </w:pPr>
    </w:p>
    <w:p w14:paraId="64A38AA7" w14:textId="5DDE9616" w:rsidR="00C919EA" w:rsidRDefault="00BE0FB3" w:rsidP="25035A9C">
      <w:pPr>
        <w:spacing w:before="0" w:after="0"/>
        <w:rPr>
          <w:rFonts w:eastAsia="Arial"/>
        </w:rPr>
      </w:pPr>
      <w:r>
        <w:rPr>
          <w:rFonts w:eastAsia="Arial"/>
        </w:rPr>
        <w:t>In our view</w:t>
      </w:r>
      <w:r w:rsidR="00D66076" w:rsidRPr="003C5891">
        <w:rPr>
          <w:rFonts w:eastAsia="Arial"/>
        </w:rPr>
        <w:t>, the AIMM does not seem to be particularly disadvantaged by not being formally established</w:t>
      </w:r>
      <w:r w:rsidR="00E80457">
        <w:rPr>
          <w:rFonts w:eastAsia="Arial"/>
        </w:rPr>
        <w:t xml:space="preserve"> under legislation</w:t>
      </w:r>
      <w:r w:rsidR="00D66076" w:rsidRPr="003C5891">
        <w:rPr>
          <w:rFonts w:eastAsia="Arial"/>
        </w:rPr>
        <w:t>.</w:t>
      </w:r>
      <w:r w:rsidR="00E80457">
        <w:rPr>
          <w:rFonts w:eastAsia="Arial"/>
        </w:rPr>
        <w:t xml:space="preserve"> Rather, its own clear mandate</w:t>
      </w:r>
      <w:r w:rsidR="00867725">
        <w:rPr>
          <w:rFonts w:eastAsia="Arial"/>
        </w:rPr>
        <w:t xml:space="preserve"> </w:t>
      </w:r>
      <w:r w:rsidR="00C919EA">
        <w:rPr>
          <w:rFonts w:eastAsia="Arial"/>
        </w:rPr>
        <w:t xml:space="preserve">and accountabilities </w:t>
      </w:r>
      <w:r w:rsidR="00867725">
        <w:rPr>
          <w:rFonts w:eastAsia="Arial"/>
        </w:rPr>
        <w:t>as an Indigenous</w:t>
      </w:r>
      <w:r w:rsidR="00035C44">
        <w:rPr>
          <w:rFonts w:eastAsia="Arial"/>
        </w:rPr>
        <w:t>-</w:t>
      </w:r>
      <w:r w:rsidR="00867725">
        <w:rPr>
          <w:rFonts w:eastAsia="Arial"/>
        </w:rPr>
        <w:t xml:space="preserve">led initiative has </w:t>
      </w:r>
      <w:r w:rsidR="00C919EA">
        <w:rPr>
          <w:rFonts w:eastAsia="Arial"/>
        </w:rPr>
        <w:t>several advantages</w:t>
      </w:r>
      <w:r w:rsidR="00E80457">
        <w:rPr>
          <w:rFonts w:eastAsia="Arial"/>
        </w:rPr>
        <w:t xml:space="preserve">, </w:t>
      </w:r>
      <w:r w:rsidR="00C919EA">
        <w:rPr>
          <w:rFonts w:eastAsia="Arial"/>
        </w:rPr>
        <w:t xml:space="preserve">including not having to rely on government </w:t>
      </w:r>
      <w:r w:rsidR="00211E98">
        <w:rPr>
          <w:rFonts w:eastAsia="Arial"/>
        </w:rPr>
        <w:t xml:space="preserve">priorities, </w:t>
      </w:r>
      <w:proofErr w:type="gramStart"/>
      <w:r w:rsidR="00C919EA">
        <w:rPr>
          <w:rFonts w:eastAsia="Arial"/>
        </w:rPr>
        <w:t>support</w:t>
      </w:r>
      <w:proofErr w:type="gramEnd"/>
      <w:r w:rsidR="00C919EA">
        <w:rPr>
          <w:rFonts w:eastAsia="Arial"/>
        </w:rPr>
        <w:t xml:space="preserve"> or political will. </w:t>
      </w:r>
      <w:r w:rsidR="00D66076" w:rsidRPr="003C5891">
        <w:rPr>
          <w:rFonts w:eastAsia="Arial"/>
        </w:rPr>
        <w:t xml:space="preserve"> </w:t>
      </w:r>
    </w:p>
    <w:p w14:paraId="507E5F00" w14:textId="77777777" w:rsidR="00C919EA" w:rsidRDefault="00C919EA" w:rsidP="25035A9C">
      <w:pPr>
        <w:spacing w:before="0" w:after="0"/>
        <w:rPr>
          <w:rFonts w:eastAsia="Arial"/>
        </w:rPr>
      </w:pPr>
    </w:p>
    <w:p w14:paraId="70BC921E" w14:textId="77777777" w:rsidR="00CC3FF6" w:rsidRDefault="00CC3FF6" w:rsidP="00CC3FF6">
      <w:pPr>
        <w:spacing w:before="0" w:after="0"/>
        <w:rPr>
          <w:rFonts w:eastAsia="Arial"/>
        </w:rPr>
      </w:pPr>
      <w:r>
        <w:rPr>
          <w:rFonts w:eastAsia="Arial"/>
        </w:rPr>
        <w:t>The AIMM has submitted its monitoring reports to the EMRIP each year. Up until 2018, the reports were published as conference papers on the EMRIP website. Reinstating this practice, and publishing reports of national monitoring mechanisms on the EMRIP website, would in our view assist the profile and influence of the reports at the national level.</w:t>
      </w:r>
    </w:p>
    <w:p w14:paraId="1215FDF6" w14:textId="77777777" w:rsidR="00CC3FF6" w:rsidRDefault="00CC3FF6" w:rsidP="25035A9C">
      <w:pPr>
        <w:spacing w:before="0" w:after="0"/>
        <w:rPr>
          <w:rFonts w:eastAsia="Arial"/>
        </w:rPr>
      </w:pPr>
    </w:p>
    <w:p w14:paraId="37DC709B" w14:textId="69ACB83F" w:rsidR="00C919EA" w:rsidRDefault="009506A5" w:rsidP="25035A9C">
      <w:pPr>
        <w:spacing w:before="0" w:after="0"/>
        <w:rPr>
          <w:rFonts w:eastAsia="Arial"/>
        </w:rPr>
      </w:pPr>
      <w:r>
        <w:rPr>
          <w:rFonts w:eastAsia="Arial"/>
        </w:rPr>
        <w:t xml:space="preserve">The AIMM has received </w:t>
      </w:r>
      <w:r w:rsidR="0039112B">
        <w:rPr>
          <w:rFonts w:eastAsia="Arial"/>
        </w:rPr>
        <w:t xml:space="preserve">some </w:t>
      </w:r>
      <w:r>
        <w:rPr>
          <w:rFonts w:eastAsia="Arial"/>
        </w:rPr>
        <w:t xml:space="preserve">government funding for its activities in recent years, and </w:t>
      </w:r>
      <w:r w:rsidR="00F76A41">
        <w:rPr>
          <w:rFonts w:eastAsia="Arial"/>
        </w:rPr>
        <w:t xml:space="preserve">as the relationship with government has developed, has had increasing engagement with government agencies. For example, in 2022, Te </w:t>
      </w:r>
      <w:proofErr w:type="spellStart"/>
      <w:r w:rsidR="00F76A41">
        <w:rPr>
          <w:rFonts w:eastAsia="Arial"/>
        </w:rPr>
        <w:t>Puni</w:t>
      </w:r>
      <w:proofErr w:type="spellEnd"/>
      <w:r w:rsidR="00F76A41">
        <w:rPr>
          <w:rFonts w:eastAsia="Arial"/>
        </w:rPr>
        <w:t xml:space="preserve"> </w:t>
      </w:r>
      <w:proofErr w:type="spellStart"/>
      <w:r w:rsidR="00F76A41">
        <w:rPr>
          <w:rFonts w:eastAsia="Arial"/>
        </w:rPr>
        <w:t>Kōkiri</w:t>
      </w:r>
      <w:proofErr w:type="spellEnd"/>
      <w:r w:rsidR="00F76A41">
        <w:rPr>
          <w:rFonts w:eastAsia="Arial"/>
        </w:rPr>
        <w:t xml:space="preserve"> </w:t>
      </w:r>
      <w:r w:rsidR="00324C70">
        <w:rPr>
          <w:rFonts w:eastAsia="Arial"/>
        </w:rPr>
        <w:t xml:space="preserve">(the Ministry for Māori Development) </w:t>
      </w:r>
      <w:r w:rsidR="00F76A41">
        <w:rPr>
          <w:rFonts w:eastAsia="Arial"/>
        </w:rPr>
        <w:t xml:space="preserve">coordinated a </w:t>
      </w:r>
      <w:r w:rsidR="00803751">
        <w:rPr>
          <w:rFonts w:eastAsia="Arial"/>
        </w:rPr>
        <w:t xml:space="preserve">meeting of senior government officials from a range of agencies, to </w:t>
      </w:r>
      <w:r w:rsidR="00A65416">
        <w:rPr>
          <w:rFonts w:eastAsia="Arial"/>
        </w:rPr>
        <w:t xml:space="preserve">engage in the development of the report and collect relevant information from their agencies. </w:t>
      </w:r>
      <w:r w:rsidR="0002630C">
        <w:rPr>
          <w:rFonts w:eastAsia="Arial"/>
        </w:rPr>
        <w:t xml:space="preserve">Last year, government </w:t>
      </w:r>
      <w:r w:rsidR="00CC3FF6">
        <w:rPr>
          <w:rFonts w:eastAsia="Arial"/>
        </w:rPr>
        <w:t>took up</w:t>
      </w:r>
      <w:r w:rsidR="0002630C">
        <w:rPr>
          <w:rFonts w:eastAsia="Arial"/>
        </w:rPr>
        <w:t xml:space="preserve"> the offer to </w:t>
      </w:r>
      <w:r w:rsidR="00DC55F1">
        <w:rPr>
          <w:rFonts w:eastAsia="Arial"/>
        </w:rPr>
        <w:t xml:space="preserve">contribute information to the Monitoring Mechanism’s report. </w:t>
      </w:r>
      <w:r w:rsidR="001354E0">
        <w:rPr>
          <w:rFonts w:eastAsia="Arial"/>
        </w:rPr>
        <w:t xml:space="preserve">While this information was </w:t>
      </w:r>
      <w:r w:rsidR="001E7381">
        <w:rPr>
          <w:rFonts w:eastAsia="Arial"/>
        </w:rPr>
        <w:t>used in the report, some i</w:t>
      </w:r>
      <w:r w:rsidR="00DC55F1">
        <w:rPr>
          <w:rFonts w:eastAsia="Arial"/>
        </w:rPr>
        <w:t xml:space="preserve">ssues with timing, and with the different perspectives and priorities of </w:t>
      </w:r>
      <w:r w:rsidR="00526DCB">
        <w:rPr>
          <w:rFonts w:eastAsia="Arial"/>
        </w:rPr>
        <w:t>the Government and Monitoring Mechanism, created challenges around incorporating some of the information provided.</w:t>
      </w:r>
    </w:p>
    <w:p w14:paraId="50F537B4" w14:textId="6A66E24F" w:rsidR="00C241F2" w:rsidRDefault="00C241F2" w:rsidP="25035A9C">
      <w:pPr>
        <w:spacing w:before="0" w:after="0"/>
        <w:rPr>
          <w:rFonts w:eastAsia="Arial"/>
        </w:rPr>
      </w:pPr>
    </w:p>
    <w:p w14:paraId="0804DC73" w14:textId="4EB4A323" w:rsidR="00C241F2" w:rsidRDefault="00C241F2" w:rsidP="25035A9C">
      <w:pPr>
        <w:spacing w:before="0" w:after="0"/>
        <w:rPr>
          <w:rFonts w:eastAsia="Arial"/>
        </w:rPr>
      </w:pPr>
      <w:r>
        <w:rPr>
          <w:rFonts w:eastAsia="Arial"/>
        </w:rPr>
        <w:t xml:space="preserve">In previous years, the AIMM has held workshops with iwi groups to gather information </w:t>
      </w:r>
      <w:r w:rsidR="00812504">
        <w:rPr>
          <w:rFonts w:eastAsia="Arial"/>
        </w:rPr>
        <w:t xml:space="preserve">from Indigenous communities </w:t>
      </w:r>
      <w:r>
        <w:rPr>
          <w:rFonts w:eastAsia="Arial"/>
        </w:rPr>
        <w:t xml:space="preserve">for the monitoring report. </w:t>
      </w:r>
      <w:r w:rsidR="007347F1">
        <w:rPr>
          <w:rFonts w:eastAsia="Arial"/>
        </w:rPr>
        <w:t xml:space="preserve">This was stopped during </w:t>
      </w:r>
      <w:r w:rsidR="006B1714">
        <w:rPr>
          <w:rFonts w:eastAsia="Arial"/>
        </w:rPr>
        <w:t>Covid-19</w:t>
      </w:r>
      <w:r w:rsidR="007347F1">
        <w:rPr>
          <w:rFonts w:eastAsia="Arial"/>
        </w:rPr>
        <w:t xml:space="preserve">, and attempts to </w:t>
      </w:r>
      <w:r w:rsidR="00F808D3">
        <w:rPr>
          <w:rFonts w:eastAsia="Arial"/>
        </w:rPr>
        <w:t xml:space="preserve">organise workshops in 2022 </w:t>
      </w:r>
      <w:r w:rsidR="00F859AA">
        <w:rPr>
          <w:rFonts w:eastAsia="Arial"/>
        </w:rPr>
        <w:t xml:space="preserve">were unsuccessful, partly because iwi continued to be </w:t>
      </w:r>
      <w:r w:rsidR="00F31712">
        <w:rPr>
          <w:rFonts w:eastAsia="Arial"/>
        </w:rPr>
        <w:t xml:space="preserve">heavily </w:t>
      </w:r>
      <w:r w:rsidR="007B0252">
        <w:rPr>
          <w:rFonts w:eastAsia="Arial"/>
        </w:rPr>
        <w:t xml:space="preserve">engaged in responding to </w:t>
      </w:r>
      <w:r w:rsidR="00AB57EC">
        <w:rPr>
          <w:rFonts w:eastAsia="Arial"/>
        </w:rPr>
        <w:t>the ongoing pandemic and recovery.</w:t>
      </w:r>
    </w:p>
    <w:p w14:paraId="32CF8BF1" w14:textId="09925B1C" w:rsidR="00A65416" w:rsidRDefault="00A65416" w:rsidP="25035A9C">
      <w:pPr>
        <w:spacing w:before="0" w:after="0"/>
        <w:rPr>
          <w:rFonts w:eastAsia="Arial"/>
        </w:rPr>
      </w:pPr>
    </w:p>
    <w:p w14:paraId="58A3F2E3" w14:textId="27A8789C" w:rsidR="00FF4176" w:rsidRDefault="0027145E" w:rsidP="25035A9C">
      <w:pPr>
        <w:spacing w:before="0" w:after="0"/>
        <w:rPr>
          <w:rFonts w:eastAsia="Arial"/>
        </w:rPr>
      </w:pPr>
      <w:r>
        <w:rPr>
          <w:rFonts w:eastAsia="Arial"/>
        </w:rPr>
        <w:t>T</w:t>
      </w:r>
      <w:r w:rsidR="0090229A">
        <w:rPr>
          <w:rFonts w:eastAsia="Arial"/>
        </w:rPr>
        <w:t xml:space="preserve">he AIMM’s reports </w:t>
      </w:r>
      <w:r w:rsidR="00CC3FF6">
        <w:rPr>
          <w:rFonts w:eastAsia="Arial"/>
        </w:rPr>
        <w:t xml:space="preserve">to the Expert Mechanism </w:t>
      </w:r>
      <w:r w:rsidR="007A3AEE">
        <w:rPr>
          <w:rFonts w:eastAsia="Arial"/>
        </w:rPr>
        <w:t>prompted some Government response</w:t>
      </w:r>
      <w:r w:rsidR="00F82BC3">
        <w:rPr>
          <w:rFonts w:eastAsia="Arial"/>
        </w:rPr>
        <w:t xml:space="preserve">, most significantly </w:t>
      </w:r>
      <w:r w:rsidR="00FF4176">
        <w:rPr>
          <w:rFonts w:eastAsia="Arial"/>
        </w:rPr>
        <w:t>the decision in 2018</w:t>
      </w:r>
      <w:r w:rsidR="00A415CF">
        <w:rPr>
          <w:rFonts w:eastAsia="Arial"/>
        </w:rPr>
        <w:t>/19</w:t>
      </w:r>
      <w:r w:rsidR="00FF4176">
        <w:rPr>
          <w:rFonts w:eastAsia="Arial"/>
        </w:rPr>
        <w:t xml:space="preserve"> by then Minister for Māori Development </w:t>
      </w:r>
      <w:proofErr w:type="spellStart"/>
      <w:r w:rsidR="00FF4176">
        <w:rPr>
          <w:rFonts w:eastAsia="Arial"/>
        </w:rPr>
        <w:t>Nanaia</w:t>
      </w:r>
      <w:proofErr w:type="spellEnd"/>
      <w:r w:rsidR="00FF4176">
        <w:rPr>
          <w:rFonts w:eastAsia="Arial"/>
        </w:rPr>
        <w:t xml:space="preserve"> Mahuta to develop a national action plan to implement the Declaration.</w:t>
      </w:r>
      <w:r w:rsidR="00AD53F6">
        <w:rPr>
          <w:rFonts w:eastAsia="Arial"/>
        </w:rPr>
        <w:t xml:space="preserve"> </w:t>
      </w:r>
      <w:r w:rsidR="00AD53F6">
        <w:rPr>
          <w:rFonts w:eastAsia="Arial"/>
        </w:rPr>
        <w:t xml:space="preserve">That process was greatly supported by the visit of the Expert Mechanism to New Zealand to guide New Zealand and the NICF in their efforts to draft a National Plan of Action (see below for more information).  It set a baseline of expectations around the need for Māori participation and </w:t>
      </w:r>
      <w:r w:rsidR="00AD53F6">
        <w:rPr>
          <w:rFonts w:eastAsia="Arial"/>
        </w:rPr>
        <w:t>rights</w:t>
      </w:r>
      <w:r w:rsidR="00AD53F6">
        <w:rPr>
          <w:rFonts w:eastAsia="Arial"/>
        </w:rPr>
        <w:t xml:space="preserve"> to self-determination.</w:t>
      </w:r>
    </w:p>
    <w:p w14:paraId="7741917C" w14:textId="7F5CD38A" w:rsidR="009F1E31" w:rsidRDefault="009F1E31" w:rsidP="25035A9C">
      <w:pPr>
        <w:spacing w:before="0" w:after="0"/>
        <w:rPr>
          <w:rFonts w:eastAsia="Arial"/>
        </w:rPr>
      </w:pPr>
    </w:p>
    <w:p w14:paraId="1E28E241" w14:textId="4310E0BB" w:rsidR="000D3180" w:rsidRDefault="000D3180" w:rsidP="00146554">
      <w:pPr>
        <w:pStyle w:val="Heading3"/>
      </w:pPr>
      <w:r>
        <w:t xml:space="preserve">Partnership </w:t>
      </w:r>
      <w:r w:rsidR="006A6B21">
        <w:t>between Human Rights Commission and</w:t>
      </w:r>
      <w:r>
        <w:t xml:space="preserve"> National Iwi Chairs Forum</w:t>
      </w:r>
    </w:p>
    <w:p w14:paraId="21B78F55" w14:textId="07AD1B0D" w:rsidR="008B1FDD" w:rsidRDefault="008B1FDD" w:rsidP="000D3180">
      <w:pPr>
        <w:spacing w:before="0" w:after="0"/>
        <w:rPr>
          <w:rFonts w:eastAsia="Arial"/>
        </w:rPr>
      </w:pPr>
      <w:r>
        <w:rPr>
          <w:rFonts w:eastAsia="Arial"/>
        </w:rPr>
        <w:t>In addition to its work with the AIMM, t</w:t>
      </w:r>
      <w:r w:rsidR="000D3180" w:rsidRPr="003C5891">
        <w:rPr>
          <w:rFonts w:eastAsia="Arial"/>
        </w:rPr>
        <w:t>he Commission’s relationship with the National Iwi Chairs Forum has developed and expanded, to the point where our two organisations signed an agreement in February to formalise the relationship. A shared work programme based on mutual priorities is now being developed.</w:t>
      </w:r>
      <w:r w:rsidR="000D3180">
        <w:rPr>
          <w:rFonts w:eastAsia="Arial"/>
        </w:rPr>
        <w:t xml:space="preserve"> </w:t>
      </w:r>
    </w:p>
    <w:p w14:paraId="6A007C57" w14:textId="77777777" w:rsidR="008B1FDD" w:rsidRDefault="008B1FDD" w:rsidP="000D3180">
      <w:pPr>
        <w:spacing w:before="0" w:after="0"/>
        <w:rPr>
          <w:rFonts w:eastAsia="Arial"/>
        </w:rPr>
      </w:pPr>
    </w:p>
    <w:p w14:paraId="0E109B54" w14:textId="44DE5190" w:rsidR="000D3180" w:rsidRDefault="000D3180" w:rsidP="00DB6016">
      <w:pPr>
        <w:spacing w:before="0" w:after="0"/>
        <w:rPr>
          <w:rFonts w:eastAsia="Arial"/>
        </w:rPr>
      </w:pPr>
      <w:r>
        <w:rPr>
          <w:rFonts w:eastAsia="Arial"/>
        </w:rPr>
        <w:t>Most recently, the Commission has partnered with the Forum to</w:t>
      </w:r>
      <w:r w:rsidR="008B1FDD">
        <w:rPr>
          <w:rFonts w:eastAsia="Arial"/>
        </w:rPr>
        <w:t xml:space="preserve"> address a longstanding gap in</w:t>
      </w:r>
      <w:r w:rsidR="004D23C4">
        <w:rPr>
          <w:rFonts w:eastAsia="Arial"/>
        </w:rPr>
        <w:t xml:space="preserve"> Indigenous</w:t>
      </w:r>
      <w:r w:rsidR="00071D8A">
        <w:rPr>
          <w:rFonts w:eastAsia="Arial"/>
        </w:rPr>
        <w:t xml:space="preserve"> representation</w:t>
      </w:r>
      <w:r w:rsidR="00836ED1">
        <w:rPr>
          <w:rFonts w:eastAsia="Arial"/>
        </w:rPr>
        <w:t xml:space="preserve"> and</w:t>
      </w:r>
      <w:r w:rsidR="004D23C4">
        <w:rPr>
          <w:rFonts w:eastAsia="Arial"/>
        </w:rPr>
        <w:t xml:space="preserve"> leadership at the </w:t>
      </w:r>
      <w:r w:rsidR="00DB6016">
        <w:rPr>
          <w:rFonts w:eastAsia="Arial"/>
        </w:rPr>
        <w:t>governance level of the Commission.</w:t>
      </w:r>
      <w:r w:rsidR="008B1FDD">
        <w:rPr>
          <w:rFonts w:eastAsia="Arial"/>
        </w:rPr>
        <w:t xml:space="preserve"> </w:t>
      </w:r>
      <w:r>
        <w:rPr>
          <w:rFonts w:eastAsia="Arial"/>
        </w:rPr>
        <w:t xml:space="preserve"> </w:t>
      </w:r>
      <w:r w:rsidR="00F60EA8">
        <w:rPr>
          <w:rFonts w:eastAsia="Arial"/>
        </w:rPr>
        <w:t xml:space="preserve">As a result of this </w:t>
      </w:r>
      <w:r w:rsidR="00FE07DD">
        <w:rPr>
          <w:rFonts w:eastAsia="Arial"/>
        </w:rPr>
        <w:t>initiative</w:t>
      </w:r>
      <w:r w:rsidR="00F60EA8">
        <w:rPr>
          <w:rFonts w:eastAsia="Arial"/>
        </w:rPr>
        <w:t xml:space="preserve">, the Commission has </w:t>
      </w:r>
      <w:r w:rsidRPr="00D02C0A">
        <w:rPr>
          <w:rFonts w:eastAsia="Arial"/>
        </w:rPr>
        <w:t xml:space="preserve">appointed Professor Claire Charters as </w:t>
      </w:r>
      <w:proofErr w:type="spellStart"/>
      <w:r w:rsidRPr="00D02C0A">
        <w:rPr>
          <w:rFonts w:eastAsia="Arial"/>
        </w:rPr>
        <w:t>Rongomau</w:t>
      </w:r>
      <w:proofErr w:type="spellEnd"/>
      <w:r w:rsidRPr="00D02C0A">
        <w:rPr>
          <w:rFonts w:eastAsia="Arial"/>
        </w:rPr>
        <w:t xml:space="preserve"> </w:t>
      </w:r>
      <w:proofErr w:type="spellStart"/>
      <w:r w:rsidRPr="00D02C0A">
        <w:rPr>
          <w:rFonts w:eastAsia="Arial"/>
        </w:rPr>
        <w:t>Taketake</w:t>
      </w:r>
      <w:proofErr w:type="spellEnd"/>
      <w:r w:rsidRPr="00D02C0A">
        <w:rPr>
          <w:rFonts w:eastAsia="Arial"/>
        </w:rPr>
        <w:t xml:space="preserve"> to lead work on Indigenous Peoples’ rights.</w:t>
      </w:r>
      <w:r w:rsidR="00DB6016" w:rsidRPr="00DB6016">
        <w:rPr>
          <w:rStyle w:val="FootnoteReference"/>
          <w:rFonts w:eastAsia="Arial"/>
        </w:rPr>
        <w:t xml:space="preserve"> </w:t>
      </w:r>
      <w:r w:rsidR="00DB6016">
        <w:rPr>
          <w:rStyle w:val="FootnoteReference"/>
          <w:rFonts w:eastAsia="Arial"/>
        </w:rPr>
        <w:footnoteReference w:id="2"/>
      </w:r>
    </w:p>
    <w:p w14:paraId="6725B773" w14:textId="77777777" w:rsidR="00DB6016" w:rsidRPr="00DB6016" w:rsidRDefault="00DB6016" w:rsidP="00DB6016">
      <w:pPr>
        <w:spacing w:before="0" w:after="0"/>
        <w:rPr>
          <w:rFonts w:eastAsia="Arial"/>
        </w:rPr>
      </w:pPr>
    </w:p>
    <w:p w14:paraId="3368C338" w14:textId="18C95FEB" w:rsidR="00D66076" w:rsidRPr="00146554" w:rsidRDefault="00D66076" w:rsidP="006A6B21">
      <w:pPr>
        <w:pStyle w:val="Heading2"/>
      </w:pPr>
      <w:r w:rsidRPr="00146554">
        <w:t xml:space="preserve">National </w:t>
      </w:r>
      <w:r w:rsidR="002D5589">
        <w:t>A</w:t>
      </w:r>
      <w:r w:rsidRPr="00146554">
        <w:t xml:space="preserve">ction </w:t>
      </w:r>
      <w:r w:rsidR="002D5589">
        <w:t>P</w:t>
      </w:r>
      <w:r w:rsidRPr="00146554">
        <w:t>lan for the Declaration</w:t>
      </w:r>
    </w:p>
    <w:p w14:paraId="03112FCC" w14:textId="1C6B07B7" w:rsidR="00D66076" w:rsidRDefault="00D66076" w:rsidP="25035A9C">
      <w:pPr>
        <w:spacing w:before="0" w:after="0"/>
        <w:rPr>
          <w:rFonts w:eastAsia="Arial"/>
        </w:rPr>
      </w:pPr>
      <w:r w:rsidRPr="003C5891">
        <w:rPr>
          <w:rFonts w:eastAsia="Arial"/>
        </w:rPr>
        <w:t xml:space="preserve">This has been an area of shared priority </w:t>
      </w:r>
      <w:r w:rsidR="00447210" w:rsidRPr="003C5891">
        <w:rPr>
          <w:rFonts w:eastAsia="Arial"/>
        </w:rPr>
        <w:t>for the Commission and</w:t>
      </w:r>
      <w:r w:rsidR="00B15672">
        <w:rPr>
          <w:rFonts w:eastAsia="Arial"/>
        </w:rPr>
        <w:t xml:space="preserve"> </w:t>
      </w:r>
      <w:r w:rsidR="002D5589">
        <w:rPr>
          <w:rFonts w:eastAsia="Arial"/>
        </w:rPr>
        <w:t>NICF</w:t>
      </w:r>
      <w:r w:rsidR="00697E7A" w:rsidRPr="003C5891">
        <w:rPr>
          <w:rFonts w:eastAsia="Arial"/>
        </w:rPr>
        <w:t>, and</w:t>
      </w:r>
      <w:r w:rsidR="00EA61C2" w:rsidRPr="003C5891">
        <w:rPr>
          <w:rFonts w:eastAsia="Arial"/>
        </w:rPr>
        <w:t xml:space="preserve"> </w:t>
      </w:r>
      <w:r w:rsidR="0013773C">
        <w:rPr>
          <w:rFonts w:eastAsia="Arial"/>
        </w:rPr>
        <w:t xml:space="preserve">since </w:t>
      </w:r>
      <w:r w:rsidR="000655F3">
        <w:rPr>
          <w:rFonts w:eastAsia="Arial"/>
        </w:rPr>
        <w:t>mid-</w:t>
      </w:r>
      <w:r w:rsidR="00480294">
        <w:rPr>
          <w:rFonts w:eastAsia="Arial"/>
        </w:rPr>
        <w:t>2021</w:t>
      </w:r>
      <w:r w:rsidR="00697E7A" w:rsidRPr="003C5891">
        <w:rPr>
          <w:rFonts w:eastAsia="Arial"/>
        </w:rPr>
        <w:t xml:space="preserve"> we have worked in partnership </w:t>
      </w:r>
      <w:r w:rsidR="00B15672" w:rsidRPr="003C5891">
        <w:rPr>
          <w:rFonts w:eastAsia="Arial"/>
        </w:rPr>
        <w:t xml:space="preserve">with Government (through Te </w:t>
      </w:r>
      <w:proofErr w:type="spellStart"/>
      <w:r w:rsidR="00B15672" w:rsidRPr="003C5891">
        <w:rPr>
          <w:rFonts w:eastAsia="Arial"/>
        </w:rPr>
        <w:t>Puni</w:t>
      </w:r>
      <w:proofErr w:type="spellEnd"/>
      <w:r w:rsidR="00B15672" w:rsidRPr="003C5891">
        <w:rPr>
          <w:rFonts w:eastAsia="Arial"/>
        </w:rPr>
        <w:t xml:space="preserve"> </w:t>
      </w:r>
      <w:proofErr w:type="spellStart"/>
      <w:r w:rsidR="00B15672" w:rsidRPr="003C5891">
        <w:rPr>
          <w:rFonts w:eastAsia="Arial"/>
        </w:rPr>
        <w:t>Kōkiri</w:t>
      </w:r>
      <w:proofErr w:type="spellEnd"/>
      <w:r w:rsidR="00B15672" w:rsidRPr="003C5891">
        <w:rPr>
          <w:rFonts w:eastAsia="Arial"/>
        </w:rPr>
        <w:t>)</w:t>
      </w:r>
      <w:r w:rsidR="00127204">
        <w:rPr>
          <w:rFonts w:eastAsia="Arial"/>
        </w:rPr>
        <w:t xml:space="preserve"> to develop a national action plan.</w:t>
      </w:r>
      <w:r w:rsidR="002D5589">
        <w:rPr>
          <w:rFonts w:eastAsia="Arial"/>
        </w:rPr>
        <w:t xml:space="preserve"> The plan was to include robust monitoring processes.</w:t>
      </w:r>
    </w:p>
    <w:p w14:paraId="04290267" w14:textId="344DD0C2" w:rsidR="00127204" w:rsidRDefault="00127204" w:rsidP="25035A9C">
      <w:pPr>
        <w:spacing w:before="0" w:after="0"/>
        <w:rPr>
          <w:rFonts w:eastAsia="Arial"/>
        </w:rPr>
      </w:pPr>
    </w:p>
    <w:p w14:paraId="284E63D1" w14:textId="530AF821" w:rsidR="00127204" w:rsidRDefault="00127204" w:rsidP="25035A9C">
      <w:pPr>
        <w:spacing w:before="0" w:after="0"/>
        <w:rPr>
          <w:rFonts w:eastAsia="Arial"/>
        </w:rPr>
      </w:pPr>
      <w:r>
        <w:rPr>
          <w:rFonts w:eastAsia="Arial"/>
        </w:rPr>
        <w:t xml:space="preserve">The partnership was reflected </w:t>
      </w:r>
      <w:r w:rsidR="00C961E4">
        <w:rPr>
          <w:rFonts w:eastAsia="Arial"/>
        </w:rPr>
        <w:t xml:space="preserve">in the </w:t>
      </w:r>
      <w:r w:rsidR="00A006FE">
        <w:rPr>
          <w:rFonts w:eastAsia="Arial"/>
        </w:rPr>
        <w:t>project structure, which included:</w:t>
      </w:r>
    </w:p>
    <w:p w14:paraId="66DDFB81" w14:textId="53E27E82" w:rsidR="00A006FE" w:rsidRDefault="00A006FE" w:rsidP="00A006FE">
      <w:pPr>
        <w:pStyle w:val="ListParagraph"/>
        <w:numPr>
          <w:ilvl w:val="0"/>
          <w:numId w:val="16"/>
        </w:numPr>
        <w:spacing w:before="0" w:after="0"/>
        <w:rPr>
          <w:rFonts w:eastAsia="Arial"/>
        </w:rPr>
      </w:pPr>
      <w:r>
        <w:rPr>
          <w:rFonts w:eastAsia="Arial"/>
        </w:rPr>
        <w:t>A Governance Group – made up of four</w:t>
      </w:r>
      <w:r w:rsidR="008A3B83">
        <w:rPr>
          <w:rFonts w:eastAsia="Arial"/>
        </w:rPr>
        <w:t xml:space="preserve"> Government Ministers and five NICF representatives</w:t>
      </w:r>
      <w:r w:rsidR="00147EA1">
        <w:rPr>
          <w:rFonts w:eastAsia="Arial"/>
        </w:rPr>
        <w:t xml:space="preserve">, and co-Chaired by the Minister for Māori Development and </w:t>
      </w:r>
      <w:r w:rsidR="005428BE">
        <w:rPr>
          <w:rFonts w:eastAsia="Arial"/>
        </w:rPr>
        <w:t>the Chair of NICF Pou Tikanga (Prof Margaret Mutu)</w:t>
      </w:r>
    </w:p>
    <w:p w14:paraId="080B107C" w14:textId="16F37EB8" w:rsidR="008A3B83" w:rsidRDefault="008A3B83" w:rsidP="00A006FE">
      <w:pPr>
        <w:pStyle w:val="ListParagraph"/>
        <w:numPr>
          <w:ilvl w:val="0"/>
          <w:numId w:val="16"/>
        </w:numPr>
        <w:spacing w:before="0" w:after="0"/>
        <w:rPr>
          <w:rFonts w:eastAsia="Arial"/>
        </w:rPr>
      </w:pPr>
      <w:r>
        <w:rPr>
          <w:rFonts w:eastAsia="Arial"/>
        </w:rPr>
        <w:t xml:space="preserve">A Steering Group – comprising representatives from </w:t>
      </w:r>
      <w:r w:rsidR="005D4988">
        <w:rPr>
          <w:rFonts w:eastAsia="Arial"/>
        </w:rPr>
        <w:t xml:space="preserve">the Human Rights Commission, Te </w:t>
      </w:r>
      <w:proofErr w:type="spellStart"/>
      <w:r w:rsidR="005D4988">
        <w:rPr>
          <w:rFonts w:eastAsia="Arial"/>
        </w:rPr>
        <w:t>Puni</w:t>
      </w:r>
      <w:proofErr w:type="spellEnd"/>
      <w:r w:rsidR="005D4988">
        <w:rPr>
          <w:rFonts w:eastAsia="Arial"/>
        </w:rPr>
        <w:t xml:space="preserve"> </w:t>
      </w:r>
      <w:proofErr w:type="spellStart"/>
      <w:r w:rsidR="005D4988">
        <w:rPr>
          <w:rFonts w:eastAsia="Arial"/>
        </w:rPr>
        <w:t>Kōkiri</w:t>
      </w:r>
      <w:proofErr w:type="spellEnd"/>
      <w:r w:rsidR="005D4988">
        <w:rPr>
          <w:rFonts w:eastAsia="Arial"/>
        </w:rPr>
        <w:t xml:space="preserve"> and </w:t>
      </w:r>
      <w:r w:rsidR="00D64D54">
        <w:rPr>
          <w:rFonts w:eastAsia="Arial"/>
        </w:rPr>
        <w:t xml:space="preserve">Pou Tikanga of the </w:t>
      </w:r>
      <w:r w:rsidR="005D4988">
        <w:rPr>
          <w:rFonts w:eastAsia="Arial"/>
        </w:rPr>
        <w:t>NICF</w:t>
      </w:r>
    </w:p>
    <w:p w14:paraId="6128052B" w14:textId="4E6DBC68" w:rsidR="004D2ECB" w:rsidRPr="00A006FE" w:rsidRDefault="004D2ECB" w:rsidP="00A006FE">
      <w:pPr>
        <w:pStyle w:val="ListParagraph"/>
        <w:numPr>
          <w:ilvl w:val="0"/>
          <w:numId w:val="16"/>
        </w:numPr>
        <w:spacing w:before="0" w:after="0"/>
        <w:rPr>
          <w:rFonts w:eastAsia="Arial"/>
        </w:rPr>
      </w:pPr>
      <w:r>
        <w:rPr>
          <w:rFonts w:eastAsia="Arial"/>
        </w:rPr>
        <w:t>A Working Group – made up of representatives from each partner organisation, essentially working collaboratively together</w:t>
      </w:r>
      <w:r w:rsidR="00B54000">
        <w:rPr>
          <w:rFonts w:eastAsia="Arial"/>
        </w:rPr>
        <w:t xml:space="preserve"> to implement the directions given by the Steering Group</w:t>
      </w:r>
      <w:r w:rsidR="001C4105">
        <w:rPr>
          <w:rFonts w:eastAsia="Arial"/>
        </w:rPr>
        <w:t xml:space="preserve"> and Governance Group</w:t>
      </w:r>
      <w:r>
        <w:rPr>
          <w:rFonts w:eastAsia="Arial"/>
        </w:rPr>
        <w:t>.</w:t>
      </w:r>
    </w:p>
    <w:p w14:paraId="1D9EC68B" w14:textId="73CE57C0" w:rsidR="00D34D00" w:rsidRDefault="00D34D00" w:rsidP="25035A9C">
      <w:pPr>
        <w:spacing w:before="0" w:after="0"/>
        <w:rPr>
          <w:rFonts w:eastAsia="Arial"/>
        </w:rPr>
      </w:pPr>
    </w:p>
    <w:p w14:paraId="4E095125" w14:textId="06CDE4EB" w:rsidR="006754AF" w:rsidRDefault="006754AF" w:rsidP="25035A9C">
      <w:pPr>
        <w:spacing w:before="0" w:after="0"/>
        <w:rPr>
          <w:rFonts w:eastAsia="Arial"/>
        </w:rPr>
      </w:pPr>
      <w:r>
        <w:rPr>
          <w:rFonts w:eastAsia="Arial"/>
        </w:rPr>
        <w:t>Th</w:t>
      </w:r>
      <w:r w:rsidR="004E283B">
        <w:rPr>
          <w:rFonts w:eastAsia="Arial"/>
        </w:rPr>
        <w:t>e partnership process</w:t>
      </w:r>
      <w:r>
        <w:rPr>
          <w:rFonts w:eastAsia="Arial"/>
        </w:rPr>
        <w:t xml:space="preserve"> represented a</w:t>
      </w:r>
      <w:r w:rsidR="00F754E1">
        <w:rPr>
          <w:rFonts w:eastAsia="Arial"/>
        </w:rPr>
        <w:t>n innovation and</w:t>
      </w:r>
      <w:r>
        <w:rPr>
          <w:rFonts w:eastAsia="Arial"/>
        </w:rPr>
        <w:t xml:space="preserve"> departure from established government practices, and </w:t>
      </w:r>
      <w:r w:rsidR="004E283B">
        <w:rPr>
          <w:rFonts w:eastAsia="Arial"/>
        </w:rPr>
        <w:t xml:space="preserve">some considerable efforts were made by the parties involved to </w:t>
      </w:r>
      <w:r w:rsidR="00C1172C">
        <w:rPr>
          <w:rFonts w:eastAsia="Arial"/>
        </w:rPr>
        <w:t xml:space="preserve">try to </w:t>
      </w:r>
      <w:r w:rsidR="00653813">
        <w:rPr>
          <w:rFonts w:eastAsia="Arial"/>
        </w:rPr>
        <w:t xml:space="preserve">ensure that </w:t>
      </w:r>
      <w:r w:rsidR="001B6282">
        <w:rPr>
          <w:rFonts w:eastAsia="Arial"/>
        </w:rPr>
        <w:t xml:space="preserve">it operated collaboratively and equitably. This included </w:t>
      </w:r>
      <w:r w:rsidR="009B477A">
        <w:rPr>
          <w:rFonts w:eastAsia="Arial"/>
        </w:rPr>
        <w:t>provision of funding from government.</w:t>
      </w:r>
    </w:p>
    <w:p w14:paraId="00D483BB" w14:textId="77777777" w:rsidR="006754AF" w:rsidRDefault="006754AF" w:rsidP="25035A9C">
      <w:pPr>
        <w:spacing w:before="0" w:after="0"/>
        <w:rPr>
          <w:rFonts w:eastAsia="Arial"/>
        </w:rPr>
      </w:pPr>
    </w:p>
    <w:p w14:paraId="59D20524" w14:textId="15C0019E" w:rsidR="002052AF" w:rsidRDefault="002052AF" w:rsidP="00337DA6">
      <w:pPr>
        <w:pStyle w:val="Heading3"/>
      </w:pPr>
      <w:r>
        <w:t>Challenges</w:t>
      </w:r>
    </w:p>
    <w:p w14:paraId="0AD03E74" w14:textId="57119D72" w:rsidR="001C4105" w:rsidRDefault="00AC06E8" w:rsidP="25035A9C">
      <w:pPr>
        <w:spacing w:before="0" w:after="0"/>
        <w:rPr>
          <w:rFonts w:eastAsia="Arial"/>
        </w:rPr>
      </w:pPr>
      <w:r>
        <w:rPr>
          <w:rFonts w:eastAsia="Arial"/>
        </w:rPr>
        <w:t>The</w:t>
      </w:r>
      <w:r w:rsidR="000622AF">
        <w:rPr>
          <w:rFonts w:eastAsia="Arial"/>
        </w:rPr>
        <w:t xml:space="preserve"> role of the</w:t>
      </w:r>
      <w:r>
        <w:rPr>
          <w:rFonts w:eastAsia="Arial"/>
        </w:rPr>
        <w:t xml:space="preserve"> Governance Group was </w:t>
      </w:r>
      <w:r w:rsidR="000622AF">
        <w:rPr>
          <w:rFonts w:eastAsia="Arial"/>
        </w:rPr>
        <w:t>to provide oversight and final approvals</w:t>
      </w:r>
      <w:r w:rsidR="00147EA1">
        <w:rPr>
          <w:rFonts w:eastAsia="Arial"/>
        </w:rPr>
        <w:t xml:space="preserve"> of the action plan. It was inten</w:t>
      </w:r>
      <w:r w:rsidR="005428BE">
        <w:rPr>
          <w:rFonts w:eastAsia="Arial"/>
        </w:rPr>
        <w:t xml:space="preserve">ded to operate by consensus. In practice, </w:t>
      </w:r>
      <w:r w:rsidR="0085517C">
        <w:rPr>
          <w:rFonts w:eastAsia="Arial"/>
        </w:rPr>
        <w:t xml:space="preserve">the </w:t>
      </w:r>
      <w:r w:rsidR="00A006C4">
        <w:rPr>
          <w:rFonts w:eastAsia="Arial"/>
        </w:rPr>
        <w:t xml:space="preserve">Governance Group met rarely, and </w:t>
      </w:r>
      <w:r w:rsidR="0022486A">
        <w:rPr>
          <w:rFonts w:eastAsia="Arial"/>
        </w:rPr>
        <w:t xml:space="preserve">when consensus was not reached on significant decisions (namely the decision </w:t>
      </w:r>
      <w:r w:rsidR="001A7BF7">
        <w:rPr>
          <w:rFonts w:eastAsia="Arial"/>
        </w:rPr>
        <w:t xml:space="preserve">to defer completion of the plan), the </w:t>
      </w:r>
      <w:r w:rsidR="00564BCF">
        <w:rPr>
          <w:rFonts w:eastAsia="Arial"/>
        </w:rPr>
        <w:t>Government decision</w:t>
      </w:r>
      <w:r w:rsidR="001A7BF7">
        <w:rPr>
          <w:rFonts w:eastAsia="Arial"/>
        </w:rPr>
        <w:t xml:space="preserve"> held sway.</w:t>
      </w:r>
    </w:p>
    <w:p w14:paraId="29B41A7B" w14:textId="7D689DF9" w:rsidR="00B06EE5" w:rsidRDefault="00B06EE5" w:rsidP="25035A9C">
      <w:pPr>
        <w:spacing w:before="0" w:after="0"/>
        <w:rPr>
          <w:rFonts w:eastAsia="Arial"/>
        </w:rPr>
      </w:pPr>
    </w:p>
    <w:p w14:paraId="318149A0" w14:textId="7B432CB6" w:rsidR="00B06EE5" w:rsidRDefault="003836D9" w:rsidP="25035A9C">
      <w:pPr>
        <w:spacing w:before="0" w:after="0"/>
        <w:rPr>
          <w:rFonts w:eastAsia="Arial"/>
        </w:rPr>
      </w:pPr>
      <w:r>
        <w:rPr>
          <w:rFonts w:eastAsia="Arial"/>
        </w:rPr>
        <w:t xml:space="preserve">As a piece of </w:t>
      </w:r>
      <w:r w:rsidR="009B477A">
        <w:rPr>
          <w:rFonts w:eastAsia="Arial"/>
        </w:rPr>
        <w:t xml:space="preserve">Government </w:t>
      </w:r>
      <w:r>
        <w:rPr>
          <w:rFonts w:eastAsia="Arial"/>
        </w:rPr>
        <w:t xml:space="preserve">work, the process was set up by a decision of </w:t>
      </w:r>
      <w:proofErr w:type="gramStart"/>
      <w:r>
        <w:rPr>
          <w:rFonts w:eastAsia="Arial"/>
        </w:rPr>
        <w:t>Cabinet, and</w:t>
      </w:r>
      <w:proofErr w:type="gramEnd"/>
      <w:r>
        <w:rPr>
          <w:rFonts w:eastAsia="Arial"/>
        </w:rPr>
        <w:t xml:space="preserve"> included </w:t>
      </w:r>
      <w:r w:rsidR="00424769">
        <w:rPr>
          <w:rFonts w:eastAsia="Arial"/>
        </w:rPr>
        <w:t xml:space="preserve">reports back to Cabinet for approval at various points. </w:t>
      </w:r>
      <w:r w:rsidR="00A3093D">
        <w:rPr>
          <w:rFonts w:eastAsia="Arial"/>
        </w:rPr>
        <w:t>One of the innovative features of this work was that t</w:t>
      </w:r>
      <w:r w:rsidR="00424769">
        <w:rPr>
          <w:rFonts w:eastAsia="Arial"/>
        </w:rPr>
        <w:t xml:space="preserve">here was an intention </w:t>
      </w:r>
      <w:r w:rsidR="00817F00">
        <w:rPr>
          <w:rFonts w:eastAsia="Arial"/>
        </w:rPr>
        <w:t xml:space="preserve">amongst the partners </w:t>
      </w:r>
      <w:r w:rsidR="00424769">
        <w:rPr>
          <w:rFonts w:eastAsia="Arial"/>
        </w:rPr>
        <w:t xml:space="preserve">that </w:t>
      </w:r>
      <w:r w:rsidR="00605861">
        <w:rPr>
          <w:rFonts w:eastAsia="Arial"/>
        </w:rPr>
        <w:t>the Governance Group would have the final say on decisions</w:t>
      </w:r>
      <w:r w:rsidR="001B4AF0">
        <w:rPr>
          <w:rFonts w:eastAsia="Arial"/>
        </w:rPr>
        <w:t xml:space="preserve">. </w:t>
      </w:r>
      <w:r w:rsidR="00215266">
        <w:rPr>
          <w:rFonts w:eastAsia="Arial"/>
        </w:rPr>
        <w:t>H</w:t>
      </w:r>
      <w:r w:rsidR="00605861">
        <w:rPr>
          <w:rFonts w:eastAsia="Arial"/>
        </w:rPr>
        <w:t>owever</w:t>
      </w:r>
      <w:r w:rsidR="00956842">
        <w:rPr>
          <w:rFonts w:eastAsia="Arial"/>
        </w:rPr>
        <w:t>,</w:t>
      </w:r>
      <w:r w:rsidR="00605861">
        <w:rPr>
          <w:rFonts w:eastAsia="Arial"/>
        </w:rPr>
        <w:t xml:space="preserve"> </w:t>
      </w:r>
      <w:r w:rsidR="000E57AC">
        <w:rPr>
          <w:rFonts w:eastAsia="Arial"/>
        </w:rPr>
        <w:t xml:space="preserve">the </w:t>
      </w:r>
      <w:r w:rsidR="009A7968">
        <w:rPr>
          <w:rFonts w:eastAsia="Arial"/>
        </w:rPr>
        <w:t xml:space="preserve">need to obtain Cabinet </w:t>
      </w:r>
      <w:r w:rsidR="001E2E68">
        <w:rPr>
          <w:rFonts w:eastAsia="Arial"/>
        </w:rPr>
        <w:t>sign off</w:t>
      </w:r>
      <w:r w:rsidR="009A7968">
        <w:rPr>
          <w:rFonts w:eastAsia="Arial"/>
        </w:rPr>
        <w:t xml:space="preserve"> meant that</w:t>
      </w:r>
      <w:r w:rsidR="000E57AC">
        <w:rPr>
          <w:rFonts w:eastAsia="Arial"/>
        </w:rPr>
        <w:t xml:space="preserve"> </w:t>
      </w:r>
      <w:r w:rsidR="00605861">
        <w:rPr>
          <w:rFonts w:eastAsia="Arial"/>
        </w:rPr>
        <w:t xml:space="preserve">in </w:t>
      </w:r>
      <w:r w:rsidR="00C62DD5">
        <w:rPr>
          <w:rFonts w:eastAsia="Arial"/>
        </w:rPr>
        <w:t>the end</w:t>
      </w:r>
      <w:r w:rsidR="00581BF9">
        <w:rPr>
          <w:rFonts w:eastAsia="Arial"/>
        </w:rPr>
        <w:t>,</w:t>
      </w:r>
      <w:r w:rsidR="00605861">
        <w:rPr>
          <w:rFonts w:eastAsia="Arial"/>
        </w:rPr>
        <w:t xml:space="preserve"> decisions were ultimately driven by </w:t>
      </w:r>
      <w:r w:rsidR="00E73950">
        <w:rPr>
          <w:rFonts w:eastAsia="Arial"/>
        </w:rPr>
        <w:t>what would meet Cabinet approval.</w:t>
      </w:r>
    </w:p>
    <w:p w14:paraId="1325E724" w14:textId="77777777" w:rsidR="00581BF9" w:rsidRDefault="00581BF9" w:rsidP="25035A9C">
      <w:pPr>
        <w:spacing w:before="0" w:after="0"/>
        <w:rPr>
          <w:rFonts w:eastAsia="Arial"/>
        </w:rPr>
      </w:pPr>
    </w:p>
    <w:p w14:paraId="7BC39565" w14:textId="790A171F" w:rsidR="007065B0" w:rsidRDefault="00D511EE" w:rsidP="25035A9C">
      <w:pPr>
        <w:spacing w:before="0" w:after="0"/>
        <w:rPr>
          <w:rFonts w:eastAsia="Arial"/>
        </w:rPr>
      </w:pPr>
      <w:r>
        <w:rPr>
          <w:rFonts w:eastAsia="Arial"/>
        </w:rPr>
        <w:lastRenderedPageBreak/>
        <w:t xml:space="preserve">The parameters for the national action plan </w:t>
      </w:r>
      <w:r w:rsidR="007065B0">
        <w:rPr>
          <w:rFonts w:eastAsia="Arial"/>
        </w:rPr>
        <w:t>were set out in several Cabinet papers.</w:t>
      </w:r>
      <w:r w:rsidR="007065B0">
        <w:rPr>
          <w:rStyle w:val="FootnoteReference"/>
          <w:rFonts w:eastAsia="Arial"/>
        </w:rPr>
        <w:footnoteReference w:id="3"/>
      </w:r>
      <w:r w:rsidR="007065B0">
        <w:rPr>
          <w:rFonts w:eastAsia="Arial"/>
        </w:rPr>
        <w:t xml:space="preserve"> These confirmed that the plan should:</w:t>
      </w:r>
      <w:r w:rsidR="007065B0">
        <w:rPr>
          <w:rStyle w:val="FootnoteReference"/>
          <w:rFonts w:eastAsia="Arial"/>
        </w:rPr>
        <w:footnoteReference w:id="4"/>
      </w:r>
    </w:p>
    <w:p w14:paraId="089E2829" w14:textId="77777777" w:rsidR="007065B0" w:rsidRDefault="007065B0" w:rsidP="007065B0">
      <w:pPr>
        <w:pStyle w:val="ListParagraph"/>
        <w:numPr>
          <w:ilvl w:val="0"/>
          <w:numId w:val="17"/>
        </w:numPr>
        <w:spacing w:before="0" w:after="0"/>
      </w:pPr>
      <w:r>
        <w:t xml:space="preserve">come from the intersect between government priorities, Māori aspirations and international Indigenous rights </w:t>
      </w:r>
      <w:proofErr w:type="gramStart"/>
      <w:r>
        <w:t>discourse;</w:t>
      </w:r>
      <w:proofErr w:type="gramEnd"/>
      <w:r>
        <w:t xml:space="preserve"> </w:t>
      </w:r>
    </w:p>
    <w:p w14:paraId="699888F8" w14:textId="77777777" w:rsidR="007065B0" w:rsidRDefault="007065B0" w:rsidP="007065B0">
      <w:pPr>
        <w:pStyle w:val="ListParagraph"/>
        <w:numPr>
          <w:ilvl w:val="0"/>
          <w:numId w:val="17"/>
        </w:numPr>
        <w:spacing w:before="0" w:after="0"/>
      </w:pPr>
      <w:r>
        <w:t xml:space="preserve">contribute to enhancing the self-determination of Māori as the Indigenous peoples of Aotearoa / New </w:t>
      </w:r>
      <w:proofErr w:type="gramStart"/>
      <w:r>
        <w:t>Zealand;</w:t>
      </w:r>
      <w:proofErr w:type="gramEnd"/>
      <w:r>
        <w:t xml:space="preserve"> </w:t>
      </w:r>
    </w:p>
    <w:p w14:paraId="5421C1FC" w14:textId="77777777" w:rsidR="007065B0" w:rsidRDefault="007065B0" w:rsidP="007065B0">
      <w:pPr>
        <w:pStyle w:val="ListParagraph"/>
        <w:numPr>
          <w:ilvl w:val="0"/>
          <w:numId w:val="17"/>
        </w:numPr>
        <w:spacing w:before="0" w:after="0"/>
      </w:pPr>
      <w:r>
        <w:t xml:space="preserve">contribute to improving intergenerational Māori wellbeing; and </w:t>
      </w:r>
    </w:p>
    <w:p w14:paraId="0DC9B701" w14:textId="2954A380" w:rsidR="007065B0" w:rsidRDefault="007065B0" w:rsidP="007065B0">
      <w:pPr>
        <w:pStyle w:val="ListParagraph"/>
        <w:numPr>
          <w:ilvl w:val="0"/>
          <w:numId w:val="17"/>
        </w:numPr>
        <w:spacing w:before="0" w:after="0"/>
      </w:pPr>
      <w:r>
        <w:t xml:space="preserve">demonstrate ambitious action as opposed to business as usual. </w:t>
      </w:r>
    </w:p>
    <w:p w14:paraId="214CD97A" w14:textId="77777777" w:rsidR="007065B0" w:rsidRDefault="007065B0" w:rsidP="007065B0">
      <w:pPr>
        <w:spacing w:before="0" w:after="0"/>
      </w:pPr>
    </w:p>
    <w:p w14:paraId="248527D3" w14:textId="1801B383" w:rsidR="007065B0" w:rsidRDefault="007065B0" w:rsidP="007065B0">
      <w:pPr>
        <w:spacing w:before="0" w:after="0"/>
      </w:pPr>
      <w:r>
        <w:t>In 2021, Cabinet also noted that the implementation of the Declaration in New Zealand should:</w:t>
      </w:r>
      <w:r>
        <w:rPr>
          <w:rStyle w:val="FootnoteReference"/>
        </w:rPr>
        <w:footnoteReference w:id="5"/>
      </w:r>
      <w:r>
        <w:t xml:space="preserve"> </w:t>
      </w:r>
    </w:p>
    <w:p w14:paraId="19AC1ABD" w14:textId="77777777" w:rsidR="007065B0" w:rsidRDefault="007065B0" w:rsidP="007065B0">
      <w:pPr>
        <w:pStyle w:val="ListParagraph"/>
        <w:numPr>
          <w:ilvl w:val="0"/>
          <w:numId w:val="18"/>
        </w:numPr>
        <w:spacing w:before="0" w:after="0"/>
      </w:pPr>
      <w:r>
        <w:t xml:space="preserve">be consistent with international law, and New Zealand law and </w:t>
      </w:r>
      <w:proofErr w:type="gramStart"/>
      <w:r>
        <w:t>policy;</w:t>
      </w:r>
      <w:proofErr w:type="gramEnd"/>
      <w:r>
        <w:t xml:space="preserve"> </w:t>
      </w:r>
    </w:p>
    <w:p w14:paraId="33D5FC13" w14:textId="77777777" w:rsidR="007065B0" w:rsidRDefault="007065B0" w:rsidP="007065B0">
      <w:pPr>
        <w:pStyle w:val="ListParagraph"/>
        <w:numPr>
          <w:ilvl w:val="0"/>
          <w:numId w:val="18"/>
        </w:numPr>
        <w:spacing w:before="0" w:after="0"/>
      </w:pPr>
      <w:r>
        <w:t xml:space="preserve">protect the rights of all citizens; and </w:t>
      </w:r>
    </w:p>
    <w:p w14:paraId="564AD139" w14:textId="7A14827B" w:rsidR="007065B0" w:rsidRPr="007065B0" w:rsidRDefault="007065B0" w:rsidP="007065B0">
      <w:pPr>
        <w:pStyle w:val="ListParagraph"/>
        <w:numPr>
          <w:ilvl w:val="0"/>
          <w:numId w:val="18"/>
        </w:numPr>
        <w:spacing w:before="0" w:after="0"/>
        <w:rPr>
          <w:rFonts w:eastAsia="Arial"/>
        </w:rPr>
      </w:pPr>
      <w:r>
        <w:t>safeguard territorial integrity and political unity as well as the responsibility of all democratically elected governments to govern for the welfare of all their citizens.</w:t>
      </w:r>
    </w:p>
    <w:p w14:paraId="5C218FAA" w14:textId="5DA0A0FA" w:rsidR="007065B0" w:rsidRDefault="007065B0" w:rsidP="25035A9C">
      <w:pPr>
        <w:spacing w:before="0" w:after="0"/>
        <w:rPr>
          <w:rFonts w:eastAsia="Arial"/>
        </w:rPr>
      </w:pPr>
    </w:p>
    <w:p w14:paraId="5ACB1191" w14:textId="6971FFEA" w:rsidR="00125BBD" w:rsidRPr="009853C3" w:rsidRDefault="002F2F99" w:rsidP="25035A9C">
      <w:pPr>
        <w:spacing w:before="0" w:after="0"/>
        <w:rPr>
          <w:rFonts w:eastAsia="Arial"/>
        </w:rPr>
      </w:pPr>
      <w:r w:rsidRPr="009853C3">
        <w:rPr>
          <w:rFonts w:eastAsia="Arial"/>
        </w:rPr>
        <w:t xml:space="preserve">These points highlight a further tension, that is also reflected in </w:t>
      </w:r>
      <w:r w:rsidR="00B87168">
        <w:rPr>
          <w:rFonts w:eastAsia="Arial"/>
        </w:rPr>
        <w:t>New Zealand’s</w:t>
      </w:r>
      <w:r w:rsidRPr="009853C3">
        <w:rPr>
          <w:rFonts w:eastAsia="Arial"/>
        </w:rPr>
        <w:t xml:space="preserve"> 2010 </w:t>
      </w:r>
      <w:r w:rsidR="000F0655" w:rsidRPr="009853C3">
        <w:rPr>
          <w:rFonts w:eastAsia="Arial"/>
        </w:rPr>
        <w:t>announcement of support for the Declaration</w:t>
      </w:r>
      <w:r w:rsidR="00B87168">
        <w:rPr>
          <w:rFonts w:eastAsia="Arial"/>
        </w:rPr>
        <w:t>.</w:t>
      </w:r>
      <w:r w:rsidR="005E752F" w:rsidRPr="009853C3">
        <w:rPr>
          <w:rStyle w:val="FootnoteReference"/>
          <w:rFonts w:eastAsia="Arial"/>
        </w:rPr>
        <w:footnoteReference w:id="6"/>
      </w:r>
    </w:p>
    <w:p w14:paraId="66DA4ED4" w14:textId="600EF9CC" w:rsidR="004F473E" w:rsidRPr="009853C3" w:rsidRDefault="004F473E" w:rsidP="25035A9C">
      <w:pPr>
        <w:spacing w:before="0" w:after="0"/>
        <w:rPr>
          <w:rFonts w:eastAsia="Arial"/>
        </w:rPr>
      </w:pPr>
    </w:p>
    <w:p w14:paraId="3991FEB2" w14:textId="6FE3D6BB" w:rsidR="004F473E" w:rsidRPr="000B51F6" w:rsidRDefault="004F473E" w:rsidP="000F0655">
      <w:pPr>
        <w:spacing w:before="0" w:after="0"/>
        <w:ind w:left="720"/>
        <w:rPr>
          <w:color w:val="000000"/>
          <w:sz w:val="20"/>
          <w:szCs w:val="20"/>
          <w:shd w:val="clear" w:color="auto" w:fill="FFFFFF"/>
        </w:rPr>
      </w:pPr>
      <w:r w:rsidRPr="000B51F6">
        <w:rPr>
          <w:color w:val="000000"/>
          <w:sz w:val="20"/>
          <w:szCs w:val="20"/>
          <w:shd w:val="clear" w:color="auto" w:fill="FFFFFF"/>
        </w:rPr>
        <w:t xml:space="preserve">In moving to support the Declaration, New Zealand both affirms those rights and reaffirms the legal and constitutional frameworks that underpin New Zealand’s legal system. Those existing frameworks, while they will continue to evolve in accordance with New Zealand’s domestic circumstances, define the bounds of New Zealand’s engagement with the aspirational elements of the Declaration. </w:t>
      </w:r>
    </w:p>
    <w:p w14:paraId="12B1B321" w14:textId="77777777" w:rsidR="000F0655" w:rsidRDefault="000F0655" w:rsidP="25035A9C">
      <w:pPr>
        <w:spacing w:before="0" w:after="0"/>
        <w:rPr>
          <w:rFonts w:eastAsia="Arial"/>
        </w:rPr>
      </w:pPr>
    </w:p>
    <w:p w14:paraId="31B68D08" w14:textId="77777777" w:rsidR="00BD3A58" w:rsidRDefault="000F0655" w:rsidP="00BD3A58">
      <w:pPr>
        <w:spacing w:before="0" w:after="0"/>
        <w:rPr>
          <w:rFonts w:eastAsia="Arial"/>
        </w:rPr>
      </w:pPr>
      <w:r>
        <w:rPr>
          <w:rFonts w:eastAsia="Arial"/>
        </w:rPr>
        <w:t>There is an inherent tension in the fact that, while the New Zealand Government recognises the rights in the Declaration to an extent</w:t>
      </w:r>
      <w:r w:rsidR="009853C3">
        <w:rPr>
          <w:rFonts w:eastAsia="Arial"/>
        </w:rPr>
        <w:t>,</w:t>
      </w:r>
      <w:r>
        <w:rPr>
          <w:rFonts w:eastAsia="Arial"/>
        </w:rPr>
        <w:t xml:space="preserve"> and has made commitments to implementing </w:t>
      </w:r>
      <w:r w:rsidR="00307B7B">
        <w:rPr>
          <w:rFonts w:eastAsia="Arial"/>
        </w:rPr>
        <w:t>them</w:t>
      </w:r>
      <w:r>
        <w:rPr>
          <w:rFonts w:eastAsia="Arial"/>
        </w:rPr>
        <w:t xml:space="preserve">, </w:t>
      </w:r>
      <w:r w:rsidR="00B2279A">
        <w:rPr>
          <w:rFonts w:eastAsia="Arial"/>
        </w:rPr>
        <w:t>it</w:t>
      </w:r>
      <w:r>
        <w:rPr>
          <w:rFonts w:eastAsia="Arial"/>
        </w:rPr>
        <w:t xml:space="preserve"> continues to view many of these as </w:t>
      </w:r>
      <w:r w:rsidR="00307B7B">
        <w:rPr>
          <w:rFonts w:eastAsia="Arial"/>
        </w:rPr>
        <w:t xml:space="preserve">merely </w:t>
      </w:r>
      <w:proofErr w:type="gramStart"/>
      <w:r>
        <w:rPr>
          <w:rFonts w:eastAsia="Arial"/>
        </w:rPr>
        <w:t>aspirational, and</w:t>
      </w:r>
      <w:proofErr w:type="gramEnd"/>
      <w:r>
        <w:rPr>
          <w:rFonts w:eastAsia="Arial"/>
        </w:rPr>
        <w:t xml:space="preserve"> </w:t>
      </w:r>
      <w:r w:rsidR="00442ECC">
        <w:rPr>
          <w:rFonts w:eastAsia="Arial"/>
        </w:rPr>
        <w:t xml:space="preserve">seems </w:t>
      </w:r>
      <w:r w:rsidR="00BD3A58">
        <w:rPr>
          <w:rFonts w:eastAsia="Arial"/>
        </w:rPr>
        <w:t xml:space="preserve">to continue to be resistant to the idea that changes may be required to New Zealand’s laws and constitutional frameworks in order to bring these into line with the Declaration. </w:t>
      </w:r>
    </w:p>
    <w:p w14:paraId="0E07D578" w14:textId="77777777" w:rsidR="00125BBD" w:rsidRDefault="00125BBD" w:rsidP="25035A9C">
      <w:pPr>
        <w:spacing w:before="0" w:after="0"/>
        <w:rPr>
          <w:rFonts w:eastAsia="Arial"/>
        </w:rPr>
      </w:pPr>
    </w:p>
    <w:p w14:paraId="14273381" w14:textId="6344E67B" w:rsidR="00337DA6" w:rsidRDefault="00337DA6" w:rsidP="00337DA6">
      <w:pPr>
        <w:pStyle w:val="Heading3"/>
      </w:pPr>
      <w:r>
        <w:t>Targeted engagement</w:t>
      </w:r>
    </w:p>
    <w:p w14:paraId="3A66AEA1" w14:textId="6ED4C16D" w:rsidR="00C2353C" w:rsidRDefault="00307B7B" w:rsidP="25035A9C">
      <w:pPr>
        <w:spacing w:before="0" w:after="0"/>
        <w:rPr>
          <w:rFonts w:eastAsia="Arial"/>
        </w:rPr>
      </w:pPr>
      <w:r>
        <w:rPr>
          <w:rFonts w:eastAsia="Arial"/>
        </w:rPr>
        <w:t xml:space="preserve">In 2022 the three partners </w:t>
      </w:r>
      <w:r w:rsidR="00761B38">
        <w:rPr>
          <w:rFonts w:eastAsia="Arial"/>
        </w:rPr>
        <w:t>carried out</w:t>
      </w:r>
      <w:r>
        <w:rPr>
          <w:rFonts w:eastAsia="Arial"/>
        </w:rPr>
        <w:t xml:space="preserve"> targeted engagement with </w:t>
      </w:r>
      <w:r w:rsidR="006C2472">
        <w:rPr>
          <w:rFonts w:eastAsia="Arial"/>
        </w:rPr>
        <w:t xml:space="preserve">Māori groups and organisations, </w:t>
      </w:r>
      <w:r w:rsidR="00761B38">
        <w:rPr>
          <w:rFonts w:eastAsia="Arial"/>
        </w:rPr>
        <w:t xml:space="preserve">seeking their views on </w:t>
      </w:r>
      <w:r w:rsidR="00D638CA">
        <w:rPr>
          <w:rFonts w:eastAsia="Arial"/>
        </w:rPr>
        <w:t xml:space="preserve">what should be included in an action plan. A </w:t>
      </w:r>
      <w:r w:rsidR="00D638CA">
        <w:rPr>
          <w:rFonts w:eastAsia="Arial"/>
        </w:rPr>
        <w:lastRenderedPageBreak/>
        <w:t xml:space="preserve">summary </w:t>
      </w:r>
      <w:r w:rsidR="006C2472">
        <w:rPr>
          <w:rFonts w:eastAsia="Arial"/>
        </w:rPr>
        <w:t>report of the feedback received</w:t>
      </w:r>
      <w:r w:rsidR="00D638CA">
        <w:rPr>
          <w:rFonts w:eastAsia="Arial"/>
        </w:rPr>
        <w:t xml:space="preserve"> was published</w:t>
      </w:r>
      <w:r w:rsidR="0060247A">
        <w:rPr>
          <w:rFonts w:eastAsia="Arial"/>
        </w:rPr>
        <w:t>,</w:t>
      </w:r>
      <w:r w:rsidR="005B3FA6">
        <w:rPr>
          <w:rStyle w:val="FootnoteReference"/>
          <w:rFonts w:eastAsia="Arial"/>
        </w:rPr>
        <w:footnoteReference w:id="7"/>
      </w:r>
      <w:r w:rsidR="006C2472">
        <w:rPr>
          <w:rFonts w:eastAsia="Arial"/>
        </w:rPr>
        <w:t xml:space="preserve"> </w:t>
      </w:r>
      <w:r w:rsidR="0060247A">
        <w:rPr>
          <w:rFonts w:eastAsia="Arial"/>
        </w:rPr>
        <w:t xml:space="preserve">and an update report provided to Cabinet in </w:t>
      </w:r>
      <w:r w:rsidR="005B3FA6">
        <w:rPr>
          <w:rFonts w:eastAsia="Arial"/>
        </w:rPr>
        <w:t>April 202</w:t>
      </w:r>
      <w:r w:rsidR="00C2353C">
        <w:rPr>
          <w:rFonts w:eastAsia="Arial"/>
        </w:rPr>
        <w:t>2.</w:t>
      </w:r>
      <w:r w:rsidR="00C2353C">
        <w:rPr>
          <w:rStyle w:val="FootnoteReference"/>
          <w:rFonts w:eastAsia="Arial"/>
        </w:rPr>
        <w:footnoteReference w:id="8"/>
      </w:r>
      <w:r w:rsidR="00C2353C">
        <w:rPr>
          <w:rFonts w:eastAsia="Arial"/>
        </w:rPr>
        <w:t xml:space="preserve">  </w:t>
      </w:r>
    </w:p>
    <w:p w14:paraId="47009C17" w14:textId="7D7100CF" w:rsidR="00652E39" w:rsidRDefault="00652E39" w:rsidP="25035A9C">
      <w:pPr>
        <w:spacing w:before="0" w:after="0"/>
        <w:rPr>
          <w:rFonts w:eastAsia="Arial"/>
        </w:rPr>
      </w:pPr>
    </w:p>
    <w:p w14:paraId="279ACDFF" w14:textId="77777777" w:rsidR="003B39F0" w:rsidRDefault="00867440" w:rsidP="00152CA8">
      <w:pPr>
        <w:spacing w:before="120" w:after="120"/>
      </w:pPr>
      <w:r w:rsidRPr="00435D12">
        <w:rPr>
          <w:rFonts w:cstheme="minorHAnsi"/>
        </w:rPr>
        <w:t>Feedback from targeted engagement confirms what has been expressed over the years in a range of reports and through previous engagement</w:t>
      </w:r>
      <w:r>
        <w:rPr>
          <w:rFonts w:cstheme="minorHAnsi"/>
        </w:rPr>
        <w:t>, including the EMRIP’s 2019 visit.</w:t>
      </w:r>
      <w:r w:rsidRPr="00435D12">
        <w:rPr>
          <w:rFonts w:cstheme="minorHAnsi"/>
        </w:rPr>
        <w:t xml:space="preserve"> </w:t>
      </w:r>
      <w:r>
        <w:t xml:space="preserve">While a broad array of issues </w:t>
      </w:r>
      <w:proofErr w:type="gramStart"/>
      <w:r>
        <w:t>were</w:t>
      </w:r>
      <w:proofErr w:type="gramEnd"/>
      <w:r>
        <w:t xml:space="preserve"> raised, an overarching theme and issue of concern clearly emerged. Strengthening </w:t>
      </w:r>
      <w:r w:rsidR="008627ED">
        <w:t xml:space="preserve">Māori self-determination and </w:t>
      </w:r>
      <w:proofErr w:type="spellStart"/>
      <w:r w:rsidR="008627ED">
        <w:t>tino</w:t>
      </w:r>
      <w:proofErr w:type="spellEnd"/>
      <w:r w:rsidR="008627ED">
        <w:t xml:space="preserve"> rangatiratanga </w:t>
      </w:r>
      <w:r>
        <w:t>was the most consistent matter raised. It was discussed at every engagement held and was a central theme for all the discussions.</w:t>
      </w:r>
      <w:r w:rsidRPr="004B4B83">
        <w:rPr>
          <w:rFonts w:cstheme="minorHAnsi"/>
        </w:rPr>
        <w:t xml:space="preserve"> </w:t>
      </w:r>
      <w:r w:rsidRPr="00435D12">
        <w:rPr>
          <w:rFonts w:cstheme="minorHAnsi"/>
        </w:rPr>
        <w:t xml:space="preserve">A key call </w:t>
      </w:r>
      <w:r w:rsidR="008627ED">
        <w:rPr>
          <w:rFonts w:cstheme="minorHAnsi"/>
        </w:rPr>
        <w:t xml:space="preserve">was </w:t>
      </w:r>
      <w:r w:rsidRPr="00435D12">
        <w:rPr>
          <w:rFonts w:cstheme="minorHAnsi"/>
        </w:rPr>
        <w:t>for the Government to share its power</w:t>
      </w:r>
      <w:r>
        <w:rPr>
          <w:rFonts w:cstheme="minorHAnsi"/>
        </w:rPr>
        <w:t xml:space="preserve">, </w:t>
      </w:r>
      <w:proofErr w:type="gramStart"/>
      <w:r>
        <w:rPr>
          <w:rFonts w:cstheme="minorHAnsi"/>
        </w:rPr>
        <w:t>resources</w:t>
      </w:r>
      <w:proofErr w:type="gramEnd"/>
      <w:r w:rsidRPr="00435D12">
        <w:rPr>
          <w:rFonts w:cstheme="minorHAnsi"/>
        </w:rPr>
        <w:t xml:space="preserve"> and support Māori to be involved in and make decisions that impact them. This applies to a range of </w:t>
      </w:r>
      <w:r>
        <w:rPr>
          <w:rFonts w:cstheme="minorHAnsi"/>
        </w:rPr>
        <w:t>areas including</w:t>
      </w:r>
      <w:r w:rsidRPr="00435D12">
        <w:rPr>
          <w:rFonts w:cstheme="minorHAnsi"/>
        </w:rPr>
        <w:t xml:space="preserve"> justice, health and education</w:t>
      </w:r>
      <w:r>
        <w:rPr>
          <w:rFonts w:cstheme="minorHAnsi"/>
        </w:rPr>
        <w:t xml:space="preserve">, </w:t>
      </w:r>
      <w:r w:rsidRPr="00435D12">
        <w:rPr>
          <w:rFonts w:cstheme="minorHAnsi"/>
        </w:rPr>
        <w:t xml:space="preserve">housing, the environment and cultural expression and </w:t>
      </w:r>
      <w:r w:rsidRPr="007C42CA">
        <w:rPr>
          <w:rFonts w:cstheme="minorHAnsi"/>
        </w:rPr>
        <w:t>identity.</w:t>
      </w:r>
      <w:r>
        <w:rPr>
          <w:rFonts w:cstheme="minorHAnsi"/>
        </w:rPr>
        <w:t xml:space="preserve"> </w:t>
      </w:r>
      <w:r w:rsidR="00652E39" w:rsidRPr="003C5891">
        <w:t xml:space="preserve">The feedback from targeted engagement </w:t>
      </w:r>
      <w:r w:rsidR="00652E39" w:rsidRPr="003C5891">
        <w:rPr>
          <w:rFonts w:eastAsia="Calibri"/>
          <w:lang w:val="mi-NZ"/>
        </w:rPr>
        <w:t xml:space="preserve">highlighted that the rights guaranteed in Te Tiriti and the Declaration still aren’t a reality for whānau, hapū, iwi and Māori. </w:t>
      </w:r>
      <w:r w:rsidR="00652E39" w:rsidRPr="003C5891">
        <w:t xml:space="preserve">Greater participation in decision making was another key theme, along with addressing racism and discrimination, and improving understanding of Te Tiriti and Indigenous peoples’ rights. </w:t>
      </w:r>
    </w:p>
    <w:p w14:paraId="7338F8F6" w14:textId="77777777" w:rsidR="00652E39" w:rsidRDefault="00652E39" w:rsidP="25035A9C">
      <w:pPr>
        <w:spacing w:before="0" w:after="0"/>
        <w:rPr>
          <w:rFonts w:eastAsia="Arial"/>
        </w:rPr>
      </w:pPr>
    </w:p>
    <w:p w14:paraId="78534841" w14:textId="198E5D9E" w:rsidR="00B06EE5" w:rsidRPr="003C5891" w:rsidRDefault="006C2472" w:rsidP="25035A9C">
      <w:pPr>
        <w:spacing w:before="0" w:after="0"/>
        <w:rPr>
          <w:rFonts w:eastAsia="Arial"/>
        </w:rPr>
      </w:pPr>
      <w:r>
        <w:rPr>
          <w:rFonts w:eastAsia="Arial"/>
        </w:rPr>
        <w:t xml:space="preserve">This </w:t>
      </w:r>
      <w:r w:rsidR="00B74206">
        <w:rPr>
          <w:rFonts w:eastAsia="Arial"/>
        </w:rPr>
        <w:t xml:space="preserve">targeted engagement </w:t>
      </w:r>
      <w:r>
        <w:rPr>
          <w:rFonts w:eastAsia="Arial"/>
        </w:rPr>
        <w:t xml:space="preserve">was intended to be the first of two </w:t>
      </w:r>
      <w:r w:rsidR="00B74206">
        <w:rPr>
          <w:rFonts w:eastAsia="Arial"/>
        </w:rPr>
        <w:t>engagement phases</w:t>
      </w:r>
      <w:r>
        <w:rPr>
          <w:rFonts w:eastAsia="Arial"/>
        </w:rPr>
        <w:t>. The targeted engagement feedback informed the preparation of a draft Declaration plan</w:t>
      </w:r>
      <w:r w:rsidR="00991EFC">
        <w:rPr>
          <w:rFonts w:eastAsia="Arial"/>
        </w:rPr>
        <w:t>, which would then be released for broad public engagement, before being finalised by February 2023.</w:t>
      </w:r>
      <w:r>
        <w:rPr>
          <w:rFonts w:eastAsia="Arial"/>
        </w:rPr>
        <w:t xml:space="preserve"> </w:t>
      </w:r>
    </w:p>
    <w:p w14:paraId="3C03DF88" w14:textId="112D18AC" w:rsidR="00C2353C" w:rsidRDefault="00991EFC" w:rsidP="00D34D00">
      <w:r>
        <w:t xml:space="preserve">The three partner organisations worked collaboratively on </w:t>
      </w:r>
      <w:r w:rsidR="009B37F0">
        <w:t xml:space="preserve">both </w:t>
      </w:r>
      <w:r>
        <w:t xml:space="preserve">the engagement and drafting. </w:t>
      </w:r>
    </w:p>
    <w:p w14:paraId="57BB1F0D" w14:textId="0675C487" w:rsidR="00337DA6" w:rsidRDefault="00337DA6" w:rsidP="00432220">
      <w:pPr>
        <w:pStyle w:val="Heading3"/>
      </w:pPr>
      <w:r>
        <w:t>Def</w:t>
      </w:r>
      <w:r w:rsidR="00432220">
        <w:t>erral of national action plan</w:t>
      </w:r>
    </w:p>
    <w:p w14:paraId="50612F52" w14:textId="55397F6D" w:rsidR="00542D7F" w:rsidRDefault="00542D7F" w:rsidP="00D34D00">
      <w:r>
        <w:t xml:space="preserve">Despite </w:t>
      </w:r>
      <w:r w:rsidR="00391A19">
        <w:t>the</w:t>
      </w:r>
      <w:r>
        <w:t xml:space="preserve"> best efforts to </w:t>
      </w:r>
      <w:r w:rsidR="004E0746">
        <w:t xml:space="preserve">prepare a draft that could be agreed by </w:t>
      </w:r>
      <w:r w:rsidR="00576714">
        <w:t xml:space="preserve">all three partner organisations, ultimately the Government was not </w:t>
      </w:r>
      <w:r w:rsidR="009801D6">
        <w:t xml:space="preserve">prepared to </w:t>
      </w:r>
      <w:r w:rsidR="009930F4">
        <w:t>publish a draft plan for public consultation in the current environment</w:t>
      </w:r>
      <w:r w:rsidR="00DB1BEE">
        <w:t xml:space="preserve"> </w:t>
      </w:r>
      <w:r w:rsidR="003C0C75">
        <w:t xml:space="preserve">and in an election year. </w:t>
      </w:r>
      <w:r w:rsidR="00AB5748">
        <w:t>The need for greater</w:t>
      </w:r>
      <w:r w:rsidR="0088676D">
        <w:t xml:space="preserve"> </w:t>
      </w:r>
      <w:r w:rsidR="003B39F0">
        <w:t xml:space="preserve">public </w:t>
      </w:r>
      <w:r w:rsidR="0088676D">
        <w:t xml:space="preserve">understanding and </w:t>
      </w:r>
      <w:r w:rsidR="00AB5748">
        <w:t>stronger</w:t>
      </w:r>
      <w:r w:rsidR="00266090">
        <w:t xml:space="preserve"> public</w:t>
      </w:r>
      <w:r w:rsidR="00AB5748">
        <w:t xml:space="preserve"> </w:t>
      </w:r>
      <w:r w:rsidR="0088676D">
        <w:t xml:space="preserve">‘buy in’ to </w:t>
      </w:r>
      <w:r w:rsidR="00266090">
        <w:t xml:space="preserve">the Declaration was seen as necessary before </w:t>
      </w:r>
      <w:r w:rsidR="00F45CC5">
        <w:t xml:space="preserve">a </w:t>
      </w:r>
      <w:r w:rsidR="00EA3B02">
        <w:t xml:space="preserve">national action </w:t>
      </w:r>
      <w:r w:rsidR="00F45CC5">
        <w:t xml:space="preserve">plan could be achieved. Other </w:t>
      </w:r>
      <w:r w:rsidR="00671060">
        <w:t>government initiatives</w:t>
      </w:r>
      <w:r w:rsidR="00E81E4B">
        <w:t xml:space="preserve"> </w:t>
      </w:r>
      <w:r w:rsidR="00F7300F">
        <w:t xml:space="preserve">that would advance Māori rights have proved controversial and </w:t>
      </w:r>
      <w:r w:rsidR="003845EC">
        <w:t>have attracted vocal criticism</w:t>
      </w:r>
      <w:r w:rsidR="00F7300F">
        <w:t xml:space="preserve">, including </w:t>
      </w:r>
      <w:r w:rsidR="003845EC">
        <w:t>proposed law reforms</w:t>
      </w:r>
      <w:r w:rsidR="0062515B">
        <w:t xml:space="preserve"> </w:t>
      </w:r>
      <w:r w:rsidR="00CD2324">
        <w:t>regarding water, that include</w:t>
      </w:r>
      <w:r w:rsidR="00F81F8C">
        <w:t xml:space="preserve"> “co-governance” arrangements with Māor</w:t>
      </w:r>
      <w:r w:rsidR="00CD2324">
        <w:t>i.</w:t>
      </w:r>
      <w:r w:rsidR="00C649EC">
        <w:t xml:space="preserve"> </w:t>
      </w:r>
      <w:r w:rsidR="00F81F8C">
        <w:t xml:space="preserve"> </w:t>
      </w:r>
    </w:p>
    <w:p w14:paraId="7F9BCB82" w14:textId="1D859F7F" w:rsidR="00D34D00" w:rsidRDefault="00D34D00" w:rsidP="00D34D00">
      <w:r w:rsidRPr="003C5891">
        <w:t xml:space="preserve">We were not able to finalise a draft Declaration plan </w:t>
      </w:r>
      <w:r w:rsidR="001A0CE7">
        <w:t>within the planned timeframes, an</w:t>
      </w:r>
      <w:r w:rsidR="009C5619">
        <w:t xml:space="preserve">d accordingly were unable to complete </w:t>
      </w:r>
      <w:r w:rsidR="00957CF9">
        <w:t xml:space="preserve">public engagement by the end of </w:t>
      </w:r>
      <w:r w:rsidRPr="003C5891">
        <w:t xml:space="preserve">2022. </w:t>
      </w:r>
      <w:r w:rsidR="00317105">
        <w:t xml:space="preserve">In January 2023 </w:t>
      </w:r>
      <w:r w:rsidRPr="003C5891">
        <w:t xml:space="preserve">Cabinet </w:t>
      </w:r>
      <w:r w:rsidR="00317105">
        <w:t>confirmed the decision</w:t>
      </w:r>
      <w:r w:rsidR="008617B3">
        <w:t xml:space="preserve"> to pause work </w:t>
      </w:r>
      <w:r w:rsidRPr="003C5891">
        <w:t xml:space="preserve">the draft Declaration plan until 2024. </w:t>
      </w:r>
    </w:p>
    <w:p w14:paraId="6DB185C9" w14:textId="0E1DEE47" w:rsidR="00BA3488" w:rsidRPr="003C5891" w:rsidRDefault="00BA3488" w:rsidP="00BA3488">
      <w:r>
        <w:t xml:space="preserve">While the Minister has made public comments signalling this decision, an official announcement has not been made. This </w:t>
      </w:r>
      <w:r w:rsidR="00DA201D">
        <w:t>was</w:t>
      </w:r>
      <w:r>
        <w:t xml:space="preserve"> expected in </w:t>
      </w:r>
      <w:r w:rsidR="00DA201D">
        <w:t xml:space="preserve">late January, early February, but </w:t>
      </w:r>
      <w:r w:rsidR="00DA201D">
        <w:lastRenderedPageBreak/>
        <w:t xml:space="preserve">has </w:t>
      </w:r>
      <w:r w:rsidR="00201ED9">
        <w:t xml:space="preserve">also </w:t>
      </w:r>
      <w:r w:rsidR="00DA201D">
        <w:t xml:space="preserve">been delayed. </w:t>
      </w:r>
      <w:r w:rsidR="00EB6513">
        <w:t>The</w:t>
      </w:r>
      <w:r>
        <w:t xml:space="preserve"> January 2023 Cabinet decision will also be publicly released</w:t>
      </w:r>
      <w:r w:rsidR="00EB6513">
        <w:t xml:space="preserve"> at the same time</w:t>
      </w:r>
      <w:r>
        <w:t>.</w:t>
      </w:r>
    </w:p>
    <w:p w14:paraId="594E87DC" w14:textId="6CC945E7" w:rsidR="00531841" w:rsidRDefault="00BA3488" w:rsidP="00BA3488">
      <w:pPr>
        <w:pStyle w:val="Heading3"/>
      </w:pPr>
      <w:r>
        <w:t>Education, awareness raising and supporting Indigenous self-determination</w:t>
      </w:r>
    </w:p>
    <w:p w14:paraId="486AB332" w14:textId="207F058D" w:rsidR="009C77BD" w:rsidRDefault="00D64D54" w:rsidP="00D34D00">
      <w:r>
        <w:t>While</w:t>
      </w:r>
      <w:r w:rsidR="007F51B6">
        <w:t xml:space="preserve"> </w:t>
      </w:r>
      <w:r w:rsidR="002E3E2F">
        <w:t xml:space="preserve">deferring the completion of the action plan, </w:t>
      </w:r>
      <w:r>
        <w:t>the Government has affirmed its commitment to the Declaration, and has</w:t>
      </w:r>
      <w:r w:rsidR="002E3E2F">
        <w:t xml:space="preserve"> agreed to provide funding to Pou Tikanga to support ongoing </w:t>
      </w:r>
      <w:r w:rsidR="009C77BD">
        <w:t>work in two areas:</w:t>
      </w:r>
    </w:p>
    <w:p w14:paraId="61567889" w14:textId="4ED15D11" w:rsidR="009C77BD" w:rsidRDefault="000B51F6" w:rsidP="009C77BD">
      <w:pPr>
        <w:pStyle w:val="ListParagraph"/>
        <w:numPr>
          <w:ilvl w:val="0"/>
          <w:numId w:val="19"/>
        </w:numPr>
      </w:pPr>
      <w:r>
        <w:t xml:space="preserve">Building awareness and understanding </w:t>
      </w:r>
      <w:r w:rsidR="009C77BD">
        <w:t>of the Declaration</w:t>
      </w:r>
    </w:p>
    <w:p w14:paraId="42ABA381" w14:textId="3A879DC3" w:rsidR="00C153CF" w:rsidRPr="00C153CF" w:rsidRDefault="000B51F6" w:rsidP="00C153CF">
      <w:pPr>
        <w:pStyle w:val="ListParagraph"/>
        <w:numPr>
          <w:ilvl w:val="0"/>
          <w:numId w:val="19"/>
        </w:numPr>
        <w:rPr>
          <w:lang w:val="mi-NZ"/>
        </w:rPr>
      </w:pPr>
      <w:r>
        <w:t>Activities to s</w:t>
      </w:r>
      <w:r w:rsidR="00CB34B7">
        <w:t xml:space="preserve">upporting </w:t>
      </w:r>
      <w:r w:rsidR="00C153CF" w:rsidRPr="00C153CF">
        <w:rPr>
          <w:lang w:val="mi-NZ"/>
        </w:rPr>
        <w:t xml:space="preserve">Indigenous Peoples to exercise their self-determination and achieve their aspirations. </w:t>
      </w:r>
      <w:r w:rsidR="00C153CF" w:rsidRPr="00C153CF">
        <w:rPr>
          <w:lang w:val="en-US"/>
        </w:rPr>
        <w:t xml:space="preserve">This work involves </w:t>
      </w:r>
      <w:r w:rsidR="00C153CF" w:rsidRPr="00F1255B">
        <w:rPr>
          <w:lang w:val="en-US"/>
        </w:rPr>
        <w:t>facilitating ‘Peoples’ plans’</w:t>
      </w:r>
      <w:r w:rsidR="00C153CF" w:rsidRPr="00C153CF">
        <w:rPr>
          <w:lang w:val="en-US"/>
        </w:rPr>
        <w:t xml:space="preserve"> to support Indigenous groups/families to achieve their self-determination aspirations.</w:t>
      </w:r>
    </w:p>
    <w:p w14:paraId="4B7E50AC" w14:textId="4030207C" w:rsidR="00652E39" w:rsidRDefault="00B771FF" w:rsidP="00B771FF">
      <w:r>
        <w:t xml:space="preserve">The Commission </w:t>
      </w:r>
      <w:r w:rsidR="008A4A28">
        <w:t xml:space="preserve">is discussing with Pou Tikanga ways it might support these activities, as </w:t>
      </w:r>
      <w:r w:rsidR="000B1E6E">
        <w:t xml:space="preserve">well as </w:t>
      </w:r>
      <w:r w:rsidR="00652E39">
        <w:t>progressing its own activities focussed on education and awareness raising.</w:t>
      </w:r>
    </w:p>
    <w:p w14:paraId="27B8DF99" w14:textId="41FB3DC7" w:rsidR="00705CAD" w:rsidRDefault="00705CAD" w:rsidP="00705CAD">
      <w:r>
        <w:t>In conclusion, we hope you find our submission useful when considering how to monitor states’ implementation of the Declara</w:t>
      </w:r>
      <w:r>
        <w:t>t</w:t>
      </w:r>
      <w:r>
        <w:t>ion.</w:t>
      </w:r>
    </w:p>
    <w:p w14:paraId="7A66C253" w14:textId="77777777" w:rsidR="00705CAD" w:rsidRDefault="00705CAD" w:rsidP="00705CAD">
      <w:pPr>
        <w:spacing w:before="0" w:after="0"/>
        <w:rPr>
          <w:rFonts w:eastAsia="Arial"/>
          <w:color w:val="000000" w:themeColor="text1"/>
        </w:rPr>
      </w:pPr>
      <w:r>
        <w:rPr>
          <w:rFonts w:eastAsia="Arial"/>
          <w:color w:val="000000" w:themeColor="text1"/>
        </w:rPr>
        <w:t>We are available to discuss any of the issues outlined above.</w:t>
      </w:r>
    </w:p>
    <w:p w14:paraId="1AEDC3DC" w14:textId="14329C11" w:rsidR="006D5176" w:rsidRPr="003C5891" w:rsidRDefault="006D5176" w:rsidP="007D5EAB">
      <w:pPr>
        <w:spacing w:before="0" w:after="0"/>
        <w:rPr>
          <w:rFonts w:eastAsia="Arial"/>
          <w:color w:val="000000" w:themeColor="text1"/>
        </w:rPr>
      </w:pPr>
    </w:p>
    <w:sectPr w:rsidR="006D5176" w:rsidRPr="003C5891" w:rsidSect="009F70A8">
      <w:footerReference w:type="default" r:id="rId12"/>
      <w:headerReference w:type="first" r:id="rId13"/>
      <w:footerReference w:type="first" r:id="rId14"/>
      <w:pgSz w:w="11906" w:h="16838" w:code="9"/>
      <w:pgMar w:top="1701" w:right="1134" w:bottom="1440"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C60D" w14:textId="77777777" w:rsidR="002D4DCA" w:rsidRDefault="002D4DCA" w:rsidP="001141AE">
      <w:r>
        <w:separator/>
      </w:r>
    </w:p>
  </w:endnote>
  <w:endnote w:type="continuationSeparator" w:id="0">
    <w:p w14:paraId="6D116801" w14:textId="77777777" w:rsidR="002D4DCA" w:rsidRDefault="002D4DCA" w:rsidP="001141AE">
      <w:r>
        <w:continuationSeparator/>
      </w:r>
    </w:p>
  </w:endnote>
  <w:endnote w:type="continuationNotice" w:id="1">
    <w:p w14:paraId="72097B95" w14:textId="77777777" w:rsidR="002D4DCA" w:rsidRDefault="002D4D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504854"/>
      <w:docPartObj>
        <w:docPartGallery w:val="Page Numbers (Bottom of Page)"/>
        <w:docPartUnique/>
      </w:docPartObj>
    </w:sdtPr>
    <w:sdtEndPr>
      <w:rPr>
        <w:rFonts w:asciiTheme="minorHAnsi" w:hAnsiTheme="minorHAnsi" w:cstheme="minorHAnsi"/>
        <w:noProof/>
        <w:sz w:val="18"/>
        <w:szCs w:val="18"/>
      </w:rPr>
    </w:sdtEndPr>
    <w:sdtContent>
      <w:p w14:paraId="015137E9" w14:textId="0E9DF355" w:rsidR="00B52295" w:rsidRPr="00A2309F" w:rsidRDefault="00B52295" w:rsidP="00A2309F">
        <w:pPr>
          <w:pStyle w:val="Footer"/>
          <w:jc w:val="center"/>
          <w:rPr>
            <w:rFonts w:asciiTheme="minorHAnsi" w:hAnsiTheme="minorHAnsi" w:cstheme="minorHAnsi"/>
            <w:sz w:val="18"/>
            <w:szCs w:val="18"/>
          </w:rPr>
        </w:pPr>
        <w:r w:rsidRPr="00B52295">
          <w:rPr>
            <w:rFonts w:asciiTheme="minorHAnsi" w:hAnsiTheme="minorHAnsi" w:cstheme="minorHAnsi"/>
            <w:sz w:val="18"/>
            <w:szCs w:val="18"/>
          </w:rPr>
          <w:fldChar w:fldCharType="begin"/>
        </w:r>
        <w:r w:rsidRPr="00B52295">
          <w:rPr>
            <w:rFonts w:asciiTheme="minorHAnsi" w:hAnsiTheme="minorHAnsi" w:cstheme="minorHAnsi"/>
            <w:sz w:val="18"/>
            <w:szCs w:val="18"/>
          </w:rPr>
          <w:instrText xml:space="preserve"> PAGE   \* MERGEFORMAT </w:instrText>
        </w:r>
        <w:r w:rsidRPr="00B52295">
          <w:rPr>
            <w:rFonts w:asciiTheme="minorHAnsi" w:hAnsiTheme="minorHAnsi" w:cstheme="minorHAnsi"/>
            <w:sz w:val="18"/>
            <w:szCs w:val="18"/>
          </w:rPr>
          <w:fldChar w:fldCharType="separate"/>
        </w:r>
        <w:r w:rsidRPr="00B52295">
          <w:rPr>
            <w:rFonts w:asciiTheme="minorHAnsi" w:hAnsiTheme="minorHAnsi" w:cstheme="minorHAnsi"/>
            <w:noProof/>
            <w:sz w:val="18"/>
            <w:szCs w:val="18"/>
          </w:rPr>
          <w:t>2</w:t>
        </w:r>
        <w:r w:rsidRPr="00B52295">
          <w:rPr>
            <w:rFonts w:asciiTheme="minorHAnsi" w:hAnsiTheme="minorHAnsi" w:cstheme="minorHAnsi"/>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C05E" w14:textId="3AEC9876" w:rsidR="003135A3" w:rsidRPr="00A10840" w:rsidRDefault="00A10840" w:rsidP="00215AAD">
    <w:pPr>
      <w:pStyle w:val="LetterheadFooter"/>
      <w:spacing w:before="0"/>
      <w:ind w:left="0"/>
      <w:rPr>
        <w:rFonts w:asciiTheme="minorHAnsi" w:hAnsiTheme="minorHAnsi" w:cstheme="minorHAnsi"/>
        <w:sz w:val="28"/>
        <w:szCs w:val="28"/>
        <w:lang w:val="mi-NZ"/>
      </w:rPr>
    </w:pPr>
    <w:r w:rsidRPr="00A10840">
      <w:rPr>
        <w:rFonts w:asciiTheme="minorHAnsi" w:hAnsiTheme="minorHAnsi" w:cstheme="minorHAnsi"/>
        <w:sz w:val="28"/>
        <w:szCs w:val="28"/>
        <w:lang w:val="mi-NZ"/>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61E8" w14:textId="77777777" w:rsidR="002D4DCA" w:rsidRDefault="002D4DCA" w:rsidP="001141AE">
      <w:r>
        <w:separator/>
      </w:r>
    </w:p>
  </w:footnote>
  <w:footnote w:type="continuationSeparator" w:id="0">
    <w:p w14:paraId="7699A991" w14:textId="77777777" w:rsidR="002D4DCA" w:rsidRDefault="002D4DCA" w:rsidP="001141AE">
      <w:r>
        <w:continuationSeparator/>
      </w:r>
    </w:p>
  </w:footnote>
  <w:footnote w:type="continuationNotice" w:id="1">
    <w:p w14:paraId="46CCE14F" w14:textId="77777777" w:rsidR="002D4DCA" w:rsidRDefault="002D4DCA">
      <w:pPr>
        <w:spacing w:before="0" w:after="0"/>
      </w:pPr>
    </w:p>
  </w:footnote>
  <w:footnote w:id="2">
    <w:p w14:paraId="3255720C" w14:textId="77777777" w:rsidR="00DB6016" w:rsidRPr="006B086A" w:rsidRDefault="00DB6016" w:rsidP="006B086A">
      <w:pPr>
        <w:pStyle w:val="FootnoteText"/>
        <w:rPr>
          <w:lang w:val="mi-NZ"/>
        </w:rPr>
      </w:pPr>
      <w:r w:rsidRPr="006B086A">
        <w:rPr>
          <w:rStyle w:val="FootnoteReference"/>
        </w:rPr>
        <w:footnoteRef/>
      </w:r>
      <w:r w:rsidRPr="006B086A">
        <w:t xml:space="preserve"> </w:t>
      </w:r>
      <w:hyperlink r:id="rId1" w:history="1">
        <w:r w:rsidRPr="006B086A">
          <w:rPr>
            <w:rStyle w:val="Hyperlink"/>
          </w:rPr>
          <w:t>https://tikatangata.org.nz/news/renowned-indigenous-rights-expert-joins-the-human-rights-commission</w:t>
        </w:r>
      </w:hyperlink>
      <w:r w:rsidRPr="006B086A">
        <w:t xml:space="preserve"> </w:t>
      </w:r>
    </w:p>
  </w:footnote>
  <w:footnote w:id="3">
    <w:p w14:paraId="2E5B9AD1" w14:textId="55F11929" w:rsidR="00F87592" w:rsidRPr="006B086A" w:rsidRDefault="007065B0" w:rsidP="006B086A">
      <w:pPr>
        <w:pStyle w:val="Quote"/>
        <w:spacing w:before="0" w:after="0"/>
        <w:ind w:left="0" w:right="1089"/>
      </w:pPr>
      <w:r w:rsidRPr="006B086A">
        <w:rPr>
          <w:rStyle w:val="FootnoteReference"/>
        </w:rPr>
        <w:footnoteRef/>
      </w:r>
      <w:r w:rsidRPr="006B086A">
        <w:t xml:space="preserve"> </w:t>
      </w:r>
      <w:r w:rsidR="00F87592" w:rsidRPr="006B086A">
        <w:rPr>
          <w:rStyle w:val="Strong"/>
          <w:b w:val="0"/>
          <w:bCs w:val="0"/>
          <w:color w:val="333333"/>
        </w:rPr>
        <w:t>In March 2019, Cabinet approved a process to develop a Declaration plan. </w:t>
      </w:r>
      <w:r w:rsidR="00B23CBB" w:rsidRPr="006B086A">
        <w:rPr>
          <w:rStyle w:val="Strong"/>
          <w:b w:val="0"/>
          <w:bCs w:val="0"/>
          <w:color w:val="333333"/>
        </w:rPr>
        <w:t>Accessible at:</w:t>
      </w:r>
    </w:p>
    <w:p w14:paraId="4EFF2479" w14:textId="55D30DE6" w:rsidR="00F87592" w:rsidRPr="006B086A" w:rsidRDefault="005E0812" w:rsidP="006B086A">
      <w:pPr>
        <w:pStyle w:val="Quote"/>
        <w:spacing w:before="0" w:after="0"/>
        <w:ind w:left="0" w:right="1089"/>
        <w:rPr>
          <w:rStyle w:val="Hyperlink"/>
          <w:color w:val="007C9D"/>
        </w:rPr>
      </w:pPr>
      <w:hyperlink r:id="rId2" w:history="1">
        <w:r w:rsidR="003C65DB" w:rsidRPr="006B086A">
          <w:rPr>
            <w:rStyle w:val="Hyperlink"/>
            <w:color w:val="007C9D"/>
          </w:rPr>
          <w:t>https://www.tpk.govt.nz/mo-te-puni-kokiri/corporate-documents/cabinet-papers/all-cabinet-papers/develop-plan-on-nz-progress-un</w:t>
        </w:r>
      </w:hyperlink>
    </w:p>
    <w:p w14:paraId="708A6F90" w14:textId="71F0E78B" w:rsidR="00F87592" w:rsidRPr="006B086A" w:rsidRDefault="00F87592" w:rsidP="006B086A">
      <w:pPr>
        <w:pStyle w:val="Quote"/>
        <w:spacing w:before="0" w:after="0"/>
        <w:ind w:left="0" w:right="1089"/>
      </w:pPr>
      <w:r w:rsidRPr="006B086A">
        <w:rPr>
          <w:rStyle w:val="Strong"/>
          <w:b w:val="0"/>
          <w:bCs w:val="0"/>
          <w:color w:val="333333"/>
        </w:rPr>
        <w:t>In June 2021 Cabinet approved the next steps for developing a Declaration plan.</w:t>
      </w:r>
      <w:r w:rsidR="00B23CBB" w:rsidRPr="006B086A">
        <w:rPr>
          <w:rStyle w:val="Strong"/>
          <w:b w:val="0"/>
          <w:bCs w:val="0"/>
          <w:color w:val="333333"/>
        </w:rPr>
        <w:t xml:space="preserve"> Accessible at:</w:t>
      </w:r>
    </w:p>
    <w:p w14:paraId="1EA5A637" w14:textId="105823A1" w:rsidR="007065B0" w:rsidRPr="006B086A" w:rsidRDefault="005E0812" w:rsidP="006B086A">
      <w:pPr>
        <w:pStyle w:val="Quote"/>
        <w:spacing w:before="0" w:after="0"/>
        <w:ind w:left="0" w:right="1089"/>
      </w:pPr>
      <w:hyperlink r:id="rId3" w:history="1">
        <w:r w:rsidR="003C65DB" w:rsidRPr="006B086A">
          <w:rPr>
            <w:rStyle w:val="Hyperlink"/>
            <w:color w:val="007C9D"/>
          </w:rPr>
          <w:t>https://www.tpk.govt.nz/mo-te-puni-kokiri/corporate-documents/cabinet-papers/all-cabinet-papers/next-steps-for-declaration-plan</w:t>
        </w:r>
      </w:hyperlink>
      <w:r w:rsidR="00F87592" w:rsidRPr="006B086A">
        <w:t>.</w:t>
      </w:r>
      <w:r w:rsidR="00F87592" w:rsidRPr="006B086A">
        <w:br/>
      </w:r>
      <w:r w:rsidR="00785A78" w:rsidRPr="006B086A">
        <w:rPr>
          <w:rStyle w:val="Strong"/>
          <w:b w:val="0"/>
          <w:bCs w:val="0"/>
          <w:color w:val="333333"/>
        </w:rPr>
        <w:t xml:space="preserve">In April 2022 Cabinet received the Māori targeted engagement feedback and agreed the process for drafting a Declaration plan </w:t>
      </w:r>
      <w:r w:rsidR="00785A78" w:rsidRPr="006B086A">
        <w:t>Cabinet paper</w:t>
      </w:r>
      <w:r w:rsidR="00B23CBB" w:rsidRPr="006B086A">
        <w:t>. Accessible at:</w:t>
      </w:r>
      <w:r w:rsidR="00785A78" w:rsidRPr="006B086A">
        <w:t> </w:t>
      </w:r>
      <w:hyperlink r:id="rId4" w:history="1">
        <w:r w:rsidR="003C65DB" w:rsidRPr="006B086A">
          <w:rPr>
            <w:rStyle w:val="Hyperlink"/>
            <w:color w:val="007C9D"/>
          </w:rPr>
          <w:t>https://www.tpk.govt.nz/mo-te-puni-kokiri/corporate-documents/cabinet-papers/all-cabinet-papers/united-nations-declaration-on-the-rights-of-indige</w:t>
        </w:r>
      </w:hyperlink>
    </w:p>
  </w:footnote>
  <w:footnote w:id="4">
    <w:p w14:paraId="0BACBD55" w14:textId="3E78AFD2" w:rsidR="007065B0" w:rsidRPr="006B086A" w:rsidRDefault="007065B0" w:rsidP="006B086A">
      <w:pPr>
        <w:pStyle w:val="FootnoteText"/>
        <w:rPr>
          <w:lang w:val="mi-NZ"/>
        </w:rPr>
      </w:pPr>
      <w:r w:rsidRPr="006B086A">
        <w:rPr>
          <w:rStyle w:val="FootnoteReference"/>
        </w:rPr>
        <w:footnoteRef/>
      </w:r>
      <w:r w:rsidRPr="006B086A">
        <w:t xml:space="preserve"> </w:t>
      </w:r>
      <w:r w:rsidR="00B23CBB" w:rsidRPr="006B086A">
        <w:t xml:space="preserve">April 2022 update report to Cabinet, </w:t>
      </w:r>
      <w:r w:rsidR="00D52D0E" w:rsidRPr="006B086A">
        <w:t xml:space="preserve">ibid., </w:t>
      </w:r>
      <w:r w:rsidR="00B23CBB" w:rsidRPr="006B086A">
        <w:t>at p</w:t>
      </w:r>
      <w:r w:rsidR="00D52D0E" w:rsidRPr="006B086A">
        <w:t>6.</w:t>
      </w:r>
    </w:p>
  </w:footnote>
  <w:footnote w:id="5">
    <w:p w14:paraId="14506F1A" w14:textId="0863F59D" w:rsidR="007065B0" w:rsidRPr="006B086A" w:rsidRDefault="007065B0" w:rsidP="006B086A">
      <w:pPr>
        <w:pStyle w:val="FootnoteText"/>
        <w:rPr>
          <w:lang w:val="mi-NZ"/>
        </w:rPr>
      </w:pPr>
      <w:r w:rsidRPr="006B086A">
        <w:rPr>
          <w:rStyle w:val="FootnoteReference"/>
        </w:rPr>
        <w:footnoteRef/>
      </w:r>
      <w:r w:rsidRPr="006B086A">
        <w:t xml:space="preserve"> </w:t>
      </w:r>
      <w:r w:rsidR="00D52D0E" w:rsidRPr="006B086A">
        <w:t>Ibid.</w:t>
      </w:r>
    </w:p>
  </w:footnote>
  <w:footnote w:id="6">
    <w:p w14:paraId="39074B20" w14:textId="30E7C52A" w:rsidR="005E752F" w:rsidRPr="006B086A" w:rsidRDefault="005E752F" w:rsidP="006B086A">
      <w:pPr>
        <w:pStyle w:val="FootnoteText"/>
        <w:rPr>
          <w:lang w:val="mi-NZ"/>
        </w:rPr>
      </w:pPr>
      <w:r w:rsidRPr="006B086A">
        <w:rPr>
          <w:rStyle w:val="FootnoteReference"/>
        </w:rPr>
        <w:footnoteRef/>
      </w:r>
      <w:r w:rsidRPr="006B086A">
        <w:t xml:space="preserve"> </w:t>
      </w:r>
      <w:r w:rsidR="002F76E0" w:rsidRPr="006B086A">
        <w:t xml:space="preserve">Hansard, ‘Ministerial Statements — UN Declaration on the Rights of Indigenous Peoples—Government Support’, </w:t>
      </w:r>
      <w:r w:rsidR="006B086A" w:rsidRPr="006B086A">
        <w:t xml:space="preserve">20 April 2010. Accessible at: </w:t>
      </w:r>
      <w:hyperlink r:id="rId5" w:history="1">
        <w:r w:rsidR="006B086A" w:rsidRPr="006B086A">
          <w:rPr>
            <w:rStyle w:val="Hyperlink"/>
          </w:rPr>
          <w:t>https://www.parliament.nz/en/pb/hansard-debates/rhr/document/49HansD_20100420_00000071/ministerial-statements-un-declaration-on-the-rights-of</w:t>
        </w:r>
      </w:hyperlink>
      <w:r w:rsidRPr="006B086A">
        <w:t xml:space="preserve"> </w:t>
      </w:r>
    </w:p>
  </w:footnote>
  <w:footnote w:id="7">
    <w:p w14:paraId="4CDC6838" w14:textId="499C66AF" w:rsidR="005B3FA6" w:rsidRPr="006B086A" w:rsidRDefault="005B3FA6" w:rsidP="006B086A">
      <w:pPr>
        <w:spacing w:before="120" w:after="120"/>
        <w:rPr>
          <w:rFonts w:eastAsia="Arial"/>
          <w:sz w:val="20"/>
          <w:szCs w:val="20"/>
        </w:rPr>
      </w:pPr>
      <w:r w:rsidRPr="006B086A">
        <w:rPr>
          <w:rStyle w:val="FootnoteReference"/>
          <w:sz w:val="20"/>
          <w:szCs w:val="20"/>
        </w:rPr>
        <w:footnoteRef/>
      </w:r>
      <w:r w:rsidRPr="006B086A">
        <w:rPr>
          <w:sz w:val="20"/>
          <w:szCs w:val="20"/>
        </w:rPr>
        <w:t xml:space="preserve"> </w:t>
      </w:r>
      <w:r w:rsidR="007D5EAB" w:rsidRPr="006B086A">
        <w:rPr>
          <w:sz w:val="20"/>
          <w:szCs w:val="20"/>
        </w:rPr>
        <w:t xml:space="preserve">The report of targeted engagement is available at: </w:t>
      </w:r>
      <w:hyperlink r:id="rId6" w:history="1">
        <w:r w:rsidR="007D5EAB" w:rsidRPr="006B086A">
          <w:rPr>
            <w:rStyle w:val="Hyperlink"/>
            <w:sz w:val="20"/>
            <w:szCs w:val="20"/>
          </w:rPr>
          <w:t>https://www.tpk.govt.nz/docs/tpk-undrip-keythemesm%C4%81oritargetedengagement-april2022v2.pdf</w:t>
        </w:r>
      </w:hyperlink>
    </w:p>
  </w:footnote>
  <w:footnote w:id="8">
    <w:p w14:paraId="4B98757B" w14:textId="76134326" w:rsidR="00C2353C" w:rsidRPr="006B086A" w:rsidRDefault="00C2353C" w:rsidP="006B086A">
      <w:pPr>
        <w:pStyle w:val="Quote"/>
        <w:spacing w:before="0" w:after="0"/>
        <w:ind w:left="0" w:right="1089"/>
      </w:pPr>
      <w:r w:rsidRPr="006B086A">
        <w:rPr>
          <w:rStyle w:val="FootnoteReference"/>
        </w:rPr>
        <w:footnoteRef/>
      </w:r>
      <w:r w:rsidRPr="006B086A">
        <w:t xml:space="preserve"> </w:t>
      </w:r>
      <w:r w:rsidR="006B086A" w:rsidRPr="006B086A">
        <w:t>Accessible at: </w:t>
      </w:r>
      <w:hyperlink r:id="rId7" w:history="1">
        <w:r w:rsidR="006B086A" w:rsidRPr="006B086A">
          <w:rPr>
            <w:rStyle w:val="Hyperlink"/>
            <w:color w:val="007C9D"/>
          </w:rPr>
          <w:t>https://www.tpk.govt.nz/mo-te-puni-kokiri/corporate-documents/cabinet-papers/all-cabinet-papers/united-nations-declaration-on-the-rights-of-indige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C2B4" w14:textId="770CEC23" w:rsidR="003135A3" w:rsidRDefault="003135A3" w:rsidP="009F70A8">
    <w:pPr>
      <w:pStyle w:val="Header"/>
      <w:spacing w:befor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900"/>
    <w:multiLevelType w:val="hybridMultilevel"/>
    <w:tmpl w:val="404E6CAC"/>
    <w:lvl w:ilvl="0" w:tplc="0BCE627A">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99260DF"/>
    <w:multiLevelType w:val="hybridMultilevel"/>
    <w:tmpl w:val="4536A6E8"/>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01C332B"/>
    <w:multiLevelType w:val="hybridMultilevel"/>
    <w:tmpl w:val="66986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B6341"/>
    <w:multiLevelType w:val="hybridMultilevel"/>
    <w:tmpl w:val="1B7810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DE283E"/>
    <w:multiLevelType w:val="hybridMultilevel"/>
    <w:tmpl w:val="FFFFFFFF"/>
    <w:lvl w:ilvl="0" w:tplc="132842F8">
      <w:start w:val="1"/>
      <w:numFmt w:val="decimal"/>
      <w:lvlText w:val="%1."/>
      <w:lvlJc w:val="left"/>
      <w:pPr>
        <w:ind w:left="720" w:hanging="360"/>
      </w:pPr>
    </w:lvl>
    <w:lvl w:ilvl="1" w:tplc="7C24F108">
      <w:start w:val="1"/>
      <w:numFmt w:val="lowerLetter"/>
      <w:lvlText w:val="%2."/>
      <w:lvlJc w:val="left"/>
      <w:pPr>
        <w:ind w:left="1440" w:hanging="360"/>
      </w:pPr>
    </w:lvl>
    <w:lvl w:ilvl="2" w:tplc="72CEDCA8">
      <w:start w:val="1"/>
      <w:numFmt w:val="lowerRoman"/>
      <w:lvlText w:val="%3."/>
      <w:lvlJc w:val="right"/>
      <w:pPr>
        <w:ind w:left="2160" w:hanging="180"/>
      </w:pPr>
    </w:lvl>
    <w:lvl w:ilvl="3" w:tplc="B5308A84">
      <w:start w:val="1"/>
      <w:numFmt w:val="decimal"/>
      <w:lvlText w:val="%4."/>
      <w:lvlJc w:val="left"/>
      <w:pPr>
        <w:ind w:left="2880" w:hanging="360"/>
      </w:pPr>
    </w:lvl>
    <w:lvl w:ilvl="4" w:tplc="88326DCC">
      <w:start w:val="1"/>
      <w:numFmt w:val="lowerLetter"/>
      <w:lvlText w:val="%5."/>
      <w:lvlJc w:val="left"/>
      <w:pPr>
        <w:ind w:left="3600" w:hanging="360"/>
      </w:pPr>
    </w:lvl>
    <w:lvl w:ilvl="5" w:tplc="CB8C3B6C">
      <w:start w:val="1"/>
      <w:numFmt w:val="lowerRoman"/>
      <w:lvlText w:val="%6."/>
      <w:lvlJc w:val="right"/>
      <w:pPr>
        <w:ind w:left="4320" w:hanging="180"/>
      </w:pPr>
    </w:lvl>
    <w:lvl w:ilvl="6" w:tplc="E8E43012">
      <w:start w:val="1"/>
      <w:numFmt w:val="decimal"/>
      <w:lvlText w:val="%7."/>
      <w:lvlJc w:val="left"/>
      <w:pPr>
        <w:ind w:left="5040" w:hanging="360"/>
      </w:pPr>
    </w:lvl>
    <w:lvl w:ilvl="7" w:tplc="AD564DB2">
      <w:start w:val="1"/>
      <w:numFmt w:val="lowerLetter"/>
      <w:lvlText w:val="%8."/>
      <w:lvlJc w:val="left"/>
      <w:pPr>
        <w:ind w:left="5760" w:hanging="360"/>
      </w:pPr>
    </w:lvl>
    <w:lvl w:ilvl="8" w:tplc="3EEC756E">
      <w:start w:val="1"/>
      <w:numFmt w:val="lowerRoman"/>
      <w:lvlText w:val="%9."/>
      <w:lvlJc w:val="right"/>
      <w:pPr>
        <w:ind w:left="6480" w:hanging="180"/>
      </w:pPr>
    </w:lvl>
  </w:abstractNum>
  <w:abstractNum w:abstractNumId="5" w15:restartNumberingAfterBreak="0">
    <w:nsid w:val="213D4E99"/>
    <w:multiLevelType w:val="multilevel"/>
    <w:tmpl w:val="2A04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A7ECB"/>
    <w:multiLevelType w:val="hybridMultilevel"/>
    <w:tmpl w:val="0888A3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AC5BCC"/>
    <w:multiLevelType w:val="multilevel"/>
    <w:tmpl w:val="B33C8C64"/>
    <w:lvl w:ilvl="0">
      <w:start w:val="1"/>
      <w:numFmt w:val="decimal"/>
      <w:pStyle w:val="CabStandard"/>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15:restartNumberingAfterBreak="0">
    <w:nsid w:val="3E8249EA"/>
    <w:multiLevelType w:val="hybridMultilevel"/>
    <w:tmpl w:val="8FC29DFC"/>
    <w:lvl w:ilvl="0" w:tplc="4D7E5B68">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44BF039C"/>
    <w:multiLevelType w:val="hybridMultilevel"/>
    <w:tmpl w:val="598846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69C0D6F"/>
    <w:multiLevelType w:val="hybridMultilevel"/>
    <w:tmpl w:val="7BDC424A"/>
    <w:lvl w:ilvl="0" w:tplc="0BCE627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54800745"/>
    <w:multiLevelType w:val="hybridMultilevel"/>
    <w:tmpl w:val="1A9C4846"/>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2" w15:restartNumberingAfterBreak="0">
    <w:nsid w:val="58E10742"/>
    <w:multiLevelType w:val="hybridMultilevel"/>
    <w:tmpl w:val="548842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BEA6CC3"/>
    <w:multiLevelType w:val="hybridMultilevel"/>
    <w:tmpl w:val="320E9A6A"/>
    <w:lvl w:ilvl="0" w:tplc="7F8C800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C2A0DFC"/>
    <w:multiLevelType w:val="hybridMultilevel"/>
    <w:tmpl w:val="F4027D3E"/>
    <w:lvl w:ilvl="0" w:tplc="2DEAEA5E">
      <w:start w:val="1"/>
      <w:numFmt w:val="decimal"/>
      <w:pStyle w:val="List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1372431"/>
    <w:multiLevelType w:val="multilevel"/>
    <w:tmpl w:val="4D30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F33DB"/>
    <w:multiLevelType w:val="hybridMultilevel"/>
    <w:tmpl w:val="214A790E"/>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775C4E88"/>
    <w:multiLevelType w:val="hybridMultilevel"/>
    <w:tmpl w:val="F5D806E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B3C7931"/>
    <w:multiLevelType w:val="hybridMultilevel"/>
    <w:tmpl w:val="498E4462"/>
    <w:lvl w:ilvl="0" w:tplc="B68A50DA">
      <w:start w:val="17"/>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3861241">
    <w:abstractNumId w:val="14"/>
  </w:num>
  <w:num w:numId="2" w16cid:durableId="334918135">
    <w:abstractNumId w:val="13"/>
  </w:num>
  <w:num w:numId="3" w16cid:durableId="992098394">
    <w:abstractNumId w:val="11"/>
  </w:num>
  <w:num w:numId="4" w16cid:durableId="929116192">
    <w:abstractNumId w:val="11"/>
  </w:num>
  <w:num w:numId="5" w16cid:durableId="574360802">
    <w:abstractNumId w:val="3"/>
  </w:num>
  <w:num w:numId="6" w16cid:durableId="288097804">
    <w:abstractNumId w:val="4"/>
  </w:num>
  <w:num w:numId="7" w16cid:durableId="496926524">
    <w:abstractNumId w:val="1"/>
  </w:num>
  <w:num w:numId="8" w16cid:durableId="2034920565">
    <w:abstractNumId w:val="10"/>
  </w:num>
  <w:num w:numId="9" w16cid:durableId="54477525">
    <w:abstractNumId w:val="8"/>
  </w:num>
  <w:num w:numId="10" w16cid:durableId="1740011104">
    <w:abstractNumId w:val="0"/>
  </w:num>
  <w:num w:numId="11" w16cid:durableId="233321216">
    <w:abstractNumId w:val="16"/>
  </w:num>
  <w:num w:numId="12" w16cid:durableId="365059379">
    <w:abstractNumId w:val="17"/>
  </w:num>
  <w:num w:numId="13" w16cid:durableId="275603134">
    <w:abstractNumId w:val="15"/>
  </w:num>
  <w:num w:numId="14" w16cid:durableId="1245071168">
    <w:abstractNumId w:val="5"/>
  </w:num>
  <w:num w:numId="15" w16cid:durableId="1813250183">
    <w:abstractNumId w:val="18"/>
  </w:num>
  <w:num w:numId="16" w16cid:durableId="1975603380">
    <w:abstractNumId w:val="9"/>
  </w:num>
  <w:num w:numId="17" w16cid:durableId="1886020034">
    <w:abstractNumId w:val="2"/>
  </w:num>
  <w:num w:numId="18" w16cid:durableId="732313839">
    <w:abstractNumId w:val="12"/>
  </w:num>
  <w:num w:numId="19" w16cid:durableId="728529428">
    <w:abstractNumId w:val="6"/>
  </w:num>
  <w:num w:numId="20" w16cid:durableId="19955221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34"/>
    <w:rsid w:val="00006491"/>
    <w:rsid w:val="00016E67"/>
    <w:rsid w:val="0002630C"/>
    <w:rsid w:val="000264AA"/>
    <w:rsid w:val="00035C44"/>
    <w:rsid w:val="000525A9"/>
    <w:rsid w:val="0005712F"/>
    <w:rsid w:val="000616F1"/>
    <w:rsid w:val="000622AF"/>
    <w:rsid w:val="00064284"/>
    <w:rsid w:val="000655F3"/>
    <w:rsid w:val="00071D8A"/>
    <w:rsid w:val="00094018"/>
    <w:rsid w:val="000968B4"/>
    <w:rsid w:val="000B04A3"/>
    <w:rsid w:val="000B1E6E"/>
    <w:rsid w:val="000B37C1"/>
    <w:rsid w:val="000B51F6"/>
    <w:rsid w:val="000B6A9E"/>
    <w:rsid w:val="000C3C19"/>
    <w:rsid w:val="000C5DAB"/>
    <w:rsid w:val="000C7300"/>
    <w:rsid w:val="000D3180"/>
    <w:rsid w:val="000D3EEB"/>
    <w:rsid w:val="000E57AC"/>
    <w:rsid w:val="000E6599"/>
    <w:rsid w:val="000F0655"/>
    <w:rsid w:val="000F2B6B"/>
    <w:rsid w:val="001000A9"/>
    <w:rsid w:val="00101435"/>
    <w:rsid w:val="0010329E"/>
    <w:rsid w:val="001040B8"/>
    <w:rsid w:val="00105761"/>
    <w:rsid w:val="00112E88"/>
    <w:rsid w:val="00113DE0"/>
    <w:rsid w:val="00113ED0"/>
    <w:rsid w:val="001141AE"/>
    <w:rsid w:val="001147CF"/>
    <w:rsid w:val="00125BBD"/>
    <w:rsid w:val="00127204"/>
    <w:rsid w:val="00131280"/>
    <w:rsid w:val="001354E0"/>
    <w:rsid w:val="0013773C"/>
    <w:rsid w:val="00146554"/>
    <w:rsid w:val="00147EA1"/>
    <w:rsid w:val="00152CA8"/>
    <w:rsid w:val="00155CF1"/>
    <w:rsid w:val="00162FFF"/>
    <w:rsid w:val="00165267"/>
    <w:rsid w:val="001742D6"/>
    <w:rsid w:val="00181C18"/>
    <w:rsid w:val="00196134"/>
    <w:rsid w:val="001A0A4A"/>
    <w:rsid w:val="001A0CE7"/>
    <w:rsid w:val="001A4C0F"/>
    <w:rsid w:val="001A5F15"/>
    <w:rsid w:val="001A66DE"/>
    <w:rsid w:val="001A7610"/>
    <w:rsid w:val="001A7BF7"/>
    <w:rsid w:val="001B4AF0"/>
    <w:rsid w:val="001B6282"/>
    <w:rsid w:val="001C374B"/>
    <w:rsid w:val="001C4105"/>
    <w:rsid w:val="001C64B0"/>
    <w:rsid w:val="001E04DC"/>
    <w:rsid w:val="001E12EC"/>
    <w:rsid w:val="001E2E68"/>
    <w:rsid w:val="001E3139"/>
    <w:rsid w:val="001E7381"/>
    <w:rsid w:val="001E76BB"/>
    <w:rsid w:val="001F1B74"/>
    <w:rsid w:val="00200D9F"/>
    <w:rsid w:val="00201ED9"/>
    <w:rsid w:val="002044BD"/>
    <w:rsid w:val="002052AF"/>
    <w:rsid w:val="002067F7"/>
    <w:rsid w:val="00211BAE"/>
    <w:rsid w:val="00211E98"/>
    <w:rsid w:val="00215266"/>
    <w:rsid w:val="00215AAD"/>
    <w:rsid w:val="0021679A"/>
    <w:rsid w:val="00221AF2"/>
    <w:rsid w:val="0022486A"/>
    <w:rsid w:val="002304FF"/>
    <w:rsid w:val="00231D10"/>
    <w:rsid w:val="00233D02"/>
    <w:rsid w:val="00244893"/>
    <w:rsid w:val="0026538D"/>
    <w:rsid w:val="00266090"/>
    <w:rsid w:val="0027145E"/>
    <w:rsid w:val="002747EB"/>
    <w:rsid w:val="00274855"/>
    <w:rsid w:val="002918DB"/>
    <w:rsid w:val="002933AB"/>
    <w:rsid w:val="002A1ECF"/>
    <w:rsid w:val="002A5C8A"/>
    <w:rsid w:val="002B3D42"/>
    <w:rsid w:val="002B4374"/>
    <w:rsid w:val="002C5CEA"/>
    <w:rsid w:val="002D4DCA"/>
    <w:rsid w:val="002D5589"/>
    <w:rsid w:val="002E3E2F"/>
    <w:rsid w:val="002F2F99"/>
    <w:rsid w:val="002F51AC"/>
    <w:rsid w:val="002F76E0"/>
    <w:rsid w:val="00307B7B"/>
    <w:rsid w:val="00310EAE"/>
    <w:rsid w:val="003135A3"/>
    <w:rsid w:val="00317105"/>
    <w:rsid w:val="0032125B"/>
    <w:rsid w:val="00324C70"/>
    <w:rsid w:val="00334280"/>
    <w:rsid w:val="00337099"/>
    <w:rsid w:val="00337DA6"/>
    <w:rsid w:val="0033DD19"/>
    <w:rsid w:val="0035336A"/>
    <w:rsid w:val="0036106F"/>
    <w:rsid w:val="00370627"/>
    <w:rsid w:val="00370C16"/>
    <w:rsid w:val="003759BB"/>
    <w:rsid w:val="003836D9"/>
    <w:rsid w:val="003845EC"/>
    <w:rsid w:val="003878BA"/>
    <w:rsid w:val="0039112B"/>
    <w:rsid w:val="00391A19"/>
    <w:rsid w:val="00392C9A"/>
    <w:rsid w:val="0039547E"/>
    <w:rsid w:val="003A2BF5"/>
    <w:rsid w:val="003B39F0"/>
    <w:rsid w:val="003B4582"/>
    <w:rsid w:val="003B782F"/>
    <w:rsid w:val="003C0C75"/>
    <w:rsid w:val="003C4C97"/>
    <w:rsid w:val="003C5891"/>
    <w:rsid w:val="003C65DB"/>
    <w:rsid w:val="003E014A"/>
    <w:rsid w:val="003E1C21"/>
    <w:rsid w:val="003E7541"/>
    <w:rsid w:val="004046DD"/>
    <w:rsid w:val="00407B12"/>
    <w:rsid w:val="0041766D"/>
    <w:rsid w:val="004218CF"/>
    <w:rsid w:val="0042370C"/>
    <w:rsid w:val="00424433"/>
    <w:rsid w:val="00424769"/>
    <w:rsid w:val="00431146"/>
    <w:rsid w:val="00432220"/>
    <w:rsid w:val="00442E82"/>
    <w:rsid w:val="00442ECC"/>
    <w:rsid w:val="00443057"/>
    <w:rsid w:val="0044709D"/>
    <w:rsid w:val="00447210"/>
    <w:rsid w:val="004556A6"/>
    <w:rsid w:val="00477813"/>
    <w:rsid w:val="00480294"/>
    <w:rsid w:val="00482A0C"/>
    <w:rsid w:val="0049090A"/>
    <w:rsid w:val="00490CE7"/>
    <w:rsid w:val="004B30E5"/>
    <w:rsid w:val="004B316C"/>
    <w:rsid w:val="004B6264"/>
    <w:rsid w:val="004B6423"/>
    <w:rsid w:val="004C0E0C"/>
    <w:rsid w:val="004C1863"/>
    <w:rsid w:val="004D0571"/>
    <w:rsid w:val="004D0745"/>
    <w:rsid w:val="004D23C4"/>
    <w:rsid w:val="004D2ECB"/>
    <w:rsid w:val="004E0746"/>
    <w:rsid w:val="004E13F7"/>
    <w:rsid w:val="004E26B2"/>
    <w:rsid w:val="004E283B"/>
    <w:rsid w:val="004F0BF6"/>
    <w:rsid w:val="004F473E"/>
    <w:rsid w:val="004F4CB9"/>
    <w:rsid w:val="00500634"/>
    <w:rsid w:val="00502A5F"/>
    <w:rsid w:val="00506A5D"/>
    <w:rsid w:val="0050749F"/>
    <w:rsid w:val="00511E24"/>
    <w:rsid w:val="00526DCB"/>
    <w:rsid w:val="005275A1"/>
    <w:rsid w:val="00530A21"/>
    <w:rsid w:val="00531841"/>
    <w:rsid w:val="005428BE"/>
    <w:rsid w:val="00542D7F"/>
    <w:rsid w:val="0054545A"/>
    <w:rsid w:val="0054756C"/>
    <w:rsid w:val="00553510"/>
    <w:rsid w:val="005631F0"/>
    <w:rsid w:val="00564BCF"/>
    <w:rsid w:val="00565B57"/>
    <w:rsid w:val="00566AF9"/>
    <w:rsid w:val="005746DE"/>
    <w:rsid w:val="00574D21"/>
    <w:rsid w:val="00576714"/>
    <w:rsid w:val="00581BF9"/>
    <w:rsid w:val="00582C25"/>
    <w:rsid w:val="0058679B"/>
    <w:rsid w:val="005907CC"/>
    <w:rsid w:val="005977D3"/>
    <w:rsid w:val="005A6B3A"/>
    <w:rsid w:val="005B300B"/>
    <w:rsid w:val="005B3FA6"/>
    <w:rsid w:val="005C150F"/>
    <w:rsid w:val="005C5006"/>
    <w:rsid w:val="005D4988"/>
    <w:rsid w:val="005E214D"/>
    <w:rsid w:val="005E752F"/>
    <w:rsid w:val="005E78F0"/>
    <w:rsid w:val="005F279E"/>
    <w:rsid w:val="005F36BD"/>
    <w:rsid w:val="00601429"/>
    <w:rsid w:val="0060247A"/>
    <w:rsid w:val="00603390"/>
    <w:rsid w:val="00605861"/>
    <w:rsid w:val="00612DEF"/>
    <w:rsid w:val="0062138D"/>
    <w:rsid w:val="0062451E"/>
    <w:rsid w:val="0062515B"/>
    <w:rsid w:val="0062682A"/>
    <w:rsid w:val="00627916"/>
    <w:rsid w:val="00630A2A"/>
    <w:rsid w:val="00641F7F"/>
    <w:rsid w:val="00650E45"/>
    <w:rsid w:val="00652E39"/>
    <w:rsid w:val="00653813"/>
    <w:rsid w:val="0065468F"/>
    <w:rsid w:val="00671006"/>
    <w:rsid w:val="00671060"/>
    <w:rsid w:val="00674AD3"/>
    <w:rsid w:val="006754AF"/>
    <w:rsid w:val="00697E7A"/>
    <w:rsid w:val="006A6B21"/>
    <w:rsid w:val="006A7E14"/>
    <w:rsid w:val="006B086A"/>
    <w:rsid w:val="006B1714"/>
    <w:rsid w:val="006B2095"/>
    <w:rsid w:val="006B4598"/>
    <w:rsid w:val="006C2472"/>
    <w:rsid w:val="006C30B5"/>
    <w:rsid w:val="006C3831"/>
    <w:rsid w:val="006D5176"/>
    <w:rsid w:val="006E03B0"/>
    <w:rsid w:val="006F44DF"/>
    <w:rsid w:val="007037C1"/>
    <w:rsid w:val="00705CAD"/>
    <w:rsid w:val="007065B0"/>
    <w:rsid w:val="0071641F"/>
    <w:rsid w:val="00722C9E"/>
    <w:rsid w:val="007347F1"/>
    <w:rsid w:val="007507D3"/>
    <w:rsid w:val="00761B38"/>
    <w:rsid w:val="007645DF"/>
    <w:rsid w:val="0077029B"/>
    <w:rsid w:val="00775B8F"/>
    <w:rsid w:val="007808C1"/>
    <w:rsid w:val="00785A78"/>
    <w:rsid w:val="00785EFD"/>
    <w:rsid w:val="007964FD"/>
    <w:rsid w:val="007A3AEE"/>
    <w:rsid w:val="007A4E23"/>
    <w:rsid w:val="007B0252"/>
    <w:rsid w:val="007C09D8"/>
    <w:rsid w:val="007D5EAB"/>
    <w:rsid w:val="007D6E3B"/>
    <w:rsid w:val="007F51B6"/>
    <w:rsid w:val="007F5ED1"/>
    <w:rsid w:val="007F6B99"/>
    <w:rsid w:val="00801095"/>
    <w:rsid w:val="00803751"/>
    <w:rsid w:val="00812504"/>
    <w:rsid w:val="0081259C"/>
    <w:rsid w:val="0081300A"/>
    <w:rsid w:val="00817F00"/>
    <w:rsid w:val="00822A26"/>
    <w:rsid w:val="0082393D"/>
    <w:rsid w:val="00823B17"/>
    <w:rsid w:val="00826A8A"/>
    <w:rsid w:val="00831507"/>
    <w:rsid w:val="00831EB0"/>
    <w:rsid w:val="008323A0"/>
    <w:rsid w:val="00832ABD"/>
    <w:rsid w:val="00836ED1"/>
    <w:rsid w:val="00843C2F"/>
    <w:rsid w:val="00852A7E"/>
    <w:rsid w:val="0085517C"/>
    <w:rsid w:val="008600F0"/>
    <w:rsid w:val="008617B3"/>
    <w:rsid w:val="008627ED"/>
    <w:rsid w:val="00867440"/>
    <w:rsid w:val="00867725"/>
    <w:rsid w:val="00871177"/>
    <w:rsid w:val="0087181A"/>
    <w:rsid w:val="0087634E"/>
    <w:rsid w:val="00882797"/>
    <w:rsid w:val="00885C37"/>
    <w:rsid w:val="0088676D"/>
    <w:rsid w:val="00890035"/>
    <w:rsid w:val="008A0466"/>
    <w:rsid w:val="008A10BC"/>
    <w:rsid w:val="008A3B83"/>
    <w:rsid w:val="008A4A28"/>
    <w:rsid w:val="008B1FDD"/>
    <w:rsid w:val="008D4F72"/>
    <w:rsid w:val="008D5A23"/>
    <w:rsid w:val="008E23DC"/>
    <w:rsid w:val="008E2B0F"/>
    <w:rsid w:val="008E6372"/>
    <w:rsid w:val="009013B9"/>
    <w:rsid w:val="0090229A"/>
    <w:rsid w:val="00925440"/>
    <w:rsid w:val="009256C9"/>
    <w:rsid w:val="009358AB"/>
    <w:rsid w:val="009361BF"/>
    <w:rsid w:val="009506A5"/>
    <w:rsid w:val="00951D2B"/>
    <w:rsid w:val="00955949"/>
    <w:rsid w:val="00956842"/>
    <w:rsid w:val="009571F5"/>
    <w:rsid w:val="00957CF9"/>
    <w:rsid w:val="00975E80"/>
    <w:rsid w:val="009801D6"/>
    <w:rsid w:val="009853C3"/>
    <w:rsid w:val="00991E34"/>
    <w:rsid w:val="00991EFC"/>
    <w:rsid w:val="009930F4"/>
    <w:rsid w:val="009A12C1"/>
    <w:rsid w:val="009A1438"/>
    <w:rsid w:val="009A2D62"/>
    <w:rsid w:val="009A7968"/>
    <w:rsid w:val="009B05C9"/>
    <w:rsid w:val="009B37F0"/>
    <w:rsid w:val="009B3A4F"/>
    <w:rsid w:val="009B477A"/>
    <w:rsid w:val="009B4ECB"/>
    <w:rsid w:val="009C1872"/>
    <w:rsid w:val="009C5619"/>
    <w:rsid w:val="009C5EC6"/>
    <w:rsid w:val="009C6F88"/>
    <w:rsid w:val="009C77BD"/>
    <w:rsid w:val="009E6E9D"/>
    <w:rsid w:val="009E7078"/>
    <w:rsid w:val="009F1982"/>
    <w:rsid w:val="009F1E31"/>
    <w:rsid w:val="009F2895"/>
    <w:rsid w:val="009F595B"/>
    <w:rsid w:val="009F70A8"/>
    <w:rsid w:val="00A006C4"/>
    <w:rsid w:val="00A006FE"/>
    <w:rsid w:val="00A10840"/>
    <w:rsid w:val="00A10DA6"/>
    <w:rsid w:val="00A154C6"/>
    <w:rsid w:val="00A2309F"/>
    <w:rsid w:val="00A244BB"/>
    <w:rsid w:val="00A24D4D"/>
    <w:rsid w:val="00A25BE1"/>
    <w:rsid w:val="00A271A4"/>
    <w:rsid w:val="00A3093D"/>
    <w:rsid w:val="00A33AD9"/>
    <w:rsid w:val="00A415CF"/>
    <w:rsid w:val="00A43A5B"/>
    <w:rsid w:val="00A512A5"/>
    <w:rsid w:val="00A516E7"/>
    <w:rsid w:val="00A51CD7"/>
    <w:rsid w:val="00A642F1"/>
    <w:rsid w:val="00A65416"/>
    <w:rsid w:val="00A71B4C"/>
    <w:rsid w:val="00A82F01"/>
    <w:rsid w:val="00A87A6C"/>
    <w:rsid w:val="00A94FDF"/>
    <w:rsid w:val="00AA7A57"/>
    <w:rsid w:val="00AB08A9"/>
    <w:rsid w:val="00AB3444"/>
    <w:rsid w:val="00AB5748"/>
    <w:rsid w:val="00AB57EC"/>
    <w:rsid w:val="00AC06E8"/>
    <w:rsid w:val="00AC08EE"/>
    <w:rsid w:val="00AD53F6"/>
    <w:rsid w:val="00AE5A08"/>
    <w:rsid w:val="00AF0FC7"/>
    <w:rsid w:val="00AF1C45"/>
    <w:rsid w:val="00B00CE8"/>
    <w:rsid w:val="00B06EE5"/>
    <w:rsid w:val="00B15672"/>
    <w:rsid w:val="00B20F55"/>
    <w:rsid w:val="00B2279A"/>
    <w:rsid w:val="00B23CBB"/>
    <w:rsid w:val="00B32727"/>
    <w:rsid w:val="00B52295"/>
    <w:rsid w:val="00B54000"/>
    <w:rsid w:val="00B54D2C"/>
    <w:rsid w:val="00B65A6E"/>
    <w:rsid w:val="00B738CB"/>
    <w:rsid w:val="00B74206"/>
    <w:rsid w:val="00B76B84"/>
    <w:rsid w:val="00B771FF"/>
    <w:rsid w:val="00B87168"/>
    <w:rsid w:val="00B92D46"/>
    <w:rsid w:val="00BA0515"/>
    <w:rsid w:val="00BA10D4"/>
    <w:rsid w:val="00BA3488"/>
    <w:rsid w:val="00BA3894"/>
    <w:rsid w:val="00BA7676"/>
    <w:rsid w:val="00BB391A"/>
    <w:rsid w:val="00BB40CF"/>
    <w:rsid w:val="00BB5033"/>
    <w:rsid w:val="00BB558C"/>
    <w:rsid w:val="00BC748C"/>
    <w:rsid w:val="00BD3A58"/>
    <w:rsid w:val="00BE0357"/>
    <w:rsid w:val="00BE0FB3"/>
    <w:rsid w:val="00BE5ECC"/>
    <w:rsid w:val="00C1172C"/>
    <w:rsid w:val="00C13BCB"/>
    <w:rsid w:val="00C153CF"/>
    <w:rsid w:val="00C15B23"/>
    <w:rsid w:val="00C15C13"/>
    <w:rsid w:val="00C2353C"/>
    <w:rsid w:val="00C241F2"/>
    <w:rsid w:val="00C37157"/>
    <w:rsid w:val="00C4782B"/>
    <w:rsid w:val="00C57199"/>
    <w:rsid w:val="00C62DD5"/>
    <w:rsid w:val="00C649EC"/>
    <w:rsid w:val="00C672BF"/>
    <w:rsid w:val="00C77D7A"/>
    <w:rsid w:val="00C828EE"/>
    <w:rsid w:val="00C85094"/>
    <w:rsid w:val="00C90303"/>
    <w:rsid w:val="00C919EA"/>
    <w:rsid w:val="00C961E4"/>
    <w:rsid w:val="00CA364A"/>
    <w:rsid w:val="00CA79DC"/>
    <w:rsid w:val="00CB34B7"/>
    <w:rsid w:val="00CC3FF6"/>
    <w:rsid w:val="00CC5A0C"/>
    <w:rsid w:val="00CC5F6E"/>
    <w:rsid w:val="00CD2324"/>
    <w:rsid w:val="00CD2826"/>
    <w:rsid w:val="00CD7A33"/>
    <w:rsid w:val="00CE0927"/>
    <w:rsid w:val="00CF4290"/>
    <w:rsid w:val="00CF4A7E"/>
    <w:rsid w:val="00CF641D"/>
    <w:rsid w:val="00D00B95"/>
    <w:rsid w:val="00D01520"/>
    <w:rsid w:val="00D02020"/>
    <w:rsid w:val="00D02C0A"/>
    <w:rsid w:val="00D10D4E"/>
    <w:rsid w:val="00D25E40"/>
    <w:rsid w:val="00D30F70"/>
    <w:rsid w:val="00D3167B"/>
    <w:rsid w:val="00D33C9B"/>
    <w:rsid w:val="00D34508"/>
    <w:rsid w:val="00D34D00"/>
    <w:rsid w:val="00D469B9"/>
    <w:rsid w:val="00D511EE"/>
    <w:rsid w:val="00D51616"/>
    <w:rsid w:val="00D52D0E"/>
    <w:rsid w:val="00D57D45"/>
    <w:rsid w:val="00D62B07"/>
    <w:rsid w:val="00D638CA"/>
    <w:rsid w:val="00D64D54"/>
    <w:rsid w:val="00D66076"/>
    <w:rsid w:val="00D70B2A"/>
    <w:rsid w:val="00D71DC1"/>
    <w:rsid w:val="00D73C11"/>
    <w:rsid w:val="00D819F0"/>
    <w:rsid w:val="00D834AA"/>
    <w:rsid w:val="00D9071A"/>
    <w:rsid w:val="00DA05FE"/>
    <w:rsid w:val="00DA201D"/>
    <w:rsid w:val="00DA54EE"/>
    <w:rsid w:val="00DA56E5"/>
    <w:rsid w:val="00DA6E17"/>
    <w:rsid w:val="00DB1BEE"/>
    <w:rsid w:val="00DB6016"/>
    <w:rsid w:val="00DC55F1"/>
    <w:rsid w:val="00DC5E25"/>
    <w:rsid w:val="00DC73F5"/>
    <w:rsid w:val="00DD2926"/>
    <w:rsid w:val="00DD579B"/>
    <w:rsid w:val="00DE3E1C"/>
    <w:rsid w:val="00DE5D90"/>
    <w:rsid w:val="00DF000A"/>
    <w:rsid w:val="00DF5C6A"/>
    <w:rsid w:val="00E04BF1"/>
    <w:rsid w:val="00E33C64"/>
    <w:rsid w:val="00E3507A"/>
    <w:rsid w:val="00E410B8"/>
    <w:rsid w:val="00E4631C"/>
    <w:rsid w:val="00E56A5A"/>
    <w:rsid w:val="00E60D76"/>
    <w:rsid w:val="00E61F67"/>
    <w:rsid w:val="00E622AF"/>
    <w:rsid w:val="00E625AD"/>
    <w:rsid w:val="00E737D6"/>
    <w:rsid w:val="00E73950"/>
    <w:rsid w:val="00E80251"/>
    <w:rsid w:val="00E80457"/>
    <w:rsid w:val="00E81E4B"/>
    <w:rsid w:val="00E91F8E"/>
    <w:rsid w:val="00E9401C"/>
    <w:rsid w:val="00EA16D8"/>
    <w:rsid w:val="00EA3B02"/>
    <w:rsid w:val="00EA61C2"/>
    <w:rsid w:val="00EA7467"/>
    <w:rsid w:val="00EB6513"/>
    <w:rsid w:val="00EC06D9"/>
    <w:rsid w:val="00EC1244"/>
    <w:rsid w:val="00EC3BA0"/>
    <w:rsid w:val="00EC59C7"/>
    <w:rsid w:val="00ED35E0"/>
    <w:rsid w:val="00ED5E4E"/>
    <w:rsid w:val="00EE1ECA"/>
    <w:rsid w:val="00EE24A8"/>
    <w:rsid w:val="00EE5723"/>
    <w:rsid w:val="00EF2ECD"/>
    <w:rsid w:val="00F0396C"/>
    <w:rsid w:val="00F055BA"/>
    <w:rsid w:val="00F10D55"/>
    <w:rsid w:val="00F1255B"/>
    <w:rsid w:val="00F14683"/>
    <w:rsid w:val="00F16736"/>
    <w:rsid w:val="00F203C6"/>
    <w:rsid w:val="00F23308"/>
    <w:rsid w:val="00F31712"/>
    <w:rsid w:val="00F368FC"/>
    <w:rsid w:val="00F42EBF"/>
    <w:rsid w:val="00F45CC5"/>
    <w:rsid w:val="00F54E42"/>
    <w:rsid w:val="00F60658"/>
    <w:rsid w:val="00F60EA8"/>
    <w:rsid w:val="00F70917"/>
    <w:rsid w:val="00F7300F"/>
    <w:rsid w:val="00F730A9"/>
    <w:rsid w:val="00F754E1"/>
    <w:rsid w:val="00F76A41"/>
    <w:rsid w:val="00F77F12"/>
    <w:rsid w:val="00F808D3"/>
    <w:rsid w:val="00F81F8C"/>
    <w:rsid w:val="00F8266E"/>
    <w:rsid w:val="00F82BC3"/>
    <w:rsid w:val="00F859AA"/>
    <w:rsid w:val="00F87592"/>
    <w:rsid w:val="00FB0EA3"/>
    <w:rsid w:val="00FB2F6B"/>
    <w:rsid w:val="00FB3DF2"/>
    <w:rsid w:val="00FC4315"/>
    <w:rsid w:val="00FC6109"/>
    <w:rsid w:val="00FC6238"/>
    <w:rsid w:val="00FE07DD"/>
    <w:rsid w:val="00FE63C9"/>
    <w:rsid w:val="00FF4176"/>
    <w:rsid w:val="0AFEBE6D"/>
    <w:rsid w:val="0D5E809E"/>
    <w:rsid w:val="0E07FDBB"/>
    <w:rsid w:val="0E8A16B4"/>
    <w:rsid w:val="112AE7C1"/>
    <w:rsid w:val="14571666"/>
    <w:rsid w:val="15142A0B"/>
    <w:rsid w:val="19A372CF"/>
    <w:rsid w:val="19BC685B"/>
    <w:rsid w:val="19FFFE0D"/>
    <w:rsid w:val="1B3F4330"/>
    <w:rsid w:val="1CAF2AEE"/>
    <w:rsid w:val="1DB21373"/>
    <w:rsid w:val="1FE992AD"/>
    <w:rsid w:val="201BDEEA"/>
    <w:rsid w:val="2090B89C"/>
    <w:rsid w:val="21AE51E3"/>
    <w:rsid w:val="2405094B"/>
    <w:rsid w:val="25035A9C"/>
    <w:rsid w:val="25D9E869"/>
    <w:rsid w:val="2669937C"/>
    <w:rsid w:val="2681C306"/>
    <w:rsid w:val="2AAD598C"/>
    <w:rsid w:val="2C6C09EE"/>
    <w:rsid w:val="2C93DE11"/>
    <w:rsid w:val="2E97FDCC"/>
    <w:rsid w:val="32161B38"/>
    <w:rsid w:val="3789E50C"/>
    <w:rsid w:val="390E51C7"/>
    <w:rsid w:val="3AC11B2F"/>
    <w:rsid w:val="3D6AF16F"/>
    <w:rsid w:val="4071563E"/>
    <w:rsid w:val="40A3A5FD"/>
    <w:rsid w:val="411D01A8"/>
    <w:rsid w:val="42C5162A"/>
    <w:rsid w:val="451FB31E"/>
    <w:rsid w:val="4C4B0E4D"/>
    <w:rsid w:val="4CE01ABA"/>
    <w:rsid w:val="4D199755"/>
    <w:rsid w:val="4EE069B1"/>
    <w:rsid w:val="4F82AF0F"/>
    <w:rsid w:val="4FA91C85"/>
    <w:rsid w:val="513774FC"/>
    <w:rsid w:val="515CFB8D"/>
    <w:rsid w:val="5286028F"/>
    <w:rsid w:val="52C27EFC"/>
    <w:rsid w:val="5455ED61"/>
    <w:rsid w:val="550198CB"/>
    <w:rsid w:val="55E373FC"/>
    <w:rsid w:val="55F1BDC2"/>
    <w:rsid w:val="569D692C"/>
    <w:rsid w:val="578DC0F4"/>
    <w:rsid w:val="57C08D1A"/>
    <w:rsid w:val="5827E17A"/>
    <w:rsid w:val="59299155"/>
    <w:rsid w:val="5AC561B6"/>
    <w:rsid w:val="5F84ABE5"/>
    <w:rsid w:val="610060D6"/>
    <w:rsid w:val="62EDC596"/>
    <w:rsid w:val="641CAD07"/>
    <w:rsid w:val="64DEFE6F"/>
    <w:rsid w:val="67A69D60"/>
    <w:rsid w:val="692E0D87"/>
    <w:rsid w:val="6A513105"/>
    <w:rsid w:val="6C0364EB"/>
    <w:rsid w:val="6DC724BC"/>
    <w:rsid w:val="6EB375AF"/>
    <w:rsid w:val="6F8638BB"/>
    <w:rsid w:val="7133B9C0"/>
    <w:rsid w:val="7172EAE5"/>
    <w:rsid w:val="75B8BF81"/>
    <w:rsid w:val="7695207F"/>
    <w:rsid w:val="77AFB9D6"/>
    <w:rsid w:val="7A7DB854"/>
    <w:rsid w:val="7C402D43"/>
    <w:rsid w:val="7E5BA463"/>
    <w:rsid w:val="7FDE7F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9770"/>
  <w15:chartTrackingRefBased/>
  <w15:docId w15:val="{329B8DE1-EB4D-4408-98D0-D2C4FE5E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1AE"/>
    <w:pPr>
      <w:spacing w:before="240" w:after="240" w:line="240" w:lineRule="auto"/>
    </w:pPr>
    <w:rPr>
      <w:rFonts w:ascii="Arial" w:hAnsi="Arial" w:cs="Arial"/>
      <w:sz w:val="24"/>
      <w:szCs w:val="24"/>
    </w:rPr>
  </w:style>
  <w:style w:type="paragraph" w:styleId="Heading1">
    <w:name w:val="heading 1"/>
    <w:basedOn w:val="NoSpacing"/>
    <w:next w:val="Normal"/>
    <w:link w:val="Heading1Char"/>
    <w:uiPriority w:val="9"/>
    <w:qFormat/>
    <w:rsid w:val="001141AE"/>
    <w:pPr>
      <w:keepNext/>
      <w:spacing w:before="240" w:after="240"/>
      <w:outlineLvl w:val="0"/>
    </w:pPr>
    <w:rPr>
      <w:b/>
    </w:rPr>
  </w:style>
  <w:style w:type="paragraph" w:styleId="Heading2">
    <w:name w:val="heading 2"/>
    <w:basedOn w:val="Normal"/>
    <w:next w:val="Normal"/>
    <w:link w:val="Heading2Char"/>
    <w:uiPriority w:val="9"/>
    <w:unhideWhenUsed/>
    <w:qFormat/>
    <w:rsid w:val="00146554"/>
    <w:pPr>
      <w:spacing w:before="0"/>
      <w:outlineLvl w:val="1"/>
    </w:pPr>
    <w:rPr>
      <w:rFonts w:ascii="Segoe UI" w:eastAsia="Arial" w:hAnsi="Segoe UI" w:cs="Segoe UI"/>
      <w:b/>
      <w:bCs/>
      <w:color w:val="1F3864" w:themeColor="accent1" w:themeShade="80"/>
    </w:rPr>
  </w:style>
  <w:style w:type="paragraph" w:styleId="Heading3">
    <w:name w:val="heading 3"/>
    <w:basedOn w:val="Normal"/>
    <w:next w:val="Normal"/>
    <w:link w:val="Heading3Char"/>
    <w:uiPriority w:val="9"/>
    <w:unhideWhenUsed/>
    <w:qFormat/>
    <w:rsid w:val="00146554"/>
    <w:pPr>
      <w:spacing w:before="0" w:after="120"/>
      <w:outlineLvl w:val="2"/>
    </w:pPr>
    <w:rPr>
      <w:rFonts w:ascii="Segoe UI" w:eastAsia="Arial" w:hAnsi="Segoe UI" w:cs="Segoe U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44DF"/>
    <w:pPr>
      <w:tabs>
        <w:tab w:val="center" w:pos="4513"/>
        <w:tab w:val="right" w:pos="9026"/>
      </w:tabs>
      <w:spacing w:after="0"/>
    </w:pPr>
  </w:style>
  <w:style w:type="character" w:customStyle="1" w:styleId="HeaderChar">
    <w:name w:val="Header Char"/>
    <w:basedOn w:val="DefaultParagraphFont"/>
    <w:link w:val="Header"/>
    <w:uiPriority w:val="99"/>
    <w:rsid w:val="006F44DF"/>
  </w:style>
  <w:style w:type="paragraph" w:styleId="Footer">
    <w:name w:val="footer"/>
    <w:basedOn w:val="Normal"/>
    <w:link w:val="FooterChar"/>
    <w:uiPriority w:val="99"/>
    <w:unhideWhenUsed/>
    <w:rsid w:val="006F44DF"/>
    <w:pPr>
      <w:tabs>
        <w:tab w:val="center" w:pos="4513"/>
        <w:tab w:val="right" w:pos="9026"/>
      </w:tabs>
      <w:spacing w:after="0"/>
    </w:pPr>
  </w:style>
  <w:style w:type="character" w:customStyle="1" w:styleId="FooterChar">
    <w:name w:val="Footer Char"/>
    <w:basedOn w:val="DefaultParagraphFont"/>
    <w:link w:val="Footer"/>
    <w:uiPriority w:val="99"/>
    <w:rsid w:val="006F44DF"/>
  </w:style>
  <w:style w:type="character" w:styleId="Hyperlink">
    <w:name w:val="Hyperlink"/>
    <w:basedOn w:val="DefaultParagraphFont"/>
    <w:rsid w:val="006F44DF"/>
    <w:rPr>
      <w:color w:val="0000FF"/>
      <w:u w:val="single"/>
    </w:rPr>
  </w:style>
  <w:style w:type="paragraph" w:styleId="Subtitle">
    <w:name w:val="Subtitle"/>
    <w:basedOn w:val="Footer"/>
    <w:next w:val="Normal"/>
    <w:link w:val="SubtitleChar"/>
    <w:rsid w:val="006F44DF"/>
    <w:pPr>
      <w:tabs>
        <w:tab w:val="clear" w:pos="4513"/>
        <w:tab w:val="clear" w:pos="9026"/>
        <w:tab w:val="center" w:pos="4153"/>
        <w:tab w:val="right" w:pos="8306"/>
      </w:tabs>
      <w:ind w:left="-851" w:right="-851"/>
      <w:jc w:val="center"/>
    </w:pPr>
    <w:rPr>
      <w:rFonts w:eastAsia="Batang"/>
      <w:color w:val="762123"/>
      <w:sz w:val="20"/>
      <w:szCs w:val="20"/>
      <w:lang w:eastAsia="ko-KR"/>
    </w:rPr>
  </w:style>
  <w:style w:type="character" w:customStyle="1" w:styleId="SubtitleChar">
    <w:name w:val="Subtitle Char"/>
    <w:basedOn w:val="DefaultParagraphFont"/>
    <w:link w:val="Subtitle"/>
    <w:rsid w:val="006F44DF"/>
    <w:rPr>
      <w:rFonts w:ascii="Arial" w:eastAsia="Batang" w:hAnsi="Arial" w:cs="Arial"/>
      <w:color w:val="762123"/>
      <w:sz w:val="20"/>
      <w:szCs w:val="20"/>
      <w:lang w:eastAsia="ko-KR"/>
    </w:rPr>
  </w:style>
  <w:style w:type="paragraph" w:customStyle="1" w:styleId="LetterheadFooter">
    <w:name w:val="Letterhead Footer"/>
    <w:basedOn w:val="Subtitle"/>
    <w:link w:val="LetterheadFooterChar"/>
    <w:qFormat/>
    <w:rsid w:val="00231D10"/>
  </w:style>
  <w:style w:type="paragraph" w:styleId="NoSpacing">
    <w:name w:val="No Spacing"/>
    <w:uiPriority w:val="1"/>
    <w:qFormat/>
    <w:rsid w:val="00B00CE8"/>
    <w:pPr>
      <w:spacing w:after="0" w:line="240" w:lineRule="auto"/>
    </w:pPr>
    <w:rPr>
      <w:rFonts w:ascii="Arial" w:hAnsi="Arial" w:cs="Arial"/>
      <w:sz w:val="24"/>
      <w:szCs w:val="24"/>
    </w:rPr>
  </w:style>
  <w:style w:type="character" w:customStyle="1" w:styleId="LetterheadFooterChar">
    <w:name w:val="Letterhead Footer Char"/>
    <w:basedOn w:val="SubtitleChar"/>
    <w:link w:val="LetterheadFooter"/>
    <w:rsid w:val="00231D10"/>
    <w:rPr>
      <w:rFonts w:ascii="Arial" w:eastAsia="Batang" w:hAnsi="Arial" w:cs="Arial"/>
      <w:color w:val="762123"/>
      <w:sz w:val="20"/>
      <w:szCs w:val="20"/>
      <w:lang w:eastAsia="ko-KR"/>
    </w:rPr>
  </w:style>
  <w:style w:type="character" w:customStyle="1" w:styleId="Heading1Char">
    <w:name w:val="Heading 1 Char"/>
    <w:basedOn w:val="DefaultParagraphFont"/>
    <w:link w:val="Heading1"/>
    <w:uiPriority w:val="9"/>
    <w:rsid w:val="001141AE"/>
    <w:rPr>
      <w:rFonts w:ascii="Arial" w:hAnsi="Arial" w:cs="Arial"/>
      <w:b/>
      <w:sz w:val="24"/>
      <w:szCs w:val="24"/>
    </w:rPr>
  </w:style>
  <w:style w:type="paragraph" w:styleId="ListParagraph">
    <w:name w:val="List Paragraph"/>
    <w:basedOn w:val="Normal"/>
    <w:uiPriority w:val="34"/>
    <w:qFormat/>
    <w:rsid w:val="00EE1ECA"/>
    <w:pPr>
      <w:numPr>
        <w:numId w:val="1"/>
      </w:numPr>
      <w:spacing w:after="120"/>
      <w:ind w:left="851" w:hanging="851"/>
    </w:pPr>
  </w:style>
  <w:style w:type="character" w:customStyle="1" w:styleId="Heading2Char">
    <w:name w:val="Heading 2 Char"/>
    <w:basedOn w:val="DefaultParagraphFont"/>
    <w:link w:val="Heading2"/>
    <w:uiPriority w:val="9"/>
    <w:rsid w:val="00146554"/>
    <w:rPr>
      <w:rFonts w:ascii="Segoe UI" w:eastAsia="Arial" w:hAnsi="Segoe UI" w:cs="Segoe UI"/>
      <w:b/>
      <w:bCs/>
      <w:color w:val="1F3864" w:themeColor="accent1" w:themeShade="80"/>
      <w:sz w:val="24"/>
      <w:szCs w:val="24"/>
    </w:rPr>
  </w:style>
  <w:style w:type="paragraph" w:styleId="Quote">
    <w:name w:val="Quote"/>
    <w:basedOn w:val="Normal"/>
    <w:next w:val="Normal"/>
    <w:link w:val="QuoteChar"/>
    <w:uiPriority w:val="29"/>
    <w:qFormat/>
    <w:rsid w:val="00370627"/>
    <w:pPr>
      <w:tabs>
        <w:tab w:val="left" w:pos="7938"/>
      </w:tabs>
      <w:spacing w:before="200" w:after="160"/>
      <w:ind w:left="864" w:right="1088"/>
    </w:pPr>
    <w:rPr>
      <w:iCs/>
      <w:sz w:val="20"/>
      <w:szCs w:val="20"/>
    </w:rPr>
  </w:style>
  <w:style w:type="character" w:customStyle="1" w:styleId="QuoteChar">
    <w:name w:val="Quote Char"/>
    <w:basedOn w:val="DefaultParagraphFont"/>
    <w:link w:val="Quote"/>
    <w:uiPriority w:val="29"/>
    <w:rsid w:val="00370627"/>
    <w:rPr>
      <w:rFonts w:ascii="Arial" w:hAnsi="Arial" w:cs="Arial"/>
      <w:iCs/>
      <w:sz w:val="20"/>
      <w:szCs w:val="20"/>
    </w:rPr>
  </w:style>
  <w:style w:type="character" w:styleId="UnresolvedMention">
    <w:name w:val="Unresolved Mention"/>
    <w:basedOn w:val="DefaultParagraphFont"/>
    <w:uiPriority w:val="99"/>
    <w:semiHidden/>
    <w:unhideWhenUsed/>
    <w:rsid w:val="003E1C21"/>
    <w:rPr>
      <w:color w:val="605E5C"/>
      <w:shd w:val="clear" w:color="auto" w:fill="E1DFDD"/>
    </w:rPr>
  </w:style>
  <w:style w:type="paragraph" w:styleId="BalloonText">
    <w:name w:val="Balloon Text"/>
    <w:basedOn w:val="Normal"/>
    <w:link w:val="BalloonTextChar"/>
    <w:uiPriority w:val="99"/>
    <w:semiHidden/>
    <w:unhideWhenUsed/>
    <w:rsid w:val="00FE63C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C9"/>
    <w:rPr>
      <w:rFonts w:ascii="Segoe UI" w:hAnsi="Segoe UI" w:cs="Segoe UI"/>
      <w:sz w:val="18"/>
      <w:szCs w:val="18"/>
    </w:rPr>
  </w:style>
  <w:style w:type="character" w:styleId="CommentReference">
    <w:name w:val="annotation reference"/>
    <w:basedOn w:val="DefaultParagraphFont"/>
    <w:uiPriority w:val="99"/>
    <w:semiHidden/>
    <w:unhideWhenUsed/>
    <w:rsid w:val="001A4C0F"/>
    <w:rPr>
      <w:sz w:val="16"/>
      <w:szCs w:val="16"/>
    </w:rPr>
  </w:style>
  <w:style w:type="paragraph" w:styleId="CommentText">
    <w:name w:val="annotation text"/>
    <w:basedOn w:val="Normal"/>
    <w:link w:val="CommentTextChar"/>
    <w:uiPriority w:val="99"/>
    <w:semiHidden/>
    <w:unhideWhenUsed/>
    <w:rsid w:val="001A4C0F"/>
    <w:rPr>
      <w:sz w:val="20"/>
      <w:szCs w:val="20"/>
    </w:rPr>
  </w:style>
  <w:style w:type="character" w:customStyle="1" w:styleId="CommentTextChar">
    <w:name w:val="Comment Text Char"/>
    <w:basedOn w:val="DefaultParagraphFont"/>
    <w:link w:val="CommentText"/>
    <w:uiPriority w:val="99"/>
    <w:semiHidden/>
    <w:rsid w:val="001A4C0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A4C0F"/>
    <w:rPr>
      <w:b/>
      <w:bCs/>
    </w:rPr>
  </w:style>
  <w:style w:type="character" w:customStyle="1" w:styleId="CommentSubjectChar">
    <w:name w:val="Comment Subject Char"/>
    <w:basedOn w:val="CommentTextChar"/>
    <w:link w:val="CommentSubject"/>
    <w:uiPriority w:val="99"/>
    <w:semiHidden/>
    <w:rsid w:val="001A4C0F"/>
    <w:rPr>
      <w:rFonts w:ascii="Arial" w:hAnsi="Arial" w:cs="Arial"/>
      <w:b/>
      <w:bCs/>
      <w:sz w:val="20"/>
      <w:szCs w:val="20"/>
    </w:rPr>
  </w:style>
  <w:style w:type="character" w:customStyle="1" w:styleId="normaltextrun">
    <w:name w:val="normaltextrun"/>
    <w:basedOn w:val="DefaultParagraphFont"/>
    <w:uiPriority w:val="1"/>
    <w:rsid w:val="6EB375AF"/>
    <w:rPr>
      <w:rFonts w:asciiTheme="minorHAnsi" w:eastAsiaTheme="minorEastAsia" w:hAnsiTheme="minorHAnsi" w:cs="Times New Roman"/>
    </w:rPr>
  </w:style>
  <w:style w:type="character" w:customStyle="1" w:styleId="Heading3Char">
    <w:name w:val="Heading 3 Char"/>
    <w:basedOn w:val="DefaultParagraphFont"/>
    <w:link w:val="Heading3"/>
    <w:uiPriority w:val="9"/>
    <w:rsid w:val="00146554"/>
    <w:rPr>
      <w:rFonts w:ascii="Segoe UI" w:eastAsia="Arial" w:hAnsi="Segoe UI" w:cs="Segoe UI"/>
      <w:color w:val="1F3864" w:themeColor="accent1" w:themeShade="80"/>
      <w:sz w:val="24"/>
      <w:szCs w:val="24"/>
    </w:rPr>
  </w:style>
  <w:style w:type="paragraph" w:styleId="NormalWeb">
    <w:name w:val="Normal (Web)"/>
    <w:basedOn w:val="Normal"/>
    <w:uiPriority w:val="99"/>
    <w:semiHidden/>
    <w:unhideWhenUsed/>
    <w:rsid w:val="00F42EBF"/>
    <w:pPr>
      <w:spacing w:before="100" w:beforeAutospacing="1" w:after="100" w:afterAutospacing="1"/>
    </w:pPr>
    <w:rPr>
      <w:rFonts w:ascii="Times New Roman" w:eastAsia="Times New Roman" w:hAnsi="Times New Roman" w:cs="Times New Roman"/>
      <w:lang w:eastAsia="en-NZ"/>
    </w:rPr>
  </w:style>
  <w:style w:type="character" w:styleId="Strong">
    <w:name w:val="Strong"/>
    <w:basedOn w:val="DefaultParagraphFont"/>
    <w:uiPriority w:val="22"/>
    <w:qFormat/>
    <w:rsid w:val="00F42EBF"/>
    <w:rPr>
      <w:b/>
      <w:bCs/>
    </w:rPr>
  </w:style>
  <w:style w:type="paragraph" w:styleId="FootnoteText">
    <w:name w:val="footnote text"/>
    <w:basedOn w:val="Normal"/>
    <w:link w:val="FootnoteTextChar"/>
    <w:uiPriority w:val="99"/>
    <w:unhideWhenUsed/>
    <w:rsid w:val="007065B0"/>
    <w:pPr>
      <w:spacing w:before="0" w:after="0"/>
    </w:pPr>
    <w:rPr>
      <w:sz w:val="20"/>
      <w:szCs w:val="20"/>
    </w:rPr>
  </w:style>
  <w:style w:type="character" w:customStyle="1" w:styleId="FootnoteTextChar">
    <w:name w:val="Footnote Text Char"/>
    <w:basedOn w:val="DefaultParagraphFont"/>
    <w:link w:val="FootnoteText"/>
    <w:uiPriority w:val="99"/>
    <w:rsid w:val="007065B0"/>
    <w:rPr>
      <w:rFonts w:ascii="Arial" w:hAnsi="Arial" w:cs="Arial"/>
      <w:sz w:val="20"/>
      <w:szCs w:val="20"/>
    </w:rPr>
  </w:style>
  <w:style w:type="character" w:styleId="FootnoteReference">
    <w:name w:val="footnote reference"/>
    <w:basedOn w:val="DefaultParagraphFont"/>
    <w:uiPriority w:val="99"/>
    <w:semiHidden/>
    <w:unhideWhenUsed/>
    <w:rsid w:val="007065B0"/>
    <w:rPr>
      <w:vertAlign w:val="superscript"/>
    </w:rPr>
  </w:style>
  <w:style w:type="paragraph" w:customStyle="1" w:styleId="CabStandard">
    <w:name w:val="CabStandard"/>
    <w:basedOn w:val="Normal"/>
    <w:rsid w:val="001E76BB"/>
    <w:pPr>
      <w:numPr>
        <w:numId w:val="20"/>
      </w:numPr>
      <w:spacing w:before="0"/>
    </w:pPr>
    <w:rPr>
      <w:rFonts w:ascii="Times New Roman" w:eastAsia="Times New Roman" w:hAnsi="Times New Roman" w:cs="Times New Roman"/>
      <w:szCs w:val="20"/>
      <w:lang w:val="en-GB" w:eastAsia="ja-JP"/>
    </w:rPr>
  </w:style>
  <w:style w:type="character" w:styleId="FollowedHyperlink">
    <w:name w:val="FollowedHyperlink"/>
    <w:basedOn w:val="DefaultParagraphFont"/>
    <w:uiPriority w:val="99"/>
    <w:semiHidden/>
    <w:unhideWhenUsed/>
    <w:rsid w:val="003C6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1928">
      <w:bodyDiv w:val="1"/>
      <w:marLeft w:val="0"/>
      <w:marRight w:val="0"/>
      <w:marTop w:val="0"/>
      <w:marBottom w:val="0"/>
      <w:divBdr>
        <w:top w:val="none" w:sz="0" w:space="0" w:color="auto"/>
        <w:left w:val="none" w:sz="0" w:space="0" w:color="auto"/>
        <w:bottom w:val="none" w:sz="0" w:space="0" w:color="auto"/>
        <w:right w:val="none" w:sz="0" w:space="0" w:color="auto"/>
      </w:divBdr>
    </w:div>
    <w:div w:id="289678158">
      <w:bodyDiv w:val="1"/>
      <w:marLeft w:val="0"/>
      <w:marRight w:val="0"/>
      <w:marTop w:val="0"/>
      <w:marBottom w:val="0"/>
      <w:divBdr>
        <w:top w:val="none" w:sz="0" w:space="0" w:color="auto"/>
        <w:left w:val="none" w:sz="0" w:space="0" w:color="auto"/>
        <w:bottom w:val="none" w:sz="0" w:space="0" w:color="auto"/>
        <w:right w:val="none" w:sz="0" w:space="0" w:color="auto"/>
      </w:divBdr>
    </w:div>
    <w:div w:id="343358418">
      <w:bodyDiv w:val="1"/>
      <w:marLeft w:val="0"/>
      <w:marRight w:val="0"/>
      <w:marTop w:val="0"/>
      <w:marBottom w:val="0"/>
      <w:divBdr>
        <w:top w:val="none" w:sz="0" w:space="0" w:color="auto"/>
        <w:left w:val="none" w:sz="0" w:space="0" w:color="auto"/>
        <w:bottom w:val="none" w:sz="0" w:space="0" w:color="auto"/>
        <w:right w:val="none" w:sz="0" w:space="0" w:color="auto"/>
      </w:divBdr>
    </w:div>
    <w:div w:id="549994025">
      <w:bodyDiv w:val="1"/>
      <w:marLeft w:val="0"/>
      <w:marRight w:val="0"/>
      <w:marTop w:val="0"/>
      <w:marBottom w:val="0"/>
      <w:divBdr>
        <w:top w:val="none" w:sz="0" w:space="0" w:color="auto"/>
        <w:left w:val="none" w:sz="0" w:space="0" w:color="auto"/>
        <w:bottom w:val="none" w:sz="0" w:space="0" w:color="auto"/>
        <w:right w:val="none" w:sz="0" w:space="0" w:color="auto"/>
      </w:divBdr>
    </w:div>
    <w:div w:id="679426728">
      <w:bodyDiv w:val="1"/>
      <w:marLeft w:val="0"/>
      <w:marRight w:val="0"/>
      <w:marTop w:val="0"/>
      <w:marBottom w:val="0"/>
      <w:divBdr>
        <w:top w:val="none" w:sz="0" w:space="0" w:color="auto"/>
        <w:left w:val="none" w:sz="0" w:space="0" w:color="auto"/>
        <w:bottom w:val="none" w:sz="0" w:space="0" w:color="auto"/>
        <w:right w:val="none" w:sz="0" w:space="0" w:color="auto"/>
      </w:divBdr>
    </w:div>
    <w:div w:id="1036469270">
      <w:bodyDiv w:val="1"/>
      <w:marLeft w:val="0"/>
      <w:marRight w:val="0"/>
      <w:marTop w:val="0"/>
      <w:marBottom w:val="0"/>
      <w:divBdr>
        <w:top w:val="none" w:sz="0" w:space="0" w:color="auto"/>
        <w:left w:val="none" w:sz="0" w:space="0" w:color="auto"/>
        <w:bottom w:val="none" w:sz="0" w:space="0" w:color="auto"/>
        <w:right w:val="none" w:sz="0" w:space="0" w:color="auto"/>
      </w:divBdr>
    </w:div>
    <w:div w:id="1118724551">
      <w:bodyDiv w:val="1"/>
      <w:marLeft w:val="0"/>
      <w:marRight w:val="0"/>
      <w:marTop w:val="0"/>
      <w:marBottom w:val="0"/>
      <w:divBdr>
        <w:top w:val="none" w:sz="0" w:space="0" w:color="auto"/>
        <w:left w:val="none" w:sz="0" w:space="0" w:color="auto"/>
        <w:bottom w:val="none" w:sz="0" w:space="0" w:color="auto"/>
        <w:right w:val="none" w:sz="0" w:space="0" w:color="auto"/>
      </w:divBdr>
    </w:div>
    <w:div w:id="1742679343">
      <w:bodyDiv w:val="1"/>
      <w:marLeft w:val="0"/>
      <w:marRight w:val="0"/>
      <w:marTop w:val="0"/>
      <w:marBottom w:val="0"/>
      <w:divBdr>
        <w:top w:val="none" w:sz="0" w:space="0" w:color="auto"/>
        <w:left w:val="none" w:sz="0" w:space="0" w:color="auto"/>
        <w:bottom w:val="none" w:sz="0" w:space="0" w:color="auto"/>
        <w:right w:val="none" w:sz="0" w:space="0" w:color="auto"/>
      </w:divBdr>
    </w:div>
    <w:div w:id="20404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pk.govt.nz/mo-te-puni-kokiri/corporate-documents/cabinet-papers/all-cabinet-papers/next-steps-for-declaration-plan" TargetMode="External"/><Relationship Id="rId7" Type="http://schemas.openxmlformats.org/officeDocument/2006/relationships/hyperlink" Target="https://www.tpk.govt.nz/mo-te-puni-kokiri/corporate-documents/cabinet-papers/all-cabinet-papers/united-nations-declaration-on-the-rights-of-indige" TargetMode="External"/><Relationship Id="rId2" Type="http://schemas.openxmlformats.org/officeDocument/2006/relationships/hyperlink" Target="https://www.tpk.govt.nz/mo-te-puni-kokiri/corporate-documents/cabinet-papers/all-cabinet-papers/develop-plan-on-nz-progress-un" TargetMode="External"/><Relationship Id="rId1" Type="http://schemas.openxmlformats.org/officeDocument/2006/relationships/hyperlink" Target="https://tikatangata.org.nz/news/renowned-indigenous-rights-expert-joins-the-human-rights-commission" TargetMode="External"/><Relationship Id="rId6" Type="http://schemas.openxmlformats.org/officeDocument/2006/relationships/hyperlink" Target="https://www.tpk.govt.nz/docs/tpk-undrip-keythemesm%C4%81oritargetedengagement-april2022v2.pdf" TargetMode="External"/><Relationship Id="rId5" Type="http://schemas.openxmlformats.org/officeDocument/2006/relationships/hyperlink" Target="https://www.parliament.nz/en/pb/hansard-debates/rhr/document/49HansD_20100420_00000071/ministerial-statements-un-declaration-on-the-rights-of" TargetMode="External"/><Relationship Id="rId4" Type="http://schemas.openxmlformats.org/officeDocument/2006/relationships/hyperlink" Target="https://www.tpk.govt.nz/mo-te-puni-kokiri/corporate-documents/cabinet-papers/all-cabinet-papers/united-nations-declaration-on-the-rights-of-indi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imeep\Human%20Rights%20Commission\Strategic%20Planning%20&amp;%20Performance%20-%20Compliance\Official%20Information%20Act\Internal%20resources\OIA%20Respon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AIMM and New Zealand Human Rights Commission</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A6F5F0E5872D4FBC99FF82404852FC" ma:contentTypeVersion="44" ma:contentTypeDescription="Create a new document." ma:contentTypeScope="" ma:versionID="241b04f81498c48d22a62c9ea3cc2719">
  <xsd:schema xmlns:xsd="http://www.w3.org/2001/XMLSchema" xmlns:xs="http://www.w3.org/2001/XMLSchema" xmlns:p="http://schemas.microsoft.com/office/2006/metadata/properties" xmlns:ns2="14bf6e64-41b1-4008-8b31-81e768f35d2f" xmlns:ns3="0a28ad9b-b50f-45c7-9909-b90a4cda4617" xmlns:ns4="7fa524cd-5488-4231-a774-088743c0689c" targetNamespace="http://schemas.microsoft.com/office/2006/metadata/properties" ma:root="true" ma:fieldsID="d02a2ff4566b0327123ef943af0419d6" ns2:_="" ns3:_="" ns4:_="">
    <xsd:import namespace="14bf6e64-41b1-4008-8b31-81e768f35d2f"/>
    <xsd:import namespace="0a28ad9b-b50f-45c7-9909-b90a4cda4617"/>
    <xsd:import namespace="7fa524cd-5488-4231-a774-088743c0689c"/>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3:SharedWithUsers" minOccurs="0"/>
                <xsd:element ref="ns3:SharedWithDetails" minOccurs="0"/>
                <xsd:element ref="ns2:i0f84bba906045b4af568ee102a52dcb" minOccurs="0"/>
                <xsd:element ref="ns2:TaxCatchAll"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f6e64-41b1-4008-8b31-81e768f35d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 Year" ma:description="Financial Year" ma:format="Dropdown" ma:internalName="FinancialYear">
      <xsd:simpleType>
        <xsd:restriction base="dms:Choice">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restriction>
      </xsd:simpleType>
    </xsd:element>
    <xsd:element name="i0f84bba906045b4af568ee102a52dcb" ma:index="15" nillable="true" ma:taxonomy="true" ma:internalName="i0f84bba906045b4af568ee102a52dcb" ma:taxonomyFieldName="RevIMBCS" ma:displayName="HRC Taxonomy" ma:indexed="true" ma:readOnly="false" ma:default="340;#International Monitoring ＆ Submissions|2a22f43d-b086-4b03-9efa-1cfb9a62dde0" ma:fieldId="{20f84bba-9060-45b4-af56-8ee102a52dcb}" ma:sspId="b81e6a3b-7119-479f-a0a1-d1ace2e3d91a" ma:termSetId="b5c58978-aacf-4d49-9597-114f1244351d" ma:anchorId="95e39927-8a8a-49bd-969d-d6280031797e" ma:open="false" ma:isKeyword="false">
      <xsd:complexType>
        <xsd:sequence>
          <xsd:element ref="pc:Terms" minOccurs="0" maxOccurs="1"/>
        </xsd:sequence>
      </xsd:complexType>
    </xsd:element>
    <xsd:element name="TaxCatchAll" ma:index="16" nillable="true" ma:displayName="Taxonomy Catch All Column" ma:description="" ma:hidden="true" ma:list="{e98d8594-ac13-4827-9ccc-f6e688be706a}" ma:internalName="TaxCatchAll" ma:showField="CatchAllData" ma:web="14bf6e64-41b1-4008-8b31-81e768f35d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28ad9b-b50f-45c7-9909-b90a4cda461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a524cd-5488-4231-a774-088743c0689c"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81e6a3b-7119-479f-a0a1-d1ace2e3d9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EEA39-4C68-4279-A115-3E0631D51449}">
  <ds:schemaRefs>
    <ds:schemaRef ds:uri="http://schemas.microsoft.com/office/infopath/2007/PartnerControls"/>
    <ds:schemaRef ds:uri="http://purl.org/dc/elements/1.1/"/>
    <ds:schemaRef ds:uri="http://schemas.microsoft.com/office/2006/metadata/properties"/>
    <ds:schemaRef ds:uri="14bf6e64-41b1-4008-8b31-81e768f35d2f"/>
    <ds:schemaRef ds:uri="7fa524cd-5488-4231-a774-088743c0689c"/>
    <ds:schemaRef ds:uri="http://purl.org/dc/terms/"/>
    <ds:schemaRef ds:uri="http://schemas.openxmlformats.org/package/2006/metadata/core-properties"/>
    <ds:schemaRef ds:uri="http://schemas.microsoft.com/office/2006/documentManagement/types"/>
    <ds:schemaRef ds:uri="0a28ad9b-b50f-45c7-9909-b90a4cda4617"/>
    <ds:schemaRef ds:uri="http://www.w3.org/XML/1998/namespace"/>
    <ds:schemaRef ds:uri="http://purl.org/dc/dcmitype/"/>
  </ds:schemaRefs>
</ds:datastoreItem>
</file>

<file path=customXml/itemProps2.xml><?xml version="1.0" encoding="utf-8"?>
<ds:datastoreItem xmlns:ds="http://schemas.openxmlformats.org/officeDocument/2006/customXml" ds:itemID="{3E43D6E4-B586-4C5D-8E03-38AFAC553660}">
  <ds:schemaRefs>
    <ds:schemaRef ds:uri="http://schemas.openxmlformats.org/officeDocument/2006/bibliography"/>
  </ds:schemaRefs>
</ds:datastoreItem>
</file>

<file path=customXml/itemProps3.xml><?xml version="1.0" encoding="utf-8"?>
<ds:datastoreItem xmlns:ds="http://schemas.openxmlformats.org/officeDocument/2006/customXml" ds:itemID="{F132DDE9-8952-4F95-B931-9746BFCE7C31}">
  <ds:schemaRefs>
    <ds:schemaRef ds:uri="http://schemas.microsoft.com/sharepoint/v3/contenttype/forms"/>
  </ds:schemaRefs>
</ds:datastoreItem>
</file>

<file path=customXml/itemProps4.xml><?xml version="1.0" encoding="utf-8"?>
<ds:datastoreItem xmlns:ds="http://schemas.openxmlformats.org/officeDocument/2006/customXml" ds:itemID="{173BA54A-9366-41E3-876E-C54D32F7C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f6e64-41b1-4008-8b31-81e768f35d2f"/>
    <ds:schemaRef ds:uri="0a28ad9b-b50f-45c7-9909-b90a4cda4617"/>
    <ds:schemaRef ds:uri="7fa524cd-5488-4231-a774-088743c06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84EBCB-5550-434F-B17A-5EC0FA79B2F4}"/>
</file>

<file path=docProps/app.xml><?xml version="1.0" encoding="utf-8"?>
<Properties xmlns="http://schemas.openxmlformats.org/officeDocument/2006/extended-properties" xmlns:vt="http://schemas.openxmlformats.org/officeDocument/2006/docPropsVTypes">
  <Template>OIA Response Template</Template>
  <TotalTime>1</TotalTime>
  <Pages>6</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Jaimee Paenga</dc:creator>
  <cp:keywords/>
  <dc:description/>
  <cp:lastModifiedBy>Jessica Ngatai</cp:lastModifiedBy>
  <cp:revision>2</cp:revision>
  <dcterms:created xsi:type="dcterms:W3CDTF">2023-03-17T04:56:00Z</dcterms:created>
  <dcterms:modified xsi:type="dcterms:W3CDTF">2023-03-17T04:56:00Z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RevIMBCS">
    <vt:lpwstr>340;#International Monitoring ＆ Submissions|2a22f43d-b086-4b03-9efa-1cfb9a62dde0</vt:lpwstr>
  </property>
  <property fmtid="{D5CDD505-2E9C-101B-9397-08002B2CF9AE}" pid="4" name="_dlc_DocIdItemGuid">
    <vt:lpwstr>fd554ea8-6462-454b-a915-582fb71889c1</vt:lpwstr>
  </property>
  <property fmtid="{D5CDD505-2E9C-101B-9397-08002B2CF9AE}" pid="5" name="Order">
    <vt:r8>100</vt:r8>
  </property>
</Properties>
</file>