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Информация Российской Федерации в связи с запросом Управления Верховного комиссара ООН по правам человека EMRIP/2023/2b от 8 февраля 2023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Задача обеспечения эффективного участия коренных малочисленных народов Российской Федерации (далее - КМН) в решении вопросов, затрагивающих их права и интересы, предусмотрена Стратегией государственной национальной политики Российской Федерации (далее - Стратегия), утвержденной Указом Президента Российской Федерации от </w:t>
        <w:br w:type="textWrapping"/>
        <w:t xml:space="preserve">19 декабря 2012 г. № 1666, и остаётся актуальной.</w:t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Так, общественно-консультативные органы по вопросам обеспечения гарантий прав КМН, имеющие конституционную и международную правовую основу, образованы в различной организационной форме на региональном и местном уровнях в большинстве субъектов Российской Федерации, на территории которых КМН традиционно расселены. Например, в Ямало-Ненецком автономном округе - Совет представителей КМН при Правительстве ЯНАО; Свердловской области - Совет представителей КМН при региональном Министерстве природных ресурсов и экологии; Красноярском крае - Советы представителей в Таймырском Долгано-Ненецком и Эвенкийском районах при Губернаторе; Кемеровской области - рабочая группа по вопросам обеспечения прав и законных интересов КМН на территории Шорского национального парка; Томской области - Консультативный совет представителей по проблемам КМН и т.д.</w:t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На данном этапе функции планов содействия осуществлению положений Декларации ООН о правах коренных народов (далее - Декларация) на национальном уровне в Российской Федерации реализуются в рамках плана реализации Стратегии, утвержденного распоряжением Правительства Российской Федерации от 20 декабря 2021 г. №2 3718-р, Концепции устойчивого развития коренных малочисленных народов Севера, Сибири и Дальнего Востока Российской Федерации, утвержденной распоряжением Правительства Российской Федерации от </w:t>
        <w:br w:type="textWrapping"/>
        <w:t xml:space="preserve">4 февраля 2009 г. №2 132-р, а также плана мероприятий по её реализации в 2021-2025 гг., утвержденного распоряжением Правительства Российской Федерации от 25 августа 2016 г. № 1792-р, которые учитывают меры мониторинга реализации прав КМН. Аналогичные планы приняты также во всех регионах проживания КМН.</w:t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Российская Федерация поддерживает работу национальных правозащитных институтов. Соответствующий мониторинговый функционал осуществляет институт Уполномоченного по правам человека на федеральном и региональном уровнях. Также в ряде субъектов Российской Федерации учреждена должность Уполномоченного по правам КМН (Республика Саха (Якутия), Красноярский и Камчатский края), которые рассматривают жалобы представителей КМН, систематизируют и обнародуют данные о нарушениях их прав, а также участвуют в качестве экспертов в законотворческом процессе в целях устранения пробелов правового регулирования.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Существенный вклад в реализацию мониторинговых механизмов защиты прав и законных интересов КМН на уровне гражданского общества вносит Общероссийская общественная организация Ассоциация коренных малочисленных народов Севера, Сибири и Дальнего Востока Российской Федерации (далее - АКМНС). Президент АКМНС, член Совета Федерации Федерального Собрания Российской Федерации Г.П.Ледков является членом Совета при Президенте Российской Федерации по межнациональным отношениям. 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 органам, включенным в механизмам контроля за выполнением норм законодательства в области обеспечения гарантий прав КМН, также можно отнести Комитет Государственной Думы по бюджету и налогам, Пенсионный Фонд Российской Федерации, иные уполномоченные Правительством Российской Федерации федеральные органы исполнительной власти, в том числе Минэнерго России, Росстат, Росрыболовство, органы исполнительной власти субъектов Российской Федерации, при которых созданы советы представителей КМН, органы местного самоуправления, а также созданный в 2022 г. Национальный организационный комитет по подготовке и проведению Международного десятилетия языков коренных народов 2022-2032 гг.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Особую роль в системе обеспечения прав и законных интересов КМН Российской Федерации играет механизм общественного контроля, в частности, в отношении возмещения убытков, причиненным КМН, в результате нанесения ущерба их исконной среде обитания в порядке, предусмотренном Федеральным законом «Об основах общественного контроля в Российской Федерации».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Мониторинговые механизмы предусматривают реальную возможность лидеров КМН участвовать в разработке нормативных правовых актов в сфере защиты прав и законных интересов КМН.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Представителями регионов традиционного проживания КМН на постоянной основе в Совете Федерации осуществляется общий мониторинг законодательной деятельности, затрагивающей права и  интересы КМН, вносятся законодательные инициативы в целях оптимальной реализации Декларации.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Также действуют Рабочая группа по законодательному обеспечению защиты прав коренных малочисленных народов Севера, Сибири и Дальнего Востока Российской Федерации, сформированная при Комитете Государственной Думы по делам национальностей и рабочая группа по вопросам социально-экономического развития Совета по вопросам развития Дальнего Востока, Арктики и Антарктики при Совете Федерации Федерального Собрания Российской Федерации, которые используют в своей работе, в том числе, актуальные мониторинговые данные по защите прав и законных интересов КМН.</w:t>
      </w:r>
    </w:p>
    <w:p w:rsidR="00000000" w:rsidDel="00000000" w:rsidP="00000000" w:rsidRDefault="00000000" w:rsidRPr="00000000" w14:paraId="0000000D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этом Российская Федерация не только реализует на практике многие положения Декларации, но и ответственно подходит к мониторингу результатов указанной работы. В частности, в своих периодических докладах по Универсальному периодическому обзору (УПО) Российская Федерация указывает, какие меры принимаются для выполнения рекомендаций, полученных в рамках предыдущих циклов отчетности.</w:t>
      </w:r>
    </w:p>
    <w:p w:rsidR="00000000" w:rsidDel="00000000" w:rsidP="00000000" w:rsidRDefault="00000000" w:rsidRPr="00000000" w14:paraId="0000000E">
      <w:pPr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Российская Федерация активно взаимодействует с представителями КМН в целях соблюдения их прав и законных интересов, предусмотренных Декларацией и другими международными стандартами, которые касаются взаимоотношений представителей КМН и промышленных компаний.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октябре 2022 г. ФАДН России совместно с организациями коренных народов, национальной сетью Глобального договора ООН проведен Международный форум «Государственно-частное партнёрство в сфере устойчивого развития коренных народов». На Форуме были рассмотрены стандарты стратегий и формы участия бизнеса в обеспечении устойчивого развития КМН через корпоративные программы, соглашения с органами власти и объединениями коренных малочисленных народов, а также подходы государственного регулирования в указанных сферах.</w:t>
      </w:r>
    </w:p>
    <w:p w:rsidR="00000000" w:rsidDel="00000000" w:rsidP="00000000" w:rsidRDefault="00000000" w:rsidRPr="00000000" w14:paraId="00000010">
      <w:pPr>
        <w:ind w:left="4678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4678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4678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pgSz w:h="16838" w:w="11906" w:orient="portrait"/>
      <w:pgMar w:bottom="1418" w:top="1418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</Doctype>
    <Contributor xmlns="d42e65b2-cf21-49c1-b27d-d23f90380c0e">Russian Federation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18AB18A2-0D69-4AB6-B312-943E3E934227}"/>
</file>

<file path=customXml/itemProps2.xml><?xml version="1.0" encoding="utf-8"?>
<ds:datastoreItem xmlns:ds="http://schemas.openxmlformats.org/officeDocument/2006/customXml" ds:itemID="{7A2B7F6E-C05C-46AD-9FEF-1BCB023A10E0}"/>
</file>

<file path=customXml/itemProps3.xml><?xml version="1.0" encoding="utf-8"?>
<ds:datastoreItem xmlns:ds="http://schemas.openxmlformats.org/officeDocument/2006/customXml" ds:itemID="{B02FA82A-7548-4706-8CFC-507EBB862B0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Order">
    <vt:r8>100</vt:r8>
  </property>
</Properties>
</file>