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9B3E" w14:textId="77777777" w:rsidR="00006E76" w:rsidRDefault="00006E76" w:rsidP="00006E76">
      <w:pPr>
        <w:pStyle w:val="Header"/>
        <w:tabs>
          <w:tab w:val="right" w:pos="3686"/>
          <w:tab w:val="left" w:pos="5812"/>
        </w:tabs>
        <w:contextualSpacing/>
        <w:jc w:val="right"/>
        <w:rPr>
          <w:color w:val="000000" w:themeColor="text1"/>
          <w:sz w:val="22"/>
          <w:szCs w:val="22"/>
        </w:rPr>
      </w:pPr>
    </w:p>
    <w:p w14:paraId="385691DC" w14:textId="77777777" w:rsidR="00006E76" w:rsidRPr="001226BC" w:rsidRDefault="00006E76" w:rsidP="00006E76">
      <w:pPr>
        <w:pStyle w:val="Header"/>
        <w:tabs>
          <w:tab w:val="right" w:pos="3686"/>
          <w:tab w:val="left" w:pos="5812"/>
        </w:tabs>
        <w:contextualSpacing/>
        <w:jc w:val="center"/>
        <w:rPr>
          <w:b w:val="0"/>
          <w:color w:val="000000" w:themeColor="text1"/>
          <w:sz w:val="22"/>
          <w:szCs w:val="22"/>
        </w:rPr>
      </w:pPr>
      <w:r w:rsidRPr="001226BC">
        <w:rPr>
          <w:color w:val="000000" w:themeColor="text1"/>
          <w:sz w:val="22"/>
          <w:szCs w:val="22"/>
        </w:rPr>
        <w:t xml:space="preserve">Call for inputs </w:t>
      </w:r>
    </w:p>
    <w:p w14:paraId="6C2673F8" w14:textId="77777777" w:rsidR="00006E76" w:rsidRPr="001226BC" w:rsidRDefault="00006E76" w:rsidP="00006E76">
      <w:pPr>
        <w:pStyle w:val="Header"/>
        <w:tabs>
          <w:tab w:val="right" w:pos="3686"/>
          <w:tab w:val="left" w:pos="5812"/>
        </w:tabs>
        <w:contextualSpacing/>
        <w:jc w:val="center"/>
        <w:rPr>
          <w:b w:val="0"/>
          <w:color w:val="000000" w:themeColor="text1"/>
          <w:sz w:val="22"/>
          <w:szCs w:val="22"/>
        </w:rPr>
      </w:pPr>
    </w:p>
    <w:p w14:paraId="1A3BE323" w14:textId="77777777" w:rsidR="00006E76" w:rsidRDefault="00006E76" w:rsidP="00006E76">
      <w:pPr>
        <w:pStyle w:val="Header"/>
        <w:tabs>
          <w:tab w:val="right" w:pos="3686"/>
          <w:tab w:val="left" w:pos="5812"/>
        </w:tabs>
        <w:contextualSpacing/>
        <w:jc w:val="center"/>
        <w:rPr>
          <w:rFonts w:eastAsia="Arial Nova"/>
          <w:b w:val="0"/>
          <w:bCs/>
          <w:color w:val="000000" w:themeColor="text1"/>
          <w:sz w:val="22"/>
          <w:szCs w:val="22"/>
        </w:rPr>
      </w:pPr>
      <w:r w:rsidRPr="001226BC">
        <w:rPr>
          <w:color w:val="000000" w:themeColor="text1"/>
          <w:sz w:val="22"/>
          <w:szCs w:val="22"/>
        </w:rPr>
        <w:t>R</w:t>
      </w:r>
      <w:r w:rsidRPr="001226BC">
        <w:rPr>
          <w:rFonts w:eastAsia="Arial Nova"/>
          <w:bCs/>
          <w:color w:val="000000" w:themeColor="text1"/>
          <w:sz w:val="22"/>
          <w:szCs w:val="22"/>
        </w:rPr>
        <w:t>eport on Peace</w:t>
      </w:r>
      <w:r>
        <w:rPr>
          <w:rFonts w:eastAsia="Arial Nova"/>
          <w:bCs/>
          <w:color w:val="000000" w:themeColor="text1"/>
          <w:sz w:val="22"/>
          <w:szCs w:val="22"/>
        </w:rPr>
        <w:t>building</w:t>
      </w:r>
      <w:r w:rsidRPr="001226BC">
        <w:rPr>
          <w:rFonts w:eastAsia="Arial Nova"/>
          <w:bCs/>
          <w:color w:val="000000" w:themeColor="text1"/>
          <w:sz w:val="22"/>
          <w:szCs w:val="22"/>
        </w:rPr>
        <w:t xml:space="preserve"> in the context of internal displacement to be presented to the 79</w:t>
      </w:r>
      <w:r w:rsidRPr="001226BC">
        <w:rPr>
          <w:rFonts w:eastAsia="Arial Nova"/>
          <w:bCs/>
          <w:color w:val="000000" w:themeColor="text1"/>
          <w:sz w:val="22"/>
          <w:szCs w:val="22"/>
          <w:vertAlign w:val="superscript"/>
        </w:rPr>
        <w:t>th</w:t>
      </w:r>
      <w:r w:rsidRPr="001226BC">
        <w:rPr>
          <w:rFonts w:eastAsia="Arial Nova"/>
          <w:bCs/>
          <w:color w:val="000000" w:themeColor="text1"/>
          <w:sz w:val="22"/>
          <w:szCs w:val="22"/>
        </w:rPr>
        <w:t xml:space="preserve"> session of the General Assembly </w:t>
      </w:r>
    </w:p>
    <w:p w14:paraId="06857AE1" w14:textId="77777777" w:rsidR="00006E76" w:rsidRPr="001A0DF5" w:rsidRDefault="00006E76" w:rsidP="00006E76">
      <w:pPr>
        <w:pStyle w:val="Header"/>
        <w:tabs>
          <w:tab w:val="right" w:pos="3686"/>
          <w:tab w:val="left" w:pos="5812"/>
        </w:tabs>
        <w:contextualSpacing/>
        <w:jc w:val="center"/>
        <w:rPr>
          <w:rFonts w:eastAsia="Arial Nova"/>
          <w:b w:val="0"/>
          <w:bCs/>
          <w:color w:val="000000" w:themeColor="text1"/>
          <w:sz w:val="22"/>
          <w:szCs w:val="22"/>
        </w:rPr>
      </w:pPr>
    </w:p>
    <w:p w14:paraId="49C7AFF4" w14:textId="77777777" w:rsidR="00006E76" w:rsidRDefault="00006E76" w:rsidP="00006E76">
      <w:pPr>
        <w:rPr>
          <w:b/>
          <w:bCs/>
          <w:noProof/>
          <w:color w:val="000000" w:themeColor="text1"/>
          <w:sz w:val="22"/>
          <w:szCs w:val="22"/>
        </w:rPr>
      </w:pPr>
      <w:r w:rsidRPr="001226BC">
        <w:rPr>
          <w:b/>
          <w:bCs/>
          <w:noProof/>
          <w:color w:val="000000" w:themeColor="text1"/>
          <w:sz w:val="22"/>
          <w:szCs w:val="22"/>
        </w:rPr>
        <w:t xml:space="preserve">Rationale and Objective </w:t>
      </w:r>
    </w:p>
    <w:p w14:paraId="0CB5EF8C" w14:textId="77777777" w:rsidR="00006E76" w:rsidRPr="001226BC" w:rsidRDefault="00006E76" w:rsidP="00006E76">
      <w:pPr>
        <w:rPr>
          <w:b/>
          <w:bCs/>
          <w:noProof/>
          <w:color w:val="000000" w:themeColor="text1"/>
          <w:sz w:val="22"/>
          <w:szCs w:val="22"/>
        </w:rPr>
      </w:pPr>
    </w:p>
    <w:p w14:paraId="3AB38169" w14:textId="77777777" w:rsidR="00006E76" w:rsidRDefault="00006E76" w:rsidP="00006E76">
      <w:pPr>
        <w:jc w:val="both"/>
        <w:rPr>
          <w:color w:val="000000" w:themeColor="text1"/>
          <w:sz w:val="22"/>
          <w:szCs w:val="22"/>
        </w:rPr>
      </w:pPr>
      <w:r w:rsidRPr="001226BC">
        <w:rPr>
          <w:color w:val="000000" w:themeColor="text1"/>
          <w:sz w:val="22"/>
          <w:szCs w:val="22"/>
        </w:rPr>
        <w:t>Pursuant to Human Rights Council Resolution 50/6, the Special Rapporteur on the human rights of internally displaced persons (IDPs), has begun the preparation of her thematic report to the 79</w:t>
      </w:r>
      <w:r w:rsidRPr="001226BC">
        <w:rPr>
          <w:color w:val="000000" w:themeColor="text1"/>
          <w:sz w:val="22"/>
          <w:szCs w:val="22"/>
          <w:vertAlign w:val="superscript"/>
        </w:rPr>
        <w:t>th</w:t>
      </w:r>
      <w:r w:rsidRPr="001226BC">
        <w:rPr>
          <w:color w:val="000000" w:themeColor="text1"/>
          <w:sz w:val="22"/>
          <w:szCs w:val="22"/>
        </w:rPr>
        <w:t xml:space="preserve"> session of the General Assembly to be presented in October 2024. The report will </w:t>
      </w:r>
      <w:r>
        <w:rPr>
          <w:color w:val="000000" w:themeColor="text1"/>
          <w:sz w:val="22"/>
          <w:szCs w:val="22"/>
        </w:rPr>
        <w:t>examine</w:t>
      </w:r>
      <w:r w:rsidRPr="001226BC">
        <w:rPr>
          <w:color w:val="000000" w:themeColor="text1"/>
          <w:sz w:val="22"/>
          <w:szCs w:val="22"/>
        </w:rPr>
        <w:t xml:space="preserve"> peacebuilding in the context of internal displacemen</w:t>
      </w:r>
      <w:r>
        <w:rPr>
          <w:color w:val="000000" w:themeColor="text1"/>
          <w:sz w:val="22"/>
          <w:szCs w:val="22"/>
        </w:rPr>
        <w:t xml:space="preserve">t. </w:t>
      </w:r>
    </w:p>
    <w:p w14:paraId="137871CA" w14:textId="77777777" w:rsidR="00006E76" w:rsidRDefault="00006E76" w:rsidP="00006E76">
      <w:pPr>
        <w:jc w:val="both"/>
        <w:rPr>
          <w:color w:val="000000" w:themeColor="text1"/>
          <w:sz w:val="22"/>
          <w:szCs w:val="22"/>
        </w:rPr>
      </w:pPr>
    </w:p>
    <w:p w14:paraId="0EB2014B" w14:textId="77777777" w:rsidR="00006E76" w:rsidRDefault="00006E76" w:rsidP="00006E76">
      <w:pPr>
        <w:jc w:val="both"/>
        <w:rPr>
          <w:color w:val="000000" w:themeColor="text1"/>
          <w:sz w:val="22"/>
          <w:szCs w:val="22"/>
        </w:rPr>
      </w:pPr>
      <w:r w:rsidRPr="001226BC">
        <w:rPr>
          <w:color w:val="000000" w:themeColor="text1"/>
          <w:sz w:val="22"/>
          <w:szCs w:val="22"/>
        </w:rPr>
        <w:t xml:space="preserve">The Special Rapporteur reiterates that </w:t>
      </w:r>
      <w:r>
        <w:rPr>
          <w:color w:val="000000" w:themeColor="text1"/>
          <w:sz w:val="22"/>
          <w:szCs w:val="22"/>
        </w:rPr>
        <w:t xml:space="preserve">preventing and </w:t>
      </w:r>
      <w:r w:rsidRPr="001226BC">
        <w:rPr>
          <w:color w:val="000000" w:themeColor="text1"/>
          <w:sz w:val="22"/>
          <w:szCs w:val="22"/>
        </w:rPr>
        <w:t>resolving internal displacement is inextricably linked to achieving</w:t>
      </w:r>
      <w:r>
        <w:rPr>
          <w:color w:val="000000" w:themeColor="text1"/>
          <w:sz w:val="22"/>
          <w:szCs w:val="22"/>
        </w:rPr>
        <w:t xml:space="preserve"> and maintaining</w:t>
      </w:r>
      <w:r w:rsidRPr="001226BC">
        <w:rPr>
          <w:color w:val="000000" w:themeColor="text1"/>
          <w:sz w:val="22"/>
          <w:szCs w:val="22"/>
        </w:rPr>
        <w:t xml:space="preserve"> peace,</w:t>
      </w:r>
      <w:r w:rsidRPr="001226BC">
        <w:rPr>
          <w:rStyle w:val="FootnoteReference"/>
          <w:color w:val="000000" w:themeColor="text1"/>
          <w:sz w:val="22"/>
          <w:szCs w:val="22"/>
        </w:rPr>
        <w:footnoteReference w:id="1"/>
      </w:r>
      <w:r w:rsidRPr="001226BC">
        <w:rPr>
          <w:color w:val="000000" w:themeColor="text1"/>
          <w:sz w:val="22"/>
          <w:szCs w:val="22"/>
        </w:rPr>
        <w:t xml:space="preserve"> especially in the light of the New Agenda for Peace.</w:t>
      </w:r>
      <w:r w:rsidRPr="001226BC">
        <w:rPr>
          <w:rStyle w:val="FootnoteReference"/>
          <w:color w:val="000000" w:themeColor="text1"/>
          <w:sz w:val="22"/>
          <w:szCs w:val="22"/>
        </w:rPr>
        <w:footnoteReference w:id="2"/>
      </w:r>
      <w:r w:rsidRPr="001226BC">
        <w:rPr>
          <w:color w:val="000000" w:themeColor="text1"/>
          <w:sz w:val="22"/>
          <w:szCs w:val="22"/>
        </w:rPr>
        <w:t xml:space="preserve"> </w:t>
      </w:r>
      <w:r>
        <w:rPr>
          <w:color w:val="000000" w:themeColor="text1"/>
          <w:sz w:val="22"/>
          <w:szCs w:val="22"/>
        </w:rPr>
        <w:t>For peace to be sustainable, m</w:t>
      </w:r>
      <w:r w:rsidRPr="001226BC">
        <w:rPr>
          <w:color w:val="000000" w:themeColor="text1"/>
          <w:sz w:val="22"/>
          <w:szCs w:val="22"/>
        </w:rPr>
        <w:t>ediation</w:t>
      </w:r>
      <w:r>
        <w:rPr>
          <w:color w:val="000000" w:themeColor="text1"/>
          <w:sz w:val="22"/>
          <w:szCs w:val="22"/>
        </w:rPr>
        <w:t>,</w:t>
      </w:r>
      <w:r w:rsidRPr="001226BC">
        <w:rPr>
          <w:rStyle w:val="FootnoteReference"/>
          <w:color w:val="000000" w:themeColor="text1"/>
          <w:sz w:val="22"/>
          <w:szCs w:val="22"/>
        </w:rPr>
        <w:footnoteReference w:id="3"/>
      </w:r>
      <w:r w:rsidRPr="001226BC">
        <w:rPr>
          <w:color w:val="000000" w:themeColor="text1"/>
          <w:sz w:val="22"/>
          <w:szCs w:val="22"/>
        </w:rPr>
        <w:t xml:space="preserve"> peace processes, peace agreements and peacebuilding must </w:t>
      </w:r>
      <w:r w:rsidRPr="006D7ED9">
        <w:rPr>
          <w:color w:val="000000" w:themeColor="text1"/>
          <w:sz w:val="22"/>
          <w:szCs w:val="22"/>
        </w:rPr>
        <w:t xml:space="preserve">consider internal displacement and reinforce durable solutions in accordance with the </w:t>
      </w:r>
      <w:r>
        <w:rPr>
          <w:color w:val="000000" w:themeColor="text1"/>
          <w:sz w:val="22"/>
          <w:szCs w:val="22"/>
        </w:rPr>
        <w:t xml:space="preserve">Inter-Agency Standing Committee </w:t>
      </w:r>
      <w:r w:rsidRPr="006D7ED9">
        <w:rPr>
          <w:color w:val="000000" w:themeColor="text1"/>
          <w:sz w:val="22"/>
          <w:szCs w:val="22"/>
        </w:rPr>
        <w:t>Framework on Durable Solutions for Internally Displaced Persons</w:t>
      </w:r>
      <w:r w:rsidRPr="003C5DA0">
        <w:rPr>
          <w:color w:val="000000" w:themeColor="text1"/>
          <w:sz w:val="22"/>
          <w:szCs w:val="22"/>
        </w:rPr>
        <w:t>.</w:t>
      </w:r>
      <w:r w:rsidRPr="003C5DA0">
        <w:rPr>
          <w:rStyle w:val="FootnoteReference"/>
          <w:color w:val="000000" w:themeColor="text1"/>
          <w:sz w:val="22"/>
          <w:szCs w:val="22"/>
        </w:rPr>
        <w:footnoteReference w:id="4"/>
      </w:r>
      <w:r w:rsidRPr="003C5DA0">
        <w:rPr>
          <w:color w:val="000000" w:themeColor="text1"/>
          <w:sz w:val="22"/>
          <w:szCs w:val="22"/>
        </w:rPr>
        <w:t xml:space="preserve"> </w:t>
      </w:r>
      <w:r>
        <w:rPr>
          <w:color w:val="000000" w:themeColor="text1"/>
          <w:sz w:val="22"/>
          <w:szCs w:val="22"/>
        </w:rPr>
        <w:t>Such peace efforts can</w:t>
      </w:r>
      <w:r w:rsidRPr="006D7ED9">
        <w:rPr>
          <w:color w:val="000000" w:themeColor="text1"/>
          <w:sz w:val="22"/>
          <w:szCs w:val="22"/>
        </w:rPr>
        <w:t xml:space="preserve"> </w:t>
      </w:r>
      <w:r w:rsidRPr="00FA30E3">
        <w:rPr>
          <w:color w:val="000000" w:themeColor="text1"/>
          <w:sz w:val="22"/>
          <w:szCs w:val="22"/>
        </w:rPr>
        <w:t>provid</w:t>
      </w:r>
      <w:r>
        <w:rPr>
          <w:color w:val="000000" w:themeColor="text1"/>
          <w:sz w:val="22"/>
          <w:szCs w:val="22"/>
        </w:rPr>
        <w:t>e</w:t>
      </w:r>
      <w:r w:rsidRPr="00FA30E3">
        <w:rPr>
          <w:color w:val="000000" w:themeColor="text1"/>
          <w:sz w:val="22"/>
          <w:szCs w:val="22"/>
        </w:rPr>
        <w:t xml:space="preserve"> redress for displacement and associated human rights violations</w:t>
      </w:r>
      <w:r>
        <w:rPr>
          <w:color w:val="000000" w:themeColor="text1"/>
          <w:sz w:val="22"/>
          <w:szCs w:val="22"/>
        </w:rPr>
        <w:t xml:space="preserve"> and foster social cohesion</w:t>
      </w:r>
      <w:r w:rsidRPr="00FA30E3">
        <w:rPr>
          <w:color w:val="000000" w:themeColor="text1"/>
          <w:sz w:val="22"/>
          <w:szCs w:val="22"/>
        </w:rPr>
        <w:t>.</w:t>
      </w:r>
      <w:r w:rsidRPr="003C5DA0">
        <w:rPr>
          <w:color w:val="000000" w:themeColor="text1"/>
          <w:sz w:val="22"/>
          <w:szCs w:val="22"/>
        </w:rPr>
        <w:t xml:space="preserve"> </w:t>
      </w:r>
      <w:r w:rsidRPr="001858D4">
        <w:rPr>
          <w:color w:val="000000" w:themeColor="text1"/>
          <w:sz w:val="22"/>
          <w:szCs w:val="22"/>
        </w:rPr>
        <w:t>Additionally, the integration of a peace</w:t>
      </w:r>
      <w:r>
        <w:rPr>
          <w:color w:val="000000" w:themeColor="text1"/>
          <w:sz w:val="22"/>
          <w:szCs w:val="22"/>
        </w:rPr>
        <w:t xml:space="preserve"> </w:t>
      </w:r>
      <w:r w:rsidRPr="001858D4">
        <w:rPr>
          <w:color w:val="000000" w:themeColor="text1"/>
          <w:sz w:val="22"/>
          <w:szCs w:val="22"/>
        </w:rPr>
        <w:t xml:space="preserve">mission </w:t>
      </w:r>
      <w:r>
        <w:rPr>
          <w:color w:val="000000" w:themeColor="text1"/>
          <w:sz w:val="22"/>
          <w:szCs w:val="22"/>
        </w:rPr>
        <w:t xml:space="preserve">may contribute to protecting civilians, preventing </w:t>
      </w:r>
      <w:proofErr w:type="gramStart"/>
      <w:r>
        <w:rPr>
          <w:color w:val="000000" w:themeColor="text1"/>
          <w:sz w:val="22"/>
          <w:szCs w:val="22"/>
        </w:rPr>
        <w:t>displacement</w:t>
      </w:r>
      <w:proofErr w:type="gramEnd"/>
      <w:r>
        <w:rPr>
          <w:color w:val="000000" w:themeColor="text1"/>
          <w:sz w:val="22"/>
          <w:szCs w:val="22"/>
        </w:rPr>
        <w:t xml:space="preserve"> and enabling the conditions for</w:t>
      </w:r>
      <w:r w:rsidRPr="001858D4">
        <w:rPr>
          <w:color w:val="000000" w:themeColor="text1"/>
          <w:sz w:val="22"/>
          <w:szCs w:val="22"/>
        </w:rPr>
        <w:t xml:space="preserve"> </w:t>
      </w:r>
      <w:r>
        <w:rPr>
          <w:color w:val="000000" w:themeColor="text1"/>
          <w:sz w:val="22"/>
          <w:szCs w:val="22"/>
        </w:rPr>
        <w:t xml:space="preserve">justice and </w:t>
      </w:r>
      <w:r w:rsidRPr="001858D4">
        <w:rPr>
          <w:color w:val="000000" w:themeColor="text1"/>
          <w:sz w:val="22"/>
          <w:szCs w:val="22"/>
        </w:rPr>
        <w:t>reconciliation</w:t>
      </w:r>
      <w:r>
        <w:rPr>
          <w:color w:val="000000" w:themeColor="text1"/>
          <w:sz w:val="22"/>
          <w:szCs w:val="22"/>
        </w:rPr>
        <w:t>.</w:t>
      </w:r>
      <w:r>
        <w:rPr>
          <w:rFonts w:ascii="system-ui" w:hAnsi="system-ui"/>
          <w:color w:val="0D0D0D"/>
          <w:shd w:val="clear" w:color="auto" w:fill="FFFFFF"/>
        </w:rPr>
        <w:t xml:space="preserve"> </w:t>
      </w:r>
    </w:p>
    <w:p w14:paraId="5DE8427B" w14:textId="77777777" w:rsidR="00006E76" w:rsidRDefault="00006E76" w:rsidP="00006E76">
      <w:pPr>
        <w:jc w:val="both"/>
        <w:rPr>
          <w:color w:val="000000" w:themeColor="text1"/>
          <w:sz w:val="22"/>
          <w:szCs w:val="22"/>
        </w:rPr>
      </w:pPr>
    </w:p>
    <w:p w14:paraId="324B5747" w14:textId="77777777" w:rsidR="00006E76" w:rsidRPr="001226BC" w:rsidRDefault="00006E76" w:rsidP="00006E76">
      <w:pPr>
        <w:jc w:val="both"/>
        <w:rPr>
          <w:color w:val="000000" w:themeColor="text1"/>
          <w:sz w:val="22"/>
          <w:szCs w:val="22"/>
          <w:lang w:eastAsia="en-GB"/>
        </w:rPr>
      </w:pPr>
      <w:r w:rsidRPr="00FA30E3">
        <w:rPr>
          <w:color w:val="000000" w:themeColor="text1"/>
          <w:sz w:val="22"/>
          <w:szCs w:val="22"/>
        </w:rPr>
        <w:t xml:space="preserve">These conflict resolution efforts, however, often fail to dedicate sufficient attention to addressing internal displacement or meaningfully engage </w:t>
      </w:r>
      <w:r>
        <w:rPr>
          <w:color w:val="000000" w:themeColor="text1"/>
          <w:sz w:val="22"/>
          <w:szCs w:val="22"/>
        </w:rPr>
        <w:t>IDPs</w:t>
      </w:r>
      <w:r w:rsidRPr="003C5DA0">
        <w:rPr>
          <w:color w:val="000000" w:themeColor="text1"/>
          <w:sz w:val="22"/>
          <w:szCs w:val="22"/>
        </w:rPr>
        <w:t>.</w:t>
      </w:r>
      <w:r w:rsidRPr="003C5DA0">
        <w:rPr>
          <w:rStyle w:val="FootnoteReference"/>
          <w:color w:val="000000" w:themeColor="text1"/>
          <w:sz w:val="22"/>
          <w:szCs w:val="22"/>
        </w:rPr>
        <w:footnoteReference w:id="5"/>
      </w:r>
      <w:r>
        <w:rPr>
          <w:color w:val="000000" w:themeColor="text1"/>
          <w:sz w:val="22"/>
          <w:szCs w:val="22"/>
        </w:rPr>
        <w:t xml:space="preserve"> </w:t>
      </w:r>
      <w:r w:rsidRPr="00887E0E">
        <w:rPr>
          <w:color w:val="000000" w:themeColor="text1"/>
          <w:sz w:val="22"/>
          <w:szCs w:val="22"/>
          <w:lang w:eastAsia="en-GB"/>
        </w:rPr>
        <w:t>The Special Rapporteur concurs with the</w:t>
      </w:r>
      <w:r w:rsidRPr="003C5DA0">
        <w:rPr>
          <w:color w:val="000000" w:themeColor="text1"/>
          <w:sz w:val="22"/>
          <w:szCs w:val="22"/>
          <w:lang w:eastAsia="en-GB"/>
        </w:rPr>
        <w:t xml:space="preserve"> High-Level Panel on Internal Displacement and the Action Agenda on the importance of </w:t>
      </w:r>
      <w:r w:rsidRPr="00FA30E3">
        <w:rPr>
          <w:color w:val="000000" w:themeColor="text1"/>
          <w:sz w:val="22"/>
          <w:szCs w:val="22"/>
          <w:lang w:eastAsia="en-GB"/>
        </w:rPr>
        <w:t>integrating internal displacement in peace processes, peace agreements and peacebuilding</w:t>
      </w:r>
      <w:r w:rsidRPr="003C5DA0">
        <w:rPr>
          <w:color w:val="000000" w:themeColor="text1"/>
          <w:sz w:val="22"/>
          <w:szCs w:val="22"/>
          <w:lang w:eastAsia="en-GB"/>
        </w:rPr>
        <w:t xml:space="preserve">, </w:t>
      </w:r>
      <w:r>
        <w:rPr>
          <w:color w:val="000000" w:themeColor="text1"/>
          <w:sz w:val="22"/>
          <w:szCs w:val="22"/>
          <w:lang w:eastAsia="en-GB"/>
        </w:rPr>
        <w:t>and engaging IDPs</w:t>
      </w:r>
      <w:r w:rsidRPr="003C5DA0">
        <w:rPr>
          <w:color w:val="000000" w:themeColor="text1"/>
          <w:sz w:val="22"/>
          <w:szCs w:val="22"/>
          <w:lang w:eastAsia="en-GB"/>
        </w:rPr>
        <w:t>, particularly women, young people and minority groups</w:t>
      </w:r>
      <w:r w:rsidRPr="003C5DA0">
        <w:rPr>
          <w:color w:val="000000" w:themeColor="text1"/>
          <w:sz w:val="22"/>
          <w:szCs w:val="22"/>
        </w:rPr>
        <w:t>.</w:t>
      </w:r>
      <w:r w:rsidRPr="003C5DA0">
        <w:rPr>
          <w:rStyle w:val="FootnoteReference"/>
          <w:color w:val="000000" w:themeColor="text1"/>
          <w:sz w:val="22"/>
          <w:szCs w:val="22"/>
        </w:rPr>
        <w:footnoteReference w:id="6"/>
      </w:r>
      <w:r w:rsidRPr="003C5DA0">
        <w:rPr>
          <w:color w:val="000000" w:themeColor="text1"/>
          <w:sz w:val="22"/>
          <w:szCs w:val="22"/>
        </w:rPr>
        <w:t xml:space="preserve"> </w:t>
      </w:r>
      <w:r>
        <w:rPr>
          <w:color w:val="000000" w:themeColor="text1"/>
          <w:sz w:val="22"/>
          <w:szCs w:val="22"/>
        </w:rPr>
        <w:t>P</w:t>
      </w:r>
      <w:r w:rsidRPr="00FA30E3">
        <w:rPr>
          <w:color w:val="000000" w:themeColor="text1"/>
          <w:sz w:val="22"/>
          <w:szCs w:val="22"/>
        </w:rPr>
        <w:t>eace agreements</w:t>
      </w:r>
      <w:r w:rsidRPr="001226BC">
        <w:rPr>
          <w:color w:val="000000" w:themeColor="text1"/>
          <w:sz w:val="22"/>
          <w:szCs w:val="22"/>
        </w:rPr>
        <w:t xml:space="preserve"> should address the specific needs, rights and legitimate interests of </w:t>
      </w:r>
      <w:r>
        <w:rPr>
          <w:color w:val="000000" w:themeColor="text1"/>
          <w:sz w:val="22"/>
          <w:szCs w:val="22"/>
        </w:rPr>
        <w:t>IDPs</w:t>
      </w:r>
      <w:r w:rsidRPr="001226BC">
        <w:rPr>
          <w:color w:val="000000" w:themeColor="text1"/>
          <w:sz w:val="22"/>
          <w:szCs w:val="22"/>
        </w:rPr>
        <w:t xml:space="preserve">, and incorporate a </w:t>
      </w:r>
      <w:r w:rsidRPr="0062072C">
        <w:rPr>
          <w:color w:val="000000" w:themeColor="text1"/>
          <w:sz w:val="22"/>
          <w:szCs w:val="22"/>
        </w:rPr>
        <w:t xml:space="preserve">human rights-based approach to supporting durable solutions that ensures the participation of </w:t>
      </w:r>
      <w:r>
        <w:rPr>
          <w:color w:val="000000" w:themeColor="text1"/>
          <w:sz w:val="22"/>
          <w:szCs w:val="22"/>
        </w:rPr>
        <w:t>IDPs</w:t>
      </w:r>
      <w:r w:rsidRPr="0062072C">
        <w:rPr>
          <w:color w:val="000000" w:themeColor="text1"/>
          <w:sz w:val="22"/>
          <w:szCs w:val="22"/>
        </w:rPr>
        <w:t xml:space="preserve"> in peace processes and peacebuilding activities</w:t>
      </w:r>
      <w:r w:rsidRPr="001226BC">
        <w:rPr>
          <w:color w:val="000000" w:themeColor="text1"/>
          <w:sz w:val="22"/>
          <w:szCs w:val="22"/>
        </w:rPr>
        <w:t>. Th</w:t>
      </w:r>
      <w:r>
        <w:rPr>
          <w:color w:val="000000" w:themeColor="text1"/>
          <w:sz w:val="22"/>
          <w:szCs w:val="22"/>
        </w:rPr>
        <w:t>is includes</w:t>
      </w:r>
      <w:r w:rsidRPr="001226BC">
        <w:rPr>
          <w:color w:val="000000" w:themeColor="text1"/>
          <w:sz w:val="22"/>
          <w:szCs w:val="22"/>
        </w:rPr>
        <w:t xml:space="preserve"> women’s participation, in line with </w:t>
      </w:r>
      <w:r w:rsidRPr="00FA30E3">
        <w:rPr>
          <w:color w:val="000000" w:themeColor="text1"/>
          <w:sz w:val="22"/>
          <w:szCs w:val="22"/>
        </w:rPr>
        <w:t>Security Council resolution</w:t>
      </w:r>
      <w:r>
        <w:rPr>
          <w:color w:val="000000" w:themeColor="text1"/>
          <w:sz w:val="22"/>
          <w:szCs w:val="22"/>
        </w:rPr>
        <w:t xml:space="preserve"> </w:t>
      </w:r>
      <w:r w:rsidRPr="00FA30E3">
        <w:rPr>
          <w:color w:val="000000" w:themeColor="text1"/>
          <w:sz w:val="22"/>
          <w:szCs w:val="22"/>
        </w:rPr>
        <w:t xml:space="preserve">1325/2000 </w:t>
      </w:r>
      <w:r w:rsidRPr="003C5DA0">
        <w:rPr>
          <w:color w:val="000000" w:themeColor="text1"/>
          <w:sz w:val="22"/>
          <w:szCs w:val="22"/>
        </w:rPr>
        <w:t xml:space="preserve">on women and peace and security. </w:t>
      </w:r>
    </w:p>
    <w:p w14:paraId="0F601C88" w14:textId="77777777" w:rsidR="00006E76" w:rsidRDefault="00006E76" w:rsidP="00006E76">
      <w:pPr>
        <w:jc w:val="both"/>
        <w:rPr>
          <w:color w:val="000000" w:themeColor="text1"/>
          <w:sz w:val="22"/>
          <w:szCs w:val="22"/>
        </w:rPr>
      </w:pPr>
    </w:p>
    <w:p w14:paraId="753349CC" w14:textId="77777777" w:rsidR="00006E76" w:rsidRDefault="00006E76" w:rsidP="00006E76">
      <w:pPr>
        <w:jc w:val="both"/>
        <w:rPr>
          <w:color w:val="000000" w:themeColor="text1"/>
          <w:sz w:val="22"/>
          <w:szCs w:val="22"/>
        </w:rPr>
      </w:pPr>
      <w:r w:rsidRPr="00984FEE">
        <w:rPr>
          <w:color w:val="000000" w:themeColor="text1"/>
          <w:sz w:val="22"/>
          <w:szCs w:val="22"/>
        </w:rPr>
        <w:t>For her present report</w:t>
      </w:r>
      <w:r>
        <w:rPr>
          <w:color w:val="000000" w:themeColor="text1"/>
          <w:sz w:val="22"/>
          <w:szCs w:val="22"/>
        </w:rPr>
        <w:t>,</w:t>
      </w:r>
      <w:r w:rsidRPr="00984FEE">
        <w:rPr>
          <w:color w:val="000000" w:themeColor="text1"/>
          <w:sz w:val="22"/>
          <w:szCs w:val="22"/>
        </w:rPr>
        <w:t xml:space="preserve"> the Special Rapporteur will build on the work of her predecessors</w:t>
      </w:r>
      <w:r w:rsidRPr="00984FEE">
        <w:rPr>
          <w:rStyle w:val="FootnoteReference"/>
          <w:color w:val="000000" w:themeColor="text1"/>
          <w:sz w:val="22"/>
          <w:szCs w:val="22"/>
        </w:rPr>
        <w:footnoteReference w:id="7"/>
      </w:r>
      <w:r w:rsidRPr="001226BC">
        <w:rPr>
          <w:color w:val="000000" w:themeColor="text1"/>
          <w:sz w:val="22"/>
          <w:szCs w:val="22"/>
        </w:rPr>
        <w:t xml:space="preserve"> </w:t>
      </w:r>
      <w:r>
        <w:rPr>
          <w:color w:val="000000" w:themeColor="text1"/>
          <w:sz w:val="22"/>
          <w:szCs w:val="22"/>
        </w:rPr>
        <w:t>and</w:t>
      </w:r>
      <w:r w:rsidRPr="001226BC">
        <w:rPr>
          <w:color w:val="000000" w:themeColor="text1"/>
          <w:sz w:val="22"/>
          <w:szCs w:val="22"/>
        </w:rPr>
        <w:t xml:space="preserve"> </w:t>
      </w:r>
      <w:r>
        <w:rPr>
          <w:color w:val="000000" w:themeColor="text1"/>
          <w:sz w:val="22"/>
          <w:szCs w:val="22"/>
        </w:rPr>
        <w:t>examine</w:t>
      </w:r>
      <w:r w:rsidRPr="001226BC">
        <w:rPr>
          <w:color w:val="000000" w:themeColor="text1"/>
          <w:sz w:val="22"/>
          <w:szCs w:val="22"/>
        </w:rPr>
        <w:t xml:space="preserve"> </w:t>
      </w:r>
      <w:r>
        <w:rPr>
          <w:color w:val="000000" w:themeColor="text1"/>
          <w:sz w:val="22"/>
          <w:szCs w:val="22"/>
        </w:rPr>
        <w:t xml:space="preserve">lessons learned and </w:t>
      </w:r>
      <w:r w:rsidRPr="001226BC">
        <w:rPr>
          <w:color w:val="000000" w:themeColor="text1"/>
          <w:sz w:val="22"/>
          <w:szCs w:val="22"/>
        </w:rPr>
        <w:t>challenges with respect to the mainstreaming of internal displacement into mediation and peace processes, peace agreements</w:t>
      </w:r>
      <w:r>
        <w:rPr>
          <w:color w:val="000000" w:themeColor="text1"/>
          <w:sz w:val="22"/>
          <w:szCs w:val="22"/>
        </w:rPr>
        <w:t xml:space="preserve">, </w:t>
      </w:r>
      <w:proofErr w:type="gramStart"/>
      <w:r w:rsidRPr="001226BC">
        <w:rPr>
          <w:color w:val="000000" w:themeColor="text1"/>
          <w:sz w:val="22"/>
          <w:szCs w:val="22"/>
        </w:rPr>
        <w:t>peacebuilding</w:t>
      </w:r>
      <w:proofErr w:type="gramEnd"/>
      <w:r>
        <w:rPr>
          <w:color w:val="000000" w:themeColor="text1"/>
          <w:sz w:val="22"/>
          <w:szCs w:val="22"/>
        </w:rPr>
        <w:t xml:space="preserve"> and peace operations/peacekeeping.</w:t>
      </w:r>
      <w:r w:rsidRPr="000E6956">
        <w:rPr>
          <w:color w:val="000000" w:themeColor="text1"/>
          <w:sz w:val="22"/>
          <w:szCs w:val="22"/>
        </w:rPr>
        <w:t xml:space="preserve"> </w:t>
      </w:r>
      <w:r>
        <w:rPr>
          <w:color w:val="000000" w:themeColor="text1"/>
          <w:sz w:val="22"/>
          <w:szCs w:val="22"/>
        </w:rPr>
        <w:t>This will include transitional justice</w:t>
      </w:r>
      <w:r w:rsidRPr="00FA30E3">
        <w:rPr>
          <w:rStyle w:val="FootnoteReference"/>
          <w:color w:val="000000" w:themeColor="text1"/>
          <w:sz w:val="22"/>
          <w:szCs w:val="22"/>
        </w:rPr>
        <w:footnoteReference w:id="8"/>
      </w:r>
      <w:r>
        <w:rPr>
          <w:color w:val="000000" w:themeColor="text1"/>
          <w:sz w:val="22"/>
          <w:szCs w:val="22"/>
        </w:rPr>
        <w:t xml:space="preserve"> and initiatives to restore </w:t>
      </w:r>
      <w:r w:rsidRPr="00FA30E3">
        <w:rPr>
          <w:color w:val="000000" w:themeColor="text1"/>
          <w:sz w:val="22"/>
          <w:szCs w:val="22"/>
        </w:rPr>
        <w:t xml:space="preserve">housing, </w:t>
      </w:r>
      <w:proofErr w:type="gramStart"/>
      <w:r w:rsidRPr="00FA30E3">
        <w:rPr>
          <w:color w:val="000000" w:themeColor="text1"/>
          <w:sz w:val="22"/>
          <w:szCs w:val="22"/>
        </w:rPr>
        <w:t>land</w:t>
      </w:r>
      <w:proofErr w:type="gramEnd"/>
      <w:r w:rsidRPr="00FA30E3">
        <w:rPr>
          <w:color w:val="000000" w:themeColor="text1"/>
          <w:sz w:val="22"/>
          <w:szCs w:val="22"/>
        </w:rPr>
        <w:t xml:space="preserve"> and property</w:t>
      </w:r>
      <w:r>
        <w:rPr>
          <w:color w:val="000000" w:themeColor="text1"/>
          <w:sz w:val="22"/>
          <w:szCs w:val="22"/>
        </w:rPr>
        <w:t xml:space="preserve"> rights</w:t>
      </w:r>
      <w:r w:rsidRPr="00FA30E3">
        <w:rPr>
          <w:rStyle w:val="FootnoteReference"/>
          <w:color w:val="000000" w:themeColor="text1"/>
          <w:sz w:val="22"/>
          <w:szCs w:val="22"/>
        </w:rPr>
        <w:footnoteReference w:id="9"/>
      </w:r>
      <w:r w:rsidRPr="00FA30E3">
        <w:rPr>
          <w:color w:val="000000" w:themeColor="text1"/>
          <w:sz w:val="22"/>
          <w:szCs w:val="22"/>
        </w:rPr>
        <w:t xml:space="preserve"> in contexts of internal displacement</w:t>
      </w:r>
      <w:r>
        <w:rPr>
          <w:color w:val="000000" w:themeColor="text1"/>
          <w:sz w:val="22"/>
          <w:szCs w:val="22"/>
        </w:rPr>
        <w:t>.</w:t>
      </w:r>
      <w:r w:rsidRPr="003C5DA0">
        <w:rPr>
          <w:color w:val="000000" w:themeColor="text1"/>
          <w:sz w:val="22"/>
          <w:szCs w:val="22"/>
        </w:rPr>
        <w:t xml:space="preserve"> She takes note of the report of the Special Rapporteur on the promotion of truth, justice, reparations and guarantees of non-recurrence on practical experiences of domestic reparation programmes,</w:t>
      </w:r>
      <w:r w:rsidRPr="003C5DA0">
        <w:rPr>
          <w:rStyle w:val="FootnoteReference"/>
          <w:color w:val="000000" w:themeColor="text1"/>
          <w:sz w:val="22"/>
          <w:szCs w:val="22"/>
        </w:rPr>
        <w:footnoteReference w:id="10"/>
      </w:r>
      <w:r w:rsidRPr="003C5DA0">
        <w:rPr>
          <w:color w:val="000000" w:themeColor="text1"/>
          <w:sz w:val="22"/>
          <w:szCs w:val="22"/>
        </w:rPr>
        <w:t xml:space="preserve"> </w:t>
      </w:r>
      <w:r w:rsidRPr="00FA30E3">
        <w:rPr>
          <w:color w:val="000000" w:themeColor="text1"/>
          <w:sz w:val="22"/>
          <w:szCs w:val="22"/>
        </w:rPr>
        <w:t xml:space="preserve">in particular his conclusion that </w:t>
      </w:r>
      <w:r>
        <w:rPr>
          <w:color w:val="000000" w:themeColor="text1"/>
          <w:sz w:val="22"/>
          <w:szCs w:val="22"/>
        </w:rPr>
        <w:t>IDPs</w:t>
      </w:r>
      <w:r w:rsidRPr="00FA30E3">
        <w:rPr>
          <w:color w:val="000000" w:themeColor="text1"/>
          <w:sz w:val="22"/>
          <w:szCs w:val="22"/>
        </w:rPr>
        <w:t xml:space="preserve"> continue to be neglected in reparations programmes and will further consider that issue</w:t>
      </w:r>
      <w:r w:rsidRPr="003C5DA0">
        <w:rPr>
          <w:color w:val="000000" w:themeColor="text1"/>
          <w:sz w:val="22"/>
          <w:szCs w:val="22"/>
        </w:rPr>
        <w:t>.</w:t>
      </w:r>
      <w:r w:rsidRPr="003C5DA0">
        <w:rPr>
          <w:rStyle w:val="FootnoteReference"/>
          <w:color w:val="000000" w:themeColor="text1"/>
          <w:sz w:val="22"/>
          <w:szCs w:val="22"/>
        </w:rPr>
        <w:footnoteReference w:id="11"/>
      </w:r>
      <w:r>
        <w:rPr>
          <w:color w:val="000000" w:themeColor="text1"/>
          <w:sz w:val="22"/>
          <w:szCs w:val="22"/>
        </w:rPr>
        <w:t xml:space="preserve"> T</w:t>
      </w:r>
      <w:r w:rsidRPr="003C5DA0">
        <w:rPr>
          <w:color w:val="000000" w:themeColor="text1"/>
          <w:sz w:val="22"/>
          <w:szCs w:val="22"/>
        </w:rPr>
        <w:t>he Special Rapporteur believes that initiatives to promote recovery from widespread rights violations through recognition of harm</w:t>
      </w:r>
      <w:r w:rsidRPr="003C5DA0">
        <w:rPr>
          <w:rStyle w:val="FootnoteReference"/>
          <w:color w:val="000000" w:themeColor="text1"/>
          <w:sz w:val="22"/>
          <w:szCs w:val="22"/>
        </w:rPr>
        <w:footnoteReference w:id="12"/>
      </w:r>
      <w:r w:rsidRPr="003C5DA0">
        <w:rPr>
          <w:color w:val="000000" w:themeColor="text1"/>
          <w:sz w:val="22"/>
          <w:szCs w:val="22"/>
        </w:rPr>
        <w:t xml:space="preserve"> and </w:t>
      </w:r>
      <w:r w:rsidRPr="00FA30E3">
        <w:rPr>
          <w:color w:val="000000" w:themeColor="text1"/>
          <w:sz w:val="22"/>
          <w:szCs w:val="22"/>
        </w:rPr>
        <w:lastRenderedPageBreak/>
        <w:t>efforts to promote social cohesion through effective dialogue and reconciliation between communities, is a crucial component for sustainably resolving conflicts and preventing the emergence or resurgence of new conflicts in the future</w:t>
      </w:r>
      <w:r w:rsidRPr="003C5DA0">
        <w:rPr>
          <w:color w:val="000000" w:themeColor="text1"/>
          <w:sz w:val="22"/>
          <w:szCs w:val="22"/>
        </w:rPr>
        <w:t>.</w:t>
      </w:r>
      <w:r w:rsidRPr="003C5DA0">
        <w:rPr>
          <w:rStyle w:val="FootnoteReference"/>
          <w:color w:val="000000" w:themeColor="text1"/>
          <w:sz w:val="22"/>
          <w:szCs w:val="22"/>
        </w:rPr>
        <w:footnoteReference w:id="13"/>
      </w:r>
      <w:r w:rsidRPr="003C5DA0">
        <w:rPr>
          <w:color w:val="000000" w:themeColor="text1"/>
          <w:sz w:val="22"/>
          <w:szCs w:val="22"/>
        </w:rPr>
        <w:t xml:space="preserve"> In that regard, she recalls the conclusion of the High-Level Panel on Internal Displacement regarding </w:t>
      </w:r>
      <w:r w:rsidRPr="00FA30E3">
        <w:rPr>
          <w:color w:val="000000" w:themeColor="text1"/>
          <w:sz w:val="22"/>
          <w:szCs w:val="22"/>
        </w:rPr>
        <w:t>the insufficient application of these types of initiatives, which contribute to healing, recovery, reconciliation and social cohesion</w:t>
      </w:r>
      <w:r w:rsidRPr="003C5DA0">
        <w:rPr>
          <w:color w:val="000000" w:themeColor="text1"/>
          <w:sz w:val="22"/>
          <w:szCs w:val="22"/>
        </w:rPr>
        <w:t>.</w:t>
      </w:r>
      <w:r w:rsidRPr="003C5DA0">
        <w:rPr>
          <w:rStyle w:val="FootnoteReference"/>
          <w:color w:val="000000" w:themeColor="text1"/>
          <w:sz w:val="22"/>
          <w:szCs w:val="22"/>
        </w:rPr>
        <w:footnoteReference w:id="14"/>
      </w:r>
    </w:p>
    <w:p w14:paraId="4BA30062" w14:textId="77777777" w:rsidR="00006E76" w:rsidRDefault="00006E76" w:rsidP="00006E76">
      <w:pPr>
        <w:jc w:val="both"/>
        <w:rPr>
          <w:color w:val="000000" w:themeColor="text1"/>
          <w:sz w:val="22"/>
          <w:szCs w:val="22"/>
        </w:rPr>
      </w:pPr>
    </w:p>
    <w:p w14:paraId="47529162" w14:textId="77777777" w:rsidR="00006E76" w:rsidRDefault="00006E76" w:rsidP="00006E76">
      <w:pPr>
        <w:pStyle w:val="NormalWeb"/>
        <w:shd w:val="clear" w:color="auto" w:fill="FFFFFF"/>
        <w:spacing w:before="0" w:beforeAutospacing="0" w:after="0" w:afterAutospacing="0"/>
        <w:jc w:val="both"/>
      </w:pPr>
      <w:r>
        <w:rPr>
          <w:color w:val="000000" w:themeColor="text1"/>
          <w:sz w:val="22"/>
          <w:szCs w:val="22"/>
        </w:rPr>
        <w:t xml:space="preserve">The Special Rapporteur will also examine </w:t>
      </w:r>
      <w:r w:rsidRPr="003C5DA0">
        <w:rPr>
          <w:color w:val="000000" w:themeColor="text1"/>
          <w:spacing w:val="4"/>
          <w:sz w:val="22"/>
          <w:szCs w:val="22"/>
        </w:rPr>
        <w:t xml:space="preserve">gaps and challenges and the need for </w:t>
      </w:r>
      <w:r w:rsidRPr="001226BC">
        <w:rPr>
          <w:color w:val="000000" w:themeColor="text1"/>
          <w:spacing w:val="4"/>
          <w:sz w:val="22"/>
          <w:szCs w:val="22"/>
        </w:rPr>
        <w:t xml:space="preserve">comprehensive and rights-based approaches in addressing </w:t>
      </w:r>
      <w:r w:rsidRPr="0062072C">
        <w:rPr>
          <w:color w:val="000000" w:themeColor="text1"/>
          <w:spacing w:val="4"/>
          <w:sz w:val="22"/>
          <w:szCs w:val="22"/>
        </w:rPr>
        <w:t>intersecting issues of peace</w:t>
      </w:r>
      <w:r>
        <w:rPr>
          <w:color w:val="000000" w:themeColor="text1"/>
          <w:spacing w:val="4"/>
          <w:sz w:val="22"/>
          <w:szCs w:val="22"/>
        </w:rPr>
        <w:t xml:space="preserve"> </w:t>
      </w:r>
      <w:r w:rsidRPr="0062072C">
        <w:rPr>
          <w:color w:val="000000" w:themeColor="text1"/>
          <w:spacing w:val="4"/>
          <w:sz w:val="22"/>
          <w:szCs w:val="22"/>
        </w:rPr>
        <w:t xml:space="preserve">and internal displacement, with a particular emphasis on the protection and </w:t>
      </w:r>
      <w:r>
        <w:rPr>
          <w:color w:val="000000" w:themeColor="text1"/>
          <w:spacing w:val="4"/>
          <w:sz w:val="22"/>
          <w:szCs w:val="22"/>
        </w:rPr>
        <w:t>participation</w:t>
      </w:r>
      <w:r w:rsidRPr="0062072C">
        <w:rPr>
          <w:color w:val="000000" w:themeColor="text1"/>
          <w:spacing w:val="4"/>
          <w:sz w:val="22"/>
          <w:szCs w:val="22"/>
        </w:rPr>
        <w:t xml:space="preserve"> of IDPs.</w:t>
      </w:r>
      <w:r>
        <w:rPr>
          <w:color w:val="000000" w:themeColor="text1"/>
          <w:spacing w:val="4"/>
          <w:sz w:val="22"/>
          <w:szCs w:val="22"/>
        </w:rPr>
        <w:t xml:space="preserve"> She will </w:t>
      </w:r>
      <w:r>
        <w:rPr>
          <w:color w:val="000000" w:themeColor="text1"/>
          <w:sz w:val="22"/>
          <w:szCs w:val="22"/>
        </w:rPr>
        <w:t xml:space="preserve">also </w:t>
      </w:r>
      <w:r>
        <w:rPr>
          <w:color w:val="000000" w:themeColor="text1"/>
          <w:spacing w:val="4"/>
          <w:sz w:val="22"/>
          <w:szCs w:val="22"/>
        </w:rPr>
        <w:t>analyse</w:t>
      </w:r>
      <w:r w:rsidRPr="001226BC">
        <w:rPr>
          <w:color w:val="000000" w:themeColor="text1"/>
          <w:sz w:val="22"/>
          <w:szCs w:val="22"/>
        </w:rPr>
        <w:t xml:space="preserve"> </w:t>
      </w:r>
      <w:r>
        <w:rPr>
          <w:color w:val="000000" w:themeColor="text1"/>
          <w:sz w:val="22"/>
          <w:szCs w:val="22"/>
        </w:rPr>
        <w:t>i</w:t>
      </w:r>
      <w:r w:rsidRPr="001226BC">
        <w:rPr>
          <w:color w:val="000000" w:themeColor="text1"/>
          <w:sz w:val="22"/>
          <w:szCs w:val="22"/>
        </w:rPr>
        <w:t>mplementation</w:t>
      </w:r>
      <w:r>
        <w:rPr>
          <w:color w:val="000000" w:themeColor="text1"/>
          <w:sz w:val="22"/>
          <w:szCs w:val="22"/>
        </w:rPr>
        <w:t xml:space="preserve"> </w:t>
      </w:r>
      <w:r w:rsidRPr="001226BC">
        <w:rPr>
          <w:color w:val="000000" w:themeColor="text1"/>
          <w:sz w:val="22"/>
          <w:szCs w:val="22"/>
        </w:rPr>
        <w:t xml:space="preserve">and </w:t>
      </w:r>
      <w:r>
        <w:rPr>
          <w:color w:val="000000" w:themeColor="text1"/>
          <w:sz w:val="22"/>
          <w:szCs w:val="22"/>
        </w:rPr>
        <w:t>s</w:t>
      </w:r>
      <w:r w:rsidRPr="001226BC">
        <w:rPr>
          <w:color w:val="000000" w:themeColor="text1"/>
          <w:sz w:val="22"/>
          <w:szCs w:val="22"/>
        </w:rPr>
        <w:t xml:space="preserve">ustainability, diving into the extent to which peace processes </w:t>
      </w:r>
      <w:r>
        <w:rPr>
          <w:color w:val="000000" w:themeColor="text1"/>
          <w:sz w:val="22"/>
          <w:szCs w:val="22"/>
        </w:rPr>
        <w:t xml:space="preserve">have </w:t>
      </w:r>
      <w:r w:rsidRPr="001226BC">
        <w:rPr>
          <w:color w:val="000000" w:themeColor="text1"/>
          <w:sz w:val="22"/>
          <w:szCs w:val="22"/>
        </w:rPr>
        <w:t xml:space="preserve">addressed the situation </w:t>
      </w:r>
      <w:r>
        <w:rPr>
          <w:color w:val="000000" w:themeColor="text1"/>
          <w:sz w:val="22"/>
          <w:szCs w:val="22"/>
        </w:rPr>
        <w:t xml:space="preserve">and needs </w:t>
      </w:r>
      <w:r w:rsidRPr="001226BC">
        <w:rPr>
          <w:color w:val="000000" w:themeColor="text1"/>
          <w:sz w:val="22"/>
          <w:szCs w:val="22"/>
        </w:rPr>
        <w:t xml:space="preserve">of IDPs and tackled </w:t>
      </w:r>
      <w:r>
        <w:rPr>
          <w:color w:val="000000" w:themeColor="text1"/>
          <w:sz w:val="22"/>
          <w:szCs w:val="22"/>
        </w:rPr>
        <w:t>r</w:t>
      </w:r>
      <w:r w:rsidRPr="001226BC">
        <w:rPr>
          <w:color w:val="000000" w:themeColor="text1"/>
          <w:sz w:val="22"/>
          <w:szCs w:val="22"/>
        </w:rPr>
        <w:t xml:space="preserve">oot causes of displacement. </w:t>
      </w:r>
      <w:r>
        <w:rPr>
          <w:color w:val="000000" w:themeColor="text1"/>
          <w:sz w:val="22"/>
          <w:szCs w:val="22"/>
        </w:rPr>
        <w:t xml:space="preserve">The report will also </w:t>
      </w:r>
      <w:proofErr w:type="gramStart"/>
      <w:r>
        <w:rPr>
          <w:color w:val="000000" w:themeColor="text1"/>
          <w:sz w:val="22"/>
          <w:szCs w:val="22"/>
        </w:rPr>
        <w:t>look into</w:t>
      </w:r>
      <w:proofErr w:type="gramEnd"/>
      <w:r>
        <w:rPr>
          <w:color w:val="000000" w:themeColor="text1"/>
          <w:sz w:val="22"/>
          <w:szCs w:val="22"/>
        </w:rPr>
        <w:t xml:space="preserve"> the role of international, regional and national peace actors </w:t>
      </w:r>
      <w:r w:rsidRPr="001226BC">
        <w:rPr>
          <w:color w:val="000000" w:themeColor="text1"/>
          <w:sz w:val="22"/>
          <w:szCs w:val="22"/>
        </w:rPr>
        <w:t xml:space="preserve">in supporting national efforts to address the rights and needs of </w:t>
      </w:r>
      <w:r>
        <w:rPr>
          <w:color w:val="000000" w:themeColor="text1"/>
          <w:sz w:val="22"/>
          <w:szCs w:val="22"/>
        </w:rPr>
        <w:t>IDPs</w:t>
      </w:r>
      <w:r w:rsidRPr="001226BC">
        <w:rPr>
          <w:color w:val="000000" w:themeColor="text1"/>
          <w:sz w:val="22"/>
          <w:szCs w:val="22"/>
        </w:rPr>
        <w:t xml:space="preserve"> in </w:t>
      </w:r>
      <w:r>
        <w:rPr>
          <w:color w:val="000000" w:themeColor="text1"/>
          <w:sz w:val="22"/>
          <w:szCs w:val="22"/>
        </w:rPr>
        <w:t>the</w:t>
      </w:r>
      <w:r w:rsidRPr="001226BC">
        <w:rPr>
          <w:color w:val="000000" w:themeColor="text1"/>
          <w:sz w:val="22"/>
          <w:szCs w:val="22"/>
        </w:rPr>
        <w:t xml:space="preserve"> context of peace</w:t>
      </w:r>
      <w:r>
        <w:rPr>
          <w:color w:val="000000" w:themeColor="text1"/>
          <w:sz w:val="22"/>
          <w:szCs w:val="22"/>
        </w:rPr>
        <w:t>building and in contributing to the achievement of durable solutions, including the</w:t>
      </w:r>
      <w:r w:rsidRPr="001226BC">
        <w:rPr>
          <w:color w:val="000000" w:themeColor="text1"/>
          <w:sz w:val="22"/>
          <w:szCs w:val="22"/>
        </w:rPr>
        <w:t xml:space="preserve"> role of humanitarian and development actors in achieving durable solutions for </w:t>
      </w:r>
      <w:r>
        <w:rPr>
          <w:color w:val="000000" w:themeColor="text1"/>
          <w:sz w:val="22"/>
          <w:szCs w:val="22"/>
        </w:rPr>
        <w:t>IDPs</w:t>
      </w:r>
      <w:r w:rsidRPr="001226BC">
        <w:rPr>
          <w:color w:val="000000" w:themeColor="text1"/>
          <w:sz w:val="22"/>
          <w:szCs w:val="22"/>
        </w:rPr>
        <w:t xml:space="preserve"> through peacebuildin</w:t>
      </w:r>
      <w:r>
        <w:rPr>
          <w:color w:val="000000" w:themeColor="text1"/>
          <w:sz w:val="22"/>
          <w:szCs w:val="22"/>
        </w:rPr>
        <w:t>g.</w:t>
      </w:r>
    </w:p>
    <w:p w14:paraId="45A03804" w14:textId="77777777" w:rsidR="00006E76" w:rsidRDefault="00006E76" w:rsidP="00006E76">
      <w:pPr>
        <w:jc w:val="both"/>
        <w:rPr>
          <w:b/>
          <w:bCs/>
          <w:color w:val="000000" w:themeColor="text1"/>
          <w:sz w:val="22"/>
          <w:szCs w:val="22"/>
        </w:rPr>
      </w:pPr>
    </w:p>
    <w:p w14:paraId="2E91BC02" w14:textId="77777777" w:rsidR="00006E76" w:rsidRDefault="00006E76" w:rsidP="00006E76">
      <w:pPr>
        <w:jc w:val="both"/>
        <w:rPr>
          <w:b/>
          <w:bCs/>
          <w:color w:val="000000" w:themeColor="text1"/>
          <w:sz w:val="22"/>
          <w:szCs w:val="22"/>
        </w:rPr>
      </w:pPr>
      <w:r w:rsidRPr="001226BC">
        <w:rPr>
          <w:b/>
          <w:bCs/>
          <w:color w:val="000000" w:themeColor="text1"/>
          <w:sz w:val="22"/>
          <w:szCs w:val="22"/>
        </w:rPr>
        <w:t xml:space="preserve">Key questions </w:t>
      </w:r>
    </w:p>
    <w:p w14:paraId="27E6684D" w14:textId="77777777" w:rsidR="00006E76" w:rsidRPr="001226BC" w:rsidRDefault="00006E76" w:rsidP="00006E76">
      <w:pPr>
        <w:jc w:val="both"/>
        <w:rPr>
          <w:b/>
          <w:bCs/>
          <w:color w:val="000000" w:themeColor="text1"/>
          <w:sz w:val="22"/>
          <w:szCs w:val="22"/>
        </w:rPr>
      </w:pPr>
    </w:p>
    <w:p w14:paraId="4D3C2811" w14:textId="77777777" w:rsidR="00006E76" w:rsidRDefault="00006E76" w:rsidP="00006E76">
      <w:pPr>
        <w:jc w:val="both"/>
        <w:rPr>
          <w:color w:val="000000" w:themeColor="text1"/>
          <w:sz w:val="22"/>
          <w:szCs w:val="22"/>
          <w:lang w:eastAsia="en-GB"/>
        </w:rPr>
      </w:pPr>
      <w:r w:rsidRPr="001226BC">
        <w:rPr>
          <w:color w:val="000000" w:themeColor="text1"/>
          <w:sz w:val="22"/>
          <w:szCs w:val="22"/>
          <w:lang w:eastAsia="en-GB"/>
        </w:rPr>
        <w:t xml:space="preserve">To inform her report, the Special Rapporteur would like to seek written inputs from all interested stakeholders and strongly encourages sharing concrete examples of good practices where available. She is particularly interested in the following areas:  </w:t>
      </w:r>
    </w:p>
    <w:p w14:paraId="17D9E2B4" w14:textId="77777777" w:rsidR="00006E76" w:rsidRDefault="00006E76" w:rsidP="00006E76">
      <w:pPr>
        <w:jc w:val="both"/>
        <w:rPr>
          <w:b/>
          <w:bCs/>
          <w:i/>
          <w:iCs/>
          <w:color w:val="000000" w:themeColor="text1"/>
          <w:sz w:val="22"/>
          <w:szCs w:val="22"/>
          <w:lang w:eastAsia="en-GB"/>
        </w:rPr>
      </w:pPr>
    </w:p>
    <w:p w14:paraId="1CDAD4A8" w14:textId="77777777" w:rsidR="00006E76" w:rsidRDefault="00006E76" w:rsidP="00006E76">
      <w:pPr>
        <w:jc w:val="both"/>
        <w:rPr>
          <w:b/>
          <w:bCs/>
          <w:i/>
          <w:iCs/>
          <w:color w:val="000000" w:themeColor="text1"/>
          <w:sz w:val="22"/>
          <w:szCs w:val="22"/>
          <w:lang w:eastAsia="en-GB"/>
        </w:rPr>
      </w:pPr>
      <w:r w:rsidRPr="001226BC">
        <w:rPr>
          <w:b/>
          <w:bCs/>
          <w:i/>
          <w:iCs/>
          <w:color w:val="000000" w:themeColor="text1"/>
          <w:sz w:val="22"/>
          <w:szCs w:val="22"/>
          <w:lang w:eastAsia="en-GB"/>
        </w:rPr>
        <w:t>Legal and Polic</w:t>
      </w:r>
      <w:r>
        <w:rPr>
          <w:b/>
          <w:bCs/>
          <w:i/>
          <w:iCs/>
          <w:color w:val="000000" w:themeColor="text1"/>
          <w:sz w:val="22"/>
          <w:szCs w:val="22"/>
          <w:lang w:eastAsia="en-GB"/>
        </w:rPr>
        <w:t>y</w:t>
      </w:r>
      <w:r w:rsidRPr="001226BC">
        <w:rPr>
          <w:b/>
          <w:bCs/>
          <w:i/>
          <w:iCs/>
          <w:color w:val="000000" w:themeColor="text1"/>
          <w:sz w:val="22"/>
          <w:szCs w:val="22"/>
          <w:lang w:eastAsia="en-GB"/>
        </w:rPr>
        <w:t xml:space="preserve"> Frameworks </w:t>
      </w:r>
    </w:p>
    <w:p w14:paraId="121CEC87" w14:textId="77777777" w:rsidR="00006E76" w:rsidRDefault="00006E76" w:rsidP="00006E76">
      <w:pPr>
        <w:jc w:val="both"/>
        <w:rPr>
          <w:b/>
          <w:bCs/>
          <w:i/>
          <w:iCs/>
          <w:color w:val="000000" w:themeColor="text1"/>
          <w:sz w:val="22"/>
          <w:szCs w:val="22"/>
          <w:lang w:eastAsia="en-GB"/>
        </w:rPr>
      </w:pPr>
    </w:p>
    <w:p w14:paraId="7AAAB30F" w14:textId="77777777" w:rsidR="00006E76" w:rsidRPr="008C759F" w:rsidRDefault="00006E76" w:rsidP="00006E76">
      <w:pPr>
        <w:pStyle w:val="ListParagraph"/>
        <w:numPr>
          <w:ilvl w:val="0"/>
          <w:numId w:val="3"/>
        </w:numPr>
        <w:jc w:val="both"/>
        <w:rPr>
          <w:color w:val="000000" w:themeColor="text1"/>
          <w:sz w:val="22"/>
          <w:szCs w:val="22"/>
        </w:rPr>
      </w:pPr>
      <w:r w:rsidRPr="008C759F">
        <w:rPr>
          <w:color w:val="000000" w:themeColor="text1"/>
          <w:sz w:val="22"/>
          <w:szCs w:val="22"/>
          <w:shd w:val="clear" w:color="auto" w:fill="FFFFFF"/>
        </w:rPr>
        <w:t>What legal and policy frameworks exist at the national, regional, and international levels to address the rights of IDPs in the context of peace processes, peace operations</w:t>
      </w:r>
      <w:r>
        <w:rPr>
          <w:color w:val="000000" w:themeColor="text1"/>
          <w:sz w:val="22"/>
          <w:szCs w:val="22"/>
          <w:shd w:val="clear" w:color="auto" w:fill="FFFFFF"/>
        </w:rPr>
        <w:t xml:space="preserve">, </w:t>
      </w:r>
      <w:proofErr w:type="gramStart"/>
      <w:r>
        <w:rPr>
          <w:color w:val="000000" w:themeColor="text1"/>
          <w:sz w:val="22"/>
          <w:szCs w:val="22"/>
          <w:shd w:val="clear" w:color="auto" w:fill="FFFFFF"/>
        </w:rPr>
        <w:t>mediation</w:t>
      </w:r>
      <w:proofErr w:type="gramEnd"/>
      <w:r>
        <w:rPr>
          <w:color w:val="000000" w:themeColor="text1"/>
          <w:sz w:val="22"/>
          <w:szCs w:val="22"/>
          <w:shd w:val="clear" w:color="auto" w:fill="FFFFFF"/>
        </w:rPr>
        <w:t xml:space="preserve"> and </w:t>
      </w:r>
      <w:r w:rsidRPr="008C759F">
        <w:rPr>
          <w:color w:val="000000" w:themeColor="text1"/>
          <w:sz w:val="22"/>
          <w:szCs w:val="22"/>
          <w:shd w:val="clear" w:color="auto" w:fill="FFFFFF"/>
        </w:rPr>
        <w:t xml:space="preserve">peacebuilding? </w:t>
      </w:r>
    </w:p>
    <w:p w14:paraId="01A43340" w14:textId="77777777" w:rsidR="00006E76" w:rsidRPr="008C759F" w:rsidRDefault="00006E76" w:rsidP="00006E76">
      <w:pPr>
        <w:pStyle w:val="NormalWeb"/>
        <w:numPr>
          <w:ilvl w:val="0"/>
          <w:numId w:val="2"/>
        </w:numPr>
        <w:shd w:val="clear" w:color="auto" w:fill="FFFFFF"/>
        <w:spacing w:before="0" w:beforeAutospacing="0" w:after="0" w:afterAutospacing="0"/>
        <w:jc w:val="both"/>
        <w:rPr>
          <w:color w:val="000000" w:themeColor="text1"/>
          <w:sz w:val="22"/>
          <w:szCs w:val="22"/>
        </w:rPr>
      </w:pPr>
      <w:r w:rsidRPr="008C759F">
        <w:rPr>
          <w:color w:val="000000" w:themeColor="text1"/>
          <w:sz w:val="22"/>
          <w:szCs w:val="22"/>
        </w:rPr>
        <w:t>What are the essential elements that comprehensive agreements should incorporate to address internal displacement and secure durable solutions? What measures are necessary to ensure that the rights of IDPs are guaranteed and prioritized as fundamental goals in peace processes?</w:t>
      </w:r>
    </w:p>
    <w:p w14:paraId="134EC7D7" w14:textId="77777777" w:rsidR="00006E76" w:rsidRPr="008C759F" w:rsidRDefault="00006E76" w:rsidP="00006E76">
      <w:pPr>
        <w:pStyle w:val="NormalWeb"/>
        <w:numPr>
          <w:ilvl w:val="0"/>
          <w:numId w:val="2"/>
        </w:numPr>
        <w:shd w:val="clear" w:color="auto" w:fill="FFFFFF"/>
        <w:spacing w:before="0" w:beforeAutospacing="0" w:after="0" w:afterAutospacing="0"/>
        <w:jc w:val="both"/>
        <w:rPr>
          <w:color w:val="000000" w:themeColor="text1"/>
          <w:sz w:val="22"/>
          <w:szCs w:val="22"/>
        </w:rPr>
      </w:pPr>
      <w:r w:rsidRPr="008C759F">
        <w:rPr>
          <w:color w:val="000000" w:themeColor="text1"/>
          <w:sz w:val="22"/>
          <w:szCs w:val="22"/>
        </w:rPr>
        <w:t xml:space="preserve">Please share examples of policies and mechanisms </w:t>
      </w:r>
      <w:r>
        <w:rPr>
          <w:color w:val="000000" w:themeColor="text1"/>
          <w:sz w:val="22"/>
          <w:szCs w:val="22"/>
        </w:rPr>
        <w:t xml:space="preserve">and comment on its effectiveness </w:t>
      </w:r>
      <w:r w:rsidRPr="008C759F">
        <w:rPr>
          <w:color w:val="000000" w:themeColor="text1"/>
          <w:sz w:val="22"/>
          <w:szCs w:val="22"/>
        </w:rPr>
        <w:t>to implement peace or mediation agreements that have addressed the issue of internal displacement.</w:t>
      </w:r>
      <w:r>
        <w:rPr>
          <w:color w:val="000000" w:themeColor="text1"/>
          <w:sz w:val="22"/>
          <w:szCs w:val="22"/>
        </w:rPr>
        <w:t xml:space="preserve"> </w:t>
      </w:r>
    </w:p>
    <w:p w14:paraId="50552F50" w14:textId="77777777" w:rsidR="00006E76" w:rsidRPr="008C759F" w:rsidRDefault="00006E76" w:rsidP="00006E76">
      <w:pPr>
        <w:pStyle w:val="NormalWeb"/>
        <w:numPr>
          <w:ilvl w:val="0"/>
          <w:numId w:val="2"/>
        </w:numPr>
        <w:shd w:val="clear" w:color="auto" w:fill="FFFFFF"/>
        <w:spacing w:before="0" w:beforeAutospacing="0" w:after="0" w:afterAutospacing="0"/>
        <w:jc w:val="both"/>
        <w:rPr>
          <w:color w:val="000000" w:themeColor="text1"/>
          <w:sz w:val="22"/>
          <w:szCs w:val="22"/>
        </w:rPr>
      </w:pPr>
      <w:r w:rsidRPr="008C759F">
        <w:rPr>
          <w:color w:val="000000" w:themeColor="text1"/>
          <w:sz w:val="22"/>
          <w:szCs w:val="22"/>
        </w:rPr>
        <w:t xml:space="preserve">Please provide examples </w:t>
      </w:r>
      <w:r>
        <w:rPr>
          <w:color w:val="000000" w:themeColor="text1"/>
          <w:sz w:val="22"/>
          <w:szCs w:val="22"/>
        </w:rPr>
        <w:t xml:space="preserve">with challenges </w:t>
      </w:r>
      <w:r w:rsidRPr="008C759F">
        <w:rPr>
          <w:color w:val="000000" w:themeColor="text1"/>
          <w:sz w:val="22"/>
          <w:szCs w:val="22"/>
        </w:rPr>
        <w:t xml:space="preserve">and lessons learned on transitional justice initiatives, reparations programmes that promote </w:t>
      </w:r>
      <w:r>
        <w:rPr>
          <w:color w:val="000000" w:themeColor="text1"/>
          <w:sz w:val="22"/>
          <w:szCs w:val="22"/>
        </w:rPr>
        <w:t xml:space="preserve">IDP´s </w:t>
      </w:r>
      <w:r w:rsidRPr="008C759F">
        <w:rPr>
          <w:color w:val="000000" w:themeColor="text1"/>
          <w:sz w:val="22"/>
          <w:szCs w:val="22"/>
        </w:rPr>
        <w:t xml:space="preserve">recovery from widespread rights violations, </w:t>
      </w:r>
      <w:r>
        <w:rPr>
          <w:color w:val="000000" w:themeColor="text1"/>
          <w:sz w:val="22"/>
          <w:szCs w:val="22"/>
        </w:rPr>
        <w:t xml:space="preserve">including house land and property rights, and </w:t>
      </w:r>
      <w:r w:rsidRPr="008C759F">
        <w:rPr>
          <w:color w:val="000000" w:themeColor="text1"/>
          <w:sz w:val="22"/>
          <w:szCs w:val="22"/>
        </w:rPr>
        <w:t xml:space="preserve">social cohesion, </w:t>
      </w:r>
      <w:proofErr w:type="gramStart"/>
      <w:r w:rsidRPr="008C759F">
        <w:rPr>
          <w:color w:val="000000" w:themeColor="text1"/>
          <w:sz w:val="22"/>
          <w:szCs w:val="22"/>
        </w:rPr>
        <w:t>dialogue</w:t>
      </w:r>
      <w:proofErr w:type="gramEnd"/>
      <w:r w:rsidRPr="008C759F">
        <w:rPr>
          <w:color w:val="000000" w:themeColor="text1"/>
          <w:sz w:val="22"/>
          <w:szCs w:val="22"/>
        </w:rPr>
        <w:t xml:space="preserve"> and reconciliation processes or other that have </w:t>
      </w:r>
      <w:r>
        <w:rPr>
          <w:color w:val="000000" w:themeColor="text1"/>
          <w:sz w:val="22"/>
          <w:szCs w:val="22"/>
        </w:rPr>
        <w:t xml:space="preserve">aimed </w:t>
      </w:r>
      <w:r w:rsidRPr="008C759F">
        <w:rPr>
          <w:color w:val="000000" w:themeColor="text1"/>
          <w:sz w:val="22"/>
          <w:szCs w:val="22"/>
        </w:rPr>
        <w:t>to healing and recovery</w:t>
      </w:r>
      <w:r>
        <w:rPr>
          <w:color w:val="000000" w:themeColor="text1"/>
          <w:sz w:val="22"/>
          <w:szCs w:val="22"/>
        </w:rPr>
        <w:t xml:space="preserve">. </w:t>
      </w:r>
    </w:p>
    <w:p w14:paraId="6F04FBD8" w14:textId="77777777" w:rsidR="00006E76" w:rsidRDefault="00006E76" w:rsidP="00006E76">
      <w:pPr>
        <w:pStyle w:val="NormalWeb"/>
        <w:numPr>
          <w:ilvl w:val="0"/>
          <w:numId w:val="2"/>
        </w:numPr>
        <w:shd w:val="clear" w:color="auto" w:fill="FFFFFF"/>
        <w:spacing w:before="0" w:beforeAutospacing="0" w:after="0" w:afterAutospacing="0"/>
        <w:jc w:val="both"/>
        <w:rPr>
          <w:color w:val="000000" w:themeColor="text1"/>
          <w:sz w:val="22"/>
          <w:szCs w:val="22"/>
        </w:rPr>
      </w:pPr>
      <w:r w:rsidRPr="008C759F">
        <w:rPr>
          <w:color w:val="000000" w:themeColor="text1"/>
          <w:sz w:val="22"/>
          <w:szCs w:val="22"/>
        </w:rPr>
        <w:t xml:space="preserve">Please outline how existing strategies and policies for promoting conflict prevention and resolution, reconciliation, reconstruction, and peacebuilding ensure the inclusion of IDPs and their representative organizations through concrete examples. </w:t>
      </w:r>
    </w:p>
    <w:p w14:paraId="2D3E85A8" w14:textId="77777777" w:rsidR="00006E76" w:rsidRPr="00FA5B85" w:rsidRDefault="00006E76" w:rsidP="00006E76">
      <w:pPr>
        <w:pStyle w:val="NormalWeb"/>
        <w:numPr>
          <w:ilvl w:val="0"/>
          <w:numId w:val="2"/>
        </w:numPr>
        <w:shd w:val="clear" w:color="auto" w:fill="FFFFFF"/>
        <w:spacing w:before="0" w:beforeAutospacing="0" w:after="0" w:afterAutospacing="0"/>
        <w:jc w:val="both"/>
        <w:rPr>
          <w:color w:val="000000" w:themeColor="text1"/>
          <w:sz w:val="22"/>
          <w:szCs w:val="22"/>
        </w:rPr>
      </w:pPr>
      <w:r w:rsidRPr="00FA5B85">
        <w:rPr>
          <w:color w:val="000000" w:themeColor="text1"/>
          <w:sz w:val="22"/>
          <w:szCs w:val="22"/>
        </w:rPr>
        <w:t xml:space="preserve">How can the implementation of a comprehensive peace agreement that addresses the root causes of displacement serve as a measure to prevent displacement? What specific additional measures could be integrated </w:t>
      </w:r>
      <w:r>
        <w:rPr>
          <w:color w:val="000000" w:themeColor="text1"/>
          <w:sz w:val="22"/>
          <w:szCs w:val="22"/>
        </w:rPr>
        <w:t xml:space="preserve">into the peace agreement </w:t>
      </w:r>
      <w:r w:rsidRPr="00FA5B85">
        <w:rPr>
          <w:color w:val="000000" w:themeColor="text1"/>
          <w:sz w:val="22"/>
          <w:szCs w:val="22"/>
        </w:rPr>
        <w:t xml:space="preserve">to enhance its effectiveness in preventing future conflicts? </w:t>
      </w:r>
    </w:p>
    <w:p w14:paraId="529A3EFE" w14:textId="77777777" w:rsidR="00006E76" w:rsidRDefault="00006E76" w:rsidP="00006E76">
      <w:pPr>
        <w:pStyle w:val="NormalWeb"/>
        <w:shd w:val="clear" w:color="auto" w:fill="FFFFFF"/>
        <w:spacing w:before="0" w:beforeAutospacing="0" w:after="0" w:afterAutospacing="0"/>
        <w:jc w:val="both"/>
        <w:rPr>
          <w:b/>
          <w:bCs/>
          <w:i/>
          <w:iCs/>
          <w:color w:val="000000" w:themeColor="text1"/>
          <w:sz w:val="22"/>
          <w:szCs w:val="22"/>
        </w:rPr>
      </w:pPr>
    </w:p>
    <w:p w14:paraId="026F82A0" w14:textId="77777777" w:rsidR="00006E76" w:rsidRPr="002A6A27" w:rsidRDefault="00006E76" w:rsidP="00006E76">
      <w:pPr>
        <w:pStyle w:val="NormalWeb"/>
        <w:shd w:val="clear" w:color="auto" w:fill="FFFFFF"/>
        <w:spacing w:before="0" w:beforeAutospacing="0" w:after="0" w:afterAutospacing="0"/>
        <w:jc w:val="both"/>
        <w:rPr>
          <w:color w:val="000000" w:themeColor="text1"/>
          <w:sz w:val="22"/>
          <w:szCs w:val="22"/>
        </w:rPr>
      </w:pPr>
      <w:r w:rsidRPr="002A6A27">
        <w:rPr>
          <w:b/>
          <w:bCs/>
          <w:i/>
          <w:iCs/>
          <w:color w:val="000000" w:themeColor="text1"/>
          <w:sz w:val="22"/>
          <w:szCs w:val="22"/>
        </w:rPr>
        <w:t xml:space="preserve">Participation </w:t>
      </w:r>
      <w:r>
        <w:rPr>
          <w:b/>
          <w:bCs/>
          <w:i/>
          <w:iCs/>
          <w:color w:val="000000" w:themeColor="text1"/>
          <w:sz w:val="22"/>
          <w:szCs w:val="22"/>
        </w:rPr>
        <w:t>and inclusive approaches</w:t>
      </w:r>
    </w:p>
    <w:p w14:paraId="0AF2DA44" w14:textId="77777777" w:rsidR="00006E76" w:rsidRPr="00DD3FB0" w:rsidRDefault="00006E76" w:rsidP="00006E76">
      <w:pPr>
        <w:pStyle w:val="NormalWeb"/>
        <w:numPr>
          <w:ilvl w:val="0"/>
          <w:numId w:val="2"/>
        </w:numPr>
        <w:shd w:val="clear" w:color="auto" w:fill="FFFFFF"/>
        <w:spacing w:before="0" w:beforeAutospacing="0" w:after="0" w:afterAutospacing="0"/>
        <w:jc w:val="both"/>
        <w:rPr>
          <w:b/>
          <w:bCs/>
          <w:i/>
          <w:iCs/>
          <w:color w:val="000000" w:themeColor="text1"/>
          <w:sz w:val="22"/>
          <w:szCs w:val="22"/>
        </w:rPr>
      </w:pPr>
      <w:r w:rsidRPr="00DD3FB0">
        <w:rPr>
          <w:color w:val="000000" w:themeColor="text1"/>
          <w:sz w:val="22"/>
          <w:szCs w:val="22"/>
          <w:shd w:val="clear" w:color="auto" w:fill="FFFFFF"/>
        </w:rPr>
        <w:t>What are the main gaps and challenges in involving IDPs and/or their priorities in peace processes and peacebuilding efforts, and how can these be overcome? Please describe alternative or complementary strategies, if any, to facilitate such participation and better integrate the protection and assistance needs of IDPs in peace</w:t>
      </w:r>
      <w:r>
        <w:rPr>
          <w:color w:val="000000" w:themeColor="text1"/>
          <w:sz w:val="22"/>
          <w:szCs w:val="22"/>
          <w:shd w:val="clear" w:color="auto" w:fill="FFFFFF"/>
        </w:rPr>
        <w:t>building, as well as</w:t>
      </w:r>
      <w:r w:rsidRPr="00DD3FB0">
        <w:rPr>
          <w:color w:val="000000" w:themeColor="text1"/>
          <w:sz w:val="22"/>
          <w:szCs w:val="22"/>
          <w:shd w:val="clear" w:color="auto" w:fill="FFFFFF"/>
        </w:rPr>
        <w:t xml:space="preserve"> examples of meaningful IDP participation</w:t>
      </w:r>
      <w:r>
        <w:rPr>
          <w:color w:val="000000" w:themeColor="text1"/>
          <w:sz w:val="22"/>
          <w:szCs w:val="22"/>
          <w:shd w:val="clear" w:color="auto" w:fill="FFFFFF"/>
        </w:rPr>
        <w:t>.</w:t>
      </w:r>
    </w:p>
    <w:p w14:paraId="21AC27A4" w14:textId="77777777" w:rsidR="00006E76" w:rsidRPr="00FA5B85" w:rsidRDefault="00006E76" w:rsidP="00006E76">
      <w:pPr>
        <w:pStyle w:val="NormalWeb"/>
        <w:numPr>
          <w:ilvl w:val="0"/>
          <w:numId w:val="1"/>
        </w:numPr>
        <w:shd w:val="clear" w:color="auto" w:fill="FFFFFF"/>
        <w:spacing w:before="0" w:beforeAutospacing="0" w:after="0" w:afterAutospacing="0"/>
        <w:jc w:val="both"/>
        <w:rPr>
          <w:b/>
          <w:bCs/>
          <w:i/>
          <w:iCs/>
          <w:color w:val="000000" w:themeColor="text1"/>
          <w:sz w:val="22"/>
          <w:szCs w:val="22"/>
        </w:rPr>
      </w:pPr>
      <w:r>
        <w:rPr>
          <w:color w:val="000000" w:themeColor="text1"/>
          <w:sz w:val="22"/>
          <w:szCs w:val="22"/>
        </w:rPr>
        <w:lastRenderedPageBreak/>
        <w:t>Please provide information on how humanitarian agencies, development organizations and peacebuilding entities work together on inclusion of IDPs in peacebuilding initiatives.</w:t>
      </w:r>
      <w:r w:rsidRPr="00FA5B85">
        <w:rPr>
          <w:color w:val="000000" w:themeColor="text1"/>
          <w:sz w:val="22"/>
          <w:szCs w:val="22"/>
        </w:rPr>
        <w:t xml:space="preserve"> </w:t>
      </w:r>
      <w:r w:rsidRPr="00DD3FB0">
        <w:rPr>
          <w:color w:val="000000" w:themeColor="text1"/>
          <w:sz w:val="22"/>
          <w:szCs w:val="22"/>
        </w:rPr>
        <w:t xml:space="preserve">How can they support </w:t>
      </w:r>
      <w:r>
        <w:rPr>
          <w:color w:val="000000" w:themeColor="text1"/>
          <w:sz w:val="22"/>
          <w:szCs w:val="22"/>
        </w:rPr>
        <w:t xml:space="preserve">IDPs organizations and strengthen IDPS´ skills to enable effective participation? </w:t>
      </w:r>
    </w:p>
    <w:p w14:paraId="64798D3E" w14:textId="77777777" w:rsidR="00006E76" w:rsidRPr="00136F6C" w:rsidRDefault="00006E76" w:rsidP="00006E76">
      <w:pPr>
        <w:pStyle w:val="NormalWeb"/>
        <w:numPr>
          <w:ilvl w:val="0"/>
          <w:numId w:val="1"/>
        </w:numPr>
        <w:shd w:val="clear" w:color="auto" w:fill="FFFFFF"/>
        <w:spacing w:before="0" w:beforeAutospacing="0" w:after="0" w:afterAutospacing="0"/>
        <w:jc w:val="both"/>
        <w:rPr>
          <w:color w:val="000000" w:themeColor="text1"/>
          <w:sz w:val="22"/>
          <w:szCs w:val="22"/>
        </w:rPr>
      </w:pPr>
      <w:r>
        <w:rPr>
          <w:color w:val="000000" w:themeColor="text1"/>
          <w:sz w:val="22"/>
          <w:szCs w:val="22"/>
        </w:rPr>
        <w:t xml:space="preserve">Please provide examples of the role internally displaced women have played in peacebuilding, peace processes and mediation as called for by </w:t>
      </w:r>
      <w:hyperlink r:id="rId7" w:history="1">
        <w:r w:rsidRPr="00A15666">
          <w:rPr>
            <w:rStyle w:val="Hyperlink"/>
            <w:sz w:val="22"/>
            <w:szCs w:val="22"/>
          </w:rPr>
          <w:t>UN Security Council Resolution 1325</w:t>
        </w:r>
      </w:hyperlink>
      <w:r>
        <w:rPr>
          <w:color w:val="000000" w:themeColor="text1"/>
          <w:sz w:val="22"/>
          <w:szCs w:val="22"/>
        </w:rPr>
        <w:t xml:space="preserve"> and subsequent resolutions forming the Women, Peace and Security Agenda.</w:t>
      </w:r>
    </w:p>
    <w:p w14:paraId="262C69D7" w14:textId="77777777" w:rsidR="00006E76" w:rsidRPr="007F5CC0" w:rsidRDefault="00006E76" w:rsidP="00006E76">
      <w:pPr>
        <w:pStyle w:val="NormalWeb"/>
        <w:numPr>
          <w:ilvl w:val="0"/>
          <w:numId w:val="1"/>
        </w:numPr>
        <w:shd w:val="clear" w:color="auto" w:fill="FFFFFF"/>
        <w:spacing w:before="0" w:beforeAutospacing="0" w:after="0" w:afterAutospacing="0"/>
        <w:jc w:val="both"/>
        <w:rPr>
          <w:color w:val="000000" w:themeColor="text1"/>
          <w:sz w:val="22"/>
          <w:szCs w:val="22"/>
        </w:rPr>
      </w:pPr>
      <w:r w:rsidRPr="001226BC">
        <w:rPr>
          <w:color w:val="000000" w:themeColor="text1"/>
          <w:sz w:val="22"/>
          <w:szCs w:val="22"/>
        </w:rPr>
        <w:t xml:space="preserve">How can peace processes </w:t>
      </w:r>
      <w:r>
        <w:rPr>
          <w:color w:val="000000" w:themeColor="text1"/>
          <w:sz w:val="22"/>
          <w:szCs w:val="22"/>
        </w:rPr>
        <w:t xml:space="preserve">and peace missions, peace operations </w:t>
      </w:r>
      <w:r w:rsidRPr="001226BC">
        <w:rPr>
          <w:color w:val="000000" w:themeColor="text1"/>
          <w:sz w:val="22"/>
          <w:szCs w:val="22"/>
        </w:rPr>
        <w:t>be more inclusive and responsive to the diverse needs</w:t>
      </w:r>
      <w:r>
        <w:rPr>
          <w:color w:val="000000" w:themeColor="text1"/>
          <w:sz w:val="22"/>
          <w:szCs w:val="22"/>
        </w:rPr>
        <w:t xml:space="preserve">, </w:t>
      </w:r>
      <w:proofErr w:type="gramStart"/>
      <w:r>
        <w:rPr>
          <w:color w:val="000000" w:themeColor="text1"/>
          <w:sz w:val="22"/>
          <w:szCs w:val="22"/>
        </w:rPr>
        <w:t>vulnerabilities</w:t>
      </w:r>
      <w:proofErr w:type="gramEnd"/>
      <w:r w:rsidRPr="001226BC">
        <w:rPr>
          <w:color w:val="000000" w:themeColor="text1"/>
          <w:sz w:val="22"/>
          <w:szCs w:val="22"/>
        </w:rPr>
        <w:t xml:space="preserve"> and perspective of </w:t>
      </w:r>
      <w:r>
        <w:rPr>
          <w:color w:val="000000" w:themeColor="text1"/>
          <w:sz w:val="22"/>
          <w:szCs w:val="22"/>
        </w:rPr>
        <w:t>IDPs</w:t>
      </w:r>
      <w:r w:rsidRPr="001226BC">
        <w:rPr>
          <w:color w:val="000000" w:themeColor="text1"/>
          <w:sz w:val="22"/>
          <w:szCs w:val="22"/>
        </w:rPr>
        <w:t>, including women</w:t>
      </w:r>
      <w:r>
        <w:rPr>
          <w:rStyle w:val="FootnoteReference"/>
          <w:color w:val="000000" w:themeColor="text1"/>
          <w:sz w:val="22"/>
          <w:szCs w:val="22"/>
        </w:rPr>
        <w:footnoteReference w:id="15"/>
      </w:r>
      <w:r w:rsidRPr="001226BC">
        <w:rPr>
          <w:color w:val="000000" w:themeColor="text1"/>
          <w:sz w:val="22"/>
          <w:szCs w:val="22"/>
        </w:rPr>
        <w:t>, children, older persons, persons with disabilities, ethnic, linguistic, and religious minorities, Indigenous Peoples, and LGBTQI+ persons?</w:t>
      </w:r>
    </w:p>
    <w:p w14:paraId="10E524E4" w14:textId="77777777" w:rsidR="00006E76" w:rsidRPr="00AB41BD" w:rsidRDefault="00006E76" w:rsidP="00006E76">
      <w:pPr>
        <w:pStyle w:val="NormalWeb"/>
        <w:numPr>
          <w:ilvl w:val="0"/>
          <w:numId w:val="1"/>
        </w:numPr>
        <w:shd w:val="clear" w:color="auto" w:fill="FFFFFF"/>
        <w:spacing w:before="0" w:beforeAutospacing="0" w:after="0" w:afterAutospacing="0"/>
        <w:jc w:val="both"/>
        <w:rPr>
          <w:color w:val="000000" w:themeColor="text1"/>
          <w:sz w:val="22"/>
          <w:szCs w:val="22"/>
        </w:rPr>
      </w:pPr>
      <w:r w:rsidRPr="00AB41BD">
        <w:rPr>
          <w:color w:val="000000" w:themeColor="text1"/>
          <w:sz w:val="22"/>
          <w:szCs w:val="22"/>
        </w:rPr>
        <w:t xml:space="preserve">What are the considerations of the intersectional vulnerabilities of IDPs based on gender, age, </w:t>
      </w:r>
      <w:r>
        <w:rPr>
          <w:color w:val="000000" w:themeColor="text1"/>
          <w:sz w:val="22"/>
          <w:szCs w:val="22"/>
        </w:rPr>
        <w:t xml:space="preserve">race, </w:t>
      </w:r>
      <w:r w:rsidRPr="00AB41BD">
        <w:rPr>
          <w:color w:val="000000" w:themeColor="text1"/>
          <w:sz w:val="22"/>
          <w:szCs w:val="22"/>
        </w:rPr>
        <w:t xml:space="preserve">ethnicity, disability, or other factors </w:t>
      </w:r>
      <w:r w:rsidRPr="00FA5B85">
        <w:rPr>
          <w:color w:val="000000" w:themeColor="text1"/>
          <w:sz w:val="22"/>
          <w:szCs w:val="22"/>
        </w:rPr>
        <w:t>in policy and programming for peacebuilding?</w:t>
      </w:r>
    </w:p>
    <w:p w14:paraId="41C4F2C1" w14:textId="77777777" w:rsidR="00006E76" w:rsidRDefault="00006E76" w:rsidP="00006E76">
      <w:pPr>
        <w:pStyle w:val="NormalWeb"/>
        <w:shd w:val="clear" w:color="auto" w:fill="FFFFFF"/>
        <w:spacing w:before="0" w:beforeAutospacing="0" w:after="0" w:afterAutospacing="0"/>
        <w:jc w:val="both"/>
        <w:rPr>
          <w:b/>
          <w:bCs/>
          <w:i/>
          <w:iCs/>
          <w:color w:val="000000" w:themeColor="text1"/>
          <w:sz w:val="22"/>
          <w:szCs w:val="22"/>
        </w:rPr>
      </w:pPr>
    </w:p>
    <w:p w14:paraId="3BA1AB3B" w14:textId="77777777" w:rsidR="00006E76" w:rsidRDefault="00006E76" w:rsidP="00006E76">
      <w:pPr>
        <w:pStyle w:val="NormalWeb"/>
        <w:shd w:val="clear" w:color="auto" w:fill="FFFFFF"/>
        <w:spacing w:before="0" w:beforeAutospacing="0" w:after="0" w:afterAutospacing="0"/>
        <w:jc w:val="both"/>
        <w:rPr>
          <w:b/>
          <w:bCs/>
          <w:i/>
          <w:iCs/>
          <w:color w:val="000000" w:themeColor="text1"/>
          <w:sz w:val="22"/>
          <w:szCs w:val="22"/>
        </w:rPr>
      </w:pPr>
      <w:r>
        <w:rPr>
          <w:b/>
          <w:bCs/>
          <w:i/>
          <w:iCs/>
          <w:color w:val="000000" w:themeColor="text1"/>
          <w:sz w:val="22"/>
          <w:szCs w:val="22"/>
        </w:rPr>
        <w:t xml:space="preserve">The role of international, </w:t>
      </w:r>
      <w:proofErr w:type="gramStart"/>
      <w:r>
        <w:rPr>
          <w:b/>
          <w:bCs/>
          <w:i/>
          <w:iCs/>
          <w:color w:val="000000" w:themeColor="text1"/>
          <w:sz w:val="22"/>
          <w:szCs w:val="22"/>
        </w:rPr>
        <w:t>regional</w:t>
      </w:r>
      <w:proofErr w:type="gramEnd"/>
      <w:r>
        <w:rPr>
          <w:b/>
          <w:bCs/>
          <w:i/>
          <w:iCs/>
          <w:color w:val="000000" w:themeColor="text1"/>
          <w:sz w:val="22"/>
          <w:szCs w:val="22"/>
        </w:rPr>
        <w:t xml:space="preserve"> and national peace actors</w:t>
      </w:r>
      <w:r w:rsidRPr="001226BC">
        <w:rPr>
          <w:b/>
          <w:bCs/>
          <w:i/>
          <w:iCs/>
          <w:color w:val="000000" w:themeColor="text1"/>
          <w:sz w:val="22"/>
          <w:szCs w:val="22"/>
        </w:rPr>
        <w:t xml:space="preserve"> </w:t>
      </w:r>
    </w:p>
    <w:p w14:paraId="4432DD76" w14:textId="77777777" w:rsidR="00006E76" w:rsidRDefault="00006E76" w:rsidP="00006E76">
      <w:pPr>
        <w:pStyle w:val="NormalWeb"/>
        <w:numPr>
          <w:ilvl w:val="0"/>
          <w:numId w:val="1"/>
        </w:numPr>
        <w:shd w:val="clear" w:color="auto" w:fill="FFFFFF"/>
        <w:spacing w:before="0" w:beforeAutospacing="0" w:after="0" w:afterAutospacing="0"/>
        <w:jc w:val="both"/>
        <w:rPr>
          <w:color w:val="000000" w:themeColor="text1"/>
          <w:sz w:val="22"/>
          <w:szCs w:val="22"/>
        </w:rPr>
      </w:pPr>
      <w:r w:rsidRPr="001226BC">
        <w:rPr>
          <w:color w:val="000000" w:themeColor="text1"/>
          <w:sz w:val="22"/>
          <w:szCs w:val="22"/>
        </w:rPr>
        <w:t>What role can the</w:t>
      </w:r>
      <w:r>
        <w:rPr>
          <w:color w:val="000000" w:themeColor="text1"/>
          <w:sz w:val="22"/>
          <w:szCs w:val="22"/>
        </w:rPr>
        <w:t xml:space="preserve"> regional and</w:t>
      </w:r>
      <w:r w:rsidRPr="001226BC">
        <w:rPr>
          <w:color w:val="000000" w:themeColor="text1"/>
          <w:sz w:val="22"/>
          <w:szCs w:val="22"/>
        </w:rPr>
        <w:t xml:space="preserve"> international community play in supporting national efforts to address the rights and needs of </w:t>
      </w:r>
      <w:r>
        <w:rPr>
          <w:color w:val="000000" w:themeColor="text1"/>
          <w:sz w:val="22"/>
          <w:szCs w:val="22"/>
        </w:rPr>
        <w:t>IDPs</w:t>
      </w:r>
      <w:r w:rsidRPr="001226BC">
        <w:rPr>
          <w:color w:val="000000" w:themeColor="text1"/>
          <w:sz w:val="22"/>
          <w:szCs w:val="22"/>
        </w:rPr>
        <w:t xml:space="preserve"> in </w:t>
      </w:r>
      <w:r>
        <w:rPr>
          <w:color w:val="000000" w:themeColor="text1"/>
          <w:sz w:val="22"/>
          <w:szCs w:val="22"/>
        </w:rPr>
        <w:t>the</w:t>
      </w:r>
      <w:r w:rsidRPr="001226BC">
        <w:rPr>
          <w:color w:val="000000" w:themeColor="text1"/>
          <w:sz w:val="22"/>
          <w:szCs w:val="22"/>
        </w:rPr>
        <w:t xml:space="preserve"> context of peace processes?</w:t>
      </w:r>
      <w:r>
        <w:rPr>
          <w:color w:val="000000" w:themeColor="text1"/>
          <w:sz w:val="22"/>
          <w:szCs w:val="22"/>
        </w:rPr>
        <w:t xml:space="preserve"> What role should they play in contributing to achieve durable solutions through peacebuilding? </w:t>
      </w:r>
    </w:p>
    <w:p w14:paraId="6E66C856" w14:textId="77777777" w:rsidR="00006E76" w:rsidRPr="00FA5B85" w:rsidRDefault="00006E76" w:rsidP="00006E76">
      <w:pPr>
        <w:pStyle w:val="NormalWeb"/>
        <w:numPr>
          <w:ilvl w:val="0"/>
          <w:numId w:val="1"/>
        </w:numPr>
        <w:shd w:val="clear" w:color="auto" w:fill="FFFFFF"/>
        <w:spacing w:before="0" w:beforeAutospacing="0" w:after="0" w:afterAutospacing="0"/>
        <w:jc w:val="both"/>
        <w:rPr>
          <w:rStyle w:val="cf01"/>
          <w:color w:val="000000" w:themeColor="text1"/>
          <w:sz w:val="22"/>
          <w:szCs w:val="22"/>
        </w:rPr>
      </w:pPr>
      <w:r w:rsidRPr="00FA5B85">
        <w:rPr>
          <w:color w:val="000000" w:themeColor="text1"/>
          <w:sz w:val="22"/>
          <w:szCs w:val="22"/>
        </w:rPr>
        <w:t xml:space="preserve">How can </w:t>
      </w:r>
      <w:r>
        <w:rPr>
          <w:color w:val="000000" w:themeColor="text1"/>
          <w:sz w:val="22"/>
          <w:szCs w:val="22"/>
        </w:rPr>
        <w:t xml:space="preserve">the capacity of </w:t>
      </w:r>
      <w:r w:rsidRPr="00FA5B85">
        <w:rPr>
          <w:color w:val="000000" w:themeColor="text1"/>
          <w:sz w:val="22"/>
          <w:szCs w:val="22"/>
        </w:rPr>
        <w:t xml:space="preserve">governments, humanitarian agencies, development organizations, peacebuilding entities, and civil society organizations </w:t>
      </w:r>
      <w:r>
        <w:rPr>
          <w:color w:val="000000" w:themeColor="text1"/>
          <w:sz w:val="22"/>
          <w:szCs w:val="22"/>
        </w:rPr>
        <w:t>be strengthened</w:t>
      </w:r>
      <w:r w:rsidRPr="00FA5B85">
        <w:rPr>
          <w:color w:val="000000" w:themeColor="text1"/>
          <w:sz w:val="22"/>
          <w:szCs w:val="22"/>
        </w:rPr>
        <w:t xml:space="preserve"> to effectively address the rights and needs of IDPs in peacebuilding initiatives? What specific measures are needed to harness political commitment, reinforce institutional </w:t>
      </w:r>
      <w:proofErr w:type="gramStart"/>
      <w:r w:rsidRPr="00FA5B85">
        <w:rPr>
          <w:color w:val="000000" w:themeColor="text1"/>
          <w:sz w:val="22"/>
          <w:szCs w:val="22"/>
        </w:rPr>
        <w:t>capacity</w:t>
      </w:r>
      <w:proofErr w:type="gramEnd"/>
      <w:r w:rsidRPr="00FA5B85">
        <w:rPr>
          <w:color w:val="000000" w:themeColor="text1"/>
          <w:sz w:val="22"/>
          <w:szCs w:val="22"/>
        </w:rPr>
        <w:t xml:space="preserve"> and resource allocation for this purpose?</w:t>
      </w:r>
    </w:p>
    <w:p w14:paraId="78208E97" w14:textId="77777777" w:rsidR="00006E76" w:rsidRPr="00FA5B85" w:rsidRDefault="00006E76" w:rsidP="00006E76">
      <w:pPr>
        <w:pStyle w:val="NormalWeb"/>
        <w:numPr>
          <w:ilvl w:val="0"/>
          <w:numId w:val="1"/>
        </w:numPr>
        <w:shd w:val="clear" w:color="auto" w:fill="FFFFFF"/>
        <w:spacing w:before="0" w:beforeAutospacing="0" w:after="0" w:afterAutospacing="0"/>
        <w:jc w:val="both"/>
        <w:rPr>
          <w:color w:val="000000" w:themeColor="text1"/>
          <w:sz w:val="22"/>
          <w:szCs w:val="22"/>
        </w:rPr>
      </w:pPr>
      <w:r>
        <w:rPr>
          <w:color w:val="000000" w:themeColor="text1"/>
          <w:sz w:val="22"/>
          <w:szCs w:val="22"/>
        </w:rPr>
        <w:t>H</w:t>
      </w:r>
      <w:r w:rsidRPr="00FA5B85">
        <w:rPr>
          <w:color w:val="000000" w:themeColor="text1"/>
          <w:sz w:val="22"/>
          <w:szCs w:val="22"/>
        </w:rPr>
        <w:t xml:space="preserve">ow can uniformed and civilian personnel associated with a UN or regional peace </w:t>
      </w:r>
      <w:proofErr w:type="gramStart"/>
      <w:r w:rsidRPr="00FA5B85">
        <w:rPr>
          <w:color w:val="000000" w:themeColor="text1"/>
          <w:sz w:val="22"/>
          <w:szCs w:val="22"/>
        </w:rPr>
        <w:t>operation</w:t>
      </w:r>
      <w:proofErr w:type="gramEnd"/>
      <w:r>
        <w:rPr>
          <w:color w:val="000000" w:themeColor="text1"/>
          <w:sz w:val="22"/>
          <w:szCs w:val="22"/>
        </w:rPr>
        <w:t xml:space="preserve"> or </w:t>
      </w:r>
      <w:r w:rsidRPr="00FA5B85">
        <w:rPr>
          <w:color w:val="000000" w:themeColor="text1"/>
          <w:sz w:val="22"/>
          <w:szCs w:val="22"/>
        </w:rPr>
        <w:t>peacekeeping mission and humanitarian actors contribute effectively</w:t>
      </w:r>
      <w:r>
        <w:rPr>
          <w:color w:val="000000" w:themeColor="text1"/>
          <w:sz w:val="22"/>
          <w:szCs w:val="22"/>
        </w:rPr>
        <w:t xml:space="preserve"> to IDP protection</w:t>
      </w:r>
      <w:r w:rsidRPr="00FA5B85">
        <w:rPr>
          <w:color w:val="000000" w:themeColor="text1"/>
          <w:sz w:val="22"/>
          <w:szCs w:val="22"/>
        </w:rPr>
        <w:t>? How can they improve their understanding of the needs and priorities of IDPs and what types of analysis and capabilities are necessary to enhance this understanding?</w:t>
      </w:r>
    </w:p>
    <w:p w14:paraId="140B20BB" w14:textId="77777777" w:rsidR="00006E76" w:rsidRPr="00FA5B85" w:rsidRDefault="00006E76" w:rsidP="00006E76">
      <w:pPr>
        <w:pStyle w:val="NormalWeb"/>
        <w:numPr>
          <w:ilvl w:val="0"/>
          <w:numId w:val="1"/>
        </w:numPr>
        <w:shd w:val="clear" w:color="auto" w:fill="FFFFFF"/>
        <w:spacing w:before="0" w:beforeAutospacing="0" w:after="0" w:afterAutospacing="0"/>
        <w:jc w:val="both"/>
        <w:rPr>
          <w:color w:val="000000" w:themeColor="text1"/>
        </w:rPr>
      </w:pPr>
      <w:r w:rsidRPr="00D56AE9">
        <w:rPr>
          <w:color w:val="000000" w:themeColor="text1"/>
          <w:sz w:val="22"/>
          <w:szCs w:val="22"/>
        </w:rPr>
        <w:t>What challenges exist in coordinating and harmonizing international assistance on peace processes to ensure a comprehensive and sustainable response to the plight of IDPs?</w:t>
      </w:r>
    </w:p>
    <w:p w14:paraId="09F372BD" w14:textId="77777777" w:rsidR="00006E76" w:rsidRDefault="00006E76" w:rsidP="00006E76">
      <w:pPr>
        <w:pStyle w:val="NoSpacing"/>
        <w:rPr>
          <w:rFonts w:ascii="Times New Roman" w:hAnsi="Times New Roman" w:cs="Times New Roman"/>
          <w:b/>
          <w:bCs/>
          <w:color w:val="000000" w:themeColor="text1"/>
        </w:rPr>
      </w:pPr>
    </w:p>
    <w:p w14:paraId="5B85771A" w14:textId="77777777" w:rsidR="00006E76" w:rsidRPr="001226BC" w:rsidRDefault="00006E76" w:rsidP="00006E76">
      <w:pPr>
        <w:pStyle w:val="NoSpacing"/>
        <w:rPr>
          <w:rFonts w:ascii="Times New Roman" w:hAnsi="Times New Roman" w:cs="Times New Roman"/>
          <w:b/>
          <w:bCs/>
          <w:color w:val="000000" w:themeColor="text1"/>
        </w:rPr>
      </w:pPr>
      <w:r w:rsidRPr="001226BC">
        <w:rPr>
          <w:rFonts w:ascii="Times New Roman" w:hAnsi="Times New Roman" w:cs="Times New Roman"/>
          <w:b/>
          <w:bCs/>
          <w:color w:val="000000" w:themeColor="text1"/>
        </w:rPr>
        <w:t>How to submit information</w:t>
      </w:r>
    </w:p>
    <w:p w14:paraId="2A37145C" w14:textId="77777777" w:rsidR="00006E76" w:rsidRPr="001226BC" w:rsidRDefault="00006E76" w:rsidP="00006E76">
      <w:pPr>
        <w:pStyle w:val="NormalWeb"/>
        <w:spacing w:before="0" w:beforeAutospacing="0" w:after="0" w:afterAutospacing="0"/>
        <w:rPr>
          <w:rFonts w:eastAsiaTheme="majorEastAsia"/>
          <w:color w:val="000000" w:themeColor="text1"/>
          <w:sz w:val="22"/>
          <w:szCs w:val="22"/>
          <w:lang w:val="en-CA" w:eastAsia="en-US"/>
        </w:rPr>
      </w:pPr>
      <w:r w:rsidRPr="001226BC">
        <w:rPr>
          <w:rFonts w:eastAsiaTheme="majorEastAsia"/>
          <w:color w:val="000000" w:themeColor="text1"/>
          <w:sz w:val="22"/>
          <w:szCs w:val="22"/>
          <w:lang w:val="en-CA" w:eastAsia="en-US"/>
        </w:rPr>
        <w:t xml:space="preserve">Written contributions not exceeding 2,500 words in length should be sent in </w:t>
      </w:r>
      <w:r w:rsidRPr="001226BC">
        <w:rPr>
          <w:rFonts w:eastAsiaTheme="majorEastAsia"/>
          <w:i/>
          <w:iCs/>
          <w:color w:val="000000" w:themeColor="text1"/>
          <w:sz w:val="22"/>
          <w:szCs w:val="22"/>
          <w:lang w:val="en-CA" w:eastAsia="en-US"/>
        </w:rPr>
        <w:t xml:space="preserve">English, French </w:t>
      </w:r>
      <w:r w:rsidRPr="001226BC">
        <w:rPr>
          <w:rFonts w:eastAsiaTheme="majorEastAsia"/>
          <w:color w:val="000000" w:themeColor="text1"/>
          <w:sz w:val="22"/>
          <w:szCs w:val="22"/>
          <w:lang w:val="en-CA" w:eastAsia="en-US"/>
        </w:rPr>
        <w:t>or</w:t>
      </w:r>
      <w:r w:rsidRPr="001226BC">
        <w:rPr>
          <w:rFonts w:eastAsiaTheme="majorEastAsia"/>
          <w:i/>
          <w:iCs/>
          <w:color w:val="000000" w:themeColor="text1"/>
          <w:sz w:val="22"/>
          <w:szCs w:val="22"/>
          <w:lang w:val="en-CA" w:eastAsia="en-US"/>
        </w:rPr>
        <w:t xml:space="preserve"> Spanish</w:t>
      </w:r>
      <w:r w:rsidRPr="001226BC">
        <w:rPr>
          <w:rFonts w:eastAsiaTheme="majorEastAsia"/>
          <w:color w:val="000000" w:themeColor="text1"/>
          <w:sz w:val="22"/>
          <w:szCs w:val="22"/>
          <w:lang w:val="en-CA" w:eastAsia="en-US"/>
        </w:rPr>
        <w:t xml:space="preserve"> in </w:t>
      </w:r>
      <w:r w:rsidRPr="001226BC">
        <w:rPr>
          <w:rFonts w:eastAsiaTheme="majorEastAsia"/>
          <w:i/>
          <w:iCs/>
          <w:color w:val="000000" w:themeColor="text1"/>
          <w:sz w:val="22"/>
          <w:szCs w:val="22"/>
          <w:lang w:val="en-CA" w:eastAsia="en-US"/>
        </w:rPr>
        <w:t xml:space="preserve">Word </w:t>
      </w:r>
      <w:r w:rsidRPr="001226BC">
        <w:rPr>
          <w:rFonts w:eastAsiaTheme="majorEastAsia"/>
          <w:color w:val="000000" w:themeColor="text1"/>
          <w:sz w:val="22"/>
          <w:szCs w:val="22"/>
          <w:lang w:val="en-CA" w:eastAsia="en-US"/>
        </w:rPr>
        <w:t>format to </w:t>
      </w:r>
      <w:hyperlink r:id="rId8" w:history="1">
        <w:r w:rsidRPr="001226BC">
          <w:rPr>
            <w:rFonts w:eastAsiaTheme="majorEastAsia"/>
            <w:b/>
            <w:bCs/>
            <w:color w:val="000000" w:themeColor="text1"/>
            <w:sz w:val="22"/>
            <w:szCs w:val="22"/>
            <w:lang w:val="en-CA" w:eastAsia="en-US"/>
          </w:rPr>
          <w:t>hrc-sr-idp@un.org</w:t>
        </w:r>
      </w:hyperlink>
      <w:r w:rsidRPr="001226BC">
        <w:rPr>
          <w:rFonts w:eastAsiaTheme="majorEastAsia"/>
          <w:b/>
          <w:bCs/>
          <w:color w:val="000000" w:themeColor="text1"/>
          <w:sz w:val="22"/>
          <w:szCs w:val="22"/>
          <w:lang w:val="en-CA" w:eastAsia="en-US"/>
        </w:rPr>
        <w:t xml:space="preserve">. </w:t>
      </w:r>
    </w:p>
    <w:p w14:paraId="1E14E730" w14:textId="77777777" w:rsidR="00006E76" w:rsidRDefault="00006E76" w:rsidP="00006E76">
      <w:pPr>
        <w:pStyle w:val="NormalWeb"/>
        <w:spacing w:before="0" w:beforeAutospacing="0" w:after="0" w:afterAutospacing="0"/>
        <w:rPr>
          <w:rFonts w:eastAsiaTheme="majorEastAsia"/>
          <w:color w:val="000000" w:themeColor="text1"/>
          <w:sz w:val="22"/>
          <w:szCs w:val="22"/>
          <w:lang w:val="en-CA" w:eastAsia="en-US"/>
        </w:rPr>
      </w:pPr>
    </w:p>
    <w:p w14:paraId="22F5E725" w14:textId="77777777" w:rsidR="00006E76" w:rsidRPr="001226BC" w:rsidRDefault="00006E76" w:rsidP="00006E76">
      <w:pPr>
        <w:pStyle w:val="NormalWeb"/>
        <w:spacing w:before="0" w:beforeAutospacing="0" w:after="0" w:afterAutospacing="0"/>
        <w:rPr>
          <w:rFonts w:eastAsiaTheme="majorEastAsia"/>
          <w:color w:val="000000" w:themeColor="text1"/>
          <w:sz w:val="22"/>
          <w:szCs w:val="22"/>
          <w:lang w:val="en-CA" w:eastAsia="en-US"/>
        </w:rPr>
      </w:pPr>
      <w:r w:rsidRPr="001226BC">
        <w:rPr>
          <w:rFonts w:eastAsiaTheme="majorEastAsia"/>
          <w:color w:val="000000" w:themeColor="text1"/>
          <w:sz w:val="22"/>
          <w:szCs w:val="22"/>
          <w:lang w:val="en-CA" w:eastAsia="en-US"/>
        </w:rPr>
        <w:t>Please indicate </w:t>
      </w:r>
      <w:r w:rsidRPr="001226BC">
        <w:rPr>
          <w:rFonts w:eastAsiaTheme="majorEastAsia"/>
          <w:b/>
          <w:bCs/>
          <w:color w:val="000000" w:themeColor="text1"/>
          <w:sz w:val="22"/>
          <w:szCs w:val="22"/>
          <w:lang w:val="en-CA" w:eastAsia="en-US"/>
        </w:rPr>
        <w:t>“Input for SR IDPs - report on peace processes” </w:t>
      </w:r>
      <w:r w:rsidRPr="001226BC">
        <w:rPr>
          <w:rFonts w:eastAsiaTheme="majorEastAsia"/>
          <w:color w:val="000000" w:themeColor="text1"/>
          <w:sz w:val="22"/>
          <w:szCs w:val="22"/>
          <w:lang w:val="en-CA" w:eastAsia="en-US"/>
        </w:rPr>
        <w:t>in the email subject line.</w:t>
      </w:r>
    </w:p>
    <w:p w14:paraId="4EB12D97" w14:textId="77777777" w:rsidR="00006E76" w:rsidRDefault="00006E76" w:rsidP="00006E76">
      <w:pPr>
        <w:pStyle w:val="NormalWeb"/>
        <w:spacing w:before="0" w:beforeAutospacing="0" w:after="0" w:afterAutospacing="0"/>
        <w:rPr>
          <w:b/>
          <w:bCs/>
          <w:color w:val="000000" w:themeColor="text1"/>
          <w:sz w:val="22"/>
          <w:szCs w:val="22"/>
        </w:rPr>
      </w:pPr>
    </w:p>
    <w:p w14:paraId="7E2EC7B4" w14:textId="77777777" w:rsidR="00006E76" w:rsidRPr="001226BC" w:rsidRDefault="00006E76" w:rsidP="00006E76">
      <w:pPr>
        <w:pStyle w:val="NormalWeb"/>
        <w:spacing w:before="0" w:beforeAutospacing="0" w:after="0" w:afterAutospacing="0"/>
        <w:rPr>
          <w:color w:val="000000" w:themeColor="text1"/>
          <w:sz w:val="22"/>
          <w:szCs w:val="22"/>
        </w:rPr>
      </w:pPr>
      <w:r w:rsidRPr="001226BC">
        <w:rPr>
          <w:b/>
          <w:bCs/>
          <w:color w:val="000000" w:themeColor="text1"/>
          <w:sz w:val="22"/>
          <w:szCs w:val="22"/>
        </w:rPr>
        <w:t>Postal address:</w:t>
      </w:r>
      <w:r w:rsidRPr="001226BC">
        <w:rPr>
          <w:color w:val="000000" w:themeColor="text1"/>
          <w:sz w:val="22"/>
          <w:szCs w:val="22"/>
        </w:rPr>
        <w:br/>
        <w:t>Office of the United Nations High Commissioner for Human Rights, United Nations Office at Geneva, CH 1211 Geneva 10, Switzerland.</w:t>
      </w:r>
    </w:p>
    <w:p w14:paraId="63B03A07" w14:textId="77777777" w:rsidR="00006E76" w:rsidRDefault="00006E76" w:rsidP="00006E76">
      <w:pPr>
        <w:pStyle w:val="NormalWeb"/>
        <w:spacing w:before="0" w:beforeAutospacing="0" w:after="0" w:afterAutospacing="0"/>
        <w:jc w:val="both"/>
        <w:rPr>
          <w:color w:val="000000" w:themeColor="text1"/>
          <w:sz w:val="22"/>
          <w:szCs w:val="22"/>
        </w:rPr>
      </w:pPr>
    </w:p>
    <w:p w14:paraId="7AAEFF46" w14:textId="77777777" w:rsidR="00006E76" w:rsidRPr="001226BC" w:rsidRDefault="00006E76" w:rsidP="00006E76">
      <w:pPr>
        <w:pStyle w:val="NormalWeb"/>
        <w:spacing w:before="0" w:beforeAutospacing="0" w:after="0" w:afterAutospacing="0"/>
        <w:jc w:val="both"/>
        <w:rPr>
          <w:color w:val="000000" w:themeColor="text1"/>
          <w:sz w:val="22"/>
          <w:szCs w:val="22"/>
        </w:rPr>
      </w:pPr>
      <w:r w:rsidRPr="001226BC">
        <w:rPr>
          <w:color w:val="000000" w:themeColor="text1"/>
          <w:sz w:val="22"/>
          <w:szCs w:val="22"/>
        </w:rPr>
        <w:t>Please include references to reports, text of legislation, policy documents, judgements, statistical information with hyperlinks to their full text or source or attach them to your submission.</w:t>
      </w:r>
    </w:p>
    <w:p w14:paraId="26840D61" w14:textId="77777777" w:rsidR="00006E76" w:rsidRDefault="00006E76" w:rsidP="00006E76">
      <w:pPr>
        <w:pStyle w:val="NormalWeb"/>
        <w:spacing w:before="0" w:beforeAutospacing="0" w:after="0" w:afterAutospacing="0"/>
        <w:jc w:val="both"/>
        <w:rPr>
          <w:rStyle w:val="Strong"/>
          <w:rFonts w:eastAsiaTheme="majorEastAsia"/>
          <w:color w:val="000000" w:themeColor="text1"/>
          <w:sz w:val="22"/>
          <w:szCs w:val="22"/>
        </w:rPr>
      </w:pPr>
    </w:p>
    <w:p w14:paraId="3301F9E9" w14:textId="77777777" w:rsidR="00006E76" w:rsidRPr="001226BC" w:rsidRDefault="00006E76" w:rsidP="00006E76">
      <w:pPr>
        <w:pStyle w:val="NormalWeb"/>
        <w:spacing w:before="0" w:beforeAutospacing="0" w:after="0" w:afterAutospacing="0"/>
        <w:jc w:val="both"/>
        <w:rPr>
          <w:b/>
          <w:bCs/>
          <w:color w:val="000000" w:themeColor="text1"/>
          <w:sz w:val="22"/>
          <w:szCs w:val="22"/>
        </w:rPr>
      </w:pPr>
      <w:r w:rsidRPr="001226BC">
        <w:rPr>
          <w:rStyle w:val="Strong"/>
          <w:rFonts w:eastAsiaTheme="majorEastAsia"/>
          <w:color w:val="000000" w:themeColor="text1"/>
          <w:sz w:val="22"/>
          <w:szCs w:val="22"/>
        </w:rPr>
        <w:t xml:space="preserve">Please note that inputs received after the initial deadline of </w:t>
      </w:r>
      <w:r>
        <w:rPr>
          <w:rStyle w:val="Strong"/>
          <w:rFonts w:eastAsiaTheme="majorEastAsia"/>
          <w:color w:val="000000" w:themeColor="text1"/>
          <w:sz w:val="22"/>
          <w:szCs w:val="22"/>
        </w:rPr>
        <w:t>30</w:t>
      </w:r>
      <w:r w:rsidRPr="001226BC">
        <w:rPr>
          <w:rStyle w:val="Strong"/>
          <w:rFonts w:eastAsiaTheme="majorEastAsia"/>
          <w:color w:val="000000" w:themeColor="text1"/>
          <w:sz w:val="22"/>
          <w:szCs w:val="22"/>
        </w:rPr>
        <w:t xml:space="preserve"> </w:t>
      </w:r>
      <w:r>
        <w:rPr>
          <w:rStyle w:val="Strong"/>
          <w:rFonts w:eastAsiaTheme="majorEastAsia"/>
          <w:color w:val="000000" w:themeColor="text1"/>
          <w:sz w:val="22"/>
          <w:szCs w:val="22"/>
        </w:rPr>
        <w:t xml:space="preserve">June </w:t>
      </w:r>
      <w:r w:rsidRPr="001226BC">
        <w:rPr>
          <w:rStyle w:val="Strong"/>
          <w:rFonts w:eastAsiaTheme="majorEastAsia"/>
          <w:color w:val="000000" w:themeColor="text1"/>
          <w:sz w:val="22"/>
          <w:szCs w:val="22"/>
        </w:rPr>
        <w:t xml:space="preserve">2024, may not be </w:t>
      </w:r>
      <w:proofErr w:type="gramStart"/>
      <w:r w:rsidRPr="001226BC">
        <w:rPr>
          <w:rStyle w:val="Strong"/>
          <w:rFonts w:eastAsiaTheme="majorEastAsia"/>
          <w:color w:val="000000" w:themeColor="text1"/>
          <w:sz w:val="22"/>
          <w:szCs w:val="22"/>
        </w:rPr>
        <w:t>taken into account</w:t>
      </w:r>
      <w:proofErr w:type="gramEnd"/>
      <w:r w:rsidRPr="001226BC">
        <w:rPr>
          <w:rStyle w:val="Strong"/>
          <w:rFonts w:eastAsiaTheme="majorEastAsia"/>
          <w:color w:val="000000" w:themeColor="text1"/>
          <w:sz w:val="22"/>
          <w:szCs w:val="22"/>
        </w:rPr>
        <w:t xml:space="preserve"> for the preparation of the thematic report to be presented at the 79</w:t>
      </w:r>
      <w:r w:rsidRPr="001226BC">
        <w:rPr>
          <w:rStyle w:val="Strong"/>
          <w:rFonts w:eastAsiaTheme="majorEastAsia"/>
          <w:color w:val="000000" w:themeColor="text1"/>
          <w:sz w:val="22"/>
          <w:szCs w:val="22"/>
          <w:vertAlign w:val="superscript"/>
        </w:rPr>
        <w:t>th</w:t>
      </w:r>
      <w:r w:rsidRPr="001226BC">
        <w:rPr>
          <w:rStyle w:val="Strong"/>
          <w:rFonts w:eastAsiaTheme="majorEastAsia"/>
          <w:color w:val="000000" w:themeColor="text1"/>
          <w:sz w:val="22"/>
          <w:szCs w:val="22"/>
        </w:rPr>
        <w:t xml:space="preserve"> session of the General Assembly.</w:t>
      </w:r>
    </w:p>
    <w:p w14:paraId="6DDD37E8" w14:textId="77777777" w:rsidR="00006E76" w:rsidRDefault="00006E76" w:rsidP="00006E76">
      <w:pPr>
        <w:pStyle w:val="NormalWeb"/>
        <w:spacing w:before="0" w:beforeAutospacing="0" w:after="0" w:afterAutospacing="0"/>
        <w:jc w:val="both"/>
        <w:rPr>
          <w:color w:val="000000" w:themeColor="text1"/>
          <w:sz w:val="22"/>
          <w:szCs w:val="22"/>
        </w:rPr>
      </w:pPr>
    </w:p>
    <w:p w14:paraId="5AB6BE6F" w14:textId="77777777" w:rsidR="00006E76" w:rsidRPr="001226BC" w:rsidRDefault="00006E76" w:rsidP="00006E76">
      <w:pPr>
        <w:pStyle w:val="NormalWeb"/>
        <w:spacing w:before="0" w:beforeAutospacing="0" w:after="0" w:afterAutospacing="0"/>
        <w:jc w:val="both"/>
        <w:rPr>
          <w:color w:val="000000" w:themeColor="text1"/>
          <w:sz w:val="22"/>
          <w:szCs w:val="22"/>
        </w:rPr>
      </w:pPr>
      <w:r w:rsidRPr="001226BC">
        <w:rPr>
          <w:color w:val="000000" w:themeColor="text1"/>
          <w:sz w:val="22"/>
          <w:szCs w:val="22"/>
        </w:rPr>
        <w:t>All submissions will be posted on this webpage, except where confidentiality is explicitly requested.</w:t>
      </w:r>
    </w:p>
    <w:p w14:paraId="2FB48B9B" w14:textId="77777777" w:rsidR="00006E76" w:rsidRDefault="00006E76" w:rsidP="00006E76"/>
    <w:p w14:paraId="3C5C86A3" w14:textId="77777777" w:rsidR="00006E76" w:rsidRDefault="00006E76" w:rsidP="00006E76"/>
    <w:p w14:paraId="44A5E013" w14:textId="77777777" w:rsidR="00006E76" w:rsidRDefault="00006E76" w:rsidP="00006E76"/>
    <w:p w14:paraId="2A920FF8" w14:textId="77777777" w:rsidR="00006E76" w:rsidRDefault="00006E76" w:rsidP="00006E76"/>
    <w:p w14:paraId="1D2FD128" w14:textId="77777777" w:rsidR="00557358" w:rsidRDefault="00557358"/>
    <w:sectPr w:rsidR="005573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1E27" w14:textId="77777777" w:rsidR="00006E76" w:rsidRDefault="00006E76" w:rsidP="00006E76">
      <w:r>
        <w:separator/>
      </w:r>
    </w:p>
  </w:endnote>
  <w:endnote w:type="continuationSeparator" w:id="0">
    <w:p w14:paraId="2D24A444" w14:textId="77777777" w:rsidR="00006E76" w:rsidRDefault="00006E76" w:rsidP="0000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A1F3" w14:textId="77777777" w:rsidR="00006E76" w:rsidRDefault="00006E76" w:rsidP="00006E76">
      <w:r>
        <w:separator/>
      </w:r>
    </w:p>
  </w:footnote>
  <w:footnote w:type="continuationSeparator" w:id="0">
    <w:p w14:paraId="0FC5F8B6" w14:textId="77777777" w:rsidR="00006E76" w:rsidRDefault="00006E76" w:rsidP="00006E76">
      <w:r>
        <w:continuationSeparator/>
      </w:r>
    </w:p>
  </w:footnote>
  <w:footnote w:id="1">
    <w:p w14:paraId="407B797B" w14:textId="77777777" w:rsidR="00006E76" w:rsidRPr="008F038A" w:rsidRDefault="00006E76" w:rsidP="00006E76">
      <w:pPr>
        <w:pStyle w:val="FootnoteText"/>
      </w:pPr>
      <w:r w:rsidRPr="008F038A">
        <w:rPr>
          <w:rStyle w:val="FootnoteReference"/>
        </w:rPr>
        <w:footnoteRef/>
      </w:r>
      <w:r w:rsidRPr="008F038A">
        <w:t xml:space="preserve"> </w:t>
      </w:r>
      <w:hyperlink r:id="rId1" w:history="1">
        <w:r w:rsidRPr="008F038A">
          <w:rPr>
            <w:rStyle w:val="Hyperlink"/>
          </w:rPr>
          <w:t xml:space="preserve">Addressing Internal Displacement in Peace Processes, Peace Agreements and </w:t>
        </w:r>
        <w:proofErr w:type="gramStart"/>
        <w:r w:rsidRPr="008F038A">
          <w:rPr>
            <w:rStyle w:val="Hyperlink"/>
          </w:rPr>
          <w:t>Peace-Building</w:t>
        </w:r>
        <w:proofErr w:type="gramEnd"/>
        <w:r w:rsidRPr="008F038A">
          <w:rPr>
            <w:rStyle w:val="Hyperlink"/>
          </w:rPr>
          <w:t xml:space="preserve"> | Brookings</w:t>
        </w:r>
      </w:hyperlink>
      <w:r w:rsidRPr="008F038A">
        <w:t>.</w:t>
      </w:r>
    </w:p>
  </w:footnote>
  <w:footnote w:id="2">
    <w:p w14:paraId="5BF03C19" w14:textId="77777777" w:rsidR="00006E76" w:rsidRPr="008F038A" w:rsidRDefault="00006E76" w:rsidP="00006E76">
      <w:pPr>
        <w:pStyle w:val="FootnoteText"/>
      </w:pPr>
      <w:r w:rsidRPr="008F038A">
        <w:rPr>
          <w:rStyle w:val="FootnoteReference"/>
        </w:rPr>
        <w:footnoteRef/>
      </w:r>
      <w:r w:rsidRPr="008F038A">
        <w:t xml:space="preserve"> Our Common Agenda policy brief 9”, actions 2 and 3 (p. 15) and pp. 19–26.</w:t>
      </w:r>
    </w:p>
  </w:footnote>
  <w:footnote w:id="3">
    <w:p w14:paraId="2A3E71CF" w14:textId="77777777" w:rsidR="00006E76" w:rsidRPr="008F038A" w:rsidRDefault="00006E76" w:rsidP="00006E76">
      <w:pPr>
        <w:pStyle w:val="FootnoteText"/>
      </w:pPr>
      <w:r w:rsidRPr="008F038A">
        <w:rPr>
          <w:rStyle w:val="FootnoteReference"/>
        </w:rPr>
        <w:footnoteRef/>
      </w:r>
      <w:r w:rsidRPr="008F038A">
        <w:t xml:space="preserve"> Mediation should be understood as including conflict management, conflict resolution and conflict transformation processes. See Department of Political and Peacebuilding Affairs, “Engaging at the local level: options for UN mediators” practice note, September 2022.</w:t>
      </w:r>
    </w:p>
  </w:footnote>
  <w:footnote w:id="4">
    <w:p w14:paraId="38A0ED2A" w14:textId="77777777" w:rsidR="00006E76" w:rsidRPr="008F038A" w:rsidRDefault="00006E76" w:rsidP="00006E76">
      <w:pPr>
        <w:pStyle w:val="FootnoteText"/>
      </w:pPr>
      <w:r w:rsidRPr="008F038A">
        <w:rPr>
          <w:rStyle w:val="FootnoteReference"/>
        </w:rPr>
        <w:footnoteRef/>
      </w:r>
      <w:r w:rsidRPr="008F038A">
        <w:t xml:space="preserve"> See A/HRC/13/21/Add.4, sect. E.</w:t>
      </w:r>
    </w:p>
  </w:footnote>
  <w:footnote w:id="5">
    <w:p w14:paraId="10B72B5E" w14:textId="77777777" w:rsidR="00006E76" w:rsidRPr="008F038A" w:rsidRDefault="00006E76" w:rsidP="00006E76">
      <w:pPr>
        <w:pStyle w:val="FootnoteText"/>
      </w:pPr>
      <w:r w:rsidRPr="008F038A">
        <w:rPr>
          <w:rStyle w:val="FootnoteReference"/>
        </w:rPr>
        <w:footnoteRef/>
      </w:r>
      <w:r w:rsidRPr="008F038A">
        <w:t xml:space="preserve"> A/78/245, para.75.</w:t>
      </w:r>
    </w:p>
  </w:footnote>
  <w:footnote w:id="6">
    <w:p w14:paraId="5E077715" w14:textId="77777777" w:rsidR="00006E76" w:rsidRDefault="00006E76" w:rsidP="00006E76">
      <w:pPr>
        <w:pStyle w:val="FootnoteText"/>
      </w:pPr>
      <w:r w:rsidRPr="008F038A">
        <w:rPr>
          <w:rStyle w:val="FootnoteReference"/>
        </w:rPr>
        <w:footnoteRef/>
      </w:r>
      <w:r w:rsidRPr="008F038A">
        <w:t xml:space="preserve"> High-Level Panel on Internal Displacement, Shining a Light on Internal Displacement, pp. 15 and 16.</w:t>
      </w:r>
    </w:p>
  </w:footnote>
  <w:footnote w:id="7">
    <w:p w14:paraId="5F705AD6" w14:textId="77777777" w:rsidR="00006E76" w:rsidRPr="008F038A" w:rsidRDefault="00006E76" w:rsidP="00006E76">
      <w:pPr>
        <w:pStyle w:val="FootnoteText"/>
      </w:pPr>
      <w:r w:rsidRPr="008F038A">
        <w:rPr>
          <w:rStyle w:val="FootnoteReference"/>
        </w:rPr>
        <w:footnoteRef/>
      </w:r>
      <w:r w:rsidRPr="008F038A">
        <w:t xml:space="preserve"> See A/62/227, A/68/225, A/HRC/10/13 and A/HRC/13/21/Add.4. </w:t>
      </w:r>
    </w:p>
  </w:footnote>
  <w:footnote w:id="8">
    <w:p w14:paraId="7459A765" w14:textId="77777777" w:rsidR="00006E76" w:rsidRPr="008F038A" w:rsidRDefault="00006E76" w:rsidP="00006E76">
      <w:pPr>
        <w:pStyle w:val="FootnoteText"/>
        <w:rPr>
          <w:lang w:val="en-US"/>
        </w:rPr>
      </w:pPr>
      <w:r w:rsidRPr="008F038A">
        <w:rPr>
          <w:rStyle w:val="FootnoteReference"/>
        </w:rPr>
        <w:footnoteRef/>
      </w:r>
      <w:r w:rsidRPr="008F038A">
        <w:rPr>
          <w:lang w:val="en-US"/>
        </w:rPr>
        <w:t xml:space="preserve"> A/73/173.</w:t>
      </w:r>
    </w:p>
  </w:footnote>
  <w:footnote w:id="9">
    <w:p w14:paraId="2E77BDDC" w14:textId="77777777" w:rsidR="00006E76" w:rsidRPr="008F038A" w:rsidRDefault="00006E76" w:rsidP="00006E76">
      <w:pPr>
        <w:pStyle w:val="FootnoteText"/>
        <w:rPr>
          <w:lang w:val="en-US"/>
        </w:rPr>
      </w:pPr>
      <w:r w:rsidRPr="008F038A">
        <w:rPr>
          <w:rStyle w:val="FootnoteReference"/>
        </w:rPr>
        <w:footnoteRef/>
      </w:r>
      <w:r w:rsidRPr="008F038A">
        <w:rPr>
          <w:lang w:val="en-US"/>
        </w:rPr>
        <w:t xml:space="preserve"> A/HRC/47/37.</w:t>
      </w:r>
    </w:p>
  </w:footnote>
  <w:footnote w:id="10">
    <w:p w14:paraId="42BB779D" w14:textId="77777777" w:rsidR="00006E76" w:rsidRPr="008F038A" w:rsidRDefault="00006E76" w:rsidP="00006E76">
      <w:pPr>
        <w:pStyle w:val="FootnoteText"/>
      </w:pPr>
      <w:r w:rsidRPr="008F038A">
        <w:rPr>
          <w:rStyle w:val="FootnoteReference"/>
        </w:rPr>
        <w:footnoteRef/>
      </w:r>
      <w:r w:rsidRPr="008F038A">
        <w:t xml:space="preserve"> A/HRC/42/45.</w:t>
      </w:r>
    </w:p>
  </w:footnote>
  <w:footnote w:id="11">
    <w:p w14:paraId="2CE8A1F2" w14:textId="77777777" w:rsidR="00006E76" w:rsidRPr="008F038A" w:rsidRDefault="00006E76" w:rsidP="00006E76">
      <w:pPr>
        <w:pStyle w:val="FootnoteText"/>
      </w:pPr>
      <w:r w:rsidRPr="008F038A">
        <w:rPr>
          <w:rStyle w:val="FootnoteReference"/>
        </w:rPr>
        <w:footnoteRef/>
      </w:r>
      <w:r w:rsidRPr="008F038A">
        <w:t xml:space="preserve"> Ibid., paras. 125 and 129.</w:t>
      </w:r>
    </w:p>
  </w:footnote>
  <w:footnote w:id="12">
    <w:p w14:paraId="73998792" w14:textId="77777777" w:rsidR="00006E76" w:rsidRPr="008F038A" w:rsidRDefault="00006E76" w:rsidP="00006E76">
      <w:pPr>
        <w:pStyle w:val="FootnoteText"/>
      </w:pPr>
      <w:r w:rsidRPr="008F038A">
        <w:rPr>
          <w:rStyle w:val="FootnoteReference"/>
        </w:rPr>
        <w:footnoteRef/>
      </w:r>
      <w:r w:rsidRPr="008F038A">
        <w:t xml:space="preserve"> A/73/173.</w:t>
      </w:r>
    </w:p>
  </w:footnote>
  <w:footnote w:id="13">
    <w:p w14:paraId="63F2D0E4" w14:textId="77777777" w:rsidR="00006E76" w:rsidRPr="008F038A" w:rsidRDefault="00006E76" w:rsidP="00006E76">
      <w:pPr>
        <w:pStyle w:val="FootnoteText"/>
      </w:pPr>
      <w:r w:rsidRPr="008F038A">
        <w:rPr>
          <w:rStyle w:val="FootnoteReference"/>
        </w:rPr>
        <w:footnoteRef/>
      </w:r>
      <w:r w:rsidRPr="008F038A">
        <w:t xml:space="preserve"> High-Level Panel on Internal Displacement, Shining a Light on Internal Displacement, p. 16.</w:t>
      </w:r>
    </w:p>
  </w:footnote>
  <w:footnote w:id="14">
    <w:p w14:paraId="7544A78C" w14:textId="77777777" w:rsidR="00006E76" w:rsidRDefault="00006E76" w:rsidP="00006E76">
      <w:pPr>
        <w:pStyle w:val="FootnoteText"/>
      </w:pPr>
      <w:r w:rsidRPr="008F038A">
        <w:rPr>
          <w:rStyle w:val="FootnoteReference"/>
        </w:rPr>
        <w:footnoteRef/>
      </w:r>
      <w:r w:rsidRPr="008F038A">
        <w:t xml:space="preserve"> Ibid., pp. 16 and 17.</w:t>
      </w:r>
    </w:p>
  </w:footnote>
  <w:footnote w:id="15">
    <w:p w14:paraId="65DC9533" w14:textId="77777777" w:rsidR="00006E76" w:rsidRPr="008F038A" w:rsidRDefault="00006E76" w:rsidP="00006E76">
      <w:pPr>
        <w:pStyle w:val="FootnoteText"/>
      </w:pPr>
      <w:r w:rsidRPr="008F038A">
        <w:rPr>
          <w:rStyle w:val="FootnoteReference"/>
        </w:rPr>
        <w:footnoteRef/>
      </w:r>
      <w:r w:rsidRPr="008F038A">
        <w:t xml:space="preserve"> </w:t>
      </w:r>
      <w:r w:rsidRPr="008F038A">
        <w:rPr>
          <w:color w:val="000000" w:themeColor="text1"/>
          <w:szCs w:val="18"/>
        </w:rPr>
        <w:t xml:space="preserve">In line with </w:t>
      </w:r>
      <w:r w:rsidRPr="008F038A">
        <w:rPr>
          <w:color w:val="000000" w:themeColor="text1"/>
          <w:szCs w:val="18"/>
          <w:u w:val="single"/>
        </w:rPr>
        <w:t xml:space="preserve">Security Council resolution 1325/2000 </w:t>
      </w:r>
      <w:r w:rsidRPr="008F038A">
        <w:rPr>
          <w:color w:val="000000" w:themeColor="text1"/>
          <w:szCs w:val="18"/>
        </w:rPr>
        <w:t>on women and peace and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367F"/>
    <w:multiLevelType w:val="hybridMultilevel"/>
    <w:tmpl w:val="0E589D9A"/>
    <w:lvl w:ilvl="0" w:tplc="CE1495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67D5"/>
    <w:multiLevelType w:val="hybridMultilevel"/>
    <w:tmpl w:val="A724863E"/>
    <w:lvl w:ilvl="0" w:tplc="CE149596">
      <w:start w:val="1"/>
      <w:numFmt w:val="bullet"/>
      <w:lvlText w:val="-"/>
      <w:lvlJc w:val="left"/>
      <w:pPr>
        <w:ind w:left="720" w:hanging="360"/>
      </w:pPr>
      <w:rPr>
        <w:rFonts w:ascii="Times New Roman" w:eastAsia="Times New Roman" w:hAnsi="Times New Roman" w:cs="Times New Roman" w:hint="default"/>
        <w:i w:val="0"/>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6D7F87"/>
    <w:multiLevelType w:val="hybridMultilevel"/>
    <w:tmpl w:val="A1222D28"/>
    <w:lvl w:ilvl="0" w:tplc="CE149596">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15454655">
    <w:abstractNumId w:val="0"/>
  </w:num>
  <w:num w:numId="2" w16cid:durableId="1256328579">
    <w:abstractNumId w:val="1"/>
  </w:num>
  <w:num w:numId="3" w16cid:durableId="24892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76"/>
    <w:rsid w:val="00006E76"/>
    <w:rsid w:val="00557358"/>
    <w:rsid w:val="00E3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CBBA"/>
  <w15:chartTrackingRefBased/>
  <w15:docId w15:val="{B94B87FE-39F5-4FD3-8A55-32C533F2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7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006E76"/>
    <w:pPr>
      <w:pBdr>
        <w:bottom w:val="single" w:sz="4" w:space="4" w:color="auto"/>
      </w:pBdr>
    </w:pPr>
    <w:rPr>
      <w:b/>
      <w:sz w:val="18"/>
    </w:rPr>
  </w:style>
  <w:style w:type="character" w:customStyle="1" w:styleId="HeaderChar">
    <w:name w:val="Header Char"/>
    <w:aliases w:val="6_G Char"/>
    <w:basedOn w:val="DefaultParagraphFont"/>
    <w:link w:val="Header"/>
    <w:uiPriority w:val="99"/>
    <w:rsid w:val="00006E76"/>
    <w:rPr>
      <w:rFonts w:ascii="Times New Roman" w:eastAsia="Times New Roman" w:hAnsi="Times New Roman" w:cs="Times New Roman"/>
      <w:b/>
      <w:kern w:val="0"/>
      <w:sz w:val="18"/>
      <w:szCs w:val="20"/>
      <w14:ligatures w14:val="none"/>
    </w:rPr>
  </w:style>
  <w:style w:type="character" w:styleId="FootnoteReference">
    <w:name w:val="footnote reference"/>
    <w:aliases w:val="4_G"/>
    <w:basedOn w:val="DefaultParagraphFont"/>
    <w:uiPriority w:val="99"/>
    <w:qFormat/>
    <w:rsid w:val="00006E76"/>
    <w:rPr>
      <w:rFonts w:ascii="Times New Roman" w:hAnsi="Times New Roman"/>
      <w:sz w:val="18"/>
      <w:vertAlign w:val="superscript"/>
      <w:lang w:val="fr-CH"/>
    </w:rPr>
  </w:style>
  <w:style w:type="character" w:styleId="Hyperlink">
    <w:name w:val="Hyperlink"/>
    <w:basedOn w:val="DefaultParagraphFont"/>
    <w:uiPriority w:val="99"/>
    <w:rsid w:val="00006E76"/>
    <w:rPr>
      <w:color w:val="0000FF"/>
      <w:u w:val="none"/>
    </w:rPr>
  </w:style>
  <w:style w:type="paragraph" w:styleId="FootnoteText">
    <w:name w:val="footnote text"/>
    <w:aliases w:val="5_G"/>
    <w:basedOn w:val="Normal"/>
    <w:link w:val="FootnoteTextChar"/>
    <w:uiPriority w:val="99"/>
    <w:qFormat/>
    <w:rsid w:val="00006E76"/>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006E76"/>
    <w:rPr>
      <w:rFonts w:ascii="Times New Roman" w:eastAsia="Times New Roman" w:hAnsi="Times New Roman" w:cs="Times New Roman"/>
      <w:kern w:val="0"/>
      <w:sz w:val="18"/>
      <w:szCs w:val="20"/>
      <w14:ligatures w14:val="none"/>
    </w:rPr>
  </w:style>
  <w:style w:type="paragraph" w:styleId="ListParagraph">
    <w:name w:val="List Paragraph"/>
    <w:basedOn w:val="Normal"/>
    <w:uiPriority w:val="34"/>
    <w:qFormat/>
    <w:rsid w:val="00006E76"/>
    <w:pPr>
      <w:ind w:left="720"/>
      <w:contextualSpacing/>
    </w:pPr>
  </w:style>
  <w:style w:type="paragraph" w:styleId="NormalWeb">
    <w:name w:val="Normal (Web)"/>
    <w:basedOn w:val="Normal"/>
    <w:uiPriority w:val="99"/>
    <w:unhideWhenUsed/>
    <w:rsid w:val="00006E76"/>
    <w:pPr>
      <w:spacing w:before="100" w:beforeAutospacing="1" w:after="100" w:afterAutospacing="1"/>
    </w:pPr>
    <w:rPr>
      <w:sz w:val="24"/>
      <w:szCs w:val="24"/>
      <w:lang w:eastAsia="en-GB"/>
    </w:rPr>
  </w:style>
  <w:style w:type="character" w:styleId="Strong">
    <w:name w:val="Strong"/>
    <w:basedOn w:val="DefaultParagraphFont"/>
    <w:uiPriority w:val="22"/>
    <w:qFormat/>
    <w:rsid w:val="00006E76"/>
    <w:rPr>
      <w:b/>
      <w:bCs/>
    </w:rPr>
  </w:style>
  <w:style w:type="paragraph" w:styleId="NoSpacing">
    <w:name w:val="No Spacing"/>
    <w:uiPriority w:val="1"/>
    <w:qFormat/>
    <w:rsid w:val="00006E76"/>
    <w:pPr>
      <w:spacing w:after="0" w:line="240" w:lineRule="auto"/>
    </w:pPr>
    <w:rPr>
      <w:kern w:val="0"/>
      <w:lang w:val="en-US"/>
      <w14:ligatures w14:val="none"/>
    </w:rPr>
  </w:style>
  <w:style w:type="character" w:customStyle="1" w:styleId="cf01">
    <w:name w:val="cf01"/>
    <w:basedOn w:val="DefaultParagraphFont"/>
    <w:rsid w:val="00006E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sr-idp@un.org" TargetMode="External"/><Relationship Id="rId3" Type="http://schemas.openxmlformats.org/officeDocument/2006/relationships/settings" Target="settings.xml"/><Relationship Id="rId7" Type="http://schemas.openxmlformats.org/officeDocument/2006/relationships/hyperlink" Target="https://documents.un.org/doc/undoc/gen/n00/720/18/pdf/n0072018.pdf?token=l3FbAEgM8Wo2ZFHl6n&amp;f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articles/addressing-internal-displacement-in-peace-processes-peace-agreements-and-peace-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1481</Words>
  <Characters>8448</Characters>
  <Application>Microsoft Office Word</Application>
  <DocSecurity>0</DocSecurity>
  <Lines>70</Lines>
  <Paragraphs>19</Paragraphs>
  <ScaleCrop>false</ScaleCrop>
  <Company>OHCHR</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 Khachyan</dc:creator>
  <cp:keywords/>
  <dc:description/>
  <cp:lastModifiedBy>Shushan Khachyan</cp:lastModifiedBy>
  <cp:revision>1</cp:revision>
  <dcterms:created xsi:type="dcterms:W3CDTF">2024-06-04T09:48:00Z</dcterms:created>
  <dcterms:modified xsi:type="dcterms:W3CDTF">2024-06-04T09:49:00Z</dcterms:modified>
</cp:coreProperties>
</file>