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5FFD6" w14:textId="437EDB75" w:rsidR="00C32032" w:rsidRPr="002274CC" w:rsidRDefault="00C32032" w:rsidP="00C32032">
      <w:pPr>
        <w:spacing w:after="0" w:line="240" w:lineRule="auto"/>
        <w:rPr>
          <w:rFonts w:ascii="Tw Cen MT" w:eastAsiaTheme="minorHAnsi" w:hAnsi="Tw Cen MT" w:cstheme="minorBidi"/>
          <w:b/>
          <w:bCs/>
        </w:rPr>
      </w:pPr>
      <w:r w:rsidRPr="00C32032">
        <w:rPr>
          <w:rFonts w:ascii="Tw Cen MT" w:eastAsiaTheme="minorHAnsi" w:hAnsi="Tw Cen MT" w:cstheme="minorBidi"/>
          <w:b/>
          <w:bCs/>
        </w:rPr>
        <w:t xml:space="preserve">For the attention of: </w:t>
      </w:r>
      <w:r w:rsidR="00CE78F9">
        <w:rPr>
          <w:rFonts w:ascii="Tw Cen MT" w:eastAsiaTheme="minorHAnsi" w:hAnsi="Tw Cen MT" w:cstheme="minorBidi"/>
          <w:b/>
          <w:bCs/>
        </w:rPr>
        <w:t>Special Rapporteur on the right to adequate housing and the Special Rapporteur on extreme poverty</w:t>
      </w:r>
      <w:r w:rsidR="00C75DC6">
        <w:rPr>
          <w:rFonts w:ascii="Tw Cen MT" w:eastAsiaTheme="minorHAnsi" w:hAnsi="Tw Cen MT" w:cstheme="minorBidi"/>
          <w:b/>
          <w:bCs/>
        </w:rPr>
        <w:t xml:space="preserve"> </w:t>
      </w:r>
      <w:r w:rsidR="00CE78F9">
        <w:rPr>
          <w:rFonts w:ascii="Tw Cen MT" w:eastAsiaTheme="minorHAnsi" w:hAnsi="Tw Cen MT" w:cstheme="minorBidi"/>
          <w:b/>
          <w:bCs/>
        </w:rPr>
        <w:t>and human rights</w:t>
      </w:r>
    </w:p>
    <w:p w14:paraId="62447D92" w14:textId="77777777" w:rsidR="00C32032" w:rsidRPr="002274CC" w:rsidRDefault="00C32032" w:rsidP="00C32032">
      <w:pPr>
        <w:spacing w:after="0" w:line="240" w:lineRule="auto"/>
        <w:rPr>
          <w:rFonts w:ascii="Tw Cen MT" w:eastAsiaTheme="minorHAnsi" w:hAnsi="Tw Cen MT" w:cstheme="minorBidi"/>
          <w:b/>
          <w:bCs/>
        </w:rPr>
      </w:pPr>
    </w:p>
    <w:p w14:paraId="78923928" w14:textId="65F4B18F" w:rsidR="00C32032" w:rsidRPr="002274CC" w:rsidRDefault="00C32032" w:rsidP="00C32032">
      <w:pPr>
        <w:spacing w:after="0" w:line="240" w:lineRule="auto"/>
        <w:rPr>
          <w:rFonts w:ascii="Tw Cen MT" w:eastAsiaTheme="minorHAnsi" w:hAnsi="Tw Cen MT" w:cstheme="minorBidi"/>
          <w:b/>
          <w:bCs/>
        </w:rPr>
      </w:pPr>
      <w:r w:rsidRPr="002274CC">
        <w:rPr>
          <w:rFonts w:ascii="Tw Cen MT" w:eastAsiaTheme="minorHAnsi" w:hAnsi="Tw Cen MT" w:cstheme="minorBidi"/>
          <w:b/>
          <w:bCs/>
        </w:rPr>
        <w:t xml:space="preserve">Subject: </w:t>
      </w:r>
      <w:r w:rsidR="00CE78F9">
        <w:rPr>
          <w:rFonts w:ascii="Tw Cen MT" w:eastAsiaTheme="minorHAnsi" w:hAnsi="Tw Cen MT" w:cstheme="minorBidi"/>
          <w:b/>
          <w:bCs/>
        </w:rPr>
        <w:t>Decriminalisation of homelessness and extreme poverty</w:t>
      </w:r>
    </w:p>
    <w:p w14:paraId="1CA79BAF" w14:textId="77777777" w:rsidR="00C32032" w:rsidRPr="00C32032" w:rsidRDefault="00C32032" w:rsidP="00C32032">
      <w:pPr>
        <w:spacing w:after="0" w:line="240" w:lineRule="auto"/>
        <w:rPr>
          <w:rFonts w:ascii="Tw Cen MT" w:eastAsiaTheme="minorHAnsi" w:hAnsi="Tw Cen MT" w:cstheme="minorBidi"/>
          <w:b/>
          <w:bCs/>
        </w:rPr>
      </w:pPr>
    </w:p>
    <w:p w14:paraId="650C4EA1" w14:textId="22B4D734" w:rsidR="00C32032" w:rsidRPr="00C32032" w:rsidRDefault="00C32032" w:rsidP="00C32032">
      <w:pPr>
        <w:spacing w:after="0" w:line="240" w:lineRule="auto"/>
        <w:rPr>
          <w:rFonts w:ascii="Tw Cen MT" w:eastAsiaTheme="minorHAnsi" w:hAnsi="Tw Cen MT" w:cstheme="minorBidi"/>
          <w:b/>
          <w:bCs/>
        </w:rPr>
      </w:pPr>
      <w:r w:rsidRPr="00C32032">
        <w:rPr>
          <w:rFonts w:ascii="Tw Cen MT" w:eastAsiaTheme="minorHAnsi" w:hAnsi="Tw Cen MT" w:cstheme="minorBidi"/>
          <w:b/>
          <w:bCs/>
        </w:rPr>
        <w:t xml:space="preserve">Date: </w:t>
      </w:r>
      <w:r w:rsidR="00CE2E9E">
        <w:rPr>
          <w:rFonts w:ascii="Tw Cen MT" w:eastAsiaTheme="minorHAnsi" w:hAnsi="Tw Cen MT" w:cstheme="minorBidi"/>
          <w:b/>
          <w:bCs/>
        </w:rPr>
        <w:t>2</w:t>
      </w:r>
      <w:r w:rsidR="00CE78F9">
        <w:rPr>
          <w:rFonts w:ascii="Tw Cen MT" w:eastAsiaTheme="minorHAnsi" w:hAnsi="Tw Cen MT" w:cstheme="minorBidi"/>
          <w:b/>
          <w:bCs/>
        </w:rPr>
        <w:t>4</w:t>
      </w:r>
      <w:r w:rsidRPr="00C32032">
        <w:rPr>
          <w:rFonts w:ascii="Tw Cen MT" w:eastAsiaTheme="minorHAnsi" w:hAnsi="Tw Cen MT" w:cstheme="minorBidi"/>
          <w:b/>
          <w:bCs/>
          <w:vertAlign w:val="superscript"/>
        </w:rPr>
        <w:t>th</w:t>
      </w:r>
      <w:r w:rsidRPr="00C32032">
        <w:rPr>
          <w:rFonts w:ascii="Tw Cen MT" w:eastAsiaTheme="minorHAnsi" w:hAnsi="Tw Cen MT" w:cstheme="minorBidi"/>
          <w:b/>
          <w:bCs/>
        </w:rPr>
        <w:t xml:space="preserve"> </w:t>
      </w:r>
      <w:r w:rsidR="00CE78F9">
        <w:rPr>
          <w:rFonts w:ascii="Tw Cen MT" w:eastAsiaTheme="minorHAnsi" w:hAnsi="Tw Cen MT" w:cstheme="minorBidi"/>
          <w:b/>
          <w:bCs/>
        </w:rPr>
        <w:t>August</w:t>
      </w:r>
      <w:r w:rsidRPr="00C32032">
        <w:rPr>
          <w:rFonts w:ascii="Tw Cen MT" w:eastAsiaTheme="minorHAnsi" w:hAnsi="Tw Cen MT" w:cstheme="minorBidi"/>
          <w:b/>
          <w:bCs/>
        </w:rPr>
        <w:t xml:space="preserve"> 202</w:t>
      </w:r>
      <w:r w:rsidR="00E25CD3">
        <w:rPr>
          <w:rFonts w:ascii="Tw Cen MT" w:eastAsiaTheme="minorHAnsi" w:hAnsi="Tw Cen MT" w:cstheme="minorBidi"/>
          <w:b/>
          <w:bCs/>
        </w:rPr>
        <w:t>3</w:t>
      </w:r>
    </w:p>
    <w:p w14:paraId="24317053" w14:textId="77777777" w:rsidR="00C32032" w:rsidRPr="00C32032" w:rsidRDefault="00C32032" w:rsidP="00C32032">
      <w:pPr>
        <w:spacing w:after="0" w:line="240" w:lineRule="auto"/>
        <w:rPr>
          <w:rFonts w:asciiTheme="minorHAnsi" w:eastAsiaTheme="minorHAnsi" w:hAnsiTheme="minorHAnsi" w:cstheme="minorBidi"/>
          <w:sz w:val="24"/>
          <w:szCs w:val="24"/>
        </w:rPr>
      </w:pPr>
    </w:p>
    <w:p w14:paraId="2AF94224" w14:textId="5C8B5F93" w:rsidR="00C32032" w:rsidRDefault="00C32032" w:rsidP="00C32032">
      <w:pPr>
        <w:spacing w:after="0" w:line="240" w:lineRule="auto"/>
        <w:rPr>
          <w:rFonts w:ascii="Tw Cen MT" w:eastAsiaTheme="minorHAnsi" w:hAnsi="Tw Cen MT" w:cstheme="minorBidi"/>
        </w:rPr>
      </w:pPr>
      <w:r w:rsidRPr="00C32032">
        <w:rPr>
          <w:rFonts w:ascii="Tw Cen MT" w:eastAsiaTheme="minorHAnsi" w:hAnsi="Tw Cen MT" w:cstheme="minorBidi"/>
        </w:rPr>
        <w:t xml:space="preserve">NSWP is a global network of sex worker-led organisations, with </w:t>
      </w:r>
      <w:r w:rsidR="00F320F4">
        <w:rPr>
          <w:rFonts w:ascii="Tw Cen MT" w:eastAsiaTheme="minorHAnsi" w:hAnsi="Tw Cen MT" w:cstheme="minorBidi"/>
        </w:rPr>
        <w:t>3</w:t>
      </w:r>
      <w:r w:rsidR="00CE78F9">
        <w:rPr>
          <w:rFonts w:ascii="Tw Cen MT" w:eastAsiaTheme="minorHAnsi" w:hAnsi="Tw Cen MT" w:cstheme="minorBidi"/>
        </w:rPr>
        <w:t>42</w:t>
      </w:r>
      <w:r w:rsidR="00D06772">
        <w:rPr>
          <w:rFonts w:ascii="Tw Cen MT" w:eastAsiaTheme="minorHAnsi" w:hAnsi="Tw Cen MT" w:cstheme="minorBidi"/>
        </w:rPr>
        <w:t xml:space="preserve"> </w:t>
      </w:r>
      <w:r w:rsidRPr="00C32032">
        <w:rPr>
          <w:rFonts w:ascii="Tw Cen MT" w:eastAsiaTheme="minorHAnsi" w:hAnsi="Tw Cen MT" w:cstheme="minorBidi"/>
        </w:rPr>
        <w:t>members in</w:t>
      </w:r>
      <w:r w:rsidR="00D06772">
        <w:rPr>
          <w:rFonts w:ascii="Tw Cen MT" w:eastAsiaTheme="minorHAnsi" w:hAnsi="Tw Cen MT" w:cstheme="minorBidi"/>
        </w:rPr>
        <w:t xml:space="preserve"> 1</w:t>
      </w:r>
      <w:r w:rsidR="00F320F4">
        <w:rPr>
          <w:rFonts w:ascii="Tw Cen MT" w:eastAsiaTheme="minorHAnsi" w:hAnsi="Tw Cen MT" w:cstheme="minorBidi"/>
        </w:rPr>
        <w:t>0</w:t>
      </w:r>
      <w:r w:rsidR="00CE78F9">
        <w:rPr>
          <w:rFonts w:ascii="Tw Cen MT" w:eastAsiaTheme="minorHAnsi" w:hAnsi="Tw Cen MT" w:cstheme="minorBidi"/>
        </w:rPr>
        <w:t xml:space="preserve">5 </w:t>
      </w:r>
      <w:r w:rsidRPr="00C32032">
        <w:rPr>
          <w:rFonts w:ascii="Tw Cen MT" w:eastAsiaTheme="minorHAnsi" w:hAnsi="Tw Cen MT" w:cstheme="minorBidi"/>
        </w:rPr>
        <w:t xml:space="preserve">countries, that exists to uphold the voice of sex workers globally and connect regional networks advocating for the rights of </w:t>
      </w:r>
      <w:r w:rsidR="00F320F4">
        <w:rPr>
          <w:rFonts w:ascii="Tw Cen MT" w:eastAsiaTheme="minorHAnsi" w:hAnsi="Tw Cen MT" w:cstheme="minorBidi"/>
        </w:rPr>
        <w:t>sex workers, in all their diversity</w:t>
      </w:r>
      <w:r w:rsidRPr="00C32032">
        <w:rPr>
          <w:rFonts w:ascii="Tw Cen MT" w:eastAsiaTheme="minorHAnsi" w:hAnsi="Tw Cen MT" w:cstheme="minorBidi"/>
        </w:rPr>
        <w:t xml:space="preserve">. It advocates for rights-based health and social services, freedom from abuse and discrimination, and self-determination for sex workers. </w:t>
      </w:r>
    </w:p>
    <w:p w14:paraId="28318879" w14:textId="0F4D5364" w:rsidR="0014098A" w:rsidRDefault="0014098A" w:rsidP="00C32032">
      <w:pPr>
        <w:spacing w:after="0" w:line="240" w:lineRule="auto"/>
        <w:rPr>
          <w:rFonts w:ascii="Tw Cen MT" w:eastAsiaTheme="minorHAnsi" w:hAnsi="Tw Cen MT" w:cstheme="minorBidi"/>
        </w:rPr>
      </w:pPr>
    </w:p>
    <w:p w14:paraId="411C958D" w14:textId="6A66F11E" w:rsidR="00CE78F9" w:rsidRDefault="0014098A" w:rsidP="00C32032">
      <w:pPr>
        <w:spacing w:after="0" w:line="240" w:lineRule="auto"/>
        <w:rPr>
          <w:rFonts w:ascii="Tw Cen MT" w:eastAsiaTheme="minorHAnsi" w:hAnsi="Tw Cen MT" w:cstheme="minorBidi"/>
        </w:rPr>
      </w:pPr>
      <w:r>
        <w:rPr>
          <w:rFonts w:ascii="Tw Cen MT" w:eastAsiaTheme="minorHAnsi" w:hAnsi="Tw Cen MT" w:cstheme="minorBidi"/>
        </w:rPr>
        <w:t xml:space="preserve">NSWP welcomes the opportunity to provide input to the </w:t>
      </w:r>
      <w:r w:rsidR="00CE78F9">
        <w:rPr>
          <w:rFonts w:ascii="Tw Cen MT" w:eastAsiaTheme="minorHAnsi" w:hAnsi="Tw Cen MT" w:cstheme="minorBidi"/>
        </w:rPr>
        <w:t xml:space="preserve">Special Rapporteur on the right to adequate housing and the Special Rapporteur on extreme poverty and human rights to inform their report on </w:t>
      </w:r>
      <w:r w:rsidR="00654953">
        <w:rPr>
          <w:rFonts w:ascii="Tw Cen MT" w:eastAsiaTheme="minorHAnsi" w:hAnsi="Tw Cen MT" w:cstheme="minorBidi"/>
        </w:rPr>
        <w:t>the decriminalisation of</w:t>
      </w:r>
      <w:r w:rsidR="00CE78F9">
        <w:rPr>
          <w:rFonts w:ascii="Tw Cen MT" w:eastAsiaTheme="minorHAnsi" w:hAnsi="Tw Cen MT" w:cstheme="minorBidi"/>
        </w:rPr>
        <w:t xml:space="preserve"> offences associated with homelessness and poverty.</w:t>
      </w:r>
      <w:r>
        <w:rPr>
          <w:rFonts w:ascii="Tw Cen MT" w:eastAsiaTheme="minorHAnsi" w:hAnsi="Tw Cen MT" w:cstheme="minorBidi"/>
        </w:rPr>
        <w:t xml:space="preserve"> </w:t>
      </w:r>
      <w:r w:rsidR="00CE78F9">
        <w:rPr>
          <w:rFonts w:ascii="Tw Cen MT" w:eastAsiaTheme="minorHAnsi" w:hAnsi="Tw Cen MT" w:cstheme="minorBidi"/>
        </w:rPr>
        <w:t xml:space="preserve">Due to widespread criminalisation, stigma, and discrimination, sex workers </w:t>
      </w:r>
      <w:r w:rsidR="00654953">
        <w:rPr>
          <w:rFonts w:ascii="Tw Cen MT" w:eastAsiaTheme="minorHAnsi" w:hAnsi="Tw Cen MT" w:cstheme="minorBidi"/>
        </w:rPr>
        <w:t>are</w:t>
      </w:r>
      <w:r w:rsidR="007F0548">
        <w:rPr>
          <w:rFonts w:ascii="Tw Cen MT" w:eastAsiaTheme="minorHAnsi" w:hAnsi="Tw Cen MT" w:cstheme="minorBidi"/>
        </w:rPr>
        <w:t xml:space="preserve"> </w:t>
      </w:r>
      <w:r w:rsidR="00654953">
        <w:rPr>
          <w:rFonts w:ascii="Tw Cen MT" w:eastAsiaTheme="minorHAnsi" w:hAnsi="Tw Cen MT" w:cstheme="minorBidi"/>
        </w:rPr>
        <w:t>disproportionately</w:t>
      </w:r>
      <w:r w:rsidR="007F0548">
        <w:rPr>
          <w:rFonts w:ascii="Tw Cen MT" w:eastAsiaTheme="minorHAnsi" w:hAnsi="Tw Cen MT" w:cstheme="minorBidi"/>
        </w:rPr>
        <w:t xml:space="preserve"> susceptible to</w:t>
      </w:r>
      <w:r w:rsidR="000E70D3">
        <w:rPr>
          <w:rFonts w:ascii="Tw Cen MT" w:eastAsiaTheme="minorHAnsi" w:hAnsi="Tw Cen MT" w:cstheme="minorBidi"/>
        </w:rPr>
        <w:t xml:space="preserve"> poverty and housing insecurity, and are</w:t>
      </w:r>
      <w:r w:rsidR="007F0548">
        <w:rPr>
          <w:rFonts w:ascii="Tw Cen MT" w:eastAsiaTheme="minorHAnsi" w:hAnsi="Tw Cen MT" w:cstheme="minorBidi"/>
        </w:rPr>
        <w:t xml:space="preserve"> </w:t>
      </w:r>
      <w:r w:rsidR="00654953">
        <w:rPr>
          <w:rFonts w:ascii="Tw Cen MT" w:eastAsiaTheme="minorHAnsi" w:hAnsi="Tw Cen MT" w:cstheme="minorBidi"/>
        </w:rPr>
        <w:t>heavily</w:t>
      </w:r>
      <w:r w:rsidR="000E70D3">
        <w:rPr>
          <w:rFonts w:ascii="Tw Cen MT" w:eastAsiaTheme="minorHAnsi" w:hAnsi="Tw Cen MT" w:cstheme="minorBidi"/>
        </w:rPr>
        <w:t xml:space="preserve"> policed and penalised for their activities. </w:t>
      </w:r>
      <w:r w:rsidR="00804688">
        <w:rPr>
          <w:rFonts w:ascii="Tw Cen MT" w:eastAsiaTheme="minorHAnsi" w:hAnsi="Tw Cen MT" w:cstheme="minorBidi"/>
        </w:rPr>
        <w:t xml:space="preserve">This submission </w:t>
      </w:r>
      <w:r w:rsidR="00AD1D1A">
        <w:rPr>
          <w:rFonts w:ascii="Tw Cen MT" w:eastAsiaTheme="minorHAnsi" w:hAnsi="Tw Cen MT" w:cstheme="minorBidi"/>
        </w:rPr>
        <w:t xml:space="preserve">will provide information on how sex workers’ human rights are routinely violated by the criminalisation of poverty and homelessness, and will also highlight policies and </w:t>
      </w:r>
      <w:r w:rsidR="00671772">
        <w:rPr>
          <w:rFonts w:ascii="Tw Cen MT" w:eastAsiaTheme="minorHAnsi" w:hAnsi="Tw Cen MT" w:cstheme="minorBidi"/>
        </w:rPr>
        <w:t xml:space="preserve">best </w:t>
      </w:r>
      <w:r w:rsidR="00AD1D1A">
        <w:rPr>
          <w:rFonts w:ascii="Tw Cen MT" w:eastAsiaTheme="minorHAnsi" w:hAnsi="Tw Cen MT" w:cstheme="minorBidi"/>
        </w:rPr>
        <w:t xml:space="preserve">practices to address these abuses.  </w:t>
      </w:r>
    </w:p>
    <w:p w14:paraId="64CC0F29" w14:textId="77777777" w:rsidR="00CE78F9" w:rsidRDefault="00CE78F9" w:rsidP="00C32032">
      <w:pPr>
        <w:spacing w:after="0" w:line="240" w:lineRule="auto"/>
        <w:rPr>
          <w:rFonts w:ascii="Tw Cen MT" w:eastAsiaTheme="minorHAnsi" w:hAnsi="Tw Cen MT" w:cstheme="minorBidi"/>
        </w:rPr>
      </w:pPr>
    </w:p>
    <w:p w14:paraId="6AB28D03" w14:textId="07A5393B" w:rsidR="00F12F66" w:rsidRDefault="00F12F66" w:rsidP="000E4344">
      <w:pPr>
        <w:spacing w:after="0" w:line="240" w:lineRule="auto"/>
        <w:rPr>
          <w:rFonts w:ascii="Tw Cen MT" w:eastAsiaTheme="minorHAnsi" w:hAnsi="Tw Cen MT" w:cstheme="minorBidi"/>
          <w:b/>
          <w:bCs/>
        </w:rPr>
      </w:pPr>
      <w:r w:rsidRPr="00F12F66">
        <w:rPr>
          <w:rFonts w:ascii="Tw Cen MT" w:eastAsiaTheme="minorHAnsi" w:hAnsi="Tw Cen MT" w:cstheme="minorBidi"/>
          <w:b/>
          <w:bCs/>
        </w:rPr>
        <w:t>Laws, Regulations, and Practices Affecting Sex Workers</w:t>
      </w:r>
    </w:p>
    <w:p w14:paraId="56832D75" w14:textId="77777777" w:rsidR="009B4E5E" w:rsidRPr="00F12F66" w:rsidRDefault="009B4E5E" w:rsidP="000E4344">
      <w:pPr>
        <w:spacing w:after="0" w:line="240" w:lineRule="auto"/>
        <w:rPr>
          <w:rFonts w:ascii="Tw Cen MT" w:eastAsiaTheme="minorHAnsi" w:hAnsi="Tw Cen MT" w:cstheme="minorBidi"/>
          <w:b/>
          <w:bCs/>
        </w:rPr>
      </w:pPr>
    </w:p>
    <w:p w14:paraId="5DC9FABF" w14:textId="676DEE8E" w:rsidR="003535F8" w:rsidRDefault="00B659DC" w:rsidP="003535F8">
      <w:pPr>
        <w:spacing w:after="0" w:line="240" w:lineRule="auto"/>
        <w:rPr>
          <w:rFonts w:ascii="Tw Cen MT" w:eastAsiaTheme="minorHAnsi" w:hAnsi="Tw Cen MT" w:cstheme="minorBidi"/>
        </w:rPr>
      </w:pPr>
      <w:r>
        <w:rPr>
          <w:rFonts w:ascii="Tw Cen MT" w:eastAsiaTheme="minorHAnsi" w:hAnsi="Tw Cen MT" w:cstheme="minorBidi"/>
        </w:rPr>
        <w:t>Globally,</w:t>
      </w:r>
      <w:r w:rsidR="004147FF" w:rsidRPr="004147FF">
        <w:rPr>
          <w:rFonts w:ascii="Tw Cen MT" w:eastAsiaTheme="minorHAnsi" w:hAnsi="Tw Cen MT" w:cstheme="minorBidi"/>
        </w:rPr>
        <w:t xml:space="preserve"> the criminalisation of sex work drives violence</w:t>
      </w:r>
      <w:r w:rsidR="009724CE">
        <w:rPr>
          <w:rFonts w:ascii="Tw Cen MT" w:eastAsiaTheme="minorHAnsi" w:hAnsi="Tw Cen MT" w:cstheme="minorBidi"/>
        </w:rPr>
        <w:t xml:space="preserve"> and other human rights abuses</w:t>
      </w:r>
      <w:r w:rsidR="004147FF" w:rsidRPr="004147FF">
        <w:rPr>
          <w:rFonts w:ascii="Tw Cen MT" w:eastAsiaTheme="minorHAnsi" w:hAnsi="Tw Cen MT" w:cstheme="minorBidi"/>
        </w:rPr>
        <w:t xml:space="preserve"> against sex workers</w:t>
      </w:r>
      <w:r w:rsidR="00AB0811">
        <w:rPr>
          <w:rFonts w:ascii="Tw Cen MT" w:eastAsiaTheme="minorHAnsi" w:hAnsi="Tw Cen MT" w:cstheme="minorBidi"/>
        </w:rPr>
        <w:t xml:space="preserve">, </w:t>
      </w:r>
      <w:r w:rsidR="000E4344">
        <w:rPr>
          <w:rFonts w:ascii="Tw Cen MT" w:eastAsiaTheme="minorHAnsi" w:hAnsi="Tw Cen MT" w:cstheme="minorBidi"/>
        </w:rPr>
        <w:t>reduces access to essential services, and</w:t>
      </w:r>
      <w:r w:rsidR="004147FF" w:rsidRPr="004147FF">
        <w:rPr>
          <w:rFonts w:ascii="Tw Cen MT" w:eastAsiaTheme="minorHAnsi" w:hAnsi="Tw Cen MT" w:cstheme="minorBidi"/>
        </w:rPr>
        <w:t xml:space="preserve"> fuel</w:t>
      </w:r>
      <w:r w:rsidR="000E4344">
        <w:rPr>
          <w:rFonts w:ascii="Tw Cen MT" w:eastAsiaTheme="minorHAnsi" w:hAnsi="Tw Cen MT" w:cstheme="minorBidi"/>
        </w:rPr>
        <w:t>s</w:t>
      </w:r>
      <w:r w:rsidR="004147FF" w:rsidRPr="004147FF">
        <w:rPr>
          <w:rFonts w:ascii="Tw Cen MT" w:eastAsiaTheme="minorHAnsi" w:hAnsi="Tw Cen MT" w:cstheme="minorBidi"/>
        </w:rPr>
        <w:t xml:space="preserve"> stigma and discrimination</w:t>
      </w:r>
      <w:r w:rsidR="00D04274">
        <w:rPr>
          <w:rFonts w:ascii="Tw Cen MT" w:eastAsiaTheme="minorHAnsi" w:hAnsi="Tw Cen MT" w:cstheme="minorBidi"/>
        </w:rPr>
        <w:t xml:space="preserve"> – all of which </w:t>
      </w:r>
      <w:r w:rsidR="009C3501">
        <w:rPr>
          <w:rFonts w:ascii="Tw Cen MT" w:eastAsiaTheme="minorHAnsi" w:hAnsi="Tw Cen MT" w:cstheme="minorBidi"/>
        </w:rPr>
        <w:t xml:space="preserve">reinforce inequalities and </w:t>
      </w:r>
      <w:r w:rsidR="00D04274">
        <w:rPr>
          <w:rFonts w:ascii="Tw Cen MT" w:eastAsiaTheme="minorHAnsi" w:hAnsi="Tw Cen MT" w:cstheme="minorBidi"/>
        </w:rPr>
        <w:t>contribute to poverty and housing insecurity</w:t>
      </w:r>
      <w:r w:rsidR="004147FF" w:rsidRPr="004147FF">
        <w:rPr>
          <w:rFonts w:ascii="Tw Cen MT" w:eastAsiaTheme="minorHAnsi" w:hAnsi="Tw Cen MT" w:cstheme="minorBidi"/>
        </w:rPr>
        <w:t xml:space="preserve">. </w:t>
      </w:r>
      <w:r>
        <w:rPr>
          <w:rFonts w:ascii="Tw Cen MT" w:eastAsiaTheme="minorHAnsi" w:hAnsi="Tw Cen MT" w:cstheme="minorBidi"/>
        </w:rPr>
        <w:t xml:space="preserve">Criminalisation can include the criminalisation of the sale, purchase, and/or advertisement of sexual services, as well as third-party involvement. </w:t>
      </w:r>
      <w:r w:rsidR="00E4681C">
        <w:rPr>
          <w:rFonts w:ascii="Tw Cen MT" w:eastAsiaTheme="minorHAnsi" w:hAnsi="Tw Cen MT" w:cstheme="minorBidi"/>
        </w:rPr>
        <w:t>Street-based sex workers</w:t>
      </w:r>
      <w:r w:rsidR="00D04274">
        <w:rPr>
          <w:rFonts w:ascii="Tw Cen MT" w:eastAsiaTheme="minorHAnsi" w:hAnsi="Tw Cen MT" w:cstheme="minorBidi"/>
        </w:rPr>
        <w:t xml:space="preserve"> are additionally </w:t>
      </w:r>
      <w:r>
        <w:rPr>
          <w:rFonts w:ascii="Tw Cen MT" w:eastAsiaTheme="minorHAnsi" w:hAnsi="Tw Cen MT" w:cstheme="minorBidi"/>
        </w:rPr>
        <w:t xml:space="preserve">targeted by police under by-laws </w:t>
      </w:r>
      <w:r w:rsidR="008C5605">
        <w:rPr>
          <w:rFonts w:ascii="Tw Cen MT" w:eastAsiaTheme="minorHAnsi" w:hAnsi="Tw Cen MT" w:cstheme="minorBidi"/>
        </w:rPr>
        <w:t>surrounding solicitation, loitering, public nuisance, and obstruction of traffic</w:t>
      </w:r>
      <w:r w:rsidR="008E2233">
        <w:rPr>
          <w:rFonts w:ascii="Tw Cen MT" w:eastAsiaTheme="minorHAnsi" w:hAnsi="Tw Cen MT" w:cstheme="minorBidi"/>
        </w:rPr>
        <w:t xml:space="preserve">. Sex workers in South Africa have reported that they are routinely apprehended, arrested, and detained under these by-laws, and are </w:t>
      </w:r>
      <w:r w:rsidR="008E2233" w:rsidRPr="00FC490D">
        <w:rPr>
          <w:rFonts w:ascii="Tw Cen MT" w:eastAsiaTheme="minorHAnsi" w:hAnsi="Tw Cen MT" w:cstheme="minorBidi"/>
        </w:rPr>
        <w:t>often charged with petty offences as a way for authorities to meet their arrest targets.</w:t>
      </w:r>
      <w:r w:rsidR="00D04274">
        <w:rPr>
          <w:rStyle w:val="FootnoteReference"/>
          <w:rFonts w:ascii="Tw Cen MT" w:eastAsiaTheme="minorHAnsi" w:hAnsi="Tw Cen MT" w:cstheme="minorBidi"/>
        </w:rPr>
        <w:footnoteReference w:id="1"/>
      </w:r>
      <w:r w:rsidR="00D04274">
        <w:rPr>
          <w:rFonts w:ascii="Tw Cen MT" w:eastAsiaTheme="minorHAnsi" w:hAnsi="Tw Cen MT" w:cstheme="minorBidi"/>
        </w:rPr>
        <w:t xml:space="preserve"> </w:t>
      </w:r>
      <w:r w:rsidR="003535F8">
        <w:rPr>
          <w:rFonts w:ascii="Tw Cen MT" w:eastAsiaTheme="minorHAnsi" w:hAnsi="Tw Cen MT" w:cstheme="minorBidi"/>
        </w:rPr>
        <w:t>Sex workers have also reported being targeted and assaulted by law enforcement on the basis of laws which are no longer in place</w:t>
      </w:r>
      <w:r w:rsidR="009C3501">
        <w:rPr>
          <w:rFonts w:ascii="Tw Cen MT" w:eastAsiaTheme="minorHAnsi" w:hAnsi="Tw Cen MT" w:cstheme="minorBidi"/>
        </w:rPr>
        <w:t>:</w:t>
      </w:r>
    </w:p>
    <w:p w14:paraId="68270309" w14:textId="77777777" w:rsidR="003535F8" w:rsidRDefault="003535F8" w:rsidP="003535F8">
      <w:pPr>
        <w:spacing w:after="0" w:line="240" w:lineRule="auto"/>
        <w:rPr>
          <w:rFonts w:ascii="Tw Cen MT" w:eastAsiaTheme="minorHAnsi" w:hAnsi="Tw Cen MT" w:cstheme="minorBidi"/>
        </w:rPr>
      </w:pPr>
    </w:p>
    <w:p w14:paraId="2D1CFEBD" w14:textId="28577DB2" w:rsidR="003535F8" w:rsidRDefault="003535F8" w:rsidP="003535F8">
      <w:pPr>
        <w:spacing w:after="0" w:line="240" w:lineRule="auto"/>
        <w:ind w:left="720"/>
        <w:rPr>
          <w:rFonts w:ascii="Tw Cen MT" w:eastAsiaTheme="minorHAnsi" w:hAnsi="Tw Cen MT" w:cstheme="minorBidi"/>
        </w:rPr>
      </w:pPr>
      <w:r w:rsidRPr="003535F8">
        <w:rPr>
          <w:rFonts w:ascii="Tw Cen MT" w:eastAsiaTheme="minorHAnsi" w:hAnsi="Tw Cen MT" w:cstheme="minorBidi"/>
          <w:i/>
          <w:iCs/>
        </w:rPr>
        <w:t xml:space="preserve">“Our freedom of movement in the streets is violated. We are abused physically and verbally, using the justification that we’re committing a </w:t>
      </w:r>
      <w:r>
        <w:rPr>
          <w:rFonts w:ascii="Tw Cen MT" w:eastAsiaTheme="minorHAnsi" w:hAnsi="Tw Cen MT" w:cstheme="minorBidi"/>
          <w:i/>
          <w:iCs/>
        </w:rPr>
        <w:t>‘</w:t>
      </w:r>
      <w:r w:rsidRPr="003535F8">
        <w:rPr>
          <w:rFonts w:ascii="Tw Cen MT" w:eastAsiaTheme="minorHAnsi" w:hAnsi="Tw Cen MT" w:cstheme="minorBidi"/>
          <w:i/>
          <w:iCs/>
        </w:rPr>
        <w:t>public scandal</w:t>
      </w:r>
      <w:r>
        <w:rPr>
          <w:rFonts w:ascii="Tw Cen MT" w:eastAsiaTheme="minorHAnsi" w:hAnsi="Tw Cen MT" w:cstheme="minorBidi"/>
          <w:i/>
          <w:iCs/>
        </w:rPr>
        <w:t>’</w:t>
      </w:r>
      <w:r w:rsidRPr="003535F8">
        <w:rPr>
          <w:rFonts w:ascii="Tw Cen MT" w:eastAsiaTheme="minorHAnsi" w:hAnsi="Tw Cen MT" w:cstheme="minorBidi"/>
          <w:i/>
          <w:iCs/>
        </w:rPr>
        <w:t xml:space="preserve"> or are dressed inappropriately – laws that were abolished a long time ago, but serve as an excuse to intimidate and harm female sex workers. We are pepper sprayed. We are hit because we walk through places that, according to them, walking is forbidden for people like us.”</w:t>
      </w:r>
      <w:r>
        <w:rPr>
          <w:rFonts w:ascii="Tw Cen MT" w:eastAsiaTheme="minorHAnsi" w:hAnsi="Tw Cen MT" w:cstheme="minorBidi"/>
        </w:rPr>
        <w:t xml:space="preserve"> – Sex worker, Ecuador</w:t>
      </w:r>
      <w:r>
        <w:rPr>
          <w:rStyle w:val="FootnoteReference"/>
          <w:rFonts w:ascii="Tw Cen MT" w:eastAsiaTheme="minorHAnsi" w:hAnsi="Tw Cen MT" w:cstheme="minorBidi"/>
        </w:rPr>
        <w:footnoteReference w:id="2"/>
      </w:r>
      <w:r>
        <w:rPr>
          <w:rFonts w:ascii="Tw Cen MT" w:eastAsiaTheme="minorHAnsi" w:hAnsi="Tw Cen MT" w:cstheme="minorBidi"/>
        </w:rPr>
        <w:t xml:space="preserve"> </w:t>
      </w:r>
    </w:p>
    <w:p w14:paraId="68BBA321" w14:textId="77777777" w:rsidR="003535F8" w:rsidRDefault="003535F8" w:rsidP="000E4344">
      <w:pPr>
        <w:spacing w:after="0" w:line="240" w:lineRule="auto"/>
        <w:rPr>
          <w:rFonts w:ascii="Tw Cen MT" w:eastAsiaTheme="minorHAnsi" w:hAnsi="Tw Cen MT" w:cstheme="minorBidi"/>
        </w:rPr>
      </w:pPr>
    </w:p>
    <w:p w14:paraId="7C9BA29E" w14:textId="4A72800A" w:rsidR="003E0D62" w:rsidRDefault="003E0D62" w:rsidP="008C5605">
      <w:pPr>
        <w:spacing w:after="0" w:line="240" w:lineRule="auto"/>
        <w:rPr>
          <w:rFonts w:ascii="Tw Cen MT" w:eastAsiaTheme="minorHAnsi" w:hAnsi="Tw Cen MT" w:cstheme="minorBidi"/>
        </w:rPr>
      </w:pPr>
      <w:r>
        <w:rPr>
          <w:rFonts w:ascii="Tw Cen MT" w:eastAsiaTheme="minorHAnsi" w:hAnsi="Tw Cen MT" w:cstheme="minorBidi"/>
        </w:rPr>
        <w:t>During the COVID-19 pandemic, sex workers were</w:t>
      </w:r>
      <w:r w:rsidR="00671772">
        <w:rPr>
          <w:rFonts w:ascii="Tw Cen MT" w:eastAsiaTheme="minorHAnsi" w:hAnsi="Tw Cen MT" w:cstheme="minorBidi"/>
        </w:rPr>
        <w:t xml:space="preserve"> also</w:t>
      </w:r>
      <w:r>
        <w:rPr>
          <w:rFonts w:ascii="Tw Cen MT" w:eastAsiaTheme="minorHAnsi" w:hAnsi="Tw Cen MT" w:cstheme="minorBidi"/>
        </w:rPr>
        <w:t xml:space="preserve"> disproportionately policed and arrested</w:t>
      </w:r>
      <w:r w:rsidR="00671772">
        <w:rPr>
          <w:rFonts w:ascii="Tw Cen MT" w:eastAsiaTheme="minorHAnsi" w:hAnsi="Tw Cen MT" w:cstheme="minorBidi"/>
        </w:rPr>
        <w:t>. Facing</w:t>
      </w:r>
      <w:r w:rsidR="00FE20CD">
        <w:rPr>
          <w:rFonts w:ascii="Tw Cen MT" w:eastAsiaTheme="minorHAnsi" w:hAnsi="Tw Cen MT" w:cstheme="minorBidi"/>
        </w:rPr>
        <w:t xml:space="preserve"> a total</w:t>
      </w:r>
      <w:r w:rsidR="00671772">
        <w:rPr>
          <w:rFonts w:ascii="Tw Cen MT" w:eastAsiaTheme="minorHAnsi" w:hAnsi="Tw Cen MT" w:cstheme="minorBidi"/>
        </w:rPr>
        <w:t xml:space="preserve"> loss of income and widespread exclusion from state social protection and emergency aid </w:t>
      </w:r>
      <w:r w:rsidR="00FE20CD">
        <w:rPr>
          <w:rFonts w:ascii="Tw Cen MT" w:eastAsiaTheme="minorHAnsi" w:hAnsi="Tw Cen MT" w:cstheme="minorBidi"/>
        </w:rPr>
        <w:lastRenderedPageBreak/>
        <w:t xml:space="preserve">measures, many sex workers had to make the difficult choice to </w:t>
      </w:r>
      <w:r>
        <w:rPr>
          <w:rFonts w:ascii="Tw Cen MT" w:eastAsiaTheme="minorHAnsi" w:hAnsi="Tw Cen MT" w:cstheme="minorBidi"/>
        </w:rPr>
        <w:t>breach lockdown restrictions</w:t>
      </w:r>
      <w:r w:rsidR="00FE20CD">
        <w:rPr>
          <w:rFonts w:ascii="Tw Cen MT" w:eastAsiaTheme="minorHAnsi" w:hAnsi="Tw Cen MT" w:cstheme="minorBidi"/>
        </w:rPr>
        <w:t xml:space="preserve"> </w:t>
      </w:r>
      <w:r>
        <w:rPr>
          <w:rFonts w:ascii="Tw Cen MT" w:eastAsiaTheme="minorHAnsi" w:hAnsi="Tw Cen MT" w:cstheme="minorBidi"/>
        </w:rPr>
        <w:t>to meet their families’ basic survival needs.</w:t>
      </w:r>
      <w:r>
        <w:rPr>
          <w:rStyle w:val="FootnoteReference"/>
          <w:rFonts w:ascii="Tw Cen MT" w:eastAsiaTheme="minorHAnsi" w:hAnsi="Tw Cen MT" w:cstheme="minorBidi"/>
        </w:rPr>
        <w:footnoteReference w:id="3"/>
      </w:r>
      <w:r>
        <w:rPr>
          <w:rFonts w:ascii="Tw Cen MT" w:eastAsiaTheme="minorHAnsi" w:hAnsi="Tw Cen MT" w:cstheme="minorBidi"/>
        </w:rPr>
        <w:t xml:space="preserve"> </w:t>
      </w:r>
    </w:p>
    <w:p w14:paraId="13ABC3C3" w14:textId="77777777" w:rsidR="00F4658E" w:rsidRDefault="00F4658E" w:rsidP="008C5605">
      <w:pPr>
        <w:spacing w:after="0" w:line="240" w:lineRule="auto"/>
        <w:rPr>
          <w:rFonts w:ascii="Tw Cen MT" w:eastAsiaTheme="minorHAnsi" w:hAnsi="Tw Cen MT" w:cstheme="minorBidi"/>
        </w:rPr>
      </w:pPr>
    </w:p>
    <w:p w14:paraId="3A5386B7" w14:textId="02751B1A" w:rsidR="00057489" w:rsidRDefault="00FE20CD" w:rsidP="4025A54E">
      <w:pPr>
        <w:spacing w:after="0" w:line="240" w:lineRule="auto"/>
        <w:rPr>
          <w:rFonts w:ascii="Tw Cen MT" w:eastAsiaTheme="minorEastAsia" w:hAnsi="Tw Cen MT" w:cstheme="minorBidi"/>
        </w:rPr>
      </w:pPr>
      <w:r w:rsidRPr="4025A54E">
        <w:rPr>
          <w:rFonts w:ascii="Tw Cen MT" w:eastAsiaTheme="minorEastAsia" w:hAnsi="Tw Cen MT" w:cstheme="minorBidi"/>
        </w:rPr>
        <w:t>Threats of punitive law enforcement responses</w:t>
      </w:r>
      <w:r w:rsidR="00D04274" w:rsidRPr="4025A54E">
        <w:rPr>
          <w:rFonts w:ascii="Tw Cen MT" w:eastAsiaTheme="minorEastAsia" w:hAnsi="Tw Cen MT" w:cstheme="minorBidi"/>
        </w:rPr>
        <w:t xml:space="preserve"> </w:t>
      </w:r>
      <w:r w:rsidR="00F4658E" w:rsidRPr="4025A54E">
        <w:rPr>
          <w:rFonts w:ascii="Tw Cen MT" w:eastAsiaTheme="minorEastAsia" w:hAnsi="Tw Cen MT" w:cstheme="minorBidi"/>
        </w:rPr>
        <w:t xml:space="preserve">may </w:t>
      </w:r>
      <w:r w:rsidR="00D04274" w:rsidRPr="4025A54E">
        <w:rPr>
          <w:rFonts w:ascii="Tw Cen MT" w:eastAsiaTheme="minorEastAsia" w:hAnsi="Tw Cen MT" w:cstheme="minorBidi"/>
        </w:rPr>
        <w:t>compel sex workers to shift their activities to more hidden and precarious environments to avoid detection, increasing their vulnerability to violence and abuse</w:t>
      </w:r>
      <w:r w:rsidR="00F4658E" w:rsidRPr="4025A54E">
        <w:rPr>
          <w:rFonts w:ascii="Tw Cen MT" w:eastAsiaTheme="minorEastAsia" w:hAnsi="Tw Cen MT" w:cstheme="minorBidi"/>
        </w:rPr>
        <w:t>.</w:t>
      </w:r>
      <w:r w:rsidR="00F4658E" w:rsidRPr="4025A54E">
        <w:rPr>
          <w:rStyle w:val="FootnoteReference"/>
          <w:rFonts w:ascii="Tw Cen MT" w:eastAsiaTheme="minorEastAsia" w:hAnsi="Tw Cen MT" w:cstheme="minorBidi"/>
        </w:rPr>
        <w:footnoteReference w:id="4"/>
      </w:r>
      <w:r w:rsidR="00F4658E" w:rsidRPr="4025A54E">
        <w:rPr>
          <w:rFonts w:ascii="Tw Cen MT" w:eastAsiaTheme="minorEastAsia" w:hAnsi="Tw Cen MT" w:cstheme="minorBidi"/>
        </w:rPr>
        <w:t xml:space="preserve"> </w:t>
      </w:r>
      <w:r w:rsidR="008C5605" w:rsidRPr="4025A54E">
        <w:rPr>
          <w:rFonts w:ascii="Tw Cen MT" w:eastAsiaTheme="minorEastAsia" w:hAnsi="Tw Cen MT" w:cstheme="minorBidi"/>
        </w:rPr>
        <w:t>Inconsistent interpretations of laws by the police further increase unla</w:t>
      </w:r>
      <w:r w:rsidR="008E2233" w:rsidRPr="4025A54E">
        <w:rPr>
          <w:rFonts w:ascii="Tw Cen MT" w:eastAsiaTheme="minorEastAsia" w:hAnsi="Tw Cen MT" w:cstheme="minorBidi"/>
        </w:rPr>
        <w:t>w</w:t>
      </w:r>
      <w:r w:rsidR="008C5605" w:rsidRPr="4025A54E">
        <w:rPr>
          <w:rFonts w:ascii="Tw Cen MT" w:eastAsiaTheme="minorEastAsia" w:hAnsi="Tw Cen MT" w:cstheme="minorBidi"/>
        </w:rPr>
        <w:t>ful arrests and detention, police misconduct, stigma, discrimination, and violence towards sex workers, including rape.</w:t>
      </w:r>
      <w:r w:rsidR="00E4681C" w:rsidRPr="4025A54E">
        <w:rPr>
          <w:rStyle w:val="FootnoteReference"/>
          <w:rFonts w:ascii="Tw Cen MT" w:eastAsiaTheme="minorEastAsia" w:hAnsi="Tw Cen MT" w:cstheme="minorBidi"/>
        </w:rPr>
        <w:t xml:space="preserve"> </w:t>
      </w:r>
      <w:r w:rsidR="00E4681C" w:rsidRPr="4025A54E">
        <w:rPr>
          <w:rFonts w:ascii="Tw Cen MT" w:eastAsiaTheme="minorEastAsia" w:hAnsi="Tw Cen MT" w:cstheme="minorBidi"/>
        </w:rPr>
        <w:t xml:space="preserve"> </w:t>
      </w:r>
      <w:r w:rsidR="00C85F96" w:rsidRPr="4025A54E">
        <w:rPr>
          <w:rFonts w:ascii="Tw Cen MT" w:eastAsiaTheme="minorEastAsia" w:hAnsi="Tw Cen MT" w:cstheme="minorBidi"/>
        </w:rPr>
        <w:t xml:space="preserve">Sex workers who are unable to pay fines for offences may be </w:t>
      </w:r>
      <w:r w:rsidR="008E2233" w:rsidRPr="4025A54E">
        <w:rPr>
          <w:rFonts w:ascii="Tw Cen MT" w:eastAsiaTheme="minorEastAsia" w:hAnsi="Tw Cen MT" w:cstheme="minorBidi"/>
        </w:rPr>
        <w:t xml:space="preserve">blackmailed, extorted, assaulted, and/or </w:t>
      </w:r>
      <w:r w:rsidR="6DD47036" w:rsidRPr="4025A54E">
        <w:rPr>
          <w:rFonts w:ascii="Tw Cen MT" w:eastAsiaTheme="minorEastAsia" w:hAnsi="Tw Cen MT" w:cstheme="minorBidi"/>
        </w:rPr>
        <w:t>forced to have sex</w:t>
      </w:r>
      <w:r w:rsidR="1CAA0B8C" w:rsidRPr="4025A54E">
        <w:rPr>
          <w:rFonts w:ascii="Tw Cen MT" w:eastAsiaTheme="minorEastAsia" w:hAnsi="Tw Cen MT" w:cstheme="minorBidi"/>
        </w:rPr>
        <w:t xml:space="preserve"> by </w:t>
      </w:r>
      <w:r w:rsidR="00C85F96" w:rsidRPr="4025A54E">
        <w:rPr>
          <w:rFonts w:ascii="Tw Cen MT" w:eastAsiaTheme="minorEastAsia" w:hAnsi="Tw Cen MT" w:cstheme="minorBidi"/>
        </w:rPr>
        <w:t>law</w:t>
      </w:r>
      <w:r w:rsidR="67301C4F" w:rsidRPr="4025A54E">
        <w:rPr>
          <w:rFonts w:ascii="Tw Cen MT" w:eastAsiaTheme="minorEastAsia" w:hAnsi="Tw Cen MT" w:cstheme="minorBidi"/>
        </w:rPr>
        <w:t xml:space="preserve"> enforcement</w:t>
      </w:r>
      <w:r w:rsidR="756E2522" w:rsidRPr="4025A54E">
        <w:rPr>
          <w:rFonts w:ascii="Tw Cen MT" w:eastAsiaTheme="minorEastAsia" w:hAnsi="Tw Cen MT" w:cstheme="minorBidi"/>
        </w:rPr>
        <w:t xml:space="preserve"> officers</w:t>
      </w:r>
      <w:r w:rsidR="00057489" w:rsidRPr="4025A54E">
        <w:rPr>
          <w:rFonts w:ascii="Tw Cen MT" w:eastAsiaTheme="minorEastAsia" w:hAnsi="Tw Cen MT" w:cstheme="minorBidi"/>
        </w:rPr>
        <w:t>.</w:t>
      </w:r>
    </w:p>
    <w:p w14:paraId="629DDF97" w14:textId="77777777" w:rsidR="00057489" w:rsidRDefault="00057489" w:rsidP="008C5605">
      <w:pPr>
        <w:spacing w:after="0" w:line="240" w:lineRule="auto"/>
        <w:rPr>
          <w:rFonts w:ascii="Tw Cen MT" w:eastAsiaTheme="minorHAnsi" w:hAnsi="Tw Cen MT" w:cstheme="minorBidi"/>
        </w:rPr>
      </w:pPr>
    </w:p>
    <w:p w14:paraId="184AC100" w14:textId="0A27128B" w:rsidR="00057489" w:rsidRDefault="00057489" w:rsidP="00057489">
      <w:pPr>
        <w:spacing w:after="0" w:line="240" w:lineRule="auto"/>
        <w:ind w:left="720"/>
        <w:rPr>
          <w:rFonts w:ascii="Tw Cen MT" w:eastAsiaTheme="minorHAnsi" w:hAnsi="Tw Cen MT" w:cstheme="minorBidi"/>
        </w:rPr>
      </w:pPr>
      <w:r w:rsidRPr="00057489">
        <w:rPr>
          <w:rFonts w:ascii="Tw Cen MT" w:eastAsiaTheme="minorHAnsi" w:hAnsi="Tw Cen MT" w:cstheme="minorBidi"/>
          <w:i/>
          <w:iCs/>
        </w:rPr>
        <w:t>“6 months ago, I was arrested by police. They demanded 50,000 MMK (35 USD) and I had no money. They took me to the police station and told me to call my friends or family to bring money to the police station within 5 hours. I had no friends [or family] who can give me money within a short time. I was in police station for the whole night. During the night I have had sex with two policemen. In the morning they sent me to the court. In the court I could not spend money for lawyer, so I was in jail for 3 months.”</w:t>
      </w:r>
      <w:r>
        <w:rPr>
          <w:rFonts w:ascii="Tw Cen MT" w:eastAsiaTheme="minorHAnsi" w:hAnsi="Tw Cen MT" w:cstheme="minorBidi"/>
        </w:rPr>
        <w:t xml:space="preserve"> – Sex worker, Myanmar</w:t>
      </w:r>
      <w:r>
        <w:rPr>
          <w:rStyle w:val="FootnoteReference"/>
          <w:rFonts w:ascii="Tw Cen MT" w:eastAsiaTheme="minorHAnsi" w:hAnsi="Tw Cen MT" w:cstheme="minorBidi"/>
        </w:rPr>
        <w:footnoteReference w:id="5"/>
      </w:r>
    </w:p>
    <w:p w14:paraId="17A71A04" w14:textId="77777777" w:rsidR="00057489" w:rsidRDefault="00057489" w:rsidP="008C5605">
      <w:pPr>
        <w:spacing w:after="0" w:line="240" w:lineRule="auto"/>
        <w:rPr>
          <w:rFonts w:ascii="Tw Cen MT" w:eastAsiaTheme="minorHAnsi" w:hAnsi="Tw Cen MT" w:cstheme="minorBidi"/>
        </w:rPr>
      </w:pPr>
    </w:p>
    <w:p w14:paraId="6ABA8EAB" w14:textId="741E8613" w:rsidR="0033204F" w:rsidRDefault="0033204F" w:rsidP="008C5605">
      <w:pPr>
        <w:spacing w:after="0" w:line="240" w:lineRule="auto"/>
        <w:rPr>
          <w:rFonts w:ascii="Tw Cen MT" w:eastAsiaTheme="minorHAnsi" w:hAnsi="Tw Cen MT" w:cstheme="minorBidi"/>
        </w:rPr>
      </w:pPr>
      <w:r w:rsidRPr="00D34CDE">
        <w:rPr>
          <w:rFonts w:ascii="Tw Cen MT" w:eastAsiaTheme="minorHAnsi" w:hAnsi="Tw Cen MT" w:cstheme="minorBidi"/>
        </w:rPr>
        <w:t xml:space="preserve">These risks are compounded for sex workers experiencing multiple forms of discrimination, including </w:t>
      </w:r>
      <w:r w:rsidR="00E4681C" w:rsidRPr="00D34CDE">
        <w:rPr>
          <w:rFonts w:ascii="Tw Cen MT" w:eastAsiaTheme="minorHAnsi" w:hAnsi="Tw Cen MT" w:cstheme="minorBidi"/>
        </w:rPr>
        <w:t>on the basis</w:t>
      </w:r>
      <w:r w:rsidRPr="00D34CDE">
        <w:rPr>
          <w:rFonts w:ascii="Tw Cen MT" w:eastAsiaTheme="minorHAnsi" w:hAnsi="Tw Cen MT" w:cstheme="minorBidi"/>
        </w:rPr>
        <w:t xml:space="preserve"> </w:t>
      </w:r>
      <w:r w:rsidR="00E4681C" w:rsidRPr="00D34CDE">
        <w:rPr>
          <w:rFonts w:ascii="Tw Cen MT" w:eastAsiaTheme="minorHAnsi" w:hAnsi="Tw Cen MT" w:cstheme="minorBidi"/>
        </w:rPr>
        <w:t>of</w:t>
      </w:r>
      <w:r w:rsidRPr="00D34CDE">
        <w:rPr>
          <w:rFonts w:ascii="Tw Cen MT" w:eastAsiaTheme="minorHAnsi" w:hAnsi="Tw Cen MT" w:cstheme="minorBidi"/>
        </w:rPr>
        <w:t xml:space="preserve"> their</w:t>
      </w:r>
      <w:r w:rsidR="008115B5">
        <w:rPr>
          <w:rFonts w:ascii="Tw Cen MT" w:eastAsiaTheme="minorHAnsi" w:hAnsi="Tw Cen MT" w:cstheme="minorBidi"/>
        </w:rPr>
        <w:t xml:space="preserve"> race or ethnic background, sexual orientation,</w:t>
      </w:r>
      <w:r w:rsidRPr="00D34CDE">
        <w:rPr>
          <w:rFonts w:ascii="Tw Cen MT" w:eastAsiaTheme="minorHAnsi" w:hAnsi="Tw Cen MT" w:cstheme="minorBidi"/>
        </w:rPr>
        <w:t xml:space="preserve"> gender identity</w:t>
      </w:r>
      <w:r w:rsidR="008115B5">
        <w:rPr>
          <w:rFonts w:ascii="Tw Cen MT" w:eastAsiaTheme="minorHAnsi" w:hAnsi="Tw Cen MT" w:cstheme="minorBidi"/>
        </w:rPr>
        <w:t xml:space="preserve"> or expression</w:t>
      </w:r>
      <w:r w:rsidRPr="00D34CDE">
        <w:rPr>
          <w:rFonts w:ascii="Tw Cen MT" w:eastAsiaTheme="minorHAnsi" w:hAnsi="Tw Cen MT" w:cstheme="minorBidi"/>
        </w:rPr>
        <w:t xml:space="preserve">, </w:t>
      </w:r>
      <w:r w:rsidR="008115B5" w:rsidRPr="00895F44">
        <w:rPr>
          <w:rFonts w:ascii="Tw Cen MT" w:eastAsiaTheme="minorHAnsi" w:hAnsi="Tw Cen MT" w:cstheme="minorBidi"/>
        </w:rPr>
        <w:t xml:space="preserve">migrant status, </w:t>
      </w:r>
      <w:r w:rsidR="008115B5">
        <w:rPr>
          <w:rFonts w:ascii="Tw Cen MT" w:eastAsiaTheme="minorHAnsi" w:hAnsi="Tw Cen MT" w:cstheme="minorBidi"/>
        </w:rPr>
        <w:t xml:space="preserve">or </w:t>
      </w:r>
      <w:r w:rsidR="008115B5" w:rsidRPr="00895F44">
        <w:rPr>
          <w:rFonts w:ascii="Tw Cen MT" w:eastAsiaTheme="minorHAnsi" w:hAnsi="Tw Cen MT" w:cstheme="minorBidi"/>
        </w:rPr>
        <w:t>drug use</w:t>
      </w:r>
      <w:r w:rsidR="008115B5">
        <w:rPr>
          <w:rFonts w:ascii="Tw Cen MT" w:eastAsiaTheme="minorHAnsi" w:hAnsi="Tw Cen MT" w:cstheme="minorBidi"/>
        </w:rPr>
        <w:t>.</w:t>
      </w:r>
    </w:p>
    <w:p w14:paraId="636E10CA" w14:textId="77777777" w:rsidR="00D34CDE" w:rsidRDefault="00D34CDE" w:rsidP="008C5605">
      <w:pPr>
        <w:spacing w:after="0" w:line="240" w:lineRule="auto"/>
        <w:rPr>
          <w:rFonts w:ascii="Tw Cen MT" w:eastAsiaTheme="minorHAnsi" w:hAnsi="Tw Cen MT" w:cstheme="minorBidi"/>
        </w:rPr>
      </w:pPr>
    </w:p>
    <w:p w14:paraId="23AB2E59" w14:textId="7E143678" w:rsidR="00D34CDE" w:rsidRPr="00D34CDE" w:rsidRDefault="00D34CDE" w:rsidP="00D34CDE">
      <w:pPr>
        <w:spacing w:after="0" w:line="240" w:lineRule="auto"/>
        <w:ind w:left="720"/>
        <w:rPr>
          <w:rFonts w:ascii="Tw Cen MT" w:eastAsiaTheme="minorHAnsi" w:hAnsi="Tw Cen MT" w:cstheme="minorBidi"/>
          <w:lang w:val="en-US"/>
        </w:rPr>
      </w:pPr>
      <w:r w:rsidRPr="00D34CDE">
        <w:rPr>
          <w:rFonts w:ascii="Tw Cen MT" w:eastAsiaTheme="minorHAnsi" w:hAnsi="Tw Cen MT" w:cstheme="minorBidi"/>
          <w:lang w:val="en-US"/>
        </w:rPr>
        <w:t xml:space="preserve">“Transgender sex workers often face harassment from law enforcement officers who exploit their </w:t>
      </w:r>
      <w:proofErr w:type="spellStart"/>
      <w:r w:rsidRPr="00D34CDE">
        <w:rPr>
          <w:rFonts w:ascii="Tw Cen MT" w:eastAsiaTheme="minorHAnsi" w:hAnsi="Tw Cen MT" w:cstheme="minorBidi"/>
          <w:lang w:val="en-US"/>
        </w:rPr>
        <w:t>marginalised</w:t>
      </w:r>
      <w:proofErr w:type="spellEnd"/>
      <w:r w:rsidRPr="00D34CDE">
        <w:rPr>
          <w:rFonts w:ascii="Tw Cen MT" w:eastAsiaTheme="minorHAnsi" w:hAnsi="Tw Cen MT" w:cstheme="minorBidi"/>
          <w:lang w:val="en-US"/>
        </w:rPr>
        <w:t xml:space="preserve"> status. The police may extort money from sex workers or threaten to reveal their identity to the public or their families, leading to increased instability in housing arrangements." - Right Side Human Rights Defender NGO, Armenia</w:t>
      </w:r>
      <w:r>
        <w:rPr>
          <w:rStyle w:val="FootnoteReference"/>
          <w:rFonts w:ascii="Tw Cen MT" w:eastAsiaTheme="minorHAnsi" w:hAnsi="Tw Cen MT" w:cstheme="minorBidi"/>
          <w:lang w:val="en-US"/>
        </w:rPr>
        <w:footnoteReference w:id="6"/>
      </w:r>
    </w:p>
    <w:p w14:paraId="05D78ECF" w14:textId="77777777" w:rsidR="0033204F" w:rsidRDefault="0033204F" w:rsidP="008C5605">
      <w:pPr>
        <w:spacing w:after="0" w:line="240" w:lineRule="auto"/>
        <w:rPr>
          <w:rFonts w:ascii="Tw Cen MT" w:eastAsiaTheme="minorHAnsi" w:hAnsi="Tw Cen MT" w:cstheme="minorBidi"/>
        </w:rPr>
      </w:pPr>
    </w:p>
    <w:p w14:paraId="6FD8EC6B" w14:textId="58EF221B" w:rsidR="008C5605" w:rsidRDefault="00BC7776" w:rsidP="008C5605">
      <w:pPr>
        <w:spacing w:after="0" w:line="240" w:lineRule="auto"/>
        <w:rPr>
          <w:rFonts w:ascii="Tw Cen MT" w:eastAsiaTheme="minorHAnsi" w:hAnsi="Tw Cen MT" w:cstheme="minorBidi"/>
        </w:rPr>
      </w:pPr>
      <w:r>
        <w:rPr>
          <w:rFonts w:ascii="Tw Cen MT" w:eastAsiaTheme="minorHAnsi" w:hAnsi="Tw Cen MT" w:cstheme="minorBidi"/>
        </w:rPr>
        <w:t xml:space="preserve">For sex workers who are charged with offences </w:t>
      </w:r>
      <w:r w:rsidR="00F03E55">
        <w:rPr>
          <w:rFonts w:ascii="Tw Cen MT" w:eastAsiaTheme="minorHAnsi" w:hAnsi="Tw Cen MT" w:cstheme="minorBidi"/>
        </w:rPr>
        <w:t>associated with</w:t>
      </w:r>
      <w:r>
        <w:rPr>
          <w:rFonts w:ascii="Tw Cen MT" w:eastAsiaTheme="minorHAnsi" w:hAnsi="Tw Cen MT" w:cstheme="minorBidi"/>
        </w:rPr>
        <w:t xml:space="preserve"> working </w:t>
      </w:r>
      <w:r w:rsidR="00F03E55">
        <w:rPr>
          <w:rFonts w:ascii="Tw Cen MT" w:eastAsiaTheme="minorHAnsi" w:hAnsi="Tw Cen MT" w:cstheme="minorBidi"/>
        </w:rPr>
        <w:t xml:space="preserve">and </w:t>
      </w:r>
      <w:r w:rsidR="00D04274">
        <w:rPr>
          <w:rFonts w:ascii="Tw Cen MT" w:eastAsiaTheme="minorHAnsi" w:hAnsi="Tw Cen MT" w:cstheme="minorBidi"/>
        </w:rPr>
        <w:t>conducting activities</w:t>
      </w:r>
      <w:r>
        <w:rPr>
          <w:rFonts w:ascii="Tw Cen MT" w:eastAsiaTheme="minorHAnsi" w:hAnsi="Tw Cen MT" w:cstheme="minorBidi"/>
        </w:rPr>
        <w:t xml:space="preserve"> outdoors, criminal records only perpetuate the cycle of poverty and homelessness</w:t>
      </w:r>
      <w:r w:rsidR="00E4681C">
        <w:rPr>
          <w:rFonts w:ascii="Tw Cen MT" w:eastAsiaTheme="minorHAnsi" w:hAnsi="Tw Cen MT" w:cstheme="minorBidi"/>
        </w:rPr>
        <w:t xml:space="preserve"> by</w:t>
      </w:r>
      <w:r w:rsidR="0033204F">
        <w:rPr>
          <w:rFonts w:ascii="Tw Cen MT" w:eastAsiaTheme="minorHAnsi" w:hAnsi="Tw Cen MT" w:cstheme="minorBidi"/>
        </w:rPr>
        <w:t xml:space="preserve"> limiting</w:t>
      </w:r>
      <w:r>
        <w:rPr>
          <w:rFonts w:ascii="Tw Cen MT" w:eastAsiaTheme="minorHAnsi" w:hAnsi="Tw Cen MT" w:cstheme="minorBidi"/>
        </w:rPr>
        <w:t xml:space="preserve"> access to </w:t>
      </w:r>
      <w:r w:rsidR="00FE20CD">
        <w:rPr>
          <w:rFonts w:ascii="Tw Cen MT" w:eastAsiaTheme="minorHAnsi" w:hAnsi="Tw Cen MT" w:cstheme="minorBidi"/>
        </w:rPr>
        <w:t xml:space="preserve">subsidised </w:t>
      </w:r>
      <w:r>
        <w:rPr>
          <w:rFonts w:ascii="Tw Cen MT" w:eastAsiaTheme="minorHAnsi" w:hAnsi="Tw Cen MT" w:cstheme="minorBidi"/>
        </w:rPr>
        <w:t>housing and education</w:t>
      </w:r>
      <w:r w:rsidR="00F03E55">
        <w:rPr>
          <w:rFonts w:ascii="Tw Cen MT" w:eastAsiaTheme="minorHAnsi" w:hAnsi="Tw Cen MT" w:cstheme="minorBidi"/>
        </w:rPr>
        <w:t xml:space="preserve"> programmes</w:t>
      </w:r>
      <w:r>
        <w:rPr>
          <w:rFonts w:ascii="Tw Cen MT" w:eastAsiaTheme="minorHAnsi" w:hAnsi="Tw Cen MT" w:cstheme="minorBidi"/>
        </w:rPr>
        <w:t xml:space="preserve">, </w:t>
      </w:r>
      <w:r w:rsidR="00A21408">
        <w:rPr>
          <w:rFonts w:ascii="Tw Cen MT" w:eastAsiaTheme="minorHAnsi" w:hAnsi="Tw Cen MT" w:cstheme="minorBidi"/>
        </w:rPr>
        <w:t>financial services</w:t>
      </w:r>
      <w:r>
        <w:rPr>
          <w:rFonts w:ascii="Tw Cen MT" w:eastAsiaTheme="minorHAnsi" w:hAnsi="Tw Cen MT" w:cstheme="minorBidi"/>
        </w:rPr>
        <w:t xml:space="preserve">, and </w:t>
      </w:r>
      <w:r w:rsidR="009C3501">
        <w:rPr>
          <w:rFonts w:ascii="Tw Cen MT" w:eastAsiaTheme="minorHAnsi" w:hAnsi="Tw Cen MT" w:cstheme="minorBidi"/>
        </w:rPr>
        <w:t xml:space="preserve">formal </w:t>
      </w:r>
      <w:r w:rsidR="00F03E55">
        <w:rPr>
          <w:rFonts w:ascii="Tw Cen MT" w:eastAsiaTheme="minorHAnsi" w:hAnsi="Tw Cen MT" w:cstheme="minorBidi"/>
        </w:rPr>
        <w:t>employment opportunities.</w:t>
      </w:r>
      <w:r>
        <w:rPr>
          <w:rFonts w:ascii="Tw Cen MT" w:eastAsiaTheme="minorHAnsi" w:hAnsi="Tw Cen MT" w:cstheme="minorBidi"/>
        </w:rPr>
        <w:t xml:space="preserve"> </w:t>
      </w:r>
      <w:r w:rsidR="00F939E5">
        <w:rPr>
          <w:rFonts w:ascii="Tw Cen MT" w:eastAsiaTheme="minorHAnsi" w:hAnsi="Tw Cen MT" w:cstheme="minorBidi"/>
        </w:rPr>
        <w:t>Th</w:t>
      </w:r>
      <w:r w:rsidR="00044EC0">
        <w:rPr>
          <w:rFonts w:ascii="Tw Cen MT" w:eastAsiaTheme="minorHAnsi" w:hAnsi="Tw Cen MT" w:cstheme="minorBidi"/>
        </w:rPr>
        <w:t xml:space="preserve">ese restrictions </w:t>
      </w:r>
      <w:r w:rsidR="00FE20CD">
        <w:rPr>
          <w:rFonts w:ascii="Tw Cen MT" w:eastAsiaTheme="minorHAnsi" w:hAnsi="Tw Cen MT" w:cstheme="minorBidi"/>
        </w:rPr>
        <w:t>blatantly</w:t>
      </w:r>
      <w:r w:rsidR="00F939E5">
        <w:rPr>
          <w:rFonts w:ascii="Tw Cen MT" w:eastAsiaTheme="minorHAnsi" w:hAnsi="Tw Cen MT" w:cstheme="minorBidi"/>
        </w:rPr>
        <w:t xml:space="preserve"> </w:t>
      </w:r>
      <w:r w:rsidR="00044EC0">
        <w:rPr>
          <w:rFonts w:ascii="Tw Cen MT" w:eastAsiaTheme="minorHAnsi" w:hAnsi="Tw Cen MT" w:cstheme="minorBidi"/>
        </w:rPr>
        <w:t xml:space="preserve">undermine </w:t>
      </w:r>
      <w:r w:rsidR="00F939E5">
        <w:rPr>
          <w:rFonts w:ascii="Tw Cen MT" w:eastAsiaTheme="minorHAnsi" w:hAnsi="Tw Cen MT" w:cstheme="minorBidi"/>
        </w:rPr>
        <w:t>a number of fundamental human rights, including the right</w:t>
      </w:r>
      <w:r w:rsidR="00044EC0">
        <w:rPr>
          <w:rFonts w:ascii="Tw Cen MT" w:eastAsiaTheme="minorHAnsi" w:hAnsi="Tw Cen MT" w:cstheme="minorBidi"/>
        </w:rPr>
        <w:t>s</w:t>
      </w:r>
      <w:r w:rsidR="00F939E5">
        <w:rPr>
          <w:rFonts w:ascii="Tw Cen MT" w:eastAsiaTheme="minorHAnsi" w:hAnsi="Tw Cen MT" w:cstheme="minorBidi"/>
        </w:rPr>
        <w:t xml:space="preserve"> to</w:t>
      </w:r>
      <w:r w:rsidR="00044EC0">
        <w:rPr>
          <w:rFonts w:ascii="Tw Cen MT" w:eastAsiaTheme="minorHAnsi" w:hAnsi="Tw Cen MT" w:cstheme="minorBidi"/>
        </w:rPr>
        <w:t xml:space="preserve"> an adequate</w:t>
      </w:r>
      <w:r w:rsidR="00F939E5">
        <w:rPr>
          <w:rFonts w:ascii="Tw Cen MT" w:eastAsiaTheme="minorHAnsi" w:hAnsi="Tw Cen MT" w:cstheme="minorBidi"/>
        </w:rPr>
        <w:t xml:space="preserve"> </w:t>
      </w:r>
      <w:r w:rsidR="00044EC0">
        <w:rPr>
          <w:rFonts w:ascii="Tw Cen MT" w:eastAsiaTheme="minorHAnsi" w:hAnsi="Tw Cen MT" w:cstheme="minorBidi"/>
        </w:rPr>
        <w:t xml:space="preserve">standard of living, </w:t>
      </w:r>
      <w:r w:rsidR="00F939E5">
        <w:rPr>
          <w:rFonts w:ascii="Tw Cen MT" w:eastAsiaTheme="minorHAnsi" w:hAnsi="Tw Cen MT" w:cstheme="minorBidi"/>
        </w:rPr>
        <w:t xml:space="preserve">housing, work, education, </w:t>
      </w:r>
      <w:r w:rsidR="00044EC0">
        <w:rPr>
          <w:rFonts w:ascii="Tw Cen MT" w:eastAsiaTheme="minorHAnsi" w:hAnsi="Tw Cen MT" w:cstheme="minorBidi"/>
        </w:rPr>
        <w:t xml:space="preserve">and </w:t>
      </w:r>
      <w:r w:rsidR="00F939E5">
        <w:rPr>
          <w:rFonts w:ascii="Tw Cen MT" w:eastAsiaTheme="minorHAnsi" w:hAnsi="Tw Cen MT" w:cstheme="minorBidi"/>
        </w:rPr>
        <w:t>freedom from discrimination</w:t>
      </w:r>
      <w:r w:rsidR="00044EC0">
        <w:rPr>
          <w:rFonts w:ascii="Tw Cen MT" w:eastAsiaTheme="minorHAnsi" w:hAnsi="Tw Cen MT" w:cstheme="minorBidi"/>
        </w:rPr>
        <w:t>.</w:t>
      </w:r>
      <w:r w:rsidR="00F939E5">
        <w:rPr>
          <w:rFonts w:ascii="Tw Cen MT" w:eastAsiaTheme="minorHAnsi" w:hAnsi="Tw Cen MT" w:cstheme="minorBidi"/>
        </w:rPr>
        <w:t xml:space="preserve"> </w:t>
      </w:r>
    </w:p>
    <w:p w14:paraId="5D4CA75F" w14:textId="77777777" w:rsidR="00F12F66" w:rsidRDefault="00F12F66" w:rsidP="000E4344">
      <w:pPr>
        <w:spacing w:after="0" w:line="240" w:lineRule="auto"/>
        <w:rPr>
          <w:rFonts w:ascii="Tw Cen MT" w:eastAsiaTheme="minorHAnsi" w:hAnsi="Tw Cen MT" w:cstheme="minorBidi"/>
        </w:rPr>
      </w:pPr>
    </w:p>
    <w:p w14:paraId="6E0804D3" w14:textId="2686EAC6" w:rsidR="00F12F66" w:rsidRPr="00F12F66" w:rsidRDefault="00F12F66" w:rsidP="000E4344">
      <w:pPr>
        <w:spacing w:after="0" w:line="240" w:lineRule="auto"/>
        <w:rPr>
          <w:rFonts w:ascii="Tw Cen MT" w:eastAsiaTheme="minorHAnsi" w:hAnsi="Tw Cen MT" w:cstheme="minorBidi"/>
          <w:b/>
          <w:bCs/>
        </w:rPr>
      </w:pPr>
      <w:r w:rsidRPr="00F12F66">
        <w:rPr>
          <w:rFonts w:ascii="Tw Cen MT" w:eastAsiaTheme="minorHAnsi" w:hAnsi="Tw Cen MT" w:cstheme="minorBidi"/>
          <w:b/>
          <w:bCs/>
        </w:rPr>
        <w:t>Decriminalis</w:t>
      </w:r>
      <w:r w:rsidR="00F4658E">
        <w:rPr>
          <w:rFonts w:ascii="Tw Cen MT" w:eastAsiaTheme="minorHAnsi" w:hAnsi="Tw Cen MT" w:cstheme="minorBidi"/>
          <w:b/>
          <w:bCs/>
        </w:rPr>
        <w:t xml:space="preserve">ing Sex Work to </w:t>
      </w:r>
      <w:r w:rsidR="00EB0227">
        <w:rPr>
          <w:rFonts w:ascii="Tw Cen MT" w:eastAsiaTheme="minorHAnsi" w:hAnsi="Tw Cen MT" w:cstheme="minorBidi"/>
          <w:b/>
          <w:bCs/>
        </w:rPr>
        <w:t>Promote Rights and</w:t>
      </w:r>
      <w:r w:rsidR="00C02004">
        <w:rPr>
          <w:rFonts w:ascii="Tw Cen MT" w:eastAsiaTheme="minorHAnsi" w:hAnsi="Tw Cen MT" w:cstheme="minorBidi"/>
          <w:b/>
          <w:bCs/>
        </w:rPr>
        <w:t xml:space="preserve"> Reduce Poverty</w:t>
      </w:r>
    </w:p>
    <w:p w14:paraId="0DA1782C" w14:textId="77777777" w:rsidR="000E4344" w:rsidRDefault="000E4344" w:rsidP="000E4344">
      <w:pPr>
        <w:spacing w:after="0" w:line="240" w:lineRule="auto"/>
        <w:rPr>
          <w:rFonts w:ascii="Tw Cen MT" w:eastAsiaTheme="minorHAnsi" w:hAnsi="Tw Cen MT" w:cstheme="minorBidi"/>
        </w:rPr>
      </w:pPr>
    </w:p>
    <w:p w14:paraId="1F5256C2" w14:textId="364E9640" w:rsidR="00EF5102" w:rsidRDefault="00EF5102" w:rsidP="001B450A">
      <w:pPr>
        <w:spacing w:after="0" w:line="240" w:lineRule="auto"/>
        <w:rPr>
          <w:rFonts w:ascii="Tw Cen MT" w:eastAsiaTheme="minorHAnsi" w:hAnsi="Tw Cen MT" w:cstheme="minorBidi"/>
        </w:rPr>
      </w:pPr>
      <w:r>
        <w:rPr>
          <w:rFonts w:ascii="Tw Cen MT" w:eastAsiaTheme="minorHAnsi" w:hAnsi="Tw Cen MT" w:cstheme="minorBidi"/>
        </w:rPr>
        <w:t xml:space="preserve">International best practice guidelines, supported by a substantial body of evidence, promote the full decriminalisation of sex work as the best means to reduce violence, improve health outcomes, and </w:t>
      </w:r>
      <w:r w:rsidR="00057489">
        <w:rPr>
          <w:rFonts w:ascii="Tw Cen MT" w:eastAsiaTheme="minorHAnsi" w:hAnsi="Tw Cen MT" w:cstheme="minorBidi"/>
        </w:rPr>
        <w:t>support sex workers’ access to justice</w:t>
      </w:r>
      <w:r>
        <w:rPr>
          <w:rFonts w:ascii="Tw Cen MT" w:eastAsiaTheme="minorHAnsi" w:hAnsi="Tw Cen MT" w:cstheme="minorBidi"/>
        </w:rPr>
        <w:t xml:space="preserve">. </w:t>
      </w:r>
      <w:r w:rsidR="00FB5337">
        <w:rPr>
          <w:rFonts w:ascii="Tw Cen MT" w:eastAsiaTheme="minorHAnsi" w:hAnsi="Tw Cen MT" w:cstheme="minorBidi"/>
        </w:rPr>
        <w:t>In addition, decriminalisation allows</w:t>
      </w:r>
      <w:r w:rsidR="00853D5E">
        <w:rPr>
          <w:rFonts w:ascii="Tw Cen MT" w:eastAsiaTheme="minorHAnsi" w:hAnsi="Tw Cen MT" w:cstheme="minorBidi"/>
        </w:rPr>
        <w:t xml:space="preserve"> sex workers </w:t>
      </w:r>
      <w:r w:rsidR="00FB5337">
        <w:rPr>
          <w:rFonts w:ascii="Tw Cen MT" w:eastAsiaTheme="minorHAnsi" w:hAnsi="Tw Cen MT" w:cstheme="minorBidi"/>
        </w:rPr>
        <w:t>to access the</w:t>
      </w:r>
      <w:r w:rsidR="00853D5E">
        <w:rPr>
          <w:rFonts w:ascii="Tw Cen MT" w:eastAsiaTheme="minorHAnsi" w:hAnsi="Tw Cen MT" w:cstheme="minorBidi"/>
        </w:rPr>
        <w:t xml:space="preserve"> same </w:t>
      </w:r>
      <w:r w:rsidR="00FB5337">
        <w:rPr>
          <w:rFonts w:ascii="Tw Cen MT" w:eastAsiaTheme="minorHAnsi" w:hAnsi="Tw Cen MT" w:cstheme="minorBidi"/>
        </w:rPr>
        <w:t>social protection benefits</w:t>
      </w:r>
      <w:r w:rsidR="00853D5E">
        <w:rPr>
          <w:rFonts w:ascii="Tw Cen MT" w:eastAsiaTheme="minorHAnsi" w:hAnsi="Tw Cen MT" w:cstheme="minorBidi"/>
        </w:rPr>
        <w:t xml:space="preserve"> as other workers. </w:t>
      </w:r>
      <w:r w:rsidR="00C02004">
        <w:rPr>
          <w:rFonts w:ascii="Tw Cen MT" w:eastAsiaTheme="minorHAnsi" w:hAnsi="Tw Cen MT" w:cstheme="minorBidi"/>
        </w:rPr>
        <w:t xml:space="preserve">All of these factors can have a significant impact on combatting poverty and reducing social, political, and economic inequalities. </w:t>
      </w:r>
      <w:r w:rsidR="001B450A">
        <w:rPr>
          <w:rFonts w:ascii="Tw Cen MT" w:eastAsiaTheme="minorHAnsi" w:hAnsi="Tw Cen MT" w:cstheme="minorBidi"/>
        </w:rPr>
        <w:t>Decriminalisation is the legal framework favoured by the overwhelming majority of sex worker-led organisations worldwide, as well as leading authorities in health and human rights.</w:t>
      </w:r>
    </w:p>
    <w:p w14:paraId="34D718C9" w14:textId="77777777" w:rsidR="00EF5102" w:rsidRDefault="00EF5102" w:rsidP="00EF5102">
      <w:pPr>
        <w:spacing w:after="0" w:line="240" w:lineRule="auto"/>
        <w:rPr>
          <w:rFonts w:ascii="Tw Cen MT" w:eastAsiaTheme="minorHAnsi" w:hAnsi="Tw Cen MT" w:cstheme="minorBidi"/>
        </w:rPr>
      </w:pPr>
    </w:p>
    <w:p w14:paraId="0814C90F" w14:textId="340185F5" w:rsidR="00EF5102" w:rsidRDefault="00000000" w:rsidP="00EF5102">
      <w:pPr>
        <w:spacing w:after="0" w:line="240" w:lineRule="auto"/>
        <w:rPr>
          <w:rFonts w:ascii="Tw Cen MT" w:eastAsia="Times New Roman" w:hAnsi="Tw Cen MT" w:cs="Calibri"/>
          <w:lang w:val="en-US" w:eastAsia="zh-CN"/>
        </w:rPr>
      </w:pPr>
      <w:hyperlink r:id="rId8" w:tgtFrame="_blank" w:history="1">
        <w:r w:rsidR="00F939E5" w:rsidRPr="00D9149D">
          <w:rPr>
            <w:rFonts w:ascii="Tw Cen MT" w:hAnsi="Tw Cen MT" w:cs="Calibri"/>
            <w:color w:val="0000FF"/>
            <w:u w:val="single"/>
            <w:lang w:eastAsia="en-GB"/>
          </w:rPr>
          <w:t>The Joint United Nations Programme on HIV/AIDS (UNAIDS)</w:t>
        </w:r>
      </w:hyperlink>
      <w:r w:rsidR="00F939E5" w:rsidRPr="00D9149D">
        <w:rPr>
          <w:rFonts w:ascii="Tw Cen MT" w:eastAsia="Times New Roman" w:hAnsi="Tw Cen MT" w:cs="Calibri"/>
          <w:lang w:val="en-US" w:eastAsia="zh-CN"/>
        </w:rPr>
        <w:t xml:space="preserve">, </w:t>
      </w:r>
      <w:hyperlink r:id="rId9" w:history="1">
        <w:r w:rsidR="00F939E5" w:rsidRPr="00D9149D">
          <w:rPr>
            <w:rFonts w:ascii="Tw Cen MT" w:hAnsi="Tw Cen MT" w:cs="Calibri"/>
            <w:color w:val="0000FF"/>
            <w:u w:val="single"/>
            <w:lang w:eastAsia="en-GB"/>
          </w:rPr>
          <w:t>UNFPA, WHO</w:t>
        </w:r>
      </w:hyperlink>
      <w:r w:rsidR="00F939E5" w:rsidRPr="00D9149D">
        <w:rPr>
          <w:rFonts w:ascii="Tw Cen MT" w:eastAsia="Times New Roman" w:hAnsi="Tw Cen MT" w:cs="Calibri"/>
          <w:lang w:val="en-US" w:eastAsia="zh-CN"/>
        </w:rPr>
        <w:t xml:space="preserve">, </w:t>
      </w:r>
      <w:hyperlink r:id="rId10" w:history="1">
        <w:r w:rsidR="00F939E5" w:rsidRPr="00D9149D">
          <w:rPr>
            <w:rFonts w:ascii="Tw Cen MT" w:hAnsi="Tw Cen MT" w:cs="Calibri"/>
            <w:color w:val="0000FF"/>
            <w:u w:val="single"/>
            <w:lang w:eastAsia="en-GB"/>
          </w:rPr>
          <w:t>UNDP</w:t>
        </w:r>
      </w:hyperlink>
      <w:r w:rsidR="00F939E5" w:rsidRPr="00D9149D">
        <w:rPr>
          <w:rFonts w:ascii="Tw Cen MT" w:eastAsia="Times New Roman" w:hAnsi="Tw Cen MT" w:cs="Calibri"/>
          <w:lang w:val="en-US" w:eastAsia="zh-CN"/>
        </w:rPr>
        <w:t xml:space="preserve">, </w:t>
      </w:r>
      <w:hyperlink r:id="rId11" w:history="1">
        <w:r w:rsidR="00F939E5" w:rsidRPr="00D9149D">
          <w:rPr>
            <w:rFonts w:ascii="Tw Cen MT" w:hAnsi="Tw Cen MT" w:cs="Calibri"/>
            <w:color w:val="0000FF"/>
            <w:u w:val="single"/>
            <w:lang w:eastAsia="en-GB"/>
          </w:rPr>
          <w:t>the World Bank</w:t>
        </w:r>
      </w:hyperlink>
      <w:r w:rsidR="00F939E5" w:rsidRPr="00D9149D">
        <w:rPr>
          <w:rFonts w:ascii="Tw Cen MT" w:eastAsia="Times New Roman" w:hAnsi="Tw Cen MT" w:cs="Calibri"/>
          <w:lang w:val="en-US" w:eastAsia="zh-CN"/>
        </w:rPr>
        <w:t xml:space="preserve">, </w:t>
      </w:r>
      <w:hyperlink r:id="rId12" w:history="1">
        <w:r w:rsidR="00F939E5" w:rsidRPr="00D9149D">
          <w:rPr>
            <w:rFonts w:ascii="Tw Cen MT" w:eastAsia="Times New Roman" w:hAnsi="Tw Cen MT" w:cs="Calibri"/>
            <w:color w:val="0000FF"/>
            <w:u w:val="single"/>
            <w:lang w:eastAsia="zh-CN"/>
          </w:rPr>
          <w:t>Amnesty International</w:t>
        </w:r>
      </w:hyperlink>
      <w:r w:rsidR="00F939E5" w:rsidRPr="00D9149D">
        <w:rPr>
          <w:rFonts w:ascii="Tw Cen MT" w:eastAsia="Times New Roman" w:hAnsi="Tw Cen MT" w:cs="Calibri"/>
          <w:lang w:eastAsia="zh-CN"/>
        </w:rPr>
        <w:t xml:space="preserve">, </w:t>
      </w:r>
      <w:hyperlink r:id="rId13" w:history="1">
        <w:r w:rsidR="00F939E5" w:rsidRPr="00D9149D">
          <w:rPr>
            <w:rFonts w:ascii="Tw Cen MT" w:eastAsia="Times New Roman" w:hAnsi="Tw Cen MT" w:cs="Calibri"/>
            <w:color w:val="0000FF"/>
            <w:u w:val="single"/>
            <w:lang w:eastAsia="zh-CN"/>
          </w:rPr>
          <w:t>Médecins Du Monde</w:t>
        </w:r>
      </w:hyperlink>
      <w:r w:rsidR="00F939E5" w:rsidRPr="00D9149D">
        <w:rPr>
          <w:rFonts w:ascii="Tw Cen MT" w:eastAsia="Times New Roman" w:hAnsi="Tw Cen MT" w:cs="Calibri"/>
          <w:lang w:eastAsia="zh-CN"/>
        </w:rPr>
        <w:t xml:space="preserve">, </w:t>
      </w:r>
      <w:hyperlink r:id="rId14" w:history="1">
        <w:r w:rsidR="00F939E5" w:rsidRPr="00D9149D">
          <w:rPr>
            <w:rFonts w:ascii="Tw Cen MT" w:hAnsi="Tw Cen MT" w:cs="Calibri"/>
            <w:color w:val="0000FF"/>
            <w:u w:val="single"/>
            <w:lang w:eastAsia="en-GB"/>
          </w:rPr>
          <w:t>Human Rights Watch</w:t>
        </w:r>
      </w:hyperlink>
      <w:r w:rsidR="00F939E5" w:rsidRPr="00D9149D">
        <w:rPr>
          <w:rFonts w:ascii="Tw Cen MT" w:eastAsia="Times New Roman" w:hAnsi="Tw Cen MT" w:cs="Calibri"/>
          <w:lang w:val="en-US" w:eastAsia="zh-CN"/>
        </w:rPr>
        <w:t xml:space="preserve">, the </w:t>
      </w:r>
      <w:hyperlink r:id="rId15" w:history="1">
        <w:r w:rsidR="00F939E5" w:rsidRPr="00D9149D">
          <w:rPr>
            <w:rFonts w:ascii="Tw Cen MT" w:hAnsi="Tw Cen MT" w:cs="Calibri"/>
            <w:color w:val="0000FF"/>
            <w:u w:val="single"/>
            <w:lang w:eastAsia="en-GB"/>
          </w:rPr>
          <w:t>Global Commission on HIV and the Law</w:t>
        </w:r>
      </w:hyperlink>
      <w:r w:rsidR="00F939E5" w:rsidRPr="00D9149D">
        <w:rPr>
          <w:rFonts w:ascii="Tw Cen MT" w:eastAsia="Times New Roman" w:hAnsi="Tw Cen MT" w:cs="Calibri"/>
          <w:lang w:val="en-US" w:eastAsia="zh-CN"/>
        </w:rPr>
        <w:t xml:space="preserve">, </w:t>
      </w:r>
      <w:hyperlink r:id="rId16" w:history="1">
        <w:r w:rsidR="00F939E5" w:rsidRPr="00D9149D">
          <w:rPr>
            <w:rFonts w:ascii="Tw Cen MT" w:hAnsi="Tw Cen MT" w:cs="Calibri"/>
            <w:color w:val="0000FF"/>
            <w:u w:val="single"/>
            <w:lang w:eastAsia="en-GB"/>
          </w:rPr>
          <w:t>Open Society Foundations</w:t>
        </w:r>
      </w:hyperlink>
      <w:r w:rsidR="00F939E5" w:rsidRPr="00D9149D">
        <w:rPr>
          <w:rFonts w:ascii="Tw Cen MT" w:eastAsia="Times New Roman" w:hAnsi="Tw Cen MT" w:cs="Calibri"/>
          <w:lang w:val="en-US" w:eastAsia="zh-CN"/>
        </w:rPr>
        <w:t xml:space="preserve">, the </w:t>
      </w:r>
      <w:hyperlink r:id="rId17" w:history="1">
        <w:r w:rsidR="00F939E5" w:rsidRPr="00D9149D">
          <w:rPr>
            <w:rFonts w:ascii="Tw Cen MT" w:hAnsi="Tw Cen MT" w:cs="Calibri"/>
            <w:color w:val="0000FF"/>
            <w:u w:val="single"/>
            <w:lang w:eastAsia="en-GB"/>
          </w:rPr>
          <w:t>Global Network of People Living with HIV</w:t>
        </w:r>
      </w:hyperlink>
      <w:r w:rsidR="00F939E5" w:rsidRPr="00D9149D">
        <w:rPr>
          <w:rFonts w:ascii="Tw Cen MT" w:eastAsia="Times New Roman" w:hAnsi="Tw Cen MT" w:cs="Calibri"/>
          <w:lang w:val="en-US" w:eastAsia="zh-CN"/>
        </w:rPr>
        <w:t xml:space="preserve">, the </w:t>
      </w:r>
      <w:hyperlink r:id="rId18" w:history="1">
        <w:r w:rsidR="00F939E5" w:rsidRPr="00D9149D">
          <w:rPr>
            <w:rFonts w:ascii="Tw Cen MT" w:hAnsi="Tw Cen MT" w:cs="Calibri"/>
            <w:color w:val="0000FF"/>
            <w:u w:val="single"/>
            <w:lang w:eastAsia="en-GB"/>
          </w:rPr>
          <w:t>Global Action for Gay Men’s Health &amp; Rights (</w:t>
        </w:r>
        <w:proofErr w:type="spellStart"/>
        <w:r w:rsidR="00F939E5" w:rsidRPr="00D9149D">
          <w:rPr>
            <w:rFonts w:ascii="Tw Cen MT" w:hAnsi="Tw Cen MT" w:cs="Calibri"/>
            <w:color w:val="0000FF"/>
            <w:u w:val="single"/>
            <w:lang w:eastAsia="en-GB"/>
          </w:rPr>
          <w:t>MPact</w:t>
        </w:r>
        <w:proofErr w:type="spellEnd"/>
        <w:r w:rsidR="00F939E5" w:rsidRPr="00D9149D">
          <w:rPr>
            <w:rFonts w:ascii="Tw Cen MT" w:hAnsi="Tw Cen MT" w:cs="Calibri"/>
            <w:color w:val="0000FF"/>
            <w:u w:val="single"/>
            <w:lang w:eastAsia="en-GB"/>
          </w:rPr>
          <w:t>)</w:t>
        </w:r>
      </w:hyperlink>
      <w:r w:rsidR="00F939E5" w:rsidRPr="00D9149D">
        <w:rPr>
          <w:rFonts w:ascii="Tw Cen MT" w:eastAsia="Times New Roman" w:hAnsi="Tw Cen MT" w:cs="Calibri"/>
          <w:lang w:val="en-US" w:eastAsia="zh-CN"/>
        </w:rPr>
        <w:t xml:space="preserve">, the International Women’s Health Coalition, the </w:t>
      </w:r>
      <w:hyperlink r:id="rId19" w:history="1">
        <w:r w:rsidR="00F939E5" w:rsidRPr="00D9149D">
          <w:rPr>
            <w:rFonts w:ascii="Tw Cen MT" w:hAnsi="Tw Cen MT" w:cs="Calibri"/>
            <w:color w:val="0000FF"/>
            <w:u w:val="single"/>
            <w:lang w:eastAsia="en-GB"/>
          </w:rPr>
          <w:t>Association for Women’s Rights in Development</w:t>
        </w:r>
      </w:hyperlink>
      <w:r w:rsidR="00F939E5" w:rsidRPr="00D9149D">
        <w:rPr>
          <w:rFonts w:ascii="Tw Cen MT" w:eastAsia="Times New Roman" w:hAnsi="Tw Cen MT" w:cs="Calibri"/>
          <w:lang w:val="en-US" w:eastAsia="zh-CN"/>
        </w:rPr>
        <w:t xml:space="preserve">, the </w:t>
      </w:r>
      <w:hyperlink r:id="rId20" w:history="1">
        <w:r w:rsidR="00F939E5" w:rsidRPr="00D9149D">
          <w:rPr>
            <w:rFonts w:ascii="Tw Cen MT" w:hAnsi="Tw Cen MT" w:cs="Calibri"/>
            <w:color w:val="0000FF"/>
            <w:u w:val="single"/>
            <w:lang w:eastAsia="en-GB"/>
          </w:rPr>
          <w:t>American Jewish World Service</w:t>
        </w:r>
      </w:hyperlink>
      <w:r w:rsidR="00F939E5" w:rsidRPr="00D9149D">
        <w:rPr>
          <w:rFonts w:ascii="Tw Cen MT" w:eastAsia="Times New Roman" w:hAnsi="Tw Cen MT" w:cs="Calibri"/>
          <w:lang w:val="en-US" w:eastAsia="zh-CN"/>
        </w:rPr>
        <w:t xml:space="preserve">, </w:t>
      </w:r>
      <w:r w:rsidR="00F939E5" w:rsidRPr="00D9149D">
        <w:rPr>
          <w:rFonts w:ascii="Tw Cen MT" w:eastAsia="Times New Roman" w:hAnsi="Tw Cen MT" w:cs="Calibri"/>
          <w:lang w:eastAsia="zh-CN"/>
        </w:rPr>
        <w:t xml:space="preserve">the </w:t>
      </w:r>
      <w:hyperlink r:id="rId21" w:history="1">
        <w:r w:rsidR="00F939E5" w:rsidRPr="00D9149D">
          <w:rPr>
            <w:rFonts w:ascii="Tw Cen MT" w:hAnsi="Tw Cen MT" w:cs="Calibri"/>
            <w:color w:val="0000FF"/>
            <w:u w:val="single"/>
            <w:lang w:eastAsia="en-GB"/>
          </w:rPr>
          <w:t>Global Alliance Against Traffic in Women (GAATW)</w:t>
        </w:r>
      </w:hyperlink>
      <w:r w:rsidR="00F939E5" w:rsidRPr="00D9149D">
        <w:rPr>
          <w:rFonts w:ascii="Tw Cen MT" w:eastAsia="Times New Roman" w:hAnsi="Tw Cen MT" w:cs="Calibri"/>
          <w:lang w:val="en-US" w:eastAsia="zh-CN"/>
        </w:rPr>
        <w:t xml:space="preserve">, </w:t>
      </w:r>
      <w:hyperlink r:id="rId22" w:history="1">
        <w:r w:rsidR="00F939E5" w:rsidRPr="00D9149D">
          <w:rPr>
            <w:rFonts w:ascii="Tw Cen MT" w:hAnsi="Tw Cen MT" w:cs="Calibri"/>
            <w:color w:val="0000FF"/>
            <w:u w:val="single"/>
            <w:lang w:eastAsia="en-GB"/>
          </w:rPr>
          <w:t>The Lancet</w:t>
        </w:r>
      </w:hyperlink>
      <w:r w:rsidR="00F939E5" w:rsidRPr="00D9149D">
        <w:rPr>
          <w:rFonts w:ascii="Tw Cen MT" w:eastAsia="Times New Roman" w:hAnsi="Tw Cen MT" w:cs="Calibri"/>
          <w:lang w:val="en-US" w:eastAsia="zh-CN"/>
        </w:rPr>
        <w:t xml:space="preserve">, The Global Fund for Women, the Elton John AIDS Foundation, </w:t>
      </w:r>
      <w:hyperlink r:id="rId23" w:history="1">
        <w:r w:rsidR="00F939E5" w:rsidRPr="00D9149D">
          <w:rPr>
            <w:rFonts w:ascii="Tw Cen MT" w:eastAsia="Times New Roman" w:hAnsi="Tw Cen MT" w:cs="Calibri"/>
            <w:color w:val="0000FF"/>
            <w:u w:val="single"/>
            <w:lang w:val="en-US" w:eastAsia="zh-CN"/>
          </w:rPr>
          <w:t>Frontline AIDS</w:t>
        </w:r>
      </w:hyperlink>
      <w:r w:rsidR="00F939E5" w:rsidRPr="00D9149D">
        <w:rPr>
          <w:rFonts w:ascii="Tw Cen MT" w:eastAsia="Times New Roman" w:hAnsi="Tw Cen MT" w:cs="Calibri"/>
          <w:lang w:val="en-US" w:eastAsia="zh-CN"/>
        </w:rPr>
        <w:t xml:space="preserve">, the </w:t>
      </w:r>
      <w:hyperlink r:id="rId24" w:history="1">
        <w:r w:rsidR="00F939E5" w:rsidRPr="00D9149D">
          <w:rPr>
            <w:rFonts w:ascii="Tw Cen MT" w:hAnsi="Tw Cen MT" w:cs="Calibri"/>
            <w:color w:val="0000FF"/>
            <w:u w:val="single"/>
            <w:lang w:eastAsia="en-GB"/>
          </w:rPr>
          <w:t>International Community of Women Living with HIV</w:t>
        </w:r>
      </w:hyperlink>
      <w:r w:rsidR="00F939E5" w:rsidRPr="00D9149D">
        <w:rPr>
          <w:rFonts w:ascii="Tw Cen MT" w:eastAsia="Times New Roman" w:hAnsi="Tw Cen MT" w:cs="Calibri"/>
          <w:lang w:val="en-US" w:eastAsia="zh-CN"/>
        </w:rPr>
        <w:t xml:space="preserve">, </w:t>
      </w:r>
      <w:hyperlink r:id="rId25" w:history="1">
        <w:r w:rsidR="00F939E5" w:rsidRPr="00D9149D">
          <w:rPr>
            <w:rFonts w:ascii="Tw Cen MT" w:eastAsia="Times New Roman" w:hAnsi="Tw Cen MT" w:cs="Calibri"/>
            <w:color w:val="0000FF"/>
            <w:u w:val="single"/>
            <w:lang w:eastAsia="zh-CN"/>
          </w:rPr>
          <w:t>Global Health Justice Partnership of the Yale Law School and Yale School of Public Health</w:t>
        </w:r>
      </w:hyperlink>
      <w:r w:rsidR="00F939E5" w:rsidRPr="00D9149D">
        <w:rPr>
          <w:rFonts w:ascii="Tw Cen MT" w:eastAsia="Times New Roman" w:hAnsi="Tw Cen MT" w:cs="Calibri"/>
          <w:color w:val="1F497D"/>
          <w:lang w:eastAsia="zh-CN"/>
        </w:rPr>
        <w:t xml:space="preserve">, </w:t>
      </w:r>
      <w:hyperlink r:id="rId26" w:history="1">
        <w:r w:rsidR="00F939E5" w:rsidRPr="00D9149D">
          <w:rPr>
            <w:rFonts w:ascii="Tw Cen MT" w:eastAsia="Times New Roman" w:hAnsi="Tw Cen MT" w:cs="Calibri"/>
            <w:color w:val="0000FF"/>
            <w:u w:val="single"/>
            <w:lang w:eastAsia="zh-CN"/>
          </w:rPr>
          <w:t>European AIDS Treatment Group</w:t>
        </w:r>
      </w:hyperlink>
      <w:r w:rsidR="00F939E5" w:rsidRPr="00D9149D">
        <w:rPr>
          <w:rFonts w:ascii="Tw Cen MT" w:eastAsia="Times New Roman" w:hAnsi="Tw Cen MT" w:cs="Calibri"/>
          <w:color w:val="1F497D"/>
          <w:lang w:eastAsia="zh-CN"/>
        </w:rPr>
        <w:t xml:space="preserve">, </w:t>
      </w:r>
      <w:hyperlink r:id="rId27" w:history="1">
        <w:r w:rsidR="00F939E5" w:rsidRPr="00D9149D">
          <w:rPr>
            <w:rFonts w:ascii="Tw Cen MT" w:eastAsia="Times New Roman" w:hAnsi="Tw Cen MT" w:cs="Calibri"/>
            <w:color w:val="0000FF"/>
            <w:u w:val="single"/>
            <w:lang w:val="en-US" w:eastAsia="zh-CN"/>
          </w:rPr>
          <w:t>ILGA-Europe</w:t>
        </w:r>
      </w:hyperlink>
      <w:r w:rsidR="00F939E5" w:rsidRPr="00D9149D">
        <w:rPr>
          <w:rFonts w:ascii="Tw Cen MT" w:eastAsia="Times New Roman" w:hAnsi="Tw Cen MT" w:cs="Calibri"/>
          <w:lang w:val="en-US" w:eastAsia="zh-CN"/>
        </w:rPr>
        <w:t xml:space="preserve">, the </w:t>
      </w:r>
      <w:hyperlink r:id="rId28" w:history="1">
        <w:r w:rsidR="00F939E5" w:rsidRPr="00D9149D">
          <w:rPr>
            <w:rFonts w:ascii="Tw Cen MT" w:eastAsia="Times New Roman" w:hAnsi="Tw Cen MT" w:cs="Calibri"/>
            <w:color w:val="0000FF"/>
            <w:u w:val="single"/>
            <w:lang w:eastAsia="zh-CN"/>
          </w:rPr>
          <w:t>Platform for International Cooperation on Undocumented Migrants (PIKUM)</w:t>
        </w:r>
      </w:hyperlink>
      <w:r w:rsidR="00F939E5" w:rsidRPr="00D9149D">
        <w:rPr>
          <w:rFonts w:ascii="Tw Cen MT" w:eastAsia="Times New Roman" w:hAnsi="Tw Cen MT" w:cs="Calibri"/>
          <w:lang w:val="en-US" w:eastAsia="zh-CN"/>
        </w:rPr>
        <w:t xml:space="preserve">, </w:t>
      </w:r>
      <w:hyperlink r:id="rId29" w:history="1">
        <w:r w:rsidR="00F939E5" w:rsidRPr="00D9149D">
          <w:rPr>
            <w:rFonts w:ascii="Tw Cen MT" w:eastAsia="Times New Roman" w:hAnsi="Tw Cen MT" w:cs="Calibri"/>
            <w:color w:val="0000FF"/>
            <w:u w:val="single"/>
            <w:lang w:val="en-US" w:eastAsia="zh-CN"/>
          </w:rPr>
          <w:t>Freedom Network USA</w:t>
        </w:r>
      </w:hyperlink>
      <w:r w:rsidR="00F939E5" w:rsidRPr="00D9149D">
        <w:rPr>
          <w:rFonts w:ascii="Tw Cen MT" w:eastAsia="Times New Roman" w:hAnsi="Tw Cen MT" w:cs="Calibri"/>
          <w:lang w:val="en-US" w:eastAsia="zh-CN"/>
        </w:rPr>
        <w:t xml:space="preserve">, </w:t>
      </w:r>
      <w:hyperlink r:id="rId30" w:history="1">
        <w:r w:rsidR="00F939E5" w:rsidRPr="00D9149D">
          <w:rPr>
            <w:rFonts w:ascii="Tw Cen MT" w:eastAsia="Times New Roman" w:hAnsi="Tw Cen MT" w:cs="Calibri"/>
            <w:color w:val="0000FF"/>
            <w:u w:val="single"/>
            <w:lang w:val="en-US" w:eastAsia="zh-CN"/>
          </w:rPr>
          <w:t>STOPAIDS</w:t>
        </w:r>
      </w:hyperlink>
      <w:r w:rsidR="00F939E5" w:rsidRPr="00D9149D">
        <w:rPr>
          <w:rFonts w:ascii="Tw Cen MT" w:eastAsia="Times New Roman" w:hAnsi="Tw Cen MT" w:cs="Calibri"/>
          <w:lang w:eastAsia="zh-CN"/>
        </w:rPr>
        <w:t xml:space="preserve">, </w:t>
      </w:r>
      <w:hyperlink r:id="rId31" w:history="1">
        <w:r w:rsidR="00F939E5" w:rsidRPr="00D9149D">
          <w:rPr>
            <w:rFonts w:ascii="Tw Cen MT" w:eastAsia="Times New Roman" w:hAnsi="Tw Cen MT" w:cs="Calibri"/>
            <w:color w:val="0000FF"/>
            <w:u w:val="single"/>
            <w:lang w:eastAsia="zh-CN"/>
          </w:rPr>
          <w:t>La Strada International, International Planned Parenthood Federation European Network</w:t>
        </w:r>
      </w:hyperlink>
      <w:r w:rsidR="00F939E5" w:rsidRPr="00D9149D">
        <w:rPr>
          <w:rFonts w:ascii="Tw Cen MT" w:eastAsia="Times New Roman" w:hAnsi="Tw Cen MT" w:cs="Calibri"/>
          <w:lang w:val="en-US" w:eastAsia="zh-CN"/>
        </w:rPr>
        <w:t xml:space="preserve"> </w:t>
      </w:r>
      <w:r w:rsidR="00F939E5" w:rsidRPr="00F939E5">
        <w:rPr>
          <w:rFonts w:ascii="Tw Cen MT" w:eastAsia="Times New Roman" w:hAnsi="Tw Cen MT" w:cs="Calibri"/>
          <w:lang w:eastAsia="zh-CN"/>
        </w:rPr>
        <w:t>and</w:t>
      </w:r>
      <w:r w:rsidR="00F939E5" w:rsidRPr="00D9149D">
        <w:rPr>
          <w:rFonts w:ascii="Tw Cen MT" w:eastAsia="Times New Roman" w:hAnsi="Tw Cen MT" w:cs="Calibri"/>
          <w:color w:val="1F497D"/>
          <w:lang w:eastAsia="zh-CN"/>
        </w:rPr>
        <w:t xml:space="preserve"> </w:t>
      </w:r>
      <w:hyperlink r:id="rId32" w:history="1">
        <w:r w:rsidR="00F939E5" w:rsidRPr="00D9149D">
          <w:rPr>
            <w:rFonts w:ascii="Tw Cen MT" w:eastAsia="Times New Roman" w:hAnsi="Tw Cen MT" w:cs="Calibri"/>
            <w:color w:val="0000FF"/>
            <w:u w:val="single"/>
            <w:lang w:eastAsia="zh-CN"/>
          </w:rPr>
          <w:t>ILGA World</w:t>
        </w:r>
      </w:hyperlink>
      <w:r w:rsidR="00F939E5" w:rsidRPr="00D9149D">
        <w:rPr>
          <w:rFonts w:ascii="Tw Cen MT" w:eastAsia="Times New Roman" w:hAnsi="Tw Cen MT" w:cs="Calibri"/>
          <w:color w:val="1F497D"/>
          <w:lang w:eastAsia="zh-CN"/>
        </w:rPr>
        <w:t xml:space="preserve"> </w:t>
      </w:r>
      <w:r w:rsidR="00F939E5" w:rsidRPr="00D9149D">
        <w:rPr>
          <w:rFonts w:ascii="Tw Cen MT" w:eastAsia="Times New Roman" w:hAnsi="Tw Cen MT" w:cs="Calibri"/>
          <w:b/>
          <w:lang w:val="en-US" w:eastAsia="zh-CN"/>
        </w:rPr>
        <w:t>all</w:t>
      </w:r>
      <w:r w:rsidR="00F939E5" w:rsidRPr="00D9149D">
        <w:rPr>
          <w:rFonts w:ascii="Tw Cen MT" w:eastAsia="Times New Roman" w:hAnsi="Tw Cen MT" w:cs="Calibri"/>
          <w:lang w:val="en-US" w:eastAsia="zh-CN"/>
        </w:rPr>
        <w:t xml:space="preserve"> call for the </w:t>
      </w:r>
      <w:proofErr w:type="spellStart"/>
      <w:r w:rsidR="00F939E5" w:rsidRPr="00D9149D">
        <w:rPr>
          <w:rFonts w:ascii="Tw Cen MT" w:eastAsia="Times New Roman" w:hAnsi="Tw Cen MT" w:cs="Calibri"/>
          <w:lang w:val="en-US" w:eastAsia="zh-CN"/>
        </w:rPr>
        <w:t>decriminalisation</w:t>
      </w:r>
      <w:proofErr w:type="spellEnd"/>
      <w:r w:rsidR="00F939E5" w:rsidRPr="00D9149D">
        <w:rPr>
          <w:rFonts w:ascii="Tw Cen MT" w:eastAsia="Times New Roman" w:hAnsi="Tw Cen MT" w:cs="Calibri"/>
          <w:lang w:val="en-US" w:eastAsia="zh-CN"/>
        </w:rPr>
        <w:t xml:space="preserve"> of sex work.</w:t>
      </w:r>
    </w:p>
    <w:p w14:paraId="3AD5488E" w14:textId="77777777" w:rsidR="00F939E5" w:rsidRPr="00BB67D9" w:rsidRDefault="00F939E5" w:rsidP="4025A54E">
      <w:pPr>
        <w:spacing w:after="0" w:line="240" w:lineRule="auto"/>
        <w:rPr>
          <w:rFonts w:ascii="Tw Cen MT" w:eastAsiaTheme="minorEastAsia" w:hAnsi="Tw Cen MT" w:cstheme="minorBidi"/>
        </w:rPr>
      </w:pPr>
    </w:p>
    <w:p w14:paraId="4C8064D3" w14:textId="2E6A260A" w:rsidR="5B4F3730" w:rsidRDefault="5B4F3730" w:rsidP="4025A54E">
      <w:pPr>
        <w:spacing w:after="0" w:line="240" w:lineRule="auto"/>
        <w:rPr>
          <w:rFonts w:ascii="Tw Cen MT" w:eastAsiaTheme="minorEastAsia" w:hAnsi="Tw Cen MT" w:cstheme="minorBidi"/>
        </w:rPr>
      </w:pPr>
      <w:r w:rsidRPr="4025A54E">
        <w:rPr>
          <w:rFonts w:ascii="Tw Cen MT" w:eastAsiaTheme="minorEastAsia" w:hAnsi="Tw Cen MT" w:cstheme="minorBidi"/>
        </w:rPr>
        <w:t>Sex work was decriminalised in the state of New South Wales, Australia in 1995, in response to widespread police corruption and abuse.</w:t>
      </w:r>
      <w:r w:rsidRPr="4025A54E">
        <w:rPr>
          <w:rStyle w:val="FootnoteReference"/>
          <w:rFonts w:ascii="Tw Cen MT" w:eastAsiaTheme="minorEastAsia" w:hAnsi="Tw Cen MT" w:cstheme="minorBidi"/>
        </w:rPr>
        <w:footnoteReference w:id="7"/>
      </w:r>
      <w:r w:rsidRPr="4025A54E">
        <w:rPr>
          <w:rFonts w:ascii="Tw Cen MT" w:eastAsiaTheme="minorEastAsia" w:hAnsi="Tw Cen MT" w:cstheme="minorBidi"/>
        </w:rPr>
        <w:t xml:space="preserve"> Since its implementation, decriminalisation has resulted in the removal of police as controllers and regulators of the sex industry, resulting in improved workplace health and safety outcomes for sex workers and no evidence of police corruption.</w:t>
      </w:r>
      <w:r w:rsidRPr="4025A54E">
        <w:rPr>
          <w:rStyle w:val="FootnoteReference"/>
          <w:rFonts w:ascii="Tw Cen MT" w:eastAsiaTheme="minorEastAsia" w:hAnsi="Tw Cen MT" w:cstheme="minorBidi"/>
        </w:rPr>
        <w:footnoteReference w:id="8"/>
      </w:r>
      <w:r w:rsidRPr="4025A54E">
        <w:rPr>
          <w:rStyle w:val="FootnoteReference"/>
          <w:rFonts w:ascii="Tw Cen MT" w:eastAsiaTheme="minorEastAsia" w:hAnsi="Tw Cen MT" w:cstheme="minorBidi"/>
        </w:rPr>
        <w:footnoteReference w:id="9"/>
      </w:r>
    </w:p>
    <w:p w14:paraId="4A0BBDDA" w14:textId="115DF54B" w:rsidR="4025A54E" w:rsidRDefault="4025A54E" w:rsidP="4025A54E">
      <w:pPr>
        <w:spacing w:after="0" w:line="240" w:lineRule="auto"/>
        <w:rPr>
          <w:rFonts w:ascii="Tw Cen MT" w:eastAsiaTheme="minorEastAsia" w:hAnsi="Tw Cen MT" w:cstheme="minorBidi"/>
        </w:rPr>
      </w:pPr>
    </w:p>
    <w:p w14:paraId="15EF93D0" w14:textId="75819A3E" w:rsidR="00B61A37" w:rsidRDefault="001B450A" w:rsidP="4025A54E">
      <w:pPr>
        <w:spacing w:after="0" w:line="240" w:lineRule="auto"/>
        <w:rPr>
          <w:rFonts w:ascii="Tw Cen MT" w:eastAsiaTheme="minorEastAsia" w:hAnsi="Tw Cen MT" w:cstheme="minorBidi"/>
        </w:rPr>
      </w:pPr>
      <w:r w:rsidRPr="4025A54E">
        <w:rPr>
          <w:rFonts w:ascii="Tw Cen MT" w:eastAsiaTheme="minorEastAsia" w:hAnsi="Tw Cen MT" w:cstheme="minorBidi"/>
        </w:rPr>
        <w:t>New Zealand was the first country to decriminalise sex work in 2003. Since then,</w:t>
      </w:r>
      <w:r w:rsidR="00EF5102" w:rsidRPr="4025A54E">
        <w:rPr>
          <w:rFonts w:ascii="Tw Cen MT" w:eastAsiaTheme="minorEastAsia" w:hAnsi="Tw Cen MT" w:cstheme="minorBidi"/>
        </w:rPr>
        <w:t xml:space="preserve"> sex workers </w:t>
      </w:r>
      <w:r w:rsidRPr="4025A54E">
        <w:rPr>
          <w:rFonts w:ascii="Tw Cen MT" w:eastAsiaTheme="minorEastAsia" w:hAnsi="Tw Cen MT" w:cstheme="minorBidi"/>
        </w:rPr>
        <w:t xml:space="preserve">have </w:t>
      </w:r>
      <w:r w:rsidR="00EF5102" w:rsidRPr="4025A54E">
        <w:rPr>
          <w:rFonts w:ascii="Tw Cen MT" w:eastAsiaTheme="minorEastAsia" w:hAnsi="Tw Cen MT" w:cstheme="minorBidi"/>
        </w:rPr>
        <w:t>reported improved working conditions, negotiation power, and increased confidence in asserting their legal and employment rights.</w:t>
      </w:r>
      <w:r w:rsidR="00EF5102" w:rsidRPr="4025A54E">
        <w:rPr>
          <w:rStyle w:val="FootnoteReference"/>
          <w:rFonts w:ascii="Tw Cen MT" w:eastAsiaTheme="minorEastAsia" w:hAnsi="Tw Cen MT" w:cstheme="minorBidi"/>
        </w:rPr>
        <w:footnoteReference w:id="10"/>
      </w:r>
      <w:r w:rsidR="00B61A37" w:rsidRPr="4025A54E">
        <w:rPr>
          <w:rFonts w:ascii="Tw Cen MT" w:eastAsiaTheme="minorEastAsia" w:hAnsi="Tw Cen MT" w:cstheme="minorBidi"/>
        </w:rPr>
        <w:t xml:space="preserve"> </w:t>
      </w:r>
      <w:r w:rsidR="009C3501" w:rsidRPr="4025A54E">
        <w:rPr>
          <w:rFonts w:ascii="Tw Cen MT" w:eastAsiaTheme="minorEastAsia" w:hAnsi="Tw Cen MT" w:cstheme="minorBidi"/>
        </w:rPr>
        <w:t>Decriminalisation</w:t>
      </w:r>
      <w:r w:rsidR="00B61A37" w:rsidRPr="4025A54E">
        <w:rPr>
          <w:rFonts w:ascii="Tw Cen MT" w:eastAsiaTheme="minorEastAsia" w:hAnsi="Tw Cen MT" w:cstheme="minorBidi"/>
        </w:rPr>
        <w:t xml:space="preserve"> has also enabled sex workers to </w:t>
      </w:r>
      <w:r w:rsidR="009C3501" w:rsidRPr="4025A54E">
        <w:rPr>
          <w:rFonts w:ascii="Tw Cen MT" w:eastAsiaTheme="minorEastAsia" w:hAnsi="Tw Cen MT" w:cstheme="minorBidi"/>
        </w:rPr>
        <w:t>enjoy</w:t>
      </w:r>
      <w:r w:rsidR="00B61A37" w:rsidRPr="4025A54E">
        <w:rPr>
          <w:rFonts w:ascii="Tw Cen MT" w:eastAsiaTheme="minorEastAsia" w:hAnsi="Tw Cen MT" w:cstheme="minorBidi"/>
        </w:rPr>
        <w:t xml:space="preserve"> a better quality of life free from added stress or fear of legal repercussions:</w:t>
      </w:r>
    </w:p>
    <w:p w14:paraId="0DE6F40A" w14:textId="77777777" w:rsidR="00B61A37" w:rsidRDefault="00B61A37" w:rsidP="00EF5102">
      <w:pPr>
        <w:spacing w:after="0" w:line="240" w:lineRule="auto"/>
        <w:rPr>
          <w:rFonts w:ascii="Tw Cen MT" w:eastAsiaTheme="minorHAnsi" w:hAnsi="Tw Cen MT" w:cstheme="minorBidi"/>
        </w:rPr>
      </w:pPr>
    </w:p>
    <w:p w14:paraId="301B8E87" w14:textId="4F6B5432" w:rsidR="00B61A37" w:rsidRPr="00B61A37" w:rsidRDefault="00B61A37" w:rsidP="00B61A37">
      <w:pPr>
        <w:spacing w:after="0" w:line="240" w:lineRule="auto"/>
        <w:ind w:left="720"/>
        <w:rPr>
          <w:rFonts w:ascii="Tw Cen MT" w:eastAsiaTheme="minorHAnsi" w:hAnsi="Tw Cen MT" w:cstheme="minorBidi"/>
        </w:rPr>
      </w:pPr>
      <w:r w:rsidRPr="4025A54E">
        <w:rPr>
          <w:rFonts w:ascii="Tw Cen MT" w:eastAsiaTheme="minorEastAsia" w:hAnsi="Tw Cen MT" w:cstheme="minorBidi"/>
          <w:i/>
          <w:iCs/>
        </w:rPr>
        <w:t>“[Decriminalisation] means that I can focus on my work - I don't have to focus on how to survive dodging a crime you know?”</w:t>
      </w:r>
      <w:r w:rsidRPr="4025A54E">
        <w:rPr>
          <w:rFonts w:ascii="Tw Cen MT" w:eastAsiaTheme="minorEastAsia" w:hAnsi="Tw Cen MT" w:cstheme="minorBidi"/>
        </w:rPr>
        <w:t xml:space="preserve"> – Sex worker, New Zealand</w:t>
      </w:r>
      <w:r w:rsidRPr="4025A54E">
        <w:rPr>
          <w:rStyle w:val="FootnoteReference"/>
          <w:rFonts w:ascii="Tw Cen MT" w:eastAsiaTheme="minorEastAsia" w:hAnsi="Tw Cen MT" w:cstheme="minorBidi"/>
        </w:rPr>
        <w:footnoteReference w:id="11"/>
      </w:r>
    </w:p>
    <w:p w14:paraId="0F045D94" w14:textId="77777777" w:rsidR="00B61A37" w:rsidRDefault="00B61A37" w:rsidP="00B61A37">
      <w:pPr>
        <w:spacing w:after="0" w:line="240" w:lineRule="auto"/>
        <w:rPr>
          <w:rFonts w:ascii="Tw Cen MT" w:eastAsiaTheme="minorHAnsi" w:hAnsi="Tw Cen MT" w:cstheme="minorBidi"/>
        </w:rPr>
      </w:pPr>
    </w:p>
    <w:p w14:paraId="5ACACB2B" w14:textId="6F280ADA" w:rsidR="009F0F70" w:rsidRDefault="00C06DD9" w:rsidP="4025A54E">
      <w:pPr>
        <w:spacing w:after="0" w:line="240" w:lineRule="auto"/>
        <w:rPr>
          <w:rFonts w:ascii="Tw Cen MT" w:eastAsiaTheme="minorEastAsia" w:hAnsi="Tw Cen MT" w:cstheme="minorBidi"/>
          <w:strike/>
        </w:rPr>
      </w:pPr>
      <w:r w:rsidRPr="4025A54E">
        <w:rPr>
          <w:rFonts w:ascii="Tw Cen MT" w:eastAsiaTheme="minorEastAsia" w:hAnsi="Tw Cen MT" w:cstheme="minorBidi"/>
        </w:rPr>
        <w:t>By recognising sex work as a legitimate form of labour, decriminalisation has</w:t>
      </w:r>
      <w:r w:rsidR="00D1303E" w:rsidRPr="4025A54E">
        <w:rPr>
          <w:rFonts w:ascii="Tw Cen MT" w:eastAsiaTheme="minorEastAsia" w:hAnsi="Tw Cen MT" w:cstheme="minorBidi"/>
        </w:rPr>
        <w:t xml:space="preserve"> </w:t>
      </w:r>
      <w:r w:rsidRPr="4025A54E">
        <w:rPr>
          <w:rFonts w:ascii="Tw Cen MT" w:eastAsiaTheme="minorEastAsia" w:hAnsi="Tw Cen MT" w:cstheme="minorBidi"/>
        </w:rPr>
        <w:t>also enabled sex workers to benefit from a range of social protection benefits, reducing their susceptibility to extreme poverty and homelessness.</w:t>
      </w:r>
      <w:r w:rsidR="00460245" w:rsidRPr="4025A54E">
        <w:rPr>
          <w:rStyle w:val="FootnoteReference"/>
          <w:rFonts w:ascii="Tw Cen MT" w:eastAsiaTheme="minorEastAsia" w:hAnsi="Tw Cen MT" w:cstheme="minorBidi"/>
        </w:rPr>
        <w:footnoteReference w:id="12"/>
      </w:r>
      <w:r w:rsidRPr="4025A54E">
        <w:rPr>
          <w:rFonts w:ascii="Tw Cen MT" w:eastAsiaTheme="minorEastAsia" w:hAnsi="Tw Cen MT" w:cstheme="minorBidi"/>
        </w:rPr>
        <w:t xml:space="preserve"> </w:t>
      </w:r>
      <w:r w:rsidR="003D741A" w:rsidRPr="4025A54E">
        <w:rPr>
          <w:rFonts w:ascii="Tw Cen MT" w:eastAsiaTheme="minorEastAsia" w:hAnsi="Tw Cen MT" w:cstheme="minorBidi"/>
        </w:rPr>
        <w:t xml:space="preserve">While </w:t>
      </w:r>
      <w:r w:rsidR="00EF5102" w:rsidRPr="4025A54E">
        <w:rPr>
          <w:rFonts w:ascii="Tw Cen MT" w:eastAsiaTheme="minorEastAsia" w:hAnsi="Tw Cen MT" w:cstheme="minorBidi"/>
        </w:rPr>
        <w:t xml:space="preserve">decriminalisation alone cannot </w:t>
      </w:r>
      <w:r w:rsidR="00D1303E" w:rsidRPr="4025A54E">
        <w:rPr>
          <w:rFonts w:ascii="Tw Cen MT" w:eastAsiaTheme="minorEastAsia" w:hAnsi="Tw Cen MT" w:cstheme="minorBidi"/>
        </w:rPr>
        <w:t xml:space="preserve">address </w:t>
      </w:r>
      <w:r w:rsidR="00B8078A" w:rsidRPr="4025A54E">
        <w:rPr>
          <w:rFonts w:ascii="Tw Cen MT" w:eastAsiaTheme="minorEastAsia" w:hAnsi="Tw Cen MT" w:cstheme="minorBidi"/>
        </w:rPr>
        <w:t>the</w:t>
      </w:r>
      <w:r w:rsidR="00D1303E" w:rsidRPr="4025A54E">
        <w:rPr>
          <w:rFonts w:ascii="Tw Cen MT" w:eastAsiaTheme="minorEastAsia" w:hAnsi="Tw Cen MT" w:cstheme="minorBidi"/>
        </w:rPr>
        <w:t xml:space="preserve"> root causes of poverty </w:t>
      </w:r>
      <w:r w:rsidR="003D741A" w:rsidRPr="4025A54E">
        <w:rPr>
          <w:rFonts w:ascii="Tw Cen MT" w:eastAsiaTheme="minorEastAsia" w:hAnsi="Tw Cen MT" w:cstheme="minorBidi"/>
        </w:rPr>
        <w:t>and</w:t>
      </w:r>
      <w:r w:rsidR="00D1303E" w:rsidRPr="4025A54E">
        <w:rPr>
          <w:rFonts w:ascii="Tw Cen MT" w:eastAsiaTheme="minorEastAsia" w:hAnsi="Tw Cen MT" w:cstheme="minorBidi"/>
        </w:rPr>
        <w:t xml:space="preserve"> housing insecurity</w:t>
      </w:r>
      <w:r w:rsidR="003D741A" w:rsidRPr="4025A54E">
        <w:rPr>
          <w:rFonts w:ascii="Tw Cen MT" w:eastAsiaTheme="minorEastAsia" w:hAnsi="Tw Cen MT" w:cstheme="minorBidi"/>
        </w:rPr>
        <w:t>,</w:t>
      </w:r>
      <w:r w:rsidR="00B8078A" w:rsidRPr="4025A54E">
        <w:rPr>
          <w:rFonts w:ascii="Tw Cen MT" w:eastAsiaTheme="minorEastAsia" w:hAnsi="Tw Cen MT" w:cstheme="minorBidi"/>
        </w:rPr>
        <w:t xml:space="preserve"> or prevent unjust applications of the law</w:t>
      </w:r>
      <w:r w:rsidR="00D1303E" w:rsidRPr="4025A54E">
        <w:rPr>
          <w:rFonts w:ascii="Tw Cen MT" w:eastAsiaTheme="minorEastAsia" w:hAnsi="Tw Cen MT" w:cstheme="minorBidi"/>
        </w:rPr>
        <w:t xml:space="preserve">, </w:t>
      </w:r>
      <w:r w:rsidR="003D741A" w:rsidRPr="4025A54E">
        <w:rPr>
          <w:rFonts w:ascii="Tw Cen MT" w:eastAsiaTheme="minorEastAsia" w:hAnsi="Tw Cen MT" w:cstheme="minorBidi"/>
        </w:rPr>
        <w:t xml:space="preserve">it </w:t>
      </w:r>
      <w:r w:rsidR="00D1303E" w:rsidRPr="4025A54E">
        <w:rPr>
          <w:rFonts w:ascii="Tw Cen MT" w:eastAsiaTheme="minorEastAsia" w:hAnsi="Tw Cen MT" w:cstheme="minorBidi"/>
        </w:rPr>
        <w:t xml:space="preserve">is an essential step in </w:t>
      </w:r>
      <w:r w:rsidR="006E5140" w:rsidRPr="4025A54E">
        <w:rPr>
          <w:rFonts w:ascii="Tw Cen MT" w:eastAsiaTheme="minorEastAsia" w:hAnsi="Tw Cen MT" w:cstheme="minorBidi"/>
        </w:rPr>
        <w:t>reducing</w:t>
      </w:r>
      <w:r w:rsidR="00B8078A" w:rsidRPr="4025A54E">
        <w:rPr>
          <w:rFonts w:ascii="Tw Cen MT" w:eastAsiaTheme="minorEastAsia" w:hAnsi="Tw Cen MT" w:cstheme="minorBidi"/>
        </w:rPr>
        <w:t xml:space="preserve"> sex workers’</w:t>
      </w:r>
      <w:r w:rsidR="006E5140" w:rsidRPr="4025A54E">
        <w:rPr>
          <w:rFonts w:ascii="Tw Cen MT" w:eastAsiaTheme="minorEastAsia" w:hAnsi="Tw Cen MT" w:cstheme="minorBidi"/>
        </w:rPr>
        <w:t xml:space="preserve"> </w:t>
      </w:r>
      <w:r w:rsidR="003D741A" w:rsidRPr="4025A54E">
        <w:rPr>
          <w:rFonts w:ascii="Tw Cen MT" w:eastAsiaTheme="minorEastAsia" w:hAnsi="Tw Cen MT" w:cstheme="minorBidi"/>
        </w:rPr>
        <w:t>marginalisation</w:t>
      </w:r>
      <w:r w:rsidR="006E5140" w:rsidRPr="4025A54E">
        <w:rPr>
          <w:rFonts w:ascii="Tw Cen MT" w:eastAsiaTheme="minorEastAsia" w:hAnsi="Tw Cen MT" w:cstheme="minorBidi"/>
        </w:rPr>
        <w:t xml:space="preserve"> and promoting</w:t>
      </w:r>
      <w:r w:rsidR="00EF5102" w:rsidRPr="4025A54E">
        <w:rPr>
          <w:rFonts w:ascii="Tw Cen MT" w:eastAsiaTheme="minorEastAsia" w:hAnsi="Tw Cen MT" w:cstheme="minorBidi"/>
        </w:rPr>
        <w:t xml:space="preserve"> access to fundamental human rights.</w:t>
      </w:r>
    </w:p>
    <w:p w14:paraId="6789C5A8" w14:textId="09F870DF" w:rsidR="009F0F70" w:rsidRDefault="009F0F70" w:rsidP="4025A54E">
      <w:pPr>
        <w:spacing w:after="0" w:line="240" w:lineRule="auto"/>
        <w:rPr>
          <w:rFonts w:ascii="Tw Cen MT" w:eastAsiaTheme="minorEastAsia" w:hAnsi="Tw Cen MT" w:cstheme="minorBidi"/>
        </w:rPr>
      </w:pPr>
    </w:p>
    <w:p w14:paraId="22F70726" w14:textId="731AC54D" w:rsidR="4025A54E" w:rsidRDefault="4025A54E" w:rsidP="4025A54E">
      <w:pPr>
        <w:spacing w:after="0" w:line="240" w:lineRule="auto"/>
        <w:rPr>
          <w:rFonts w:ascii="Tw Cen MT" w:eastAsiaTheme="minorEastAsia" w:hAnsi="Tw Cen MT" w:cstheme="minorBidi"/>
        </w:rPr>
      </w:pPr>
    </w:p>
    <w:p w14:paraId="67B2030D" w14:textId="7B724A3A" w:rsidR="00F12F66" w:rsidRPr="00F12F66" w:rsidRDefault="00F12F66" w:rsidP="001B450A">
      <w:pPr>
        <w:spacing w:after="0" w:line="240" w:lineRule="auto"/>
        <w:rPr>
          <w:rFonts w:ascii="Tw Cen MT" w:eastAsiaTheme="minorHAnsi" w:hAnsi="Tw Cen MT" w:cstheme="minorBidi"/>
          <w:b/>
          <w:bCs/>
        </w:rPr>
      </w:pPr>
      <w:r w:rsidRPr="00F12F66">
        <w:rPr>
          <w:rFonts w:ascii="Tw Cen MT" w:eastAsiaTheme="minorHAnsi" w:hAnsi="Tw Cen MT" w:cstheme="minorBidi"/>
          <w:b/>
          <w:bCs/>
        </w:rPr>
        <w:t>Other Supportive Measures</w:t>
      </w:r>
      <w:r w:rsidR="00AE78E3">
        <w:rPr>
          <w:rFonts w:ascii="Tw Cen MT" w:eastAsiaTheme="minorHAnsi" w:hAnsi="Tw Cen MT" w:cstheme="minorBidi"/>
          <w:b/>
          <w:bCs/>
        </w:rPr>
        <w:t xml:space="preserve"> and Initiatives</w:t>
      </w:r>
    </w:p>
    <w:p w14:paraId="58ED8312" w14:textId="77777777" w:rsidR="00744A50" w:rsidRDefault="00744A50" w:rsidP="001B450A">
      <w:pPr>
        <w:spacing w:after="0" w:line="240" w:lineRule="auto"/>
        <w:rPr>
          <w:rFonts w:ascii="Tw Cen MT" w:eastAsiaTheme="minorHAnsi" w:hAnsi="Tw Cen MT" w:cstheme="minorBidi"/>
        </w:rPr>
      </w:pPr>
    </w:p>
    <w:p w14:paraId="125F139F" w14:textId="795527FA" w:rsidR="00133BB9" w:rsidRDefault="00600D7B" w:rsidP="00FA10EB">
      <w:pPr>
        <w:spacing w:after="0" w:line="240" w:lineRule="auto"/>
        <w:rPr>
          <w:rFonts w:ascii="Tw Cen MT" w:eastAsiaTheme="minorHAnsi" w:hAnsi="Tw Cen MT" w:cstheme="minorBidi"/>
        </w:rPr>
      </w:pPr>
      <w:r w:rsidRPr="4025A54E">
        <w:rPr>
          <w:rFonts w:ascii="Tw Cen MT" w:eastAsiaTheme="minorEastAsia" w:hAnsi="Tw Cen MT" w:cstheme="minorBidi"/>
        </w:rPr>
        <w:t xml:space="preserve">In addition to </w:t>
      </w:r>
      <w:r w:rsidR="00B625BC" w:rsidRPr="4025A54E">
        <w:rPr>
          <w:rFonts w:ascii="Tw Cen MT" w:eastAsiaTheme="minorEastAsia" w:hAnsi="Tw Cen MT" w:cstheme="minorBidi"/>
        </w:rPr>
        <w:t xml:space="preserve">the </w:t>
      </w:r>
      <w:r w:rsidRPr="4025A54E">
        <w:rPr>
          <w:rFonts w:ascii="Tw Cen MT" w:eastAsiaTheme="minorEastAsia" w:hAnsi="Tw Cen MT" w:cstheme="minorBidi"/>
        </w:rPr>
        <w:t>decriminalisation of sex work</w:t>
      </w:r>
      <w:r w:rsidR="00B625BC" w:rsidRPr="4025A54E">
        <w:rPr>
          <w:rFonts w:ascii="Tw Cen MT" w:eastAsiaTheme="minorEastAsia" w:hAnsi="Tw Cen MT" w:cstheme="minorBidi"/>
        </w:rPr>
        <w:t xml:space="preserve"> and </w:t>
      </w:r>
      <w:r w:rsidRPr="4025A54E">
        <w:rPr>
          <w:rFonts w:ascii="Tw Cen MT" w:eastAsiaTheme="minorEastAsia" w:hAnsi="Tw Cen MT" w:cstheme="minorBidi"/>
        </w:rPr>
        <w:t xml:space="preserve">the </w:t>
      </w:r>
      <w:r w:rsidR="00504D7A" w:rsidRPr="4025A54E">
        <w:rPr>
          <w:rFonts w:ascii="Tw Cen MT" w:eastAsiaTheme="minorEastAsia" w:hAnsi="Tw Cen MT" w:cstheme="minorBidi"/>
        </w:rPr>
        <w:t xml:space="preserve">removal of penalties for loitering, solicitation, and other associated activities, additional measures can be taken to change the response of the criminal justice system and support sex workers living in poverty. </w:t>
      </w:r>
      <w:r w:rsidR="00CB2355" w:rsidRPr="4025A54E">
        <w:rPr>
          <w:rFonts w:ascii="Tw Cen MT" w:eastAsiaTheme="minorEastAsia" w:hAnsi="Tw Cen MT" w:cstheme="minorBidi"/>
        </w:rPr>
        <w:t>Sex worker</w:t>
      </w:r>
      <w:r w:rsidR="00133BB9" w:rsidRPr="4025A54E">
        <w:rPr>
          <w:rFonts w:ascii="Tw Cen MT" w:eastAsiaTheme="minorEastAsia" w:hAnsi="Tw Cen MT" w:cstheme="minorBidi"/>
        </w:rPr>
        <w:t>-led organisations</w:t>
      </w:r>
      <w:r w:rsidR="00CB2355" w:rsidRPr="4025A54E">
        <w:rPr>
          <w:rFonts w:ascii="Tw Cen MT" w:eastAsiaTheme="minorEastAsia" w:hAnsi="Tw Cen MT" w:cstheme="minorBidi"/>
        </w:rPr>
        <w:t xml:space="preserve"> around the world have conducted sensitisation trainings </w:t>
      </w:r>
      <w:r w:rsidR="00133BB9" w:rsidRPr="4025A54E">
        <w:rPr>
          <w:rFonts w:ascii="Tw Cen MT" w:eastAsiaTheme="minorEastAsia" w:hAnsi="Tw Cen MT" w:cstheme="minorBidi"/>
        </w:rPr>
        <w:t>with</w:t>
      </w:r>
      <w:r w:rsidR="00CB2355" w:rsidRPr="4025A54E">
        <w:rPr>
          <w:rFonts w:ascii="Tw Cen MT" w:eastAsiaTheme="minorEastAsia" w:hAnsi="Tw Cen MT" w:cstheme="minorBidi"/>
        </w:rPr>
        <w:t xml:space="preserve"> law enforcement officials</w:t>
      </w:r>
      <w:r w:rsidR="00133BB9" w:rsidRPr="4025A54E">
        <w:rPr>
          <w:rFonts w:ascii="Tw Cen MT" w:eastAsiaTheme="minorEastAsia" w:hAnsi="Tw Cen MT" w:cstheme="minorBidi"/>
        </w:rPr>
        <w:t xml:space="preserve">, reporting reductions in police violence </w:t>
      </w:r>
      <w:r w:rsidR="00EB18FC" w:rsidRPr="4025A54E">
        <w:rPr>
          <w:rFonts w:ascii="Tw Cen MT" w:eastAsiaTheme="minorEastAsia" w:hAnsi="Tw Cen MT" w:cstheme="minorBidi"/>
        </w:rPr>
        <w:t>and improved relations</w:t>
      </w:r>
      <w:r w:rsidR="004D3C8B" w:rsidRPr="4025A54E">
        <w:rPr>
          <w:rFonts w:ascii="Tw Cen MT" w:eastAsiaTheme="minorEastAsia" w:hAnsi="Tw Cen MT" w:cstheme="minorBidi"/>
        </w:rPr>
        <w:t xml:space="preserve"> with law enforcement</w:t>
      </w:r>
      <w:r w:rsidR="00EB18FC" w:rsidRPr="4025A54E">
        <w:rPr>
          <w:rFonts w:ascii="Tw Cen MT" w:eastAsiaTheme="minorEastAsia" w:hAnsi="Tw Cen MT" w:cstheme="minorBidi"/>
        </w:rPr>
        <w:t>.</w:t>
      </w:r>
      <w:r w:rsidR="00EB18FC" w:rsidRPr="4025A54E">
        <w:rPr>
          <w:rStyle w:val="FootnoteReference"/>
          <w:rFonts w:ascii="Tw Cen MT" w:eastAsiaTheme="minorEastAsia" w:hAnsi="Tw Cen MT" w:cstheme="minorBidi"/>
        </w:rPr>
        <w:footnoteReference w:id="13"/>
      </w:r>
      <w:r w:rsidR="00EB18FC" w:rsidRPr="4025A54E">
        <w:rPr>
          <w:rFonts w:ascii="Tw Cen MT" w:eastAsiaTheme="minorEastAsia" w:hAnsi="Tw Cen MT" w:cstheme="minorBidi"/>
        </w:rPr>
        <w:t xml:space="preserve"> </w:t>
      </w:r>
      <w:r w:rsidR="006A0A64" w:rsidRPr="4025A54E">
        <w:rPr>
          <w:rFonts w:ascii="Tw Cen MT" w:eastAsiaTheme="minorEastAsia" w:hAnsi="Tw Cen MT" w:cstheme="minorBidi"/>
        </w:rPr>
        <w:t xml:space="preserve">Documenting police abuse </w:t>
      </w:r>
      <w:r w:rsidR="009C396D" w:rsidRPr="4025A54E">
        <w:rPr>
          <w:rFonts w:ascii="Tw Cen MT" w:eastAsiaTheme="minorEastAsia" w:hAnsi="Tw Cen MT" w:cstheme="minorBidi"/>
        </w:rPr>
        <w:t>and submitting complaints to local prosecutor’s offices</w:t>
      </w:r>
      <w:r w:rsidR="006A0A64" w:rsidRPr="4025A54E">
        <w:rPr>
          <w:rFonts w:ascii="Tw Cen MT" w:eastAsiaTheme="minorEastAsia" w:hAnsi="Tw Cen MT" w:cstheme="minorBidi"/>
        </w:rPr>
        <w:t xml:space="preserve"> has served as another effective sex worker-led strategy</w:t>
      </w:r>
      <w:r w:rsidR="00BA60EE" w:rsidRPr="4025A54E">
        <w:rPr>
          <w:rFonts w:ascii="Tw Cen MT" w:eastAsiaTheme="minorEastAsia" w:hAnsi="Tw Cen MT" w:cstheme="minorBidi"/>
        </w:rPr>
        <w:t>.</w:t>
      </w:r>
      <w:r w:rsidR="00BA60EE" w:rsidRPr="4025A54E">
        <w:rPr>
          <w:rStyle w:val="FootnoteReference"/>
          <w:rFonts w:ascii="Tw Cen MT" w:eastAsiaTheme="minorEastAsia" w:hAnsi="Tw Cen MT" w:cstheme="minorBidi"/>
        </w:rPr>
        <w:footnoteReference w:id="14"/>
      </w:r>
      <w:r w:rsidR="00BA60EE" w:rsidRPr="4025A54E">
        <w:rPr>
          <w:rFonts w:ascii="Tw Cen MT" w:eastAsiaTheme="minorEastAsia" w:hAnsi="Tw Cen MT" w:cstheme="minorBidi"/>
        </w:rPr>
        <w:t xml:space="preserve"> </w:t>
      </w:r>
      <w:r w:rsidR="001D7C55" w:rsidRPr="4025A54E">
        <w:rPr>
          <w:rFonts w:ascii="Tw Cen MT" w:eastAsiaTheme="minorEastAsia" w:hAnsi="Tw Cen MT" w:cstheme="minorBidi"/>
        </w:rPr>
        <w:t>While these</w:t>
      </w:r>
      <w:r w:rsidR="006A0A64" w:rsidRPr="4025A54E">
        <w:rPr>
          <w:rFonts w:ascii="Tw Cen MT" w:eastAsiaTheme="minorEastAsia" w:hAnsi="Tw Cen MT" w:cstheme="minorBidi"/>
        </w:rPr>
        <w:t xml:space="preserve"> measures</w:t>
      </w:r>
      <w:r w:rsidR="00CD481F" w:rsidRPr="4025A54E">
        <w:rPr>
          <w:rFonts w:ascii="Tw Cen MT" w:eastAsiaTheme="minorEastAsia" w:hAnsi="Tw Cen MT" w:cstheme="minorBidi"/>
        </w:rPr>
        <w:t xml:space="preserve"> alone cannot </w:t>
      </w:r>
      <w:r w:rsidR="001D7C55" w:rsidRPr="4025A54E">
        <w:rPr>
          <w:rFonts w:ascii="Tw Cen MT" w:eastAsiaTheme="minorEastAsia" w:hAnsi="Tw Cen MT" w:cstheme="minorBidi"/>
        </w:rPr>
        <w:t xml:space="preserve">address systemic criminalisation, stigma, and discrimination, they can improve sex workers’ quality of life and access to justice. </w:t>
      </w:r>
    </w:p>
    <w:p w14:paraId="3F3FF345" w14:textId="77777777" w:rsidR="00CB2355" w:rsidRDefault="00CB2355" w:rsidP="00FA10EB">
      <w:pPr>
        <w:spacing w:after="0" w:line="240" w:lineRule="auto"/>
        <w:rPr>
          <w:rFonts w:ascii="Tw Cen MT" w:eastAsiaTheme="minorHAnsi" w:hAnsi="Tw Cen MT" w:cstheme="minorBidi"/>
        </w:rPr>
      </w:pPr>
    </w:p>
    <w:p w14:paraId="10BA8C8F" w14:textId="197C9FC0" w:rsidR="00CB2355" w:rsidRDefault="00CB2355" w:rsidP="00FA10EB">
      <w:pPr>
        <w:spacing w:after="0" w:line="240" w:lineRule="auto"/>
        <w:rPr>
          <w:rFonts w:ascii="Tw Cen MT" w:eastAsiaTheme="minorHAnsi" w:hAnsi="Tw Cen MT" w:cstheme="minorBidi"/>
        </w:rPr>
      </w:pPr>
      <w:r w:rsidRPr="4025A54E">
        <w:rPr>
          <w:rFonts w:ascii="Tw Cen MT" w:eastAsiaTheme="minorEastAsia" w:hAnsi="Tw Cen MT" w:cstheme="minorBidi"/>
        </w:rPr>
        <w:t xml:space="preserve">Inclusive social protection programming is </w:t>
      </w:r>
      <w:r w:rsidR="00B11F36" w:rsidRPr="4025A54E">
        <w:rPr>
          <w:rFonts w:ascii="Tw Cen MT" w:eastAsiaTheme="minorEastAsia" w:hAnsi="Tw Cen MT" w:cstheme="minorBidi"/>
        </w:rPr>
        <w:t>also essential to address</w:t>
      </w:r>
      <w:r w:rsidRPr="4025A54E">
        <w:rPr>
          <w:rFonts w:ascii="Tw Cen MT" w:eastAsiaTheme="minorEastAsia" w:hAnsi="Tw Cen MT" w:cstheme="minorBidi"/>
        </w:rPr>
        <w:t xml:space="preserve"> poverty and uphold the rights and dignity of sex workers. </w:t>
      </w:r>
      <w:r w:rsidR="00851460" w:rsidRPr="4025A54E">
        <w:rPr>
          <w:rFonts w:ascii="Tw Cen MT" w:eastAsiaTheme="minorEastAsia" w:hAnsi="Tw Cen MT" w:cstheme="minorBidi"/>
        </w:rPr>
        <w:t>Where sex work remains criminalised, sex workers are habitually excluded from social protection measures.</w:t>
      </w:r>
      <w:r w:rsidR="00EE7938" w:rsidRPr="4025A54E">
        <w:rPr>
          <w:rStyle w:val="FootnoteReference"/>
          <w:rFonts w:ascii="Tw Cen MT" w:eastAsiaTheme="minorEastAsia" w:hAnsi="Tw Cen MT" w:cstheme="minorBidi"/>
        </w:rPr>
        <w:footnoteReference w:id="15"/>
      </w:r>
      <w:r w:rsidR="00851460" w:rsidRPr="4025A54E">
        <w:rPr>
          <w:rFonts w:ascii="Tw Cen MT" w:eastAsiaTheme="minorEastAsia" w:hAnsi="Tw Cen MT" w:cstheme="minorBidi"/>
        </w:rPr>
        <w:t xml:space="preserve"> </w:t>
      </w:r>
      <w:r w:rsidR="00EE7938" w:rsidRPr="4025A54E">
        <w:rPr>
          <w:rFonts w:ascii="Tw Cen MT" w:eastAsiaTheme="minorEastAsia" w:hAnsi="Tw Cen MT" w:cstheme="minorBidi"/>
        </w:rPr>
        <w:t>The devastating effects of this exclusion were particularly</w:t>
      </w:r>
      <w:r w:rsidR="00851460" w:rsidRPr="4025A54E">
        <w:rPr>
          <w:rFonts w:ascii="Tw Cen MT" w:eastAsiaTheme="minorEastAsia" w:hAnsi="Tw Cen MT" w:cstheme="minorBidi"/>
        </w:rPr>
        <w:t xml:space="preserve"> </w:t>
      </w:r>
      <w:r w:rsidR="00EE7938" w:rsidRPr="4025A54E">
        <w:rPr>
          <w:rFonts w:ascii="Tw Cen MT" w:eastAsiaTheme="minorEastAsia" w:hAnsi="Tw Cen MT" w:cstheme="minorBidi"/>
        </w:rPr>
        <w:t>pronounced</w:t>
      </w:r>
      <w:r w:rsidR="00851460" w:rsidRPr="4025A54E">
        <w:rPr>
          <w:rFonts w:ascii="Tw Cen MT" w:eastAsiaTheme="minorEastAsia" w:hAnsi="Tw Cen MT" w:cstheme="minorBidi"/>
        </w:rPr>
        <w:t xml:space="preserve"> during the COVID-19 pandemic, </w:t>
      </w:r>
      <w:r w:rsidR="006D6385" w:rsidRPr="4025A54E">
        <w:rPr>
          <w:rFonts w:ascii="Tw Cen MT" w:eastAsiaTheme="minorEastAsia" w:hAnsi="Tw Cen MT" w:cstheme="minorBidi"/>
        </w:rPr>
        <w:t xml:space="preserve">when many sex workers experienced a total loss of </w:t>
      </w:r>
      <w:r w:rsidR="006D6385" w:rsidRPr="4025A54E">
        <w:rPr>
          <w:rFonts w:ascii="Tw Cen MT" w:eastAsiaTheme="minorEastAsia" w:hAnsi="Tw Cen MT" w:cstheme="minorBidi"/>
        </w:rPr>
        <w:lastRenderedPageBreak/>
        <w:t>income</w:t>
      </w:r>
      <w:r w:rsidR="005B45C8" w:rsidRPr="4025A54E">
        <w:rPr>
          <w:rFonts w:ascii="Tw Cen MT" w:eastAsiaTheme="minorEastAsia" w:hAnsi="Tw Cen MT" w:cstheme="minorBidi"/>
        </w:rPr>
        <w:t xml:space="preserve"> </w:t>
      </w:r>
      <w:r w:rsidR="002237AB" w:rsidRPr="4025A54E">
        <w:rPr>
          <w:rFonts w:ascii="Tw Cen MT" w:eastAsiaTheme="minorEastAsia" w:hAnsi="Tw Cen MT" w:cstheme="minorBidi"/>
        </w:rPr>
        <w:t>while remaining ineligible for state assistance</w:t>
      </w:r>
      <w:r w:rsidR="006D6385" w:rsidRPr="4025A54E">
        <w:rPr>
          <w:rFonts w:ascii="Tw Cen MT" w:eastAsiaTheme="minorEastAsia" w:hAnsi="Tw Cen MT" w:cstheme="minorBidi"/>
        </w:rPr>
        <w:t>.</w:t>
      </w:r>
      <w:r w:rsidR="00EE7938" w:rsidRPr="4025A54E">
        <w:rPr>
          <w:rFonts w:ascii="Tw Cen MT" w:eastAsiaTheme="minorEastAsia" w:hAnsi="Tw Cen MT" w:cstheme="minorBidi"/>
        </w:rPr>
        <w:t xml:space="preserve"> While </w:t>
      </w:r>
      <w:r w:rsidR="006D6385" w:rsidRPr="4025A54E">
        <w:rPr>
          <w:rFonts w:ascii="Tw Cen MT" w:eastAsiaTheme="minorEastAsia" w:hAnsi="Tw Cen MT" w:cstheme="minorBidi"/>
        </w:rPr>
        <w:t>sex worker-led organisations</w:t>
      </w:r>
      <w:r w:rsidR="00EE7938" w:rsidRPr="4025A54E">
        <w:rPr>
          <w:rFonts w:ascii="Tw Cen MT" w:eastAsiaTheme="minorEastAsia" w:hAnsi="Tw Cen MT" w:cstheme="minorBidi"/>
        </w:rPr>
        <w:t xml:space="preserve"> around the world stepped up to support their communities,</w:t>
      </w:r>
      <w:r w:rsidR="00C228B6" w:rsidRPr="4025A54E">
        <w:rPr>
          <w:rStyle w:val="FootnoteReference"/>
          <w:rFonts w:ascii="Tw Cen MT" w:eastAsiaTheme="minorEastAsia" w:hAnsi="Tw Cen MT" w:cstheme="minorBidi"/>
        </w:rPr>
        <w:footnoteReference w:id="16"/>
      </w:r>
      <w:r w:rsidR="00EE7938" w:rsidRPr="4025A54E">
        <w:rPr>
          <w:rFonts w:ascii="Tw Cen MT" w:eastAsiaTheme="minorEastAsia" w:hAnsi="Tw Cen MT" w:cstheme="minorBidi"/>
        </w:rPr>
        <w:t xml:space="preserve"> </w:t>
      </w:r>
      <w:r w:rsidR="006D6385" w:rsidRPr="4025A54E">
        <w:rPr>
          <w:rFonts w:ascii="Tw Cen MT" w:eastAsiaTheme="minorEastAsia" w:hAnsi="Tw Cen MT" w:cstheme="minorBidi"/>
        </w:rPr>
        <w:t xml:space="preserve">governments must be held accountable for providing equitable access to social protection benefits </w:t>
      </w:r>
      <w:r w:rsidR="00EE7938" w:rsidRPr="4025A54E">
        <w:rPr>
          <w:rFonts w:ascii="Tw Cen MT" w:eastAsiaTheme="minorEastAsia" w:hAnsi="Tw Cen MT" w:cstheme="minorBidi"/>
        </w:rPr>
        <w:t>to</w:t>
      </w:r>
      <w:r w:rsidR="006D6385" w:rsidRPr="4025A54E">
        <w:rPr>
          <w:rFonts w:ascii="Tw Cen MT" w:eastAsiaTheme="minorEastAsia" w:hAnsi="Tw Cen MT" w:cstheme="minorBidi"/>
        </w:rPr>
        <w:t xml:space="preserve"> all members of society, regardless of their occupation. </w:t>
      </w:r>
    </w:p>
    <w:p w14:paraId="3E210D49" w14:textId="77777777" w:rsidR="00712DCF" w:rsidRDefault="00712DCF" w:rsidP="00FA10EB">
      <w:pPr>
        <w:spacing w:after="0" w:line="240" w:lineRule="auto"/>
        <w:rPr>
          <w:rFonts w:ascii="Tw Cen MT" w:eastAsiaTheme="minorHAnsi" w:hAnsi="Tw Cen MT" w:cstheme="minorBidi"/>
        </w:rPr>
      </w:pPr>
    </w:p>
    <w:p w14:paraId="5EAD7240" w14:textId="3B673775" w:rsidR="004C0E3A" w:rsidRDefault="004C0E3A" w:rsidP="00895F44">
      <w:pPr>
        <w:spacing w:after="0" w:line="240" w:lineRule="auto"/>
        <w:rPr>
          <w:rFonts w:ascii="Tw Cen MT" w:eastAsiaTheme="minorHAnsi" w:hAnsi="Tw Cen MT" w:cstheme="minorBidi"/>
        </w:rPr>
      </w:pPr>
      <w:r>
        <w:rPr>
          <w:rFonts w:ascii="Tw Cen MT" w:eastAsiaTheme="minorHAnsi" w:hAnsi="Tw Cen MT" w:cstheme="minorBidi"/>
        </w:rPr>
        <w:t>Lastly, it is essential to address</w:t>
      </w:r>
      <w:r w:rsidR="00C21195">
        <w:rPr>
          <w:rFonts w:ascii="Tw Cen MT" w:eastAsiaTheme="minorHAnsi" w:hAnsi="Tw Cen MT" w:cstheme="minorBidi"/>
        </w:rPr>
        <w:t xml:space="preserve"> structural</w:t>
      </w:r>
      <w:r>
        <w:rPr>
          <w:rFonts w:ascii="Tw Cen MT" w:eastAsiaTheme="minorHAnsi" w:hAnsi="Tw Cen MT" w:cstheme="minorBidi"/>
        </w:rPr>
        <w:t xml:space="preserve"> </w:t>
      </w:r>
      <w:r w:rsidR="00C228B6">
        <w:rPr>
          <w:rFonts w:ascii="Tw Cen MT" w:eastAsiaTheme="minorHAnsi" w:hAnsi="Tw Cen MT" w:cstheme="minorBidi"/>
        </w:rPr>
        <w:t>barriers to safe and accessible housing for</w:t>
      </w:r>
      <w:r>
        <w:rPr>
          <w:rFonts w:ascii="Tw Cen MT" w:eastAsiaTheme="minorHAnsi" w:hAnsi="Tw Cen MT" w:cstheme="minorBidi"/>
        </w:rPr>
        <w:t xml:space="preserve"> sex workers</w:t>
      </w:r>
      <w:r w:rsidR="002237AB">
        <w:rPr>
          <w:rFonts w:ascii="Tw Cen MT" w:eastAsiaTheme="minorHAnsi" w:hAnsi="Tw Cen MT" w:cstheme="minorBidi"/>
        </w:rPr>
        <w:t xml:space="preserve">. </w:t>
      </w:r>
      <w:r w:rsidR="00895F44" w:rsidRPr="00895F44">
        <w:rPr>
          <w:rFonts w:ascii="Tw Cen MT" w:eastAsiaTheme="minorHAnsi" w:hAnsi="Tw Cen MT" w:cstheme="minorBidi"/>
        </w:rPr>
        <w:t xml:space="preserve">Sex workers’ access to housing can be restricted due to third party laws, and because of a lack of documentation, bank accounts, or proof of income. Sex workers may be denied housing, unlawfully evicted from their homes, and reported to law enforcement solely due to their occupation. Sex workers also experience discrimination in accessing </w:t>
      </w:r>
      <w:r w:rsidR="00895F44">
        <w:rPr>
          <w:rFonts w:ascii="Tw Cen MT" w:eastAsiaTheme="minorHAnsi" w:hAnsi="Tw Cen MT" w:cstheme="minorBidi"/>
        </w:rPr>
        <w:t xml:space="preserve">shelters and </w:t>
      </w:r>
      <w:r w:rsidR="00895F44" w:rsidRPr="00895F44">
        <w:rPr>
          <w:rFonts w:ascii="Tw Cen MT" w:eastAsiaTheme="minorHAnsi" w:hAnsi="Tw Cen MT" w:cstheme="minorBidi"/>
        </w:rPr>
        <w:t xml:space="preserve">temporary accommodation. </w:t>
      </w:r>
      <w:r w:rsidR="00895F44">
        <w:rPr>
          <w:rFonts w:ascii="Tw Cen MT" w:eastAsiaTheme="minorHAnsi" w:hAnsi="Tw Cen MT" w:cstheme="minorBidi"/>
        </w:rPr>
        <w:t xml:space="preserve">As a result, </w:t>
      </w:r>
      <w:r w:rsidR="00113936">
        <w:rPr>
          <w:rFonts w:ascii="Tw Cen MT" w:eastAsiaTheme="minorHAnsi" w:hAnsi="Tw Cen MT" w:cstheme="minorBidi"/>
        </w:rPr>
        <w:t xml:space="preserve">sex workers are disproportionately </w:t>
      </w:r>
      <w:r w:rsidR="002237AB">
        <w:rPr>
          <w:rFonts w:ascii="Tw Cen MT" w:eastAsiaTheme="minorHAnsi" w:hAnsi="Tw Cen MT" w:cstheme="minorBidi"/>
        </w:rPr>
        <w:t xml:space="preserve">likely to experience housing insecurity, which in turn increases their vulnerability to </w:t>
      </w:r>
      <w:r w:rsidR="008B5FC1">
        <w:rPr>
          <w:rFonts w:ascii="Tw Cen MT" w:eastAsiaTheme="minorHAnsi" w:hAnsi="Tw Cen MT" w:cstheme="minorBidi"/>
        </w:rPr>
        <w:t>punitive policing.</w:t>
      </w:r>
      <w:r w:rsidR="005C22BA">
        <w:rPr>
          <w:rFonts w:ascii="Tw Cen MT" w:eastAsiaTheme="minorHAnsi" w:hAnsi="Tw Cen MT" w:cstheme="minorBidi"/>
        </w:rPr>
        <w:t xml:space="preserve"> </w:t>
      </w:r>
      <w:r w:rsidR="00895F44" w:rsidRPr="00895F44">
        <w:rPr>
          <w:rFonts w:ascii="Tw Cen MT" w:eastAsiaTheme="minorHAnsi" w:hAnsi="Tw Cen MT" w:cstheme="minorBidi"/>
        </w:rPr>
        <w:t>These risks are compounded for sex workers facing multiple forms of discrimination due to their race or ethnic background, sexual orientation, gender identity or expression, migrant status, drug use, or criminal record.</w:t>
      </w:r>
      <w:r w:rsidR="008115B5">
        <w:rPr>
          <w:rFonts w:ascii="Tw Cen MT" w:eastAsiaTheme="minorHAnsi" w:hAnsi="Tw Cen MT" w:cstheme="minorBidi"/>
        </w:rPr>
        <w:t xml:space="preserve"> </w:t>
      </w:r>
    </w:p>
    <w:p w14:paraId="237D2A97" w14:textId="77777777" w:rsidR="00162D74" w:rsidRDefault="00162D74" w:rsidP="00895F44">
      <w:pPr>
        <w:spacing w:after="0" w:line="240" w:lineRule="auto"/>
        <w:rPr>
          <w:rFonts w:ascii="Tw Cen MT" w:eastAsiaTheme="minorHAnsi" w:hAnsi="Tw Cen MT" w:cstheme="minorBidi"/>
        </w:rPr>
      </w:pPr>
    </w:p>
    <w:p w14:paraId="6E239992" w14:textId="129B1211" w:rsidR="00B909BC" w:rsidRDefault="00B909BC" w:rsidP="00895F44">
      <w:pPr>
        <w:spacing w:after="0" w:line="240" w:lineRule="auto"/>
        <w:rPr>
          <w:rFonts w:ascii="Tw Cen MT" w:eastAsiaTheme="minorHAnsi" w:hAnsi="Tw Cen MT" w:cstheme="minorBidi"/>
        </w:rPr>
      </w:pPr>
      <w:r>
        <w:rPr>
          <w:rFonts w:ascii="Tw Cen MT" w:eastAsiaTheme="minorHAnsi" w:hAnsi="Tw Cen MT" w:cstheme="minorBidi"/>
        </w:rPr>
        <w:t xml:space="preserve">To improve sex workers’ access to housing, </w:t>
      </w:r>
      <w:r w:rsidR="00CE074B">
        <w:rPr>
          <w:rFonts w:ascii="Tw Cen MT" w:eastAsiaTheme="minorHAnsi" w:hAnsi="Tw Cen MT" w:cstheme="minorBidi"/>
        </w:rPr>
        <w:t xml:space="preserve">greater </w:t>
      </w:r>
      <w:r>
        <w:rPr>
          <w:rFonts w:ascii="Tw Cen MT" w:eastAsiaTheme="minorHAnsi" w:hAnsi="Tw Cen MT" w:cstheme="minorBidi"/>
        </w:rPr>
        <w:t xml:space="preserve">resources must be allocated to </w:t>
      </w:r>
      <w:r w:rsidR="00CE074B">
        <w:rPr>
          <w:rFonts w:ascii="Tw Cen MT" w:eastAsiaTheme="minorHAnsi" w:hAnsi="Tw Cen MT" w:cstheme="minorBidi"/>
        </w:rPr>
        <w:t>establish and support</w:t>
      </w:r>
      <w:r>
        <w:rPr>
          <w:rFonts w:ascii="Tw Cen MT" w:eastAsiaTheme="minorHAnsi" w:hAnsi="Tw Cen MT" w:cstheme="minorBidi"/>
        </w:rPr>
        <w:t xml:space="preserve"> sex worker-inclusive shelters, drop-in centres, and social housing.</w:t>
      </w:r>
      <w:r w:rsidR="00CE074B">
        <w:rPr>
          <w:rFonts w:ascii="Tw Cen MT" w:eastAsiaTheme="minorHAnsi" w:hAnsi="Tw Cen MT" w:cstheme="minorBidi"/>
        </w:rPr>
        <w:t xml:space="preserve"> Sex worker-led organisations must play a meaningful role in the design, implementation, and monitoring and evaluation of these initiatives, to ensure that their communities’ needs are met</w:t>
      </w:r>
      <w:r w:rsidR="00173CCE">
        <w:rPr>
          <w:rFonts w:ascii="Tw Cen MT" w:eastAsiaTheme="minorHAnsi" w:hAnsi="Tw Cen MT" w:cstheme="minorBidi"/>
        </w:rPr>
        <w:t xml:space="preserve"> and that their rights and dignity are upheld.</w:t>
      </w:r>
      <w:r w:rsidR="00CE074B">
        <w:rPr>
          <w:rFonts w:ascii="Tw Cen MT" w:eastAsiaTheme="minorHAnsi" w:hAnsi="Tw Cen MT" w:cstheme="minorBidi"/>
        </w:rPr>
        <w:t xml:space="preserve"> </w:t>
      </w:r>
    </w:p>
    <w:p w14:paraId="3B2FF22E" w14:textId="77777777" w:rsidR="004C0E3A" w:rsidRDefault="004C0E3A" w:rsidP="00FA10EB">
      <w:pPr>
        <w:spacing w:after="0" w:line="240" w:lineRule="auto"/>
        <w:rPr>
          <w:rFonts w:ascii="Tw Cen MT" w:eastAsiaTheme="minorHAnsi" w:hAnsi="Tw Cen MT" w:cstheme="minorBidi"/>
          <w:lang w:val="en-US"/>
        </w:rPr>
      </w:pPr>
    </w:p>
    <w:p w14:paraId="1C7999F3" w14:textId="77777777" w:rsidR="00C308A3" w:rsidRPr="006D35DE" w:rsidRDefault="00C308A3" w:rsidP="00FA10EB">
      <w:pPr>
        <w:spacing w:after="0" w:line="240" w:lineRule="auto"/>
        <w:rPr>
          <w:rFonts w:ascii="Tw Cen MT" w:eastAsiaTheme="minorHAnsi" w:hAnsi="Tw Cen MT" w:cstheme="minorBidi"/>
          <w:lang w:val="en-US"/>
        </w:rPr>
      </w:pPr>
    </w:p>
    <w:p w14:paraId="048C4CA6" w14:textId="3457A0AB" w:rsidR="004E6E04" w:rsidRDefault="00493040" w:rsidP="00FA10EB">
      <w:pPr>
        <w:spacing w:after="0" w:line="240" w:lineRule="auto"/>
        <w:rPr>
          <w:rFonts w:ascii="Tw Cen MT" w:eastAsiaTheme="minorHAnsi" w:hAnsi="Tw Cen MT" w:cstheme="minorBidi"/>
          <w:b/>
          <w:bCs/>
        </w:rPr>
      </w:pPr>
      <w:r>
        <w:rPr>
          <w:rFonts w:ascii="Tw Cen MT" w:eastAsiaTheme="minorHAnsi" w:hAnsi="Tw Cen MT" w:cstheme="minorBidi"/>
          <w:b/>
          <w:bCs/>
        </w:rPr>
        <w:t>Conclusion</w:t>
      </w:r>
    </w:p>
    <w:p w14:paraId="27A22D99" w14:textId="1C3BCEAB" w:rsidR="0001674C" w:rsidRDefault="00493040" w:rsidP="00FA10EB">
      <w:pPr>
        <w:spacing w:after="0" w:line="240" w:lineRule="auto"/>
        <w:rPr>
          <w:rFonts w:ascii="Tw Cen MT" w:eastAsiaTheme="minorHAnsi" w:hAnsi="Tw Cen MT" w:cstheme="minorBidi"/>
        </w:rPr>
      </w:pPr>
      <w:r>
        <w:rPr>
          <w:rFonts w:ascii="Tw Cen MT" w:eastAsiaTheme="minorHAnsi" w:hAnsi="Tw Cen MT" w:cstheme="minorBidi"/>
        </w:rPr>
        <w:t xml:space="preserve">Due to ongoing structural barriers, sex workers around the world remain </w:t>
      </w:r>
      <w:r w:rsidR="0044018F">
        <w:rPr>
          <w:rFonts w:ascii="Tw Cen MT" w:eastAsiaTheme="minorHAnsi" w:hAnsi="Tw Cen MT" w:cstheme="minorBidi"/>
        </w:rPr>
        <w:t>disproportionately</w:t>
      </w:r>
      <w:r>
        <w:rPr>
          <w:rFonts w:ascii="Tw Cen MT" w:eastAsiaTheme="minorHAnsi" w:hAnsi="Tw Cen MT" w:cstheme="minorBidi"/>
        </w:rPr>
        <w:t xml:space="preserve"> affected by poverty and homelessness, </w:t>
      </w:r>
      <w:r w:rsidR="0044018F">
        <w:rPr>
          <w:rFonts w:ascii="Tw Cen MT" w:eastAsiaTheme="minorHAnsi" w:hAnsi="Tw Cen MT" w:cstheme="minorBidi"/>
        </w:rPr>
        <w:t xml:space="preserve">and are unduly policed and penalised for their work, </w:t>
      </w:r>
      <w:r w:rsidR="009469BE">
        <w:rPr>
          <w:rFonts w:ascii="Tw Cen MT" w:eastAsiaTheme="minorHAnsi" w:hAnsi="Tw Cen MT" w:cstheme="minorBidi"/>
        </w:rPr>
        <w:t>daily activities</w:t>
      </w:r>
      <w:r w:rsidR="0044018F">
        <w:rPr>
          <w:rFonts w:ascii="Tw Cen MT" w:eastAsiaTheme="minorHAnsi" w:hAnsi="Tw Cen MT" w:cstheme="minorBidi"/>
        </w:rPr>
        <w:t xml:space="preserve">, and </w:t>
      </w:r>
      <w:r w:rsidR="009469BE">
        <w:rPr>
          <w:rFonts w:ascii="Tw Cen MT" w:eastAsiaTheme="minorHAnsi" w:hAnsi="Tw Cen MT" w:cstheme="minorBidi"/>
        </w:rPr>
        <w:t>mere</w:t>
      </w:r>
      <w:r w:rsidR="0044018F">
        <w:rPr>
          <w:rFonts w:ascii="Tw Cen MT" w:eastAsiaTheme="minorHAnsi" w:hAnsi="Tw Cen MT" w:cstheme="minorBidi"/>
        </w:rPr>
        <w:t xml:space="preserve"> existence in public spaces.</w:t>
      </w:r>
      <w:r w:rsidR="001B5907">
        <w:rPr>
          <w:rFonts w:ascii="Tw Cen MT" w:eastAsiaTheme="minorHAnsi" w:hAnsi="Tw Cen MT" w:cstheme="minorBidi"/>
        </w:rPr>
        <w:t xml:space="preserve"> I</w:t>
      </w:r>
      <w:r w:rsidR="00920FD3">
        <w:rPr>
          <w:rFonts w:ascii="Tw Cen MT" w:eastAsiaTheme="minorHAnsi" w:hAnsi="Tw Cen MT" w:cstheme="minorBidi"/>
        </w:rPr>
        <w:t xml:space="preserve">n order to address these injustices, it is essential to decriminalise all aspects of sex work, </w:t>
      </w:r>
      <w:r w:rsidR="002A3447">
        <w:rPr>
          <w:rFonts w:ascii="Tw Cen MT" w:eastAsiaTheme="minorHAnsi" w:hAnsi="Tw Cen MT" w:cstheme="minorBidi"/>
        </w:rPr>
        <w:t xml:space="preserve">and remove penalties for other </w:t>
      </w:r>
      <w:r w:rsidR="0065001A">
        <w:rPr>
          <w:rFonts w:ascii="Tw Cen MT" w:eastAsiaTheme="minorHAnsi" w:hAnsi="Tw Cen MT" w:cstheme="minorBidi"/>
        </w:rPr>
        <w:t>offences</w:t>
      </w:r>
      <w:r w:rsidR="002A3447">
        <w:rPr>
          <w:rFonts w:ascii="Tw Cen MT" w:eastAsiaTheme="minorHAnsi" w:hAnsi="Tw Cen MT" w:cstheme="minorBidi"/>
        </w:rPr>
        <w:t xml:space="preserve"> </w:t>
      </w:r>
      <w:r w:rsidR="0065001A">
        <w:rPr>
          <w:rFonts w:ascii="Tw Cen MT" w:eastAsiaTheme="minorHAnsi" w:hAnsi="Tw Cen MT" w:cstheme="minorBidi"/>
        </w:rPr>
        <w:t xml:space="preserve">associated with poverty and homelessness. </w:t>
      </w:r>
      <w:r w:rsidR="00360300">
        <w:rPr>
          <w:rFonts w:ascii="Tw Cen MT" w:eastAsiaTheme="minorHAnsi" w:hAnsi="Tw Cen MT" w:cstheme="minorBidi"/>
        </w:rPr>
        <w:t xml:space="preserve">In addition, proactive measures must be </w:t>
      </w:r>
      <w:r w:rsidR="00577103">
        <w:rPr>
          <w:rFonts w:ascii="Tw Cen MT" w:eastAsiaTheme="minorHAnsi" w:hAnsi="Tw Cen MT" w:cstheme="minorBidi"/>
        </w:rPr>
        <w:t xml:space="preserve">taken to reduce stigma and discrimination which fuel </w:t>
      </w:r>
      <w:r w:rsidR="002A1E87">
        <w:rPr>
          <w:rFonts w:ascii="Tw Cen MT" w:eastAsiaTheme="minorHAnsi" w:hAnsi="Tw Cen MT" w:cstheme="minorBidi"/>
        </w:rPr>
        <w:t>police abuse</w:t>
      </w:r>
      <w:r w:rsidR="00577103">
        <w:rPr>
          <w:rFonts w:ascii="Tw Cen MT" w:eastAsiaTheme="minorHAnsi" w:hAnsi="Tw Cen MT" w:cstheme="minorBidi"/>
        </w:rPr>
        <w:t xml:space="preserve"> and other rights violations against sex workers living and working outdoors. </w:t>
      </w:r>
      <w:r w:rsidR="00EA377E">
        <w:rPr>
          <w:rFonts w:ascii="Tw Cen MT" w:eastAsiaTheme="minorHAnsi" w:hAnsi="Tw Cen MT" w:cstheme="minorBidi"/>
        </w:rPr>
        <w:t xml:space="preserve">These efforts must be accompanied </w:t>
      </w:r>
      <w:r w:rsidR="00F4487E">
        <w:rPr>
          <w:rFonts w:ascii="Tw Cen MT" w:eastAsiaTheme="minorHAnsi" w:hAnsi="Tw Cen MT" w:cstheme="minorBidi"/>
        </w:rPr>
        <w:t>by inclusive</w:t>
      </w:r>
      <w:r w:rsidR="00EA377E">
        <w:rPr>
          <w:rFonts w:ascii="Tw Cen MT" w:eastAsiaTheme="minorHAnsi" w:hAnsi="Tw Cen MT" w:cstheme="minorBidi"/>
        </w:rPr>
        <w:t xml:space="preserve">, rights-based housing policies and </w:t>
      </w:r>
      <w:r w:rsidR="00F4487E">
        <w:rPr>
          <w:rFonts w:ascii="Tw Cen MT" w:eastAsiaTheme="minorHAnsi" w:hAnsi="Tw Cen MT" w:cstheme="minorBidi"/>
        </w:rPr>
        <w:t>initiatives</w:t>
      </w:r>
      <w:r w:rsidR="00EA377E">
        <w:rPr>
          <w:rFonts w:ascii="Tw Cen MT" w:eastAsiaTheme="minorHAnsi" w:hAnsi="Tw Cen MT" w:cstheme="minorBidi"/>
        </w:rPr>
        <w:t xml:space="preserve"> </w:t>
      </w:r>
      <w:r w:rsidR="0075092B">
        <w:rPr>
          <w:rFonts w:ascii="Tw Cen MT" w:eastAsiaTheme="minorHAnsi" w:hAnsi="Tw Cen MT" w:cstheme="minorBidi"/>
        </w:rPr>
        <w:t>which</w:t>
      </w:r>
      <w:r w:rsidR="007064F3">
        <w:rPr>
          <w:rFonts w:ascii="Tw Cen MT" w:eastAsiaTheme="minorHAnsi" w:hAnsi="Tw Cen MT" w:cstheme="minorBidi"/>
        </w:rPr>
        <w:t xml:space="preserve"> </w:t>
      </w:r>
      <w:r w:rsidR="0075092B">
        <w:rPr>
          <w:rFonts w:ascii="Tw Cen MT" w:eastAsiaTheme="minorHAnsi" w:hAnsi="Tw Cen MT" w:cstheme="minorBidi"/>
        </w:rPr>
        <w:t>address the needs of sex workers</w:t>
      </w:r>
      <w:r w:rsidR="005F1A4C">
        <w:rPr>
          <w:rFonts w:ascii="Tw Cen MT" w:eastAsiaTheme="minorHAnsi" w:hAnsi="Tw Cen MT" w:cstheme="minorBidi"/>
        </w:rPr>
        <w:t xml:space="preserve">, in all their diversity. </w:t>
      </w:r>
      <w:r w:rsidR="0075092B">
        <w:rPr>
          <w:rFonts w:ascii="Tw Cen MT" w:eastAsiaTheme="minorHAnsi" w:hAnsi="Tw Cen MT" w:cstheme="minorBidi"/>
        </w:rPr>
        <w:t xml:space="preserve">  </w:t>
      </w:r>
    </w:p>
    <w:p w14:paraId="31503607" w14:textId="77777777" w:rsidR="004E6E04" w:rsidRDefault="004E6E04" w:rsidP="00FA10EB">
      <w:pPr>
        <w:spacing w:after="0" w:line="240" w:lineRule="auto"/>
        <w:rPr>
          <w:rFonts w:ascii="Tw Cen MT" w:eastAsiaTheme="minorHAnsi" w:hAnsi="Tw Cen MT" w:cstheme="minorBidi"/>
        </w:rPr>
      </w:pPr>
    </w:p>
    <w:p w14:paraId="30D11D1E" w14:textId="6156D2C0" w:rsidR="00FA10EB" w:rsidRDefault="00FA10EB" w:rsidP="00FA10EB">
      <w:pPr>
        <w:spacing w:after="0" w:line="240" w:lineRule="auto"/>
        <w:rPr>
          <w:rFonts w:ascii="Tw Cen MT" w:eastAsiaTheme="minorHAnsi" w:hAnsi="Tw Cen MT" w:cstheme="minorBidi"/>
        </w:rPr>
      </w:pPr>
    </w:p>
    <w:p w14:paraId="4D3ACAD0" w14:textId="77777777" w:rsidR="00E8415A" w:rsidRPr="004936F5" w:rsidRDefault="00E8415A" w:rsidP="0068058A">
      <w:pPr>
        <w:pStyle w:val="BodyText1"/>
        <w:rPr>
          <w:rFonts w:ascii="Tw Cen MT" w:hAnsi="Tw Cen MT"/>
          <w:szCs w:val="22"/>
        </w:rPr>
      </w:pPr>
      <w:r w:rsidRPr="004936F5">
        <w:rPr>
          <w:rFonts w:ascii="Tw Cen MT" w:hAnsi="Tw Cen MT"/>
          <w:szCs w:val="22"/>
        </w:rPr>
        <w:t>Kindest regards</w:t>
      </w:r>
      <w:r>
        <w:rPr>
          <w:rFonts w:ascii="Tw Cen MT" w:hAnsi="Tw Cen MT"/>
          <w:szCs w:val="22"/>
        </w:rPr>
        <w:t>,</w:t>
      </w:r>
    </w:p>
    <w:p w14:paraId="6383787C" w14:textId="590AD997" w:rsidR="00E8415A" w:rsidRDefault="00E8415A" w:rsidP="00E8415A">
      <w:pPr>
        <w:pStyle w:val="BodyText1"/>
        <w:ind w:left="-142"/>
        <w:rPr>
          <w:rFonts w:ascii="Tw Cen MT" w:hAnsi="Tw Cen MT"/>
          <w:szCs w:val="22"/>
        </w:rPr>
      </w:pPr>
    </w:p>
    <w:p w14:paraId="104A540B" w14:textId="0BF6CC97" w:rsidR="00123DFD" w:rsidRDefault="00F4487E" w:rsidP="00E8415A">
      <w:pPr>
        <w:pStyle w:val="BodyText1"/>
        <w:ind w:left="-142"/>
        <w:rPr>
          <w:rFonts w:ascii="Tw Cen MT" w:hAnsi="Tw Cen MT"/>
          <w:szCs w:val="22"/>
        </w:rPr>
      </w:pPr>
      <w:r>
        <w:rPr>
          <w:noProof/>
        </w:rPr>
        <w:drawing>
          <wp:inline distT="0" distB="0" distL="0" distR="0" wp14:anchorId="1613865D" wp14:editId="06165888">
            <wp:extent cx="1514475" cy="703600"/>
            <wp:effectExtent l="0" t="0" r="0" b="0"/>
            <wp:docPr id="475531408" name="Picture 475531408" descr="A black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31408" name="Picture 475531408" descr="A black line on a black background&#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14475" cy="703600"/>
                    </a:xfrm>
                    <a:prstGeom prst="rect">
                      <a:avLst/>
                    </a:prstGeom>
                  </pic:spPr>
                </pic:pic>
              </a:graphicData>
            </a:graphic>
          </wp:inline>
        </w:drawing>
      </w:r>
    </w:p>
    <w:p w14:paraId="68C5874A" w14:textId="77777777" w:rsidR="00123DFD" w:rsidRPr="004936F5" w:rsidRDefault="00123DFD" w:rsidP="00E8415A">
      <w:pPr>
        <w:pStyle w:val="BodyText1"/>
        <w:ind w:left="-142"/>
        <w:rPr>
          <w:rFonts w:ascii="Tw Cen MT" w:hAnsi="Tw Cen MT"/>
          <w:szCs w:val="22"/>
        </w:rPr>
      </w:pPr>
    </w:p>
    <w:p w14:paraId="5C431231" w14:textId="264A4785" w:rsidR="00E906E2" w:rsidRDefault="002274CC" w:rsidP="0068058A">
      <w:pPr>
        <w:pStyle w:val="BodyText1"/>
        <w:spacing w:after="0"/>
        <w:ind w:left="-142" w:firstLine="142"/>
        <w:rPr>
          <w:rFonts w:ascii="Tw Cen MT" w:hAnsi="Tw Cen MT"/>
          <w:szCs w:val="22"/>
        </w:rPr>
      </w:pPr>
      <w:r>
        <w:rPr>
          <w:rFonts w:ascii="Tw Cen MT" w:hAnsi="Tw Cen MT"/>
          <w:szCs w:val="22"/>
        </w:rPr>
        <w:t>Jules Kim</w:t>
      </w:r>
    </w:p>
    <w:p w14:paraId="0AA6878C" w14:textId="77777777" w:rsidR="002274CC" w:rsidRDefault="002274CC" w:rsidP="00E906E2">
      <w:pPr>
        <w:pStyle w:val="BodyText1"/>
        <w:spacing w:after="0"/>
        <w:ind w:left="-142"/>
        <w:rPr>
          <w:rFonts w:ascii="Tw Cen MT" w:hAnsi="Tw Cen MT"/>
          <w:szCs w:val="22"/>
        </w:rPr>
      </w:pPr>
    </w:p>
    <w:p w14:paraId="57C4E56F" w14:textId="29123B07" w:rsidR="00E906E2" w:rsidRPr="00E906E2" w:rsidRDefault="00E906E2" w:rsidP="0068058A">
      <w:pPr>
        <w:pStyle w:val="BodyText1"/>
        <w:spacing w:after="0"/>
        <w:ind w:left="-142" w:firstLine="142"/>
        <w:rPr>
          <w:rFonts w:ascii="Tw Cen MT" w:hAnsi="Tw Cen MT"/>
          <w:szCs w:val="22"/>
        </w:rPr>
      </w:pPr>
      <w:r>
        <w:rPr>
          <w:rFonts w:ascii="Tw Cen MT" w:hAnsi="Tw Cen MT"/>
          <w:szCs w:val="22"/>
        </w:rPr>
        <w:t>Global Coordinator, Global Network of Sex Work Projects (NSWP)</w:t>
      </w:r>
    </w:p>
    <w:sectPr w:rsidR="00E906E2" w:rsidRPr="00E906E2" w:rsidSect="00F55999">
      <w:footerReference w:type="default" r:id="rId34"/>
      <w:headerReference w:type="first" r:id="rId35"/>
      <w:footerReference w:type="first" r:id="rId36"/>
      <w:pgSz w:w="11906" w:h="16838"/>
      <w:pgMar w:top="1440" w:right="1440" w:bottom="1440" w:left="1440"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520C" w14:textId="77777777" w:rsidR="00041A6F" w:rsidRDefault="00041A6F" w:rsidP="00C427FF">
      <w:pPr>
        <w:spacing w:after="0" w:line="240" w:lineRule="auto"/>
      </w:pPr>
      <w:r>
        <w:separator/>
      </w:r>
    </w:p>
  </w:endnote>
  <w:endnote w:type="continuationSeparator" w:id="0">
    <w:p w14:paraId="41C96ECB" w14:textId="77777777" w:rsidR="00041A6F" w:rsidRDefault="00041A6F" w:rsidP="00C4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Helvetica Neue">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ecilia LT Std Roman">
    <w:altName w:val="Calibri"/>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556193"/>
      <w:docPartObj>
        <w:docPartGallery w:val="Page Numbers (Bottom of Page)"/>
        <w:docPartUnique/>
      </w:docPartObj>
    </w:sdtPr>
    <w:sdtEndPr>
      <w:rPr>
        <w:color w:val="7F7F7F" w:themeColor="background1" w:themeShade="7F"/>
        <w:spacing w:val="60"/>
      </w:rPr>
    </w:sdtEndPr>
    <w:sdtContent>
      <w:p w14:paraId="24028B6C" w14:textId="1BCD1DE7" w:rsidR="00F55999" w:rsidRDefault="00F5599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7A4C429" w14:textId="77777777" w:rsidR="00F55999" w:rsidRPr="00472079" w:rsidRDefault="00000000" w:rsidP="00F55999">
    <w:pPr>
      <w:pStyle w:val="Footer"/>
      <w:tabs>
        <w:tab w:val="right" w:pos="7834"/>
      </w:tabs>
      <w:spacing w:after="0"/>
      <w:ind w:left="-1134" w:right="-6"/>
      <w:jc w:val="center"/>
      <w:rPr>
        <w:rFonts w:ascii="Caecilia LT Std Roman" w:hAnsi="Caecilia LT Std Roman"/>
        <w:b/>
        <w:color w:val="C00000"/>
      </w:rPr>
    </w:pPr>
    <w:hyperlink r:id="rId1" w:history="1">
      <w:r w:rsidR="00F55999" w:rsidRPr="00472079">
        <w:rPr>
          <w:rStyle w:val="Hyperlink"/>
          <w:rFonts w:ascii="Caecilia LT Std Roman" w:hAnsi="Caecilia LT Std Roman"/>
          <w:b/>
          <w:color w:val="C00000"/>
        </w:rPr>
        <w:t>www.nswp.org</w:t>
      </w:r>
    </w:hyperlink>
  </w:p>
  <w:p w14:paraId="45A90D83" w14:textId="77777777" w:rsidR="00A427B9" w:rsidRDefault="00A427B9" w:rsidP="00F5599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155" w14:textId="77777777" w:rsidR="00F55999" w:rsidRDefault="00F55999" w:rsidP="00F55999">
    <w:pPr>
      <w:pStyle w:val="Footer"/>
      <w:tabs>
        <w:tab w:val="right" w:pos="7834"/>
      </w:tabs>
      <w:spacing w:after="0"/>
      <w:ind w:left="-1134"/>
      <w:jc w:val="center"/>
      <w:rPr>
        <w:rFonts w:ascii="Caecilia LT Std Roman" w:hAnsi="Caecilia LT Std Roman"/>
        <w:b/>
      </w:rPr>
    </w:pPr>
  </w:p>
  <w:p w14:paraId="17F4FC8E" w14:textId="7BF11BA2" w:rsidR="0015715A" w:rsidRPr="00494904" w:rsidRDefault="0015715A" w:rsidP="00F55999">
    <w:pPr>
      <w:pStyle w:val="Footer"/>
      <w:tabs>
        <w:tab w:val="right" w:pos="7834"/>
      </w:tabs>
      <w:spacing w:after="0"/>
      <w:ind w:left="-1134"/>
      <w:jc w:val="center"/>
      <w:rPr>
        <w:rFonts w:ascii="Caecilia LT Std Roman" w:hAnsi="Caecilia LT Std Roman"/>
        <w:b/>
      </w:rPr>
    </w:pPr>
    <w:r>
      <w:rPr>
        <w:rFonts w:ascii="Caecilia LT Std Roman" w:hAnsi="Caecilia LT Std Roman"/>
        <w:b/>
      </w:rPr>
      <w:t>NSWP | The Matrix, 62</w:t>
    </w:r>
    <w:r w:rsidRPr="00494904">
      <w:rPr>
        <w:rFonts w:ascii="Caecilia LT Std Roman" w:hAnsi="Caecilia LT Std Roman"/>
        <w:b/>
      </w:rPr>
      <w:t xml:space="preserve"> Newhaven Road | Edinburgh </w:t>
    </w:r>
    <w:r>
      <w:rPr>
        <w:rFonts w:ascii="Caecilia LT Std Roman" w:hAnsi="Caecilia LT Std Roman"/>
        <w:b/>
      </w:rPr>
      <w:t>EH6 5QB</w:t>
    </w:r>
    <w:r w:rsidRPr="00494904">
      <w:rPr>
        <w:rFonts w:ascii="Caecilia LT Std Roman" w:hAnsi="Caecilia LT Std Roman"/>
        <w:b/>
      </w:rPr>
      <w:t xml:space="preserve"> | Scotland UK</w:t>
    </w:r>
  </w:p>
  <w:bookmarkStart w:id="0" w:name="_Hlk39845560"/>
  <w:p w14:paraId="2C898CFC" w14:textId="77777777" w:rsidR="0015715A" w:rsidRPr="00472079" w:rsidRDefault="0015715A" w:rsidP="00F55999">
    <w:pPr>
      <w:pStyle w:val="Footer"/>
      <w:tabs>
        <w:tab w:val="right" w:pos="7834"/>
      </w:tabs>
      <w:spacing w:after="0"/>
      <w:ind w:left="-1134" w:right="-6"/>
      <w:jc w:val="center"/>
      <w:rPr>
        <w:rFonts w:ascii="Caecilia LT Std Roman" w:hAnsi="Caecilia LT Std Roman"/>
        <w:b/>
        <w:color w:val="C00000"/>
      </w:rPr>
    </w:pPr>
    <w:r>
      <w:fldChar w:fldCharType="begin"/>
    </w:r>
    <w:r>
      <w:instrText xml:space="preserve"> HYPERLINK "mailto:secretariat@nswp.org" </w:instrText>
    </w:r>
    <w:r>
      <w:fldChar w:fldCharType="separate"/>
    </w:r>
    <w:r w:rsidRPr="000D15B3">
      <w:rPr>
        <w:rStyle w:val="Hyperlink"/>
        <w:rFonts w:ascii="Caecilia LT Std Roman" w:hAnsi="Caecilia LT Std Roman"/>
        <w:b/>
        <w:color w:val="C00000"/>
      </w:rPr>
      <w:t>secretariat@nswp.org</w:t>
    </w:r>
    <w:r>
      <w:rPr>
        <w:rStyle w:val="Hyperlink"/>
        <w:rFonts w:ascii="Caecilia LT Std Roman" w:hAnsi="Caecilia LT Std Roman"/>
        <w:b/>
        <w:color w:val="C00000"/>
      </w:rPr>
      <w:fldChar w:fldCharType="end"/>
    </w:r>
    <w:r w:rsidRPr="00472079">
      <w:rPr>
        <w:rFonts w:ascii="Caecilia LT Std Roman" w:hAnsi="Caecilia LT Std Roman"/>
        <w:b/>
        <w:color w:val="C00000"/>
      </w:rPr>
      <w:t xml:space="preserve">  </w:t>
    </w:r>
    <w:r w:rsidRPr="00472079">
      <w:rPr>
        <w:rFonts w:ascii="Caecilia LT Std Roman" w:hAnsi="Caecilia LT Std Roman"/>
      </w:rPr>
      <w:t>| +44 (0)131 553 2555 |</w:t>
    </w:r>
    <w:r w:rsidRPr="00472079">
      <w:rPr>
        <w:rFonts w:ascii="Caecilia LT Std Roman" w:hAnsi="Caecilia LT Std Roman"/>
        <w:b/>
      </w:rPr>
      <w:t xml:space="preserve">  </w:t>
    </w:r>
    <w:hyperlink r:id="rId1" w:history="1">
      <w:r w:rsidRPr="00472079">
        <w:rPr>
          <w:rStyle w:val="Hyperlink"/>
          <w:rFonts w:ascii="Caecilia LT Std Roman" w:hAnsi="Caecilia LT Std Roman"/>
          <w:b/>
          <w:color w:val="C00000"/>
        </w:rPr>
        <w:t>www.nswp.org</w:t>
      </w:r>
    </w:hyperlink>
  </w:p>
  <w:bookmarkEnd w:id="0"/>
  <w:p w14:paraId="33F25845" w14:textId="77777777" w:rsidR="0015715A" w:rsidRPr="00472079" w:rsidRDefault="0015715A" w:rsidP="00F55999">
    <w:pPr>
      <w:pStyle w:val="Footer"/>
      <w:tabs>
        <w:tab w:val="right" w:pos="7834"/>
      </w:tabs>
      <w:spacing w:after="0"/>
      <w:ind w:left="-1134" w:right="-6"/>
      <w:jc w:val="center"/>
      <w:rPr>
        <w:rFonts w:ascii="Caecilia LT Std Roman" w:hAnsi="Caecilia LT Std Roman"/>
        <w:sz w:val="18"/>
        <w:szCs w:val="18"/>
      </w:rPr>
    </w:pPr>
    <w:r w:rsidRPr="00472079">
      <w:rPr>
        <w:rFonts w:ascii="Caecilia LT Std Roman" w:hAnsi="Caecilia LT Std Roman"/>
        <w:sz w:val="18"/>
        <w:szCs w:val="18"/>
      </w:rPr>
      <w:t>NSWP is a private not-for-profit limited company. Company No. SC349355</w:t>
    </w:r>
  </w:p>
  <w:p w14:paraId="733115CC" w14:textId="77777777" w:rsidR="0015715A" w:rsidRDefault="00157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7DBA" w14:textId="77777777" w:rsidR="00041A6F" w:rsidRDefault="00041A6F" w:rsidP="00C427FF">
      <w:pPr>
        <w:spacing w:after="0" w:line="240" w:lineRule="auto"/>
      </w:pPr>
      <w:r>
        <w:separator/>
      </w:r>
    </w:p>
  </w:footnote>
  <w:footnote w:type="continuationSeparator" w:id="0">
    <w:p w14:paraId="73987C0B" w14:textId="77777777" w:rsidR="00041A6F" w:rsidRDefault="00041A6F" w:rsidP="00C427FF">
      <w:pPr>
        <w:spacing w:after="0" w:line="240" w:lineRule="auto"/>
      </w:pPr>
      <w:r>
        <w:continuationSeparator/>
      </w:r>
    </w:p>
  </w:footnote>
  <w:footnote w:id="1">
    <w:p w14:paraId="6F55B003" w14:textId="77777777" w:rsidR="00D04274" w:rsidRPr="00FF0B5A" w:rsidRDefault="00D04274" w:rsidP="00D04274">
      <w:pPr>
        <w:pStyle w:val="FootnoteText"/>
        <w:rPr>
          <w:rFonts w:ascii="Tw Cen MT" w:hAnsi="Tw Cen MT"/>
          <w:sz w:val="18"/>
          <w:szCs w:val="18"/>
          <w:lang w:val="en-US"/>
        </w:rPr>
      </w:pPr>
      <w:r w:rsidRPr="00FF0B5A">
        <w:rPr>
          <w:rStyle w:val="FootnoteReference"/>
          <w:rFonts w:ascii="Tw Cen MT" w:hAnsi="Tw Cen MT"/>
        </w:rPr>
        <w:footnoteRef/>
      </w:r>
      <w:r w:rsidRPr="00FF0B5A">
        <w:rPr>
          <w:rFonts w:ascii="Tw Cen MT" w:hAnsi="Tw Cen MT"/>
        </w:rPr>
        <w:t xml:space="preserve"> NSWP, 2022, “</w:t>
      </w:r>
      <w:hyperlink r:id="rId1" w:history="1">
        <w:r w:rsidRPr="00FF0B5A">
          <w:rPr>
            <w:rStyle w:val="Hyperlink"/>
            <w:rFonts w:ascii="Tw Cen MT" w:hAnsi="Tw Cen MT"/>
          </w:rPr>
          <w:t>How Sex Work Laws are Implemented on the Ground and Their Impact on Sex Workers: South Africa Case Study</w:t>
        </w:r>
      </w:hyperlink>
      <w:r w:rsidRPr="00FF0B5A">
        <w:rPr>
          <w:rFonts w:ascii="Tw Cen MT" w:hAnsi="Tw Cen MT"/>
        </w:rPr>
        <w:t>.”</w:t>
      </w:r>
    </w:p>
  </w:footnote>
  <w:footnote w:id="2">
    <w:p w14:paraId="257FDDA1" w14:textId="0F115AE7" w:rsidR="003535F8" w:rsidRPr="00FF0B5A" w:rsidRDefault="003535F8">
      <w:pPr>
        <w:pStyle w:val="FootnoteText"/>
        <w:rPr>
          <w:rFonts w:ascii="Tw Cen MT" w:hAnsi="Tw Cen MT"/>
        </w:rPr>
      </w:pPr>
      <w:r w:rsidRPr="00FF0B5A">
        <w:rPr>
          <w:rStyle w:val="FootnoteReference"/>
          <w:rFonts w:ascii="Tw Cen MT" w:hAnsi="Tw Cen MT"/>
        </w:rPr>
        <w:footnoteRef/>
      </w:r>
      <w:r w:rsidRPr="00FF0B5A">
        <w:rPr>
          <w:rFonts w:ascii="Tw Cen MT" w:hAnsi="Tw Cen MT"/>
        </w:rPr>
        <w:t xml:space="preserve"> NSWP, 2020, “</w:t>
      </w:r>
      <w:hyperlink r:id="rId2" w:history="1">
        <w:r w:rsidRPr="00FF0B5A">
          <w:rPr>
            <w:rStyle w:val="Hyperlink"/>
            <w:rFonts w:ascii="Tw Cen MT" w:hAnsi="Tw Cen MT"/>
          </w:rPr>
          <w:t>Sex Workers’ Lack of Access to Justice</w:t>
        </w:r>
      </w:hyperlink>
      <w:r w:rsidRPr="00FF0B5A">
        <w:rPr>
          <w:rFonts w:ascii="Tw Cen MT" w:hAnsi="Tw Cen MT"/>
        </w:rPr>
        <w:t>.”</w:t>
      </w:r>
    </w:p>
  </w:footnote>
  <w:footnote w:id="3">
    <w:p w14:paraId="1C5F363B" w14:textId="127330C8" w:rsidR="003E0D62" w:rsidRPr="00FF0B5A" w:rsidRDefault="003E0D62">
      <w:pPr>
        <w:pStyle w:val="FootnoteText"/>
        <w:rPr>
          <w:rFonts w:ascii="Tw Cen MT" w:hAnsi="Tw Cen MT"/>
        </w:rPr>
      </w:pPr>
      <w:r w:rsidRPr="00FF0B5A">
        <w:rPr>
          <w:rStyle w:val="FootnoteReference"/>
          <w:rFonts w:ascii="Tw Cen MT" w:hAnsi="Tw Cen MT"/>
        </w:rPr>
        <w:footnoteRef/>
      </w:r>
      <w:r w:rsidRPr="00FF0B5A">
        <w:rPr>
          <w:rFonts w:ascii="Tw Cen MT" w:hAnsi="Tw Cen MT"/>
        </w:rPr>
        <w:t xml:space="preserve"> UNAIDS, 2020, “</w:t>
      </w:r>
      <w:hyperlink r:id="rId3" w:history="1">
        <w:r w:rsidRPr="00FF0B5A">
          <w:rPr>
            <w:rStyle w:val="Hyperlink"/>
            <w:rFonts w:ascii="Tw Cen MT" w:hAnsi="Tw Cen MT"/>
          </w:rPr>
          <w:t>Rights in a pandemic – Lockdowns, rights and lessons from HIV in the early response to</w:t>
        </w:r>
        <w:r w:rsidR="00013CD0" w:rsidRPr="00FF0B5A">
          <w:rPr>
            <w:rStyle w:val="Hyperlink"/>
            <w:rFonts w:ascii="Tw Cen MT" w:hAnsi="Tw Cen MT"/>
          </w:rPr>
          <w:t xml:space="preserve"> </w:t>
        </w:r>
        <w:r w:rsidRPr="00FF0B5A">
          <w:rPr>
            <w:rStyle w:val="Hyperlink"/>
            <w:rFonts w:ascii="Tw Cen MT" w:hAnsi="Tw Cen MT"/>
          </w:rPr>
          <w:t>COVID-19</w:t>
        </w:r>
      </w:hyperlink>
      <w:r w:rsidRPr="00FF0B5A">
        <w:rPr>
          <w:rFonts w:ascii="Tw Cen MT" w:hAnsi="Tw Cen MT"/>
        </w:rPr>
        <w:t>.”</w:t>
      </w:r>
    </w:p>
  </w:footnote>
  <w:footnote w:id="4">
    <w:p w14:paraId="2A2626BB" w14:textId="092E8D59" w:rsidR="00F4658E" w:rsidRPr="00F4658E" w:rsidRDefault="00F4658E">
      <w:pPr>
        <w:pStyle w:val="FootnoteText"/>
        <w:rPr>
          <w:rFonts w:ascii="Tw Cen MT" w:hAnsi="Tw Cen MT"/>
        </w:rPr>
      </w:pPr>
      <w:r w:rsidRPr="00F4658E">
        <w:rPr>
          <w:rStyle w:val="FootnoteReference"/>
          <w:rFonts w:ascii="Tw Cen MT" w:hAnsi="Tw Cen MT"/>
        </w:rPr>
        <w:footnoteRef/>
      </w:r>
      <w:r w:rsidRPr="00F4658E">
        <w:rPr>
          <w:rFonts w:ascii="Tw Cen MT" w:hAnsi="Tw Cen MT"/>
        </w:rPr>
        <w:t xml:space="preserve"> NSWP, 2017, “</w:t>
      </w:r>
      <w:hyperlink r:id="rId4" w:history="1">
        <w:r w:rsidRPr="00F4658E">
          <w:rPr>
            <w:rStyle w:val="Hyperlink"/>
            <w:rFonts w:ascii="Tw Cen MT" w:hAnsi="Tw Cen MT"/>
          </w:rPr>
          <w:t>The Impact of Criminalisation on Sex Workers’ Vulnerability to HIV and Violence</w:t>
        </w:r>
      </w:hyperlink>
      <w:r w:rsidRPr="00F4658E">
        <w:rPr>
          <w:rFonts w:ascii="Tw Cen MT" w:hAnsi="Tw Cen MT"/>
        </w:rPr>
        <w:t>.”</w:t>
      </w:r>
    </w:p>
  </w:footnote>
  <w:footnote w:id="5">
    <w:p w14:paraId="17FF1BDD" w14:textId="2AAAF42D" w:rsidR="00057489" w:rsidRPr="00FF0B5A" w:rsidRDefault="00057489">
      <w:pPr>
        <w:pStyle w:val="FootnoteText"/>
        <w:rPr>
          <w:rFonts w:ascii="Tw Cen MT" w:hAnsi="Tw Cen MT"/>
        </w:rPr>
      </w:pPr>
      <w:r w:rsidRPr="00FF0B5A">
        <w:rPr>
          <w:rStyle w:val="FootnoteReference"/>
          <w:rFonts w:ascii="Tw Cen MT" w:hAnsi="Tw Cen MT"/>
        </w:rPr>
        <w:footnoteRef/>
      </w:r>
      <w:r w:rsidRPr="00FF0B5A">
        <w:rPr>
          <w:rFonts w:ascii="Tw Cen MT" w:hAnsi="Tw Cen MT"/>
        </w:rPr>
        <w:t xml:space="preserve"> NSWP, 2020, “</w:t>
      </w:r>
      <w:hyperlink r:id="rId5" w:history="1">
        <w:r w:rsidRPr="00FF0B5A">
          <w:rPr>
            <w:rStyle w:val="Hyperlink"/>
            <w:rFonts w:ascii="Tw Cen MT" w:hAnsi="Tw Cen MT"/>
          </w:rPr>
          <w:t>Sex Workers’ Lack of Access to Justice</w:t>
        </w:r>
      </w:hyperlink>
      <w:r w:rsidRPr="00FF0B5A">
        <w:rPr>
          <w:rFonts w:ascii="Tw Cen MT" w:hAnsi="Tw Cen MT"/>
        </w:rPr>
        <w:t>.”</w:t>
      </w:r>
    </w:p>
  </w:footnote>
  <w:footnote w:id="6">
    <w:p w14:paraId="687AA076" w14:textId="3286365A" w:rsidR="00D34CDE" w:rsidRPr="00D34CDE" w:rsidRDefault="00D34CDE">
      <w:pPr>
        <w:pStyle w:val="FootnoteText"/>
        <w:rPr>
          <w:rFonts w:ascii="Tw Cen MT" w:hAnsi="Tw Cen MT"/>
        </w:rPr>
      </w:pPr>
      <w:r w:rsidRPr="00D34CDE">
        <w:rPr>
          <w:rStyle w:val="FootnoteReference"/>
          <w:rFonts w:ascii="Tw Cen MT" w:hAnsi="Tw Cen MT"/>
        </w:rPr>
        <w:footnoteRef/>
      </w:r>
      <w:r w:rsidRPr="00D34CDE">
        <w:rPr>
          <w:rFonts w:ascii="Tw Cen MT" w:hAnsi="Tw Cen MT"/>
        </w:rPr>
        <w:t xml:space="preserve"> Response from NSWP e-consultation on the Right to Housing and the Unmet Needs of Sex Workers</w:t>
      </w:r>
      <w:r w:rsidR="00F4658E">
        <w:rPr>
          <w:rFonts w:ascii="Tw Cen MT" w:hAnsi="Tw Cen MT"/>
        </w:rPr>
        <w:t>.</w:t>
      </w:r>
    </w:p>
  </w:footnote>
  <w:footnote w:id="7">
    <w:p w14:paraId="38C3CD46" w14:textId="473FF9D1" w:rsidR="4025A54E" w:rsidRDefault="4025A54E" w:rsidP="4025A54E">
      <w:pPr>
        <w:pStyle w:val="FootnoteText"/>
      </w:pPr>
      <w:r w:rsidRPr="4025A54E">
        <w:rPr>
          <w:rStyle w:val="FootnoteReference"/>
        </w:rPr>
        <w:footnoteRef/>
      </w:r>
      <w:r>
        <w:t xml:space="preserve"> </w:t>
      </w:r>
      <w:r w:rsidRPr="4025A54E">
        <w:rPr>
          <w:rFonts w:ascii="Tw Cen MT" w:eastAsia="Tw Cen MT" w:hAnsi="Tw Cen MT" w:cs="Tw Cen MT"/>
        </w:rPr>
        <w:t xml:space="preserve">The Government of the State of New South Wales, Australia, </w:t>
      </w:r>
      <w:hyperlink r:id="rId6">
        <w:r w:rsidRPr="4025A54E">
          <w:rPr>
            <w:rStyle w:val="Hyperlink"/>
            <w:rFonts w:ascii="Tw Cen MT" w:eastAsia="Tw Cen MT" w:hAnsi="Tw Cen MT" w:cs="Tw Cen MT"/>
          </w:rPr>
          <w:t>”Royal Commission into the NSW Police Service“</w:t>
        </w:r>
      </w:hyperlink>
      <w:r w:rsidRPr="4025A54E">
        <w:rPr>
          <w:rFonts w:ascii="Tw Cen MT" w:eastAsia="Tw Cen MT" w:hAnsi="Tw Cen MT" w:cs="Tw Cen MT"/>
        </w:rPr>
        <w:t xml:space="preserve"> 15th May 1997. paras1.39-1.40</w:t>
      </w:r>
      <w:r w:rsidRPr="4025A54E">
        <w:t xml:space="preserve"> </w:t>
      </w:r>
    </w:p>
  </w:footnote>
  <w:footnote w:id="8">
    <w:p w14:paraId="09CA6FD5" w14:textId="2C1B8041" w:rsidR="4025A54E" w:rsidRDefault="4025A54E" w:rsidP="4025A54E">
      <w:pPr>
        <w:pStyle w:val="FootnoteText"/>
      </w:pPr>
      <w:r w:rsidRPr="4025A54E">
        <w:rPr>
          <w:rStyle w:val="FootnoteReference"/>
        </w:rPr>
        <w:footnoteRef/>
      </w:r>
      <w:r w:rsidRPr="4025A54E">
        <w:rPr>
          <w:rFonts w:ascii="Tw Cen MT" w:eastAsia="Tw Cen MT" w:hAnsi="Tw Cen MT" w:cs="Tw Cen MT"/>
        </w:rPr>
        <w:t xml:space="preserve"> Donovan, B., Harcourt, C., Egger, S., </w:t>
      </w:r>
      <w:proofErr w:type="spellStart"/>
      <w:r w:rsidRPr="4025A54E">
        <w:rPr>
          <w:rFonts w:ascii="Tw Cen MT" w:eastAsia="Tw Cen MT" w:hAnsi="Tw Cen MT" w:cs="Tw Cen MT"/>
        </w:rPr>
        <w:t>Watchirs</w:t>
      </w:r>
      <w:proofErr w:type="spellEnd"/>
      <w:r w:rsidRPr="4025A54E">
        <w:rPr>
          <w:rFonts w:ascii="Tw Cen MT" w:eastAsia="Tw Cen MT" w:hAnsi="Tw Cen MT" w:cs="Tw Cen MT"/>
        </w:rPr>
        <w:t xml:space="preserve"> Smith, L., Schneider, K., Kaldor, J.M., Chen, M.Y., Fairley, C.K., Tabrizi, S., 2012. </w:t>
      </w:r>
      <w:hyperlink r:id="rId7">
        <w:r w:rsidRPr="4025A54E">
          <w:rPr>
            <w:rStyle w:val="Hyperlink"/>
            <w:rFonts w:ascii="Tw Cen MT" w:eastAsia="Tw Cen MT" w:hAnsi="Tw Cen MT" w:cs="Tw Cen MT"/>
          </w:rPr>
          <w:t>”The Sex Industry in New South Wales: a Report to the NSW Ministry of Health.“</w:t>
        </w:r>
      </w:hyperlink>
      <w:r w:rsidRPr="4025A54E">
        <w:rPr>
          <w:rFonts w:ascii="Tw Cen MT" w:eastAsia="Tw Cen MT" w:hAnsi="Tw Cen MT" w:cs="Tw Cen MT"/>
        </w:rPr>
        <w:t xml:space="preserve"> Kirby Institute, University of New South Wales.</w:t>
      </w:r>
    </w:p>
  </w:footnote>
  <w:footnote w:id="9">
    <w:p w14:paraId="66F706E1" w14:textId="4C7FA6DB" w:rsidR="4025A54E" w:rsidRDefault="4025A54E" w:rsidP="4025A54E">
      <w:pPr>
        <w:pStyle w:val="FootnoteText"/>
        <w:rPr>
          <w:rFonts w:ascii="Tw Cen MT" w:eastAsia="Tw Cen MT" w:hAnsi="Tw Cen MT" w:cs="Tw Cen MT"/>
        </w:rPr>
      </w:pPr>
      <w:r w:rsidRPr="4025A54E">
        <w:rPr>
          <w:rStyle w:val="FootnoteReference"/>
        </w:rPr>
        <w:footnoteRef/>
      </w:r>
      <w:r>
        <w:t xml:space="preserve"> </w:t>
      </w:r>
      <w:r w:rsidRPr="4025A54E">
        <w:rPr>
          <w:rFonts w:ascii="Tw Cen MT" w:eastAsia="Tw Cen MT" w:hAnsi="Tw Cen MT" w:cs="Tw Cen MT"/>
        </w:rPr>
        <w:t xml:space="preserve">Donovan, B., Harcourt, C., Egger, S., Fairley, </w:t>
      </w:r>
      <w:proofErr w:type="spellStart"/>
      <w:r w:rsidRPr="4025A54E">
        <w:rPr>
          <w:rFonts w:ascii="Tw Cen MT" w:eastAsia="Tw Cen MT" w:hAnsi="Tw Cen MT" w:cs="Tw Cen MT"/>
        </w:rPr>
        <w:t>C.K.</w:t>
      </w:r>
      <w:hyperlink r:id="rId8">
        <w:r w:rsidRPr="4025A54E">
          <w:rPr>
            <w:rStyle w:val="Hyperlink"/>
            <w:rFonts w:ascii="Tw Cen MT" w:eastAsia="Tw Cen MT" w:hAnsi="Tw Cen MT" w:cs="Tw Cen MT"/>
          </w:rPr>
          <w:t>”Improving</w:t>
        </w:r>
        <w:proofErr w:type="spellEnd"/>
        <w:r w:rsidRPr="4025A54E">
          <w:rPr>
            <w:rStyle w:val="Hyperlink"/>
            <w:rFonts w:ascii="Tw Cen MT" w:eastAsia="Tw Cen MT" w:hAnsi="Tw Cen MT" w:cs="Tw Cen MT"/>
          </w:rPr>
          <w:t xml:space="preserve"> the Health of Sex Workers in NSW: Maintaining Successes.”</w:t>
        </w:r>
      </w:hyperlink>
      <w:r w:rsidRPr="4025A54E">
        <w:rPr>
          <w:rFonts w:ascii="Tw Cen MT" w:eastAsia="Tw Cen MT" w:hAnsi="Tw Cen MT" w:cs="Tw Cen MT"/>
        </w:rPr>
        <w:t xml:space="preserve"> Vol. 21(3–4) 2010 NSW Public Health Bulletin</w:t>
      </w:r>
    </w:p>
  </w:footnote>
  <w:footnote w:id="10">
    <w:p w14:paraId="1FB813AE" w14:textId="77777777" w:rsidR="00EF5102" w:rsidRPr="00FF0B5A" w:rsidRDefault="00EF5102" w:rsidP="00EF5102">
      <w:pPr>
        <w:pStyle w:val="FootnoteText"/>
        <w:rPr>
          <w:rFonts w:ascii="Tw Cen MT" w:hAnsi="Tw Cen MT"/>
        </w:rPr>
      </w:pPr>
      <w:r w:rsidRPr="00FF0B5A">
        <w:rPr>
          <w:rStyle w:val="FootnoteReference"/>
          <w:rFonts w:ascii="Tw Cen MT" w:hAnsi="Tw Cen MT"/>
        </w:rPr>
        <w:footnoteRef/>
      </w:r>
      <w:r w:rsidRPr="00FF0B5A">
        <w:rPr>
          <w:rFonts w:ascii="Tw Cen MT" w:hAnsi="Tw Cen MT"/>
        </w:rPr>
        <w:t xml:space="preserve"> Gillian Abel, “</w:t>
      </w:r>
      <w:hyperlink r:id="rId9" w:history="1">
        <w:r w:rsidRPr="00FF0B5A">
          <w:rPr>
            <w:rStyle w:val="Hyperlink"/>
            <w:rFonts w:ascii="Tw Cen MT" w:hAnsi="Tw Cen MT"/>
          </w:rPr>
          <w:t>A decade of decriminalization: Sex work ‘down under’ but not underground</w:t>
        </w:r>
      </w:hyperlink>
      <w:r w:rsidRPr="00FF0B5A">
        <w:rPr>
          <w:rFonts w:ascii="Tw Cen MT" w:hAnsi="Tw Cen MT"/>
        </w:rPr>
        <w:t xml:space="preserve">,” </w:t>
      </w:r>
      <w:r w:rsidRPr="00FF0B5A">
        <w:rPr>
          <w:rFonts w:ascii="Tw Cen MT" w:hAnsi="Tw Cen MT"/>
          <w:i/>
          <w:iCs/>
        </w:rPr>
        <w:t>Criminology and Criminal Justice</w:t>
      </w:r>
      <w:r w:rsidRPr="00FF0B5A">
        <w:rPr>
          <w:rFonts w:ascii="Tw Cen MT" w:hAnsi="Tw Cen MT"/>
        </w:rPr>
        <w:t xml:space="preserve"> 15(5) (2014), 580-592.</w:t>
      </w:r>
    </w:p>
  </w:footnote>
  <w:footnote w:id="11">
    <w:p w14:paraId="6389E631" w14:textId="08B68589" w:rsidR="00B61A37" w:rsidRPr="00FF0B5A" w:rsidRDefault="00B61A37" w:rsidP="00B61A37">
      <w:pPr>
        <w:pStyle w:val="FootnoteText"/>
        <w:rPr>
          <w:rFonts w:ascii="Tw Cen MT" w:hAnsi="Tw Cen MT"/>
          <w:lang w:val="en-US"/>
        </w:rPr>
      </w:pPr>
      <w:r w:rsidRPr="00FF0B5A">
        <w:rPr>
          <w:rStyle w:val="FootnoteReference"/>
          <w:rFonts w:ascii="Tw Cen MT" w:hAnsi="Tw Cen MT"/>
        </w:rPr>
        <w:footnoteRef/>
      </w:r>
      <w:r w:rsidR="0056345B" w:rsidRPr="00FF0B5A">
        <w:rPr>
          <w:rFonts w:ascii="Tw Cen MT" w:hAnsi="Tw Cen MT"/>
        </w:rPr>
        <w:t xml:space="preserve"> Lynzie Armstrong, “</w:t>
      </w:r>
      <w:hyperlink r:id="rId10" w:anchor=":~:text=While%20decriminalisattion%20is%20not%20a,choose%20to%20engage%20in%20i" w:history="1">
        <w:r w:rsidR="0056345B" w:rsidRPr="00FF0B5A">
          <w:rPr>
            <w:rStyle w:val="Hyperlink"/>
            <w:rFonts w:ascii="Tw Cen MT" w:hAnsi="Tw Cen MT"/>
          </w:rPr>
          <w:t>’I can lead the life that I want to lead’: Social harm, human needs and the decriminalisation of sex work in Aotearoa/New Zealand</w:t>
        </w:r>
      </w:hyperlink>
      <w:r w:rsidR="0056345B" w:rsidRPr="00FF0B5A">
        <w:rPr>
          <w:rFonts w:ascii="Tw Cen MT" w:hAnsi="Tw Cen MT"/>
        </w:rPr>
        <w:t xml:space="preserve">,” </w:t>
      </w:r>
      <w:r w:rsidR="0056345B" w:rsidRPr="00FF0B5A">
        <w:rPr>
          <w:rFonts w:ascii="Tw Cen MT" w:hAnsi="Tw Cen MT"/>
          <w:i/>
          <w:iCs/>
        </w:rPr>
        <w:t>Sexuality Research and Social Policy</w:t>
      </w:r>
      <w:r w:rsidR="0056345B" w:rsidRPr="00FF0B5A">
        <w:rPr>
          <w:rFonts w:ascii="Tw Cen MT" w:hAnsi="Tw Cen MT"/>
        </w:rPr>
        <w:t xml:space="preserve"> 18 (2021), 941-951</w:t>
      </w:r>
      <w:r w:rsidRPr="00FF0B5A">
        <w:rPr>
          <w:rFonts w:ascii="Tw Cen MT" w:hAnsi="Tw Cen MT"/>
        </w:rPr>
        <w:t>.</w:t>
      </w:r>
    </w:p>
  </w:footnote>
  <w:footnote w:id="12">
    <w:p w14:paraId="29611001" w14:textId="034B0525" w:rsidR="00460245" w:rsidRPr="00FF0B5A" w:rsidRDefault="00460245">
      <w:pPr>
        <w:pStyle w:val="FootnoteText"/>
        <w:rPr>
          <w:rFonts w:ascii="Tw Cen MT" w:hAnsi="Tw Cen MT"/>
          <w:lang w:val="en-US"/>
        </w:rPr>
      </w:pPr>
      <w:r w:rsidRPr="00FF0B5A">
        <w:rPr>
          <w:rStyle w:val="FootnoteReference"/>
          <w:rFonts w:ascii="Tw Cen MT" w:hAnsi="Tw Cen MT"/>
        </w:rPr>
        <w:footnoteRef/>
      </w:r>
      <w:r w:rsidRPr="00FF0B5A">
        <w:rPr>
          <w:rFonts w:ascii="Tw Cen MT" w:hAnsi="Tw Cen MT"/>
        </w:rPr>
        <w:t xml:space="preserve"> Anna Louie Sussman, “‘</w:t>
      </w:r>
      <w:hyperlink r:id="rId11" w:history="1">
        <w:r w:rsidRPr="00FF0B5A">
          <w:rPr>
            <w:rStyle w:val="Hyperlink"/>
            <w:rFonts w:ascii="Tw Cen MT" w:hAnsi="Tw Cen MT"/>
          </w:rPr>
          <w:t>Don’t have to fight for pennies’: New Zealand safety net helps sex workers in lockdown</w:t>
        </w:r>
      </w:hyperlink>
      <w:r w:rsidRPr="00FF0B5A">
        <w:rPr>
          <w:rFonts w:ascii="Tw Cen MT" w:hAnsi="Tw Cen MT"/>
        </w:rPr>
        <w:t xml:space="preserve">,” The Guardian, 28 April 2020. </w:t>
      </w:r>
    </w:p>
  </w:footnote>
  <w:footnote w:id="13">
    <w:p w14:paraId="12F28514" w14:textId="6F3B10CC" w:rsidR="00EB18FC" w:rsidRPr="00FF0B5A" w:rsidRDefault="00EB18FC">
      <w:pPr>
        <w:pStyle w:val="FootnoteText"/>
        <w:rPr>
          <w:rFonts w:ascii="Tw Cen MT" w:hAnsi="Tw Cen MT"/>
          <w:lang w:val="en-US"/>
        </w:rPr>
      </w:pPr>
      <w:r w:rsidRPr="00FF0B5A">
        <w:rPr>
          <w:rStyle w:val="FootnoteReference"/>
          <w:rFonts w:ascii="Tw Cen MT" w:hAnsi="Tw Cen MT"/>
        </w:rPr>
        <w:footnoteRef/>
      </w:r>
      <w:r w:rsidRPr="00FF0B5A">
        <w:rPr>
          <w:rFonts w:ascii="Tw Cen MT" w:hAnsi="Tw Cen MT"/>
        </w:rPr>
        <w:t xml:space="preserve"> </w:t>
      </w:r>
      <w:r w:rsidRPr="00FF0B5A">
        <w:rPr>
          <w:rFonts w:ascii="Tw Cen MT" w:hAnsi="Tw Cen MT"/>
          <w:lang w:val="en-US"/>
        </w:rPr>
        <w:t>NSWP, 201</w:t>
      </w:r>
      <w:r w:rsidR="00013CD0" w:rsidRPr="00FF0B5A">
        <w:rPr>
          <w:rFonts w:ascii="Tw Cen MT" w:hAnsi="Tw Cen MT"/>
          <w:lang w:val="en-US"/>
        </w:rPr>
        <w:t>8</w:t>
      </w:r>
      <w:r w:rsidRPr="00FF0B5A">
        <w:rPr>
          <w:rFonts w:ascii="Tw Cen MT" w:hAnsi="Tw Cen MT"/>
          <w:lang w:val="en-US"/>
        </w:rPr>
        <w:t>, “</w:t>
      </w:r>
      <w:hyperlink r:id="rId12" w:history="1">
        <w:r w:rsidRPr="00FF0B5A">
          <w:rPr>
            <w:rStyle w:val="Hyperlink"/>
            <w:rFonts w:ascii="Tw Cen MT" w:hAnsi="Tw Cen MT"/>
            <w:lang w:val="en-US"/>
          </w:rPr>
          <w:t>Smart Guide</w:t>
        </w:r>
        <w:r w:rsidR="00013CD0" w:rsidRPr="00FF0B5A">
          <w:rPr>
            <w:rStyle w:val="Hyperlink"/>
            <w:rFonts w:ascii="Tw Cen MT" w:hAnsi="Tw Cen MT"/>
            <w:lang w:val="en-US"/>
          </w:rPr>
          <w:t xml:space="preserve">: </w:t>
        </w:r>
        <w:r w:rsidRPr="00FF0B5A">
          <w:rPr>
            <w:rStyle w:val="Hyperlink"/>
            <w:rFonts w:ascii="Tw Cen MT" w:hAnsi="Tw Cen MT"/>
            <w:lang w:val="en-US"/>
          </w:rPr>
          <w:t>Advocacy Tool</w:t>
        </w:r>
        <w:r w:rsidR="00013CD0" w:rsidRPr="00FF0B5A">
          <w:rPr>
            <w:rStyle w:val="Hyperlink"/>
            <w:rFonts w:ascii="Tw Cen MT" w:hAnsi="Tw Cen MT"/>
            <w:lang w:val="en-US"/>
          </w:rPr>
          <w:t>s and Resources</w:t>
        </w:r>
        <w:r w:rsidRPr="00FF0B5A">
          <w:rPr>
            <w:rStyle w:val="Hyperlink"/>
            <w:rFonts w:ascii="Tw Cen MT" w:hAnsi="Tw Cen MT"/>
            <w:lang w:val="en-US"/>
          </w:rPr>
          <w:t xml:space="preserve"> Used</w:t>
        </w:r>
        <w:r w:rsidR="00013CD0" w:rsidRPr="00FF0B5A">
          <w:rPr>
            <w:rStyle w:val="Hyperlink"/>
            <w:rFonts w:ascii="Tw Cen MT" w:hAnsi="Tw Cen MT"/>
            <w:lang w:val="en-US"/>
          </w:rPr>
          <w:t xml:space="preserve"> by Sex Worker-led </w:t>
        </w:r>
        <w:proofErr w:type="spellStart"/>
        <w:r w:rsidR="00013CD0" w:rsidRPr="00FF0B5A">
          <w:rPr>
            <w:rStyle w:val="Hyperlink"/>
            <w:rFonts w:ascii="Tw Cen MT" w:hAnsi="Tw Cen MT"/>
            <w:lang w:val="en-US"/>
          </w:rPr>
          <w:t>Organisations</w:t>
        </w:r>
        <w:proofErr w:type="spellEnd"/>
        <w:r w:rsidRPr="00FF0B5A">
          <w:rPr>
            <w:rStyle w:val="Hyperlink"/>
            <w:rFonts w:ascii="Tw Cen MT" w:hAnsi="Tw Cen MT"/>
            <w:lang w:val="en-US"/>
          </w:rPr>
          <w:t xml:space="preserve"> to Combat Violence</w:t>
        </w:r>
      </w:hyperlink>
      <w:r w:rsidRPr="00FF0B5A">
        <w:rPr>
          <w:rFonts w:ascii="Tw Cen MT" w:hAnsi="Tw Cen MT"/>
          <w:lang w:val="en-US"/>
        </w:rPr>
        <w:t>.”</w:t>
      </w:r>
    </w:p>
  </w:footnote>
  <w:footnote w:id="14">
    <w:p w14:paraId="7138EF01" w14:textId="7FEC0A70" w:rsidR="00BA60EE" w:rsidRPr="00FF0B5A" w:rsidRDefault="00BA60EE">
      <w:pPr>
        <w:pStyle w:val="FootnoteText"/>
        <w:rPr>
          <w:rFonts w:ascii="Tw Cen MT" w:hAnsi="Tw Cen MT"/>
          <w:lang w:val="en-US"/>
        </w:rPr>
      </w:pPr>
      <w:r w:rsidRPr="00FF0B5A">
        <w:rPr>
          <w:rStyle w:val="FootnoteReference"/>
          <w:rFonts w:ascii="Tw Cen MT" w:hAnsi="Tw Cen MT"/>
        </w:rPr>
        <w:footnoteRef/>
      </w:r>
      <w:r w:rsidRPr="00FF0B5A">
        <w:rPr>
          <w:rFonts w:ascii="Tw Cen MT" w:hAnsi="Tw Cen MT"/>
        </w:rPr>
        <w:t xml:space="preserve"> </w:t>
      </w:r>
      <w:r w:rsidR="00013CD0" w:rsidRPr="00FF0B5A">
        <w:rPr>
          <w:rFonts w:ascii="Tw Cen MT" w:hAnsi="Tw Cen MT"/>
          <w:lang w:val="en-US"/>
        </w:rPr>
        <w:t>Open Society Foundations</w:t>
      </w:r>
      <w:r w:rsidRPr="00FF0B5A">
        <w:rPr>
          <w:rFonts w:ascii="Tw Cen MT" w:hAnsi="Tw Cen MT"/>
          <w:lang w:val="en-US"/>
        </w:rPr>
        <w:t>, 2016, “</w:t>
      </w:r>
      <w:hyperlink r:id="rId13" w:history="1">
        <w:r w:rsidRPr="00FF0B5A">
          <w:rPr>
            <w:rStyle w:val="Hyperlink"/>
            <w:rFonts w:ascii="Tw Cen MT" w:hAnsi="Tw Cen MT"/>
            <w:lang w:val="en-US"/>
          </w:rPr>
          <w:t>No Turning Back</w:t>
        </w:r>
        <w:r w:rsidR="00013CD0" w:rsidRPr="00FF0B5A">
          <w:rPr>
            <w:rStyle w:val="Hyperlink"/>
            <w:rFonts w:ascii="Tw Cen MT" w:hAnsi="Tw Cen MT"/>
            <w:lang w:val="en-US"/>
          </w:rPr>
          <w:t>: Examining Sex Worker-Led Programs that Protect Health and Rights</w:t>
        </w:r>
      </w:hyperlink>
      <w:r w:rsidRPr="00FF0B5A">
        <w:rPr>
          <w:rFonts w:ascii="Tw Cen MT" w:hAnsi="Tw Cen MT"/>
          <w:lang w:val="en-US"/>
        </w:rPr>
        <w:t>.”</w:t>
      </w:r>
    </w:p>
  </w:footnote>
  <w:footnote w:id="15">
    <w:p w14:paraId="793A8150" w14:textId="25B4AAB5" w:rsidR="00EE7938" w:rsidRPr="00FF0B5A" w:rsidRDefault="00EE7938">
      <w:pPr>
        <w:pStyle w:val="FootnoteText"/>
        <w:rPr>
          <w:rFonts w:ascii="Tw Cen MT" w:hAnsi="Tw Cen MT"/>
          <w:lang w:val="en-US"/>
        </w:rPr>
      </w:pPr>
      <w:r w:rsidRPr="00FF0B5A">
        <w:rPr>
          <w:rStyle w:val="FootnoteReference"/>
          <w:rFonts w:ascii="Tw Cen MT" w:hAnsi="Tw Cen MT"/>
        </w:rPr>
        <w:footnoteRef/>
      </w:r>
      <w:r w:rsidRPr="00FF0B5A">
        <w:rPr>
          <w:rFonts w:ascii="Tw Cen MT" w:hAnsi="Tw Cen MT"/>
        </w:rPr>
        <w:t xml:space="preserve"> </w:t>
      </w:r>
      <w:r w:rsidRPr="00FF0B5A">
        <w:rPr>
          <w:rFonts w:ascii="Tw Cen MT" w:hAnsi="Tw Cen MT"/>
          <w:lang w:val="en-US"/>
        </w:rPr>
        <w:t>NSWP</w:t>
      </w:r>
      <w:r w:rsidR="00013CD0" w:rsidRPr="00FF0B5A">
        <w:rPr>
          <w:rFonts w:ascii="Tw Cen MT" w:hAnsi="Tw Cen MT"/>
          <w:lang w:val="en-US"/>
        </w:rPr>
        <w:t>, 2022, “</w:t>
      </w:r>
      <w:hyperlink r:id="rId14" w:history="1">
        <w:r w:rsidR="00013CD0" w:rsidRPr="00FF0B5A">
          <w:rPr>
            <w:rStyle w:val="Hyperlink"/>
            <w:rFonts w:ascii="Tw Cen MT" w:hAnsi="Tw Cen MT"/>
            <w:lang w:val="en-US"/>
          </w:rPr>
          <w:t>The Smart Sex Worker’s Guide to Social Protection</w:t>
        </w:r>
      </w:hyperlink>
      <w:r w:rsidR="00013CD0" w:rsidRPr="00FF0B5A">
        <w:rPr>
          <w:rFonts w:ascii="Tw Cen MT" w:hAnsi="Tw Cen MT"/>
          <w:lang w:val="en-US"/>
        </w:rPr>
        <w:t>.”</w:t>
      </w:r>
    </w:p>
  </w:footnote>
  <w:footnote w:id="16">
    <w:p w14:paraId="5D095327" w14:textId="41E9614B" w:rsidR="00C228B6" w:rsidRPr="00C151D5" w:rsidRDefault="00C228B6">
      <w:pPr>
        <w:pStyle w:val="FootnoteText"/>
        <w:rPr>
          <w:rFonts w:ascii="Tw Cen MT" w:hAnsi="Tw Cen MT"/>
          <w:lang w:val="en-US"/>
        </w:rPr>
      </w:pPr>
      <w:r w:rsidRPr="00C151D5">
        <w:rPr>
          <w:rStyle w:val="FootnoteReference"/>
          <w:rFonts w:ascii="Tw Cen MT" w:hAnsi="Tw Cen MT"/>
        </w:rPr>
        <w:footnoteRef/>
      </w:r>
      <w:r w:rsidRPr="00C151D5">
        <w:rPr>
          <w:rFonts w:ascii="Tw Cen MT" w:hAnsi="Tw Cen MT"/>
        </w:rPr>
        <w:t xml:space="preserve"> </w:t>
      </w:r>
      <w:r w:rsidRPr="00C151D5">
        <w:rPr>
          <w:rFonts w:ascii="Tw Cen MT" w:hAnsi="Tw Cen MT"/>
          <w:lang w:val="en-US"/>
        </w:rPr>
        <w:t>NSWP</w:t>
      </w:r>
      <w:r w:rsidR="00C151D5" w:rsidRPr="00C151D5">
        <w:rPr>
          <w:rFonts w:ascii="Tw Cen MT" w:hAnsi="Tw Cen MT"/>
          <w:lang w:val="en-US"/>
        </w:rPr>
        <w:t>, 2022, “</w:t>
      </w:r>
      <w:hyperlink r:id="rId15" w:history="1">
        <w:r w:rsidR="00C151D5" w:rsidRPr="00C151D5">
          <w:rPr>
            <w:rStyle w:val="Hyperlink"/>
            <w:rFonts w:ascii="Tw Cen MT" w:hAnsi="Tw Cen MT"/>
            <w:lang w:val="en-US"/>
          </w:rPr>
          <w:t>The Smart Sex Worker’s Guide to Community-led Responses to COVID-19</w:t>
        </w:r>
      </w:hyperlink>
      <w:r w:rsidR="00C151D5" w:rsidRPr="00C151D5">
        <w:rPr>
          <w:rFonts w:ascii="Tw Cen MT" w:hAnsi="Tw Cen MT"/>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B226" w14:textId="3D3B9CC4" w:rsidR="00037369" w:rsidRDefault="00FF5124">
    <w:pPr>
      <w:pStyle w:val="Header"/>
    </w:pPr>
    <w:r>
      <w:rPr>
        <w:noProof/>
        <w:lang w:eastAsia="en-GB"/>
      </w:rPr>
      <w:drawing>
        <wp:inline distT="0" distB="0" distL="0" distR="0" wp14:anchorId="08782EFF" wp14:editId="69A632CB">
          <wp:extent cx="3924300" cy="1689100"/>
          <wp:effectExtent l="0" t="0" r="0" b="0"/>
          <wp:docPr id="1" name="Picture 1" descr="NSWP LH Logo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SWP LH Logo 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168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4DC"/>
    <w:multiLevelType w:val="multilevel"/>
    <w:tmpl w:val="542EF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E3921"/>
    <w:multiLevelType w:val="hybridMultilevel"/>
    <w:tmpl w:val="B0EC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C3B9A"/>
    <w:multiLevelType w:val="hybridMultilevel"/>
    <w:tmpl w:val="A73EA88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0AF21A9A"/>
    <w:multiLevelType w:val="hybridMultilevel"/>
    <w:tmpl w:val="835E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41685"/>
    <w:multiLevelType w:val="hybridMultilevel"/>
    <w:tmpl w:val="4664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B6F76"/>
    <w:multiLevelType w:val="multilevel"/>
    <w:tmpl w:val="BEFC4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832B41"/>
    <w:multiLevelType w:val="multilevel"/>
    <w:tmpl w:val="2A881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BF2B81"/>
    <w:multiLevelType w:val="hybridMultilevel"/>
    <w:tmpl w:val="6C0E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14537"/>
    <w:multiLevelType w:val="multilevel"/>
    <w:tmpl w:val="090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780CE9"/>
    <w:multiLevelType w:val="hybridMultilevel"/>
    <w:tmpl w:val="0E88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F4893"/>
    <w:multiLevelType w:val="hybridMultilevel"/>
    <w:tmpl w:val="C29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1048D"/>
    <w:multiLevelType w:val="hybridMultilevel"/>
    <w:tmpl w:val="1DA473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AA2B7F"/>
    <w:multiLevelType w:val="hybridMultilevel"/>
    <w:tmpl w:val="9736611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C77FA"/>
    <w:multiLevelType w:val="multilevel"/>
    <w:tmpl w:val="FC84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65EE2"/>
    <w:multiLevelType w:val="hybridMultilevel"/>
    <w:tmpl w:val="0434804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3E103827"/>
    <w:multiLevelType w:val="multilevel"/>
    <w:tmpl w:val="2A881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A10144"/>
    <w:multiLevelType w:val="hybridMultilevel"/>
    <w:tmpl w:val="953C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D15C8"/>
    <w:multiLevelType w:val="hybridMultilevel"/>
    <w:tmpl w:val="82FE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831DB"/>
    <w:multiLevelType w:val="multilevel"/>
    <w:tmpl w:val="BA004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F4560AA"/>
    <w:multiLevelType w:val="multilevel"/>
    <w:tmpl w:val="64184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FBF1F79"/>
    <w:multiLevelType w:val="hybridMultilevel"/>
    <w:tmpl w:val="329A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372AF"/>
    <w:multiLevelType w:val="hybridMultilevel"/>
    <w:tmpl w:val="0546BB4C"/>
    <w:lvl w:ilvl="0" w:tplc="3A2AA5D2">
      <w:start w:val="1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D1D79"/>
    <w:multiLevelType w:val="hybridMultilevel"/>
    <w:tmpl w:val="3670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41AFC"/>
    <w:multiLevelType w:val="multilevel"/>
    <w:tmpl w:val="BDE8E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152C2D"/>
    <w:multiLevelType w:val="multilevel"/>
    <w:tmpl w:val="F098A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3665348"/>
    <w:multiLevelType w:val="multilevel"/>
    <w:tmpl w:val="7972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9267B2"/>
    <w:multiLevelType w:val="hybridMultilevel"/>
    <w:tmpl w:val="D52A29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1B6390"/>
    <w:multiLevelType w:val="hybridMultilevel"/>
    <w:tmpl w:val="8ADA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AC3433"/>
    <w:multiLevelType w:val="hybridMultilevel"/>
    <w:tmpl w:val="9984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876679"/>
    <w:multiLevelType w:val="hybridMultilevel"/>
    <w:tmpl w:val="0DA0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839964">
    <w:abstractNumId w:val="2"/>
  </w:num>
  <w:num w:numId="2" w16cid:durableId="1661228798">
    <w:abstractNumId w:val="27"/>
  </w:num>
  <w:num w:numId="3" w16cid:durableId="912737156">
    <w:abstractNumId w:val="9"/>
  </w:num>
  <w:num w:numId="4" w16cid:durableId="1884171352">
    <w:abstractNumId w:val="22"/>
  </w:num>
  <w:num w:numId="5" w16cid:durableId="156073739">
    <w:abstractNumId w:val="12"/>
  </w:num>
  <w:num w:numId="6" w16cid:durableId="384720903">
    <w:abstractNumId w:val="26"/>
  </w:num>
  <w:num w:numId="7" w16cid:durableId="2046712878">
    <w:abstractNumId w:val="3"/>
  </w:num>
  <w:num w:numId="8" w16cid:durableId="1945309773">
    <w:abstractNumId w:val="16"/>
  </w:num>
  <w:num w:numId="9" w16cid:durableId="1717462401">
    <w:abstractNumId w:val="1"/>
  </w:num>
  <w:num w:numId="10" w16cid:durableId="1326781563">
    <w:abstractNumId w:val="20"/>
  </w:num>
  <w:num w:numId="11" w16cid:durableId="1320380745">
    <w:abstractNumId w:val="10"/>
  </w:num>
  <w:num w:numId="12" w16cid:durableId="1581407996">
    <w:abstractNumId w:val="28"/>
  </w:num>
  <w:num w:numId="13" w16cid:durableId="2143771071">
    <w:abstractNumId w:val="5"/>
  </w:num>
  <w:num w:numId="14" w16cid:durableId="1330282057">
    <w:abstractNumId w:val="18"/>
  </w:num>
  <w:num w:numId="15" w16cid:durableId="1416586038">
    <w:abstractNumId w:val="24"/>
  </w:num>
  <w:num w:numId="16" w16cid:durableId="714935701">
    <w:abstractNumId w:val="19"/>
  </w:num>
  <w:num w:numId="17" w16cid:durableId="173421584">
    <w:abstractNumId w:val="0"/>
  </w:num>
  <w:num w:numId="18" w16cid:durableId="1321887752">
    <w:abstractNumId w:val="6"/>
  </w:num>
  <w:num w:numId="19" w16cid:durableId="1349454266">
    <w:abstractNumId w:val="11"/>
  </w:num>
  <w:num w:numId="20" w16cid:durableId="565847437">
    <w:abstractNumId w:val="15"/>
  </w:num>
  <w:num w:numId="21" w16cid:durableId="435178377">
    <w:abstractNumId w:val="14"/>
  </w:num>
  <w:num w:numId="22" w16cid:durableId="867983003">
    <w:abstractNumId w:val="25"/>
  </w:num>
  <w:num w:numId="23" w16cid:durableId="64379250">
    <w:abstractNumId w:val="8"/>
  </w:num>
  <w:num w:numId="24" w16cid:durableId="213319914">
    <w:abstractNumId w:val="4"/>
  </w:num>
  <w:num w:numId="25" w16cid:durableId="383914417">
    <w:abstractNumId w:val="29"/>
  </w:num>
  <w:num w:numId="26" w16cid:durableId="270236802">
    <w:abstractNumId w:val="7"/>
  </w:num>
  <w:num w:numId="27" w16cid:durableId="1747070809">
    <w:abstractNumId w:val="13"/>
  </w:num>
  <w:num w:numId="28" w16cid:durableId="938024397">
    <w:abstractNumId w:val="23"/>
  </w:num>
  <w:num w:numId="29" w16cid:durableId="1849179084">
    <w:abstractNumId w:val="17"/>
  </w:num>
  <w:num w:numId="30" w16cid:durableId="16739207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EB"/>
    <w:rsid w:val="00001A4E"/>
    <w:rsid w:val="00001EA1"/>
    <w:rsid w:val="00013CD0"/>
    <w:rsid w:val="000143BF"/>
    <w:rsid w:val="0001674C"/>
    <w:rsid w:val="00021731"/>
    <w:rsid w:val="00026D04"/>
    <w:rsid w:val="00032F4E"/>
    <w:rsid w:val="00037369"/>
    <w:rsid w:val="00041A6F"/>
    <w:rsid w:val="00044EC0"/>
    <w:rsid w:val="0004538C"/>
    <w:rsid w:val="00050D47"/>
    <w:rsid w:val="00051505"/>
    <w:rsid w:val="00052DB8"/>
    <w:rsid w:val="000566D9"/>
    <w:rsid w:val="0005718D"/>
    <w:rsid w:val="00057489"/>
    <w:rsid w:val="000620E4"/>
    <w:rsid w:val="000627F0"/>
    <w:rsid w:val="00062FDB"/>
    <w:rsid w:val="00065BA0"/>
    <w:rsid w:val="00076CF7"/>
    <w:rsid w:val="0008399B"/>
    <w:rsid w:val="00085634"/>
    <w:rsid w:val="00095210"/>
    <w:rsid w:val="0009558E"/>
    <w:rsid w:val="00097AC5"/>
    <w:rsid w:val="000A33E1"/>
    <w:rsid w:val="000C21CA"/>
    <w:rsid w:val="000C25DA"/>
    <w:rsid w:val="000D1CF5"/>
    <w:rsid w:val="000D3EFB"/>
    <w:rsid w:val="000D47EF"/>
    <w:rsid w:val="000D7CD2"/>
    <w:rsid w:val="000E2ED0"/>
    <w:rsid w:val="000E4094"/>
    <w:rsid w:val="000E4344"/>
    <w:rsid w:val="000E70D3"/>
    <w:rsid w:val="00101CAB"/>
    <w:rsid w:val="001075FA"/>
    <w:rsid w:val="00107D24"/>
    <w:rsid w:val="00110971"/>
    <w:rsid w:val="00113936"/>
    <w:rsid w:val="00123DFD"/>
    <w:rsid w:val="00133BB9"/>
    <w:rsid w:val="00136ABD"/>
    <w:rsid w:val="001370F1"/>
    <w:rsid w:val="00137131"/>
    <w:rsid w:val="001408E9"/>
    <w:rsid w:val="0014098A"/>
    <w:rsid w:val="00152193"/>
    <w:rsid w:val="0015715A"/>
    <w:rsid w:val="00162D74"/>
    <w:rsid w:val="00171A69"/>
    <w:rsid w:val="001731E1"/>
    <w:rsid w:val="00173CCE"/>
    <w:rsid w:val="00175173"/>
    <w:rsid w:val="00175942"/>
    <w:rsid w:val="00176AD7"/>
    <w:rsid w:val="00177209"/>
    <w:rsid w:val="00190FE6"/>
    <w:rsid w:val="00193C21"/>
    <w:rsid w:val="001977B9"/>
    <w:rsid w:val="001A21C5"/>
    <w:rsid w:val="001A49DE"/>
    <w:rsid w:val="001A6F6E"/>
    <w:rsid w:val="001B450A"/>
    <w:rsid w:val="001B5907"/>
    <w:rsid w:val="001D1B11"/>
    <w:rsid w:val="001D7C55"/>
    <w:rsid w:val="001E1239"/>
    <w:rsid w:val="001F4A4F"/>
    <w:rsid w:val="00200756"/>
    <w:rsid w:val="00203FAF"/>
    <w:rsid w:val="00216D20"/>
    <w:rsid w:val="00222B53"/>
    <w:rsid w:val="002237AB"/>
    <w:rsid w:val="002274CC"/>
    <w:rsid w:val="00246613"/>
    <w:rsid w:val="0025056B"/>
    <w:rsid w:val="002538EF"/>
    <w:rsid w:val="00255E66"/>
    <w:rsid w:val="0026389C"/>
    <w:rsid w:val="00270777"/>
    <w:rsid w:val="002736EA"/>
    <w:rsid w:val="00282B97"/>
    <w:rsid w:val="00284412"/>
    <w:rsid w:val="00287582"/>
    <w:rsid w:val="0029287A"/>
    <w:rsid w:val="002968CA"/>
    <w:rsid w:val="002A1E87"/>
    <w:rsid w:val="002A3447"/>
    <w:rsid w:val="002A60ED"/>
    <w:rsid w:val="002C1D0D"/>
    <w:rsid w:val="002E38A1"/>
    <w:rsid w:val="002F1C0F"/>
    <w:rsid w:val="003002A0"/>
    <w:rsid w:val="00316091"/>
    <w:rsid w:val="00325007"/>
    <w:rsid w:val="0033204F"/>
    <w:rsid w:val="00334972"/>
    <w:rsid w:val="003423BA"/>
    <w:rsid w:val="003425C1"/>
    <w:rsid w:val="00351AA1"/>
    <w:rsid w:val="003535F8"/>
    <w:rsid w:val="00360300"/>
    <w:rsid w:val="003610AB"/>
    <w:rsid w:val="00365423"/>
    <w:rsid w:val="003705EA"/>
    <w:rsid w:val="00384560"/>
    <w:rsid w:val="00392D6A"/>
    <w:rsid w:val="00394785"/>
    <w:rsid w:val="0039602C"/>
    <w:rsid w:val="003A32ED"/>
    <w:rsid w:val="003A6638"/>
    <w:rsid w:val="003A708C"/>
    <w:rsid w:val="003B098E"/>
    <w:rsid w:val="003C0652"/>
    <w:rsid w:val="003C3FEB"/>
    <w:rsid w:val="003C77AC"/>
    <w:rsid w:val="003D741A"/>
    <w:rsid w:val="003E0D62"/>
    <w:rsid w:val="003F488C"/>
    <w:rsid w:val="004032DE"/>
    <w:rsid w:val="004054D8"/>
    <w:rsid w:val="0040680A"/>
    <w:rsid w:val="00407BD6"/>
    <w:rsid w:val="004147FF"/>
    <w:rsid w:val="00416A55"/>
    <w:rsid w:val="00421339"/>
    <w:rsid w:val="004345D8"/>
    <w:rsid w:val="0044018F"/>
    <w:rsid w:val="00441895"/>
    <w:rsid w:val="00444416"/>
    <w:rsid w:val="00457A89"/>
    <w:rsid w:val="00460245"/>
    <w:rsid w:val="00470F7D"/>
    <w:rsid w:val="00471257"/>
    <w:rsid w:val="00475E69"/>
    <w:rsid w:val="0047675D"/>
    <w:rsid w:val="00493040"/>
    <w:rsid w:val="00494275"/>
    <w:rsid w:val="004A1610"/>
    <w:rsid w:val="004A470D"/>
    <w:rsid w:val="004A4CE8"/>
    <w:rsid w:val="004A7FB4"/>
    <w:rsid w:val="004B0029"/>
    <w:rsid w:val="004C0E3A"/>
    <w:rsid w:val="004D3C8B"/>
    <w:rsid w:val="004D4004"/>
    <w:rsid w:val="004D4B79"/>
    <w:rsid w:val="004D55C0"/>
    <w:rsid w:val="004D6748"/>
    <w:rsid w:val="004D78CE"/>
    <w:rsid w:val="004D7E80"/>
    <w:rsid w:val="004E5FCE"/>
    <w:rsid w:val="004E6E04"/>
    <w:rsid w:val="004F13A8"/>
    <w:rsid w:val="00500F74"/>
    <w:rsid w:val="00504D7A"/>
    <w:rsid w:val="00505697"/>
    <w:rsid w:val="00522F3E"/>
    <w:rsid w:val="005244AF"/>
    <w:rsid w:val="00536202"/>
    <w:rsid w:val="00544037"/>
    <w:rsid w:val="005562E7"/>
    <w:rsid w:val="0056345B"/>
    <w:rsid w:val="00564602"/>
    <w:rsid w:val="00571999"/>
    <w:rsid w:val="00571CF3"/>
    <w:rsid w:val="00577103"/>
    <w:rsid w:val="00577532"/>
    <w:rsid w:val="0057D7EA"/>
    <w:rsid w:val="00581486"/>
    <w:rsid w:val="005A69CF"/>
    <w:rsid w:val="005B45C8"/>
    <w:rsid w:val="005C012D"/>
    <w:rsid w:val="005C22BA"/>
    <w:rsid w:val="005C3F54"/>
    <w:rsid w:val="005C72C2"/>
    <w:rsid w:val="005D0D65"/>
    <w:rsid w:val="005D354A"/>
    <w:rsid w:val="005E1C2D"/>
    <w:rsid w:val="005E77D4"/>
    <w:rsid w:val="005F1A4C"/>
    <w:rsid w:val="00600D7B"/>
    <w:rsid w:val="006044F3"/>
    <w:rsid w:val="00613944"/>
    <w:rsid w:val="00633472"/>
    <w:rsid w:val="00642233"/>
    <w:rsid w:val="00642822"/>
    <w:rsid w:val="0065001A"/>
    <w:rsid w:val="00654953"/>
    <w:rsid w:val="00671772"/>
    <w:rsid w:val="00676A24"/>
    <w:rsid w:val="0068058A"/>
    <w:rsid w:val="006840EE"/>
    <w:rsid w:val="006A0A64"/>
    <w:rsid w:val="006A10EF"/>
    <w:rsid w:val="006A40E2"/>
    <w:rsid w:val="006B5498"/>
    <w:rsid w:val="006B59BF"/>
    <w:rsid w:val="006C2D3D"/>
    <w:rsid w:val="006D0CC4"/>
    <w:rsid w:val="006D2726"/>
    <w:rsid w:val="006D35DE"/>
    <w:rsid w:val="006D6385"/>
    <w:rsid w:val="006E01E9"/>
    <w:rsid w:val="006E5140"/>
    <w:rsid w:val="006E77EA"/>
    <w:rsid w:val="006E7D9A"/>
    <w:rsid w:val="00700193"/>
    <w:rsid w:val="00701A7B"/>
    <w:rsid w:val="007064F3"/>
    <w:rsid w:val="007119AB"/>
    <w:rsid w:val="00712DCF"/>
    <w:rsid w:val="00733928"/>
    <w:rsid w:val="00744A50"/>
    <w:rsid w:val="0075092B"/>
    <w:rsid w:val="0075397D"/>
    <w:rsid w:val="00754638"/>
    <w:rsid w:val="00754A19"/>
    <w:rsid w:val="00762EE8"/>
    <w:rsid w:val="007702D3"/>
    <w:rsid w:val="00773764"/>
    <w:rsid w:val="00793556"/>
    <w:rsid w:val="00793C28"/>
    <w:rsid w:val="007A4C5C"/>
    <w:rsid w:val="007B205D"/>
    <w:rsid w:val="007B28B9"/>
    <w:rsid w:val="007D23C9"/>
    <w:rsid w:val="007D35E9"/>
    <w:rsid w:val="007D5EB8"/>
    <w:rsid w:val="007E6C51"/>
    <w:rsid w:val="007E7123"/>
    <w:rsid w:val="007F0548"/>
    <w:rsid w:val="00800D21"/>
    <w:rsid w:val="00804688"/>
    <w:rsid w:val="008115B5"/>
    <w:rsid w:val="00813955"/>
    <w:rsid w:val="00813A4F"/>
    <w:rsid w:val="008150C6"/>
    <w:rsid w:val="00830D77"/>
    <w:rsid w:val="00831B9E"/>
    <w:rsid w:val="0085015F"/>
    <w:rsid w:val="00851460"/>
    <w:rsid w:val="00853D5E"/>
    <w:rsid w:val="00862A8E"/>
    <w:rsid w:val="00882D53"/>
    <w:rsid w:val="00884912"/>
    <w:rsid w:val="00895F44"/>
    <w:rsid w:val="008B0BB5"/>
    <w:rsid w:val="008B5FC1"/>
    <w:rsid w:val="008C4882"/>
    <w:rsid w:val="008C5292"/>
    <w:rsid w:val="008C5605"/>
    <w:rsid w:val="008C628D"/>
    <w:rsid w:val="008C6F60"/>
    <w:rsid w:val="008D0070"/>
    <w:rsid w:val="008D2423"/>
    <w:rsid w:val="008D3D26"/>
    <w:rsid w:val="008E02F6"/>
    <w:rsid w:val="008E2233"/>
    <w:rsid w:val="008E64E7"/>
    <w:rsid w:val="008F0B01"/>
    <w:rsid w:val="008F33E5"/>
    <w:rsid w:val="009078E2"/>
    <w:rsid w:val="00911719"/>
    <w:rsid w:val="00916DED"/>
    <w:rsid w:val="00920FD3"/>
    <w:rsid w:val="00923818"/>
    <w:rsid w:val="00941223"/>
    <w:rsid w:val="00943FA3"/>
    <w:rsid w:val="009469BE"/>
    <w:rsid w:val="00960C01"/>
    <w:rsid w:val="009618B0"/>
    <w:rsid w:val="009724CE"/>
    <w:rsid w:val="00982A78"/>
    <w:rsid w:val="00991670"/>
    <w:rsid w:val="009960C7"/>
    <w:rsid w:val="009B05F5"/>
    <w:rsid w:val="009B10C3"/>
    <w:rsid w:val="009B4E5E"/>
    <w:rsid w:val="009C343D"/>
    <w:rsid w:val="009C3501"/>
    <w:rsid w:val="009C396D"/>
    <w:rsid w:val="009E339D"/>
    <w:rsid w:val="009E612E"/>
    <w:rsid w:val="009F0F70"/>
    <w:rsid w:val="009F106B"/>
    <w:rsid w:val="009F1DB2"/>
    <w:rsid w:val="00A17E51"/>
    <w:rsid w:val="00A21408"/>
    <w:rsid w:val="00A23C4D"/>
    <w:rsid w:val="00A27C4D"/>
    <w:rsid w:val="00A32BB6"/>
    <w:rsid w:val="00A400AA"/>
    <w:rsid w:val="00A427B9"/>
    <w:rsid w:val="00A53902"/>
    <w:rsid w:val="00A568BF"/>
    <w:rsid w:val="00A67E2F"/>
    <w:rsid w:val="00A7368A"/>
    <w:rsid w:val="00A935AE"/>
    <w:rsid w:val="00A95BEC"/>
    <w:rsid w:val="00AA4E20"/>
    <w:rsid w:val="00AB0811"/>
    <w:rsid w:val="00AD1D1A"/>
    <w:rsid w:val="00AE4FEF"/>
    <w:rsid w:val="00AE78E3"/>
    <w:rsid w:val="00AF4FDF"/>
    <w:rsid w:val="00B11F36"/>
    <w:rsid w:val="00B13DFD"/>
    <w:rsid w:val="00B14787"/>
    <w:rsid w:val="00B17598"/>
    <w:rsid w:val="00B214E1"/>
    <w:rsid w:val="00B2510B"/>
    <w:rsid w:val="00B25648"/>
    <w:rsid w:val="00B30C7A"/>
    <w:rsid w:val="00B32F76"/>
    <w:rsid w:val="00B36770"/>
    <w:rsid w:val="00B45B22"/>
    <w:rsid w:val="00B501C2"/>
    <w:rsid w:val="00B529BA"/>
    <w:rsid w:val="00B547FD"/>
    <w:rsid w:val="00B5739F"/>
    <w:rsid w:val="00B60AC5"/>
    <w:rsid w:val="00B61A37"/>
    <w:rsid w:val="00B625BC"/>
    <w:rsid w:val="00B659DC"/>
    <w:rsid w:val="00B6785E"/>
    <w:rsid w:val="00B71E44"/>
    <w:rsid w:val="00B8078A"/>
    <w:rsid w:val="00B909BC"/>
    <w:rsid w:val="00B91015"/>
    <w:rsid w:val="00B92464"/>
    <w:rsid w:val="00BA5135"/>
    <w:rsid w:val="00BA60EE"/>
    <w:rsid w:val="00BB032B"/>
    <w:rsid w:val="00BB35A4"/>
    <w:rsid w:val="00BB64B1"/>
    <w:rsid w:val="00BB6ADD"/>
    <w:rsid w:val="00BB6F17"/>
    <w:rsid w:val="00BB7041"/>
    <w:rsid w:val="00BC1034"/>
    <w:rsid w:val="00BC7776"/>
    <w:rsid w:val="00BE25DF"/>
    <w:rsid w:val="00BE67DE"/>
    <w:rsid w:val="00BF56D7"/>
    <w:rsid w:val="00C02004"/>
    <w:rsid w:val="00C06DD9"/>
    <w:rsid w:val="00C07F0A"/>
    <w:rsid w:val="00C11718"/>
    <w:rsid w:val="00C12F73"/>
    <w:rsid w:val="00C151D5"/>
    <w:rsid w:val="00C21195"/>
    <w:rsid w:val="00C228B6"/>
    <w:rsid w:val="00C236BA"/>
    <w:rsid w:val="00C308A3"/>
    <w:rsid w:val="00C32032"/>
    <w:rsid w:val="00C34BB1"/>
    <w:rsid w:val="00C427FF"/>
    <w:rsid w:val="00C44411"/>
    <w:rsid w:val="00C67989"/>
    <w:rsid w:val="00C75DC6"/>
    <w:rsid w:val="00C772B6"/>
    <w:rsid w:val="00C839E8"/>
    <w:rsid w:val="00C85F96"/>
    <w:rsid w:val="00C922EC"/>
    <w:rsid w:val="00C936A7"/>
    <w:rsid w:val="00CA068A"/>
    <w:rsid w:val="00CA1529"/>
    <w:rsid w:val="00CA4AB7"/>
    <w:rsid w:val="00CB2355"/>
    <w:rsid w:val="00CB2C61"/>
    <w:rsid w:val="00CB4844"/>
    <w:rsid w:val="00CB521C"/>
    <w:rsid w:val="00CB60A2"/>
    <w:rsid w:val="00CD481F"/>
    <w:rsid w:val="00CE074B"/>
    <w:rsid w:val="00CE28D7"/>
    <w:rsid w:val="00CE2E9E"/>
    <w:rsid w:val="00CE38FE"/>
    <w:rsid w:val="00CE4DF7"/>
    <w:rsid w:val="00CE5EAA"/>
    <w:rsid w:val="00CE78F9"/>
    <w:rsid w:val="00D04274"/>
    <w:rsid w:val="00D06772"/>
    <w:rsid w:val="00D126A2"/>
    <w:rsid w:val="00D12CD6"/>
    <w:rsid w:val="00D1303E"/>
    <w:rsid w:val="00D21961"/>
    <w:rsid w:val="00D21AFB"/>
    <w:rsid w:val="00D24D78"/>
    <w:rsid w:val="00D279BF"/>
    <w:rsid w:val="00D3190C"/>
    <w:rsid w:val="00D34CDE"/>
    <w:rsid w:val="00D35DFB"/>
    <w:rsid w:val="00D37DEC"/>
    <w:rsid w:val="00D52BC1"/>
    <w:rsid w:val="00D52C03"/>
    <w:rsid w:val="00D72AF6"/>
    <w:rsid w:val="00D80200"/>
    <w:rsid w:val="00D9013E"/>
    <w:rsid w:val="00D90702"/>
    <w:rsid w:val="00DA6471"/>
    <w:rsid w:val="00DA6FCF"/>
    <w:rsid w:val="00DB4A24"/>
    <w:rsid w:val="00DC2ADC"/>
    <w:rsid w:val="00DC3C69"/>
    <w:rsid w:val="00DE460B"/>
    <w:rsid w:val="00DF0D75"/>
    <w:rsid w:val="00E11F8E"/>
    <w:rsid w:val="00E15A37"/>
    <w:rsid w:val="00E25CD3"/>
    <w:rsid w:val="00E3274A"/>
    <w:rsid w:val="00E35E7F"/>
    <w:rsid w:val="00E4681C"/>
    <w:rsid w:val="00E50829"/>
    <w:rsid w:val="00E715E1"/>
    <w:rsid w:val="00E75929"/>
    <w:rsid w:val="00E8415A"/>
    <w:rsid w:val="00E906E2"/>
    <w:rsid w:val="00EA377E"/>
    <w:rsid w:val="00EB0227"/>
    <w:rsid w:val="00EB18FC"/>
    <w:rsid w:val="00EB1EC2"/>
    <w:rsid w:val="00ED1A82"/>
    <w:rsid w:val="00EE08EC"/>
    <w:rsid w:val="00EE61FA"/>
    <w:rsid w:val="00EE7938"/>
    <w:rsid w:val="00EF3487"/>
    <w:rsid w:val="00EF5102"/>
    <w:rsid w:val="00F03865"/>
    <w:rsid w:val="00F03E55"/>
    <w:rsid w:val="00F05362"/>
    <w:rsid w:val="00F12F66"/>
    <w:rsid w:val="00F31164"/>
    <w:rsid w:val="00F320F4"/>
    <w:rsid w:val="00F328A2"/>
    <w:rsid w:val="00F4487E"/>
    <w:rsid w:val="00F4658E"/>
    <w:rsid w:val="00F55999"/>
    <w:rsid w:val="00F57165"/>
    <w:rsid w:val="00F60212"/>
    <w:rsid w:val="00F732EA"/>
    <w:rsid w:val="00F91CB9"/>
    <w:rsid w:val="00F938B1"/>
    <w:rsid w:val="00F939E5"/>
    <w:rsid w:val="00FA10EB"/>
    <w:rsid w:val="00FB31AC"/>
    <w:rsid w:val="00FB5337"/>
    <w:rsid w:val="00FB6130"/>
    <w:rsid w:val="00FC490D"/>
    <w:rsid w:val="00FC4BE6"/>
    <w:rsid w:val="00FC5943"/>
    <w:rsid w:val="00FC5B05"/>
    <w:rsid w:val="00FD161F"/>
    <w:rsid w:val="00FD55E3"/>
    <w:rsid w:val="00FE20CD"/>
    <w:rsid w:val="00FF0B5A"/>
    <w:rsid w:val="00FF1A1D"/>
    <w:rsid w:val="00FF5124"/>
    <w:rsid w:val="027E2309"/>
    <w:rsid w:val="04B526B7"/>
    <w:rsid w:val="058B94B0"/>
    <w:rsid w:val="05B5C3CB"/>
    <w:rsid w:val="0650F718"/>
    <w:rsid w:val="06CEE870"/>
    <w:rsid w:val="0721ACE5"/>
    <w:rsid w:val="0E639B79"/>
    <w:rsid w:val="1055C5D9"/>
    <w:rsid w:val="127B1E76"/>
    <w:rsid w:val="1A561643"/>
    <w:rsid w:val="1A927E97"/>
    <w:rsid w:val="1CAA0B8C"/>
    <w:rsid w:val="1D8E76B6"/>
    <w:rsid w:val="1E81ACC9"/>
    <w:rsid w:val="1F7C6028"/>
    <w:rsid w:val="24206B51"/>
    <w:rsid w:val="24F0EE4D"/>
    <w:rsid w:val="28F3A9A3"/>
    <w:rsid w:val="29C13842"/>
    <w:rsid w:val="2CA30BE5"/>
    <w:rsid w:val="2DABC855"/>
    <w:rsid w:val="31ED90E5"/>
    <w:rsid w:val="377D4A3D"/>
    <w:rsid w:val="39E23DEF"/>
    <w:rsid w:val="3C495BB5"/>
    <w:rsid w:val="3D2F0A04"/>
    <w:rsid w:val="3E4CF98A"/>
    <w:rsid w:val="4025A54E"/>
    <w:rsid w:val="407BE1AC"/>
    <w:rsid w:val="41D42777"/>
    <w:rsid w:val="438A60CA"/>
    <w:rsid w:val="4ACEDE99"/>
    <w:rsid w:val="4B031667"/>
    <w:rsid w:val="4C63EACD"/>
    <w:rsid w:val="4DFFBB2E"/>
    <w:rsid w:val="4E0A9D11"/>
    <w:rsid w:val="4ED5EA76"/>
    <w:rsid w:val="505ABD89"/>
    <w:rsid w:val="50AAC500"/>
    <w:rsid w:val="51423DD3"/>
    <w:rsid w:val="522B1EE3"/>
    <w:rsid w:val="587CCCBC"/>
    <w:rsid w:val="589A6067"/>
    <w:rsid w:val="5A0DC5D2"/>
    <w:rsid w:val="5B4F3730"/>
    <w:rsid w:val="5B9B4521"/>
    <w:rsid w:val="608C49EF"/>
    <w:rsid w:val="6176B3FE"/>
    <w:rsid w:val="642BDCB7"/>
    <w:rsid w:val="65367C36"/>
    <w:rsid w:val="67301C4F"/>
    <w:rsid w:val="6B095B7D"/>
    <w:rsid w:val="6DD47036"/>
    <w:rsid w:val="6F0E8ADE"/>
    <w:rsid w:val="6FFA604B"/>
    <w:rsid w:val="709F65EA"/>
    <w:rsid w:val="71021509"/>
    <w:rsid w:val="732ADDD0"/>
    <w:rsid w:val="73CBFAD2"/>
    <w:rsid w:val="756E2522"/>
    <w:rsid w:val="77352C9D"/>
    <w:rsid w:val="7D88DE47"/>
    <w:rsid w:val="7DB7CD43"/>
    <w:rsid w:val="7F24AEA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A6597"/>
  <w15:chartTrackingRefBased/>
  <w15:docId w15:val="{843E1456-84A6-4911-A5B2-5C5D37F9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FF5124"/>
    <w:pPr>
      <w:spacing w:before="100" w:beforeAutospacing="1" w:after="100" w:afterAutospacing="1" w:line="240" w:lineRule="auto"/>
      <w:outlineLvl w:val="0"/>
    </w:pPr>
    <w:rPr>
      <w:rFonts w:ascii="Times New Roman" w:eastAsia="Times New Roman" w:hAnsi="Times New Roman"/>
      <w:b/>
      <w:bCs/>
      <w:kern w:val="36"/>
      <w:sz w:val="48"/>
      <w:szCs w:val="48"/>
      <w:lang w:val="en-IN" w:eastAsia="en-GB"/>
    </w:rPr>
  </w:style>
  <w:style w:type="paragraph" w:styleId="Heading3">
    <w:name w:val="heading 3"/>
    <w:basedOn w:val="Normal"/>
    <w:next w:val="Normal"/>
    <w:link w:val="Heading3Char"/>
    <w:uiPriority w:val="9"/>
    <w:semiHidden/>
    <w:unhideWhenUsed/>
    <w:qFormat/>
    <w:rsid w:val="00FF5124"/>
    <w:pPr>
      <w:keepNext/>
      <w:keepLines/>
      <w:spacing w:before="40" w:after="0"/>
      <w:outlineLvl w:val="2"/>
    </w:pPr>
    <w:rPr>
      <w:rFonts w:ascii="Calibri Light" w:eastAsia="Times New Roman" w:hAnsi="Calibri Light"/>
      <w:color w:val="1F3763"/>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3FEB"/>
    <w:rPr>
      <w:color w:val="0563C1"/>
      <w:u w:val="single"/>
    </w:rPr>
  </w:style>
  <w:style w:type="paragraph" w:styleId="NoSpacing">
    <w:name w:val="No Spacing"/>
    <w:uiPriority w:val="1"/>
    <w:qFormat/>
    <w:rsid w:val="001408E9"/>
    <w:rPr>
      <w:sz w:val="22"/>
      <w:szCs w:val="22"/>
      <w:lang w:eastAsia="en-US"/>
    </w:rPr>
  </w:style>
  <w:style w:type="paragraph" w:styleId="FootnoteText">
    <w:name w:val="footnote text"/>
    <w:basedOn w:val="Normal"/>
    <w:link w:val="FootnoteTextChar"/>
    <w:uiPriority w:val="99"/>
    <w:unhideWhenUsed/>
    <w:rsid w:val="00C427FF"/>
    <w:pPr>
      <w:widowControl w:val="0"/>
      <w:autoSpaceDE w:val="0"/>
      <w:autoSpaceDN w:val="0"/>
      <w:adjustRightInd w:val="0"/>
      <w:spacing w:after="0" w:line="240" w:lineRule="auto"/>
    </w:pPr>
    <w:rPr>
      <w:rFonts w:eastAsia="TimesNewRomanPSMT"/>
      <w:sz w:val="20"/>
      <w:szCs w:val="20"/>
      <w:lang w:eastAsia="en-GB"/>
    </w:rPr>
  </w:style>
  <w:style w:type="character" w:customStyle="1" w:styleId="FootnoteTextChar">
    <w:name w:val="Footnote Text Char"/>
    <w:link w:val="FootnoteText"/>
    <w:uiPriority w:val="99"/>
    <w:rsid w:val="00C427FF"/>
    <w:rPr>
      <w:rFonts w:eastAsia="TimesNewRomanPSMT"/>
    </w:rPr>
  </w:style>
  <w:style w:type="character" w:styleId="FootnoteReference">
    <w:name w:val="footnote reference"/>
    <w:uiPriority w:val="99"/>
    <w:unhideWhenUsed/>
    <w:rsid w:val="00C427FF"/>
    <w:rPr>
      <w:vertAlign w:val="superscript"/>
    </w:rPr>
  </w:style>
  <w:style w:type="character" w:styleId="FollowedHyperlink">
    <w:name w:val="FollowedHyperlink"/>
    <w:uiPriority w:val="99"/>
    <w:semiHidden/>
    <w:unhideWhenUsed/>
    <w:rsid w:val="00C427FF"/>
    <w:rPr>
      <w:color w:val="954F72"/>
      <w:u w:val="single"/>
    </w:rPr>
  </w:style>
  <w:style w:type="paragraph" w:styleId="NormalWeb">
    <w:name w:val="Normal (Web)"/>
    <w:basedOn w:val="Normal"/>
    <w:uiPriority w:val="99"/>
    <w:unhideWhenUsed/>
    <w:rsid w:val="004D55C0"/>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8B0BB5"/>
    <w:rPr>
      <w:i/>
      <w:iCs/>
    </w:rPr>
  </w:style>
  <w:style w:type="paragraph" w:customStyle="1" w:styleId="Footnote">
    <w:name w:val="Footnote"/>
    <w:uiPriority w:val="99"/>
    <w:rsid w:val="003423BA"/>
    <w:pPr>
      <w:widowControl w:val="0"/>
      <w:autoSpaceDE w:val="0"/>
      <w:autoSpaceDN w:val="0"/>
      <w:adjustRightInd w:val="0"/>
    </w:pPr>
    <w:rPr>
      <w:rFonts w:eastAsia="TimesNewRomanPSMT"/>
    </w:rPr>
  </w:style>
  <w:style w:type="character" w:customStyle="1" w:styleId="Aucun">
    <w:name w:val="Aucun"/>
    <w:rsid w:val="00613944"/>
  </w:style>
  <w:style w:type="paragraph" w:styleId="Header">
    <w:name w:val="header"/>
    <w:basedOn w:val="Normal"/>
    <w:link w:val="HeaderChar"/>
    <w:uiPriority w:val="99"/>
    <w:unhideWhenUsed/>
    <w:rsid w:val="00A427B9"/>
    <w:pPr>
      <w:tabs>
        <w:tab w:val="center" w:pos="4513"/>
        <w:tab w:val="right" w:pos="9026"/>
      </w:tabs>
    </w:pPr>
  </w:style>
  <w:style w:type="character" w:customStyle="1" w:styleId="HeaderChar">
    <w:name w:val="Header Char"/>
    <w:link w:val="Header"/>
    <w:uiPriority w:val="99"/>
    <w:rsid w:val="00A427B9"/>
    <w:rPr>
      <w:sz w:val="22"/>
      <w:szCs w:val="22"/>
      <w:lang w:eastAsia="en-US"/>
    </w:rPr>
  </w:style>
  <w:style w:type="paragraph" w:styleId="Footer">
    <w:name w:val="footer"/>
    <w:basedOn w:val="Normal"/>
    <w:link w:val="FooterChar"/>
    <w:uiPriority w:val="99"/>
    <w:unhideWhenUsed/>
    <w:rsid w:val="00A427B9"/>
    <w:pPr>
      <w:tabs>
        <w:tab w:val="center" w:pos="4513"/>
        <w:tab w:val="right" w:pos="9026"/>
      </w:tabs>
    </w:pPr>
  </w:style>
  <w:style w:type="character" w:customStyle="1" w:styleId="FooterChar">
    <w:name w:val="Footer Char"/>
    <w:link w:val="Footer"/>
    <w:uiPriority w:val="99"/>
    <w:rsid w:val="00A427B9"/>
    <w:rPr>
      <w:sz w:val="22"/>
      <w:szCs w:val="22"/>
      <w:lang w:eastAsia="en-US"/>
    </w:rPr>
  </w:style>
  <w:style w:type="paragraph" w:customStyle="1" w:styleId="Default">
    <w:name w:val="Default"/>
    <w:basedOn w:val="Normal"/>
    <w:rsid w:val="00A568BF"/>
    <w:pPr>
      <w:autoSpaceDE w:val="0"/>
      <w:autoSpaceDN w:val="0"/>
      <w:spacing w:after="0" w:line="240" w:lineRule="auto"/>
    </w:pPr>
    <w:rPr>
      <w:rFonts w:cs="Calibri"/>
      <w:color w:val="000000"/>
      <w:sz w:val="24"/>
      <w:szCs w:val="24"/>
    </w:rPr>
  </w:style>
  <w:style w:type="paragraph" w:customStyle="1" w:styleId="H1">
    <w:name w:val="_ H_1"/>
    <w:basedOn w:val="Normal"/>
    <w:next w:val="Normal"/>
    <w:rsid w:val="00C922E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b/>
      <w:spacing w:val="4"/>
      <w:w w:val="103"/>
      <w:kern w:val="14"/>
      <w:sz w:val="24"/>
      <w:szCs w:val="20"/>
    </w:rPr>
  </w:style>
  <w:style w:type="paragraph" w:customStyle="1" w:styleId="SingleTxt">
    <w:name w:val="__Single Txt"/>
    <w:basedOn w:val="Normal"/>
    <w:rsid w:val="00C922E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spacing w:val="4"/>
      <w:w w:val="103"/>
      <w:kern w:val="14"/>
      <w:sz w:val="20"/>
      <w:szCs w:val="20"/>
    </w:rPr>
  </w:style>
  <w:style w:type="paragraph" w:customStyle="1" w:styleId="Corps">
    <w:name w:val="Corps"/>
    <w:rsid w:val="003B098E"/>
    <w:pPr>
      <w:pBdr>
        <w:top w:val="nil"/>
        <w:left w:val="nil"/>
        <w:bottom w:val="nil"/>
        <w:right w:val="nil"/>
        <w:between w:val="nil"/>
        <w:bar w:val="nil"/>
      </w:pBdr>
      <w:spacing w:after="160" w:line="259" w:lineRule="auto"/>
    </w:pPr>
    <w:rPr>
      <w:rFonts w:cs="Calibri"/>
      <w:color w:val="000000"/>
      <w:sz w:val="22"/>
      <w:szCs w:val="22"/>
      <w:u w:color="000000"/>
      <w:bdr w:val="nil"/>
      <w:lang w:val="en-US"/>
    </w:rPr>
  </w:style>
  <w:style w:type="paragraph" w:customStyle="1" w:styleId="En-tte">
    <w:name w:val="En-tête"/>
    <w:rsid w:val="003B098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styleId="CommentText">
    <w:name w:val="annotation text"/>
    <w:basedOn w:val="Normal"/>
    <w:link w:val="CommentTextChar"/>
    <w:uiPriority w:val="99"/>
    <w:unhideWhenUsed/>
    <w:rsid w:val="005A69CF"/>
    <w:pPr>
      <w:pBdr>
        <w:top w:val="nil"/>
        <w:left w:val="nil"/>
        <w:bottom w:val="nil"/>
        <w:right w:val="nil"/>
        <w:between w:val="nil"/>
        <w:bar w:val="nil"/>
      </w:pBdr>
      <w:spacing w:after="0" w:line="240" w:lineRule="auto"/>
    </w:pPr>
    <w:rPr>
      <w:rFonts w:ascii="Times New Roman" w:eastAsia="Arial Unicode MS" w:hAnsi="Times New Roman"/>
      <w:sz w:val="20"/>
      <w:szCs w:val="20"/>
      <w:bdr w:val="nil"/>
      <w:lang w:val="en-US"/>
    </w:rPr>
  </w:style>
  <w:style w:type="character" w:customStyle="1" w:styleId="CommentTextChar">
    <w:name w:val="Comment Text Char"/>
    <w:link w:val="CommentText"/>
    <w:uiPriority w:val="99"/>
    <w:rsid w:val="005A69CF"/>
    <w:rPr>
      <w:rFonts w:ascii="Times New Roman" w:eastAsia="Arial Unicode MS" w:hAnsi="Times New Roman"/>
      <w:bdr w:val="nil"/>
      <w:lang w:val="en-US" w:eastAsia="en-US"/>
    </w:rPr>
  </w:style>
  <w:style w:type="paragraph" w:styleId="PlainText">
    <w:name w:val="Plain Text"/>
    <w:basedOn w:val="Normal"/>
    <w:link w:val="PlainTextChar"/>
    <w:uiPriority w:val="99"/>
    <w:semiHidden/>
    <w:unhideWhenUsed/>
    <w:rsid w:val="00384560"/>
    <w:pPr>
      <w:spacing w:after="0" w:line="240" w:lineRule="auto"/>
    </w:pPr>
    <w:rPr>
      <w:rFonts w:ascii="Consolas" w:eastAsia="SimSun" w:hAnsi="Consolas"/>
      <w:sz w:val="21"/>
      <w:szCs w:val="21"/>
      <w:lang w:eastAsia="zh-CN"/>
    </w:rPr>
  </w:style>
  <w:style w:type="character" w:customStyle="1" w:styleId="PlainTextChar">
    <w:name w:val="Plain Text Char"/>
    <w:link w:val="PlainText"/>
    <w:uiPriority w:val="99"/>
    <w:semiHidden/>
    <w:rsid w:val="00384560"/>
    <w:rPr>
      <w:rFonts w:ascii="Consolas" w:eastAsia="SimSun" w:hAnsi="Consolas"/>
      <w:sz w:val="21"/>
      <w:szCs w:val="21"/>
      <w:lang w:eastAsia="zh-CN"/>
    </w:rPr>
  </w:style>
  <w:style w:type="paragraph" w:styleId="ListParagraph">
    <w:name w:val="List Paragraph"/>
    <w:basedOn w:val="Normal"/>
    <w:uiPriority w:val="34"/>
    <w:qFormat/>
    <w:rsid w:val="00B91015"/>
    <w:pPr>
      <w:ind w:left="720"/>
      <w:contextualSpacing/>
    </w:pPr>
    <w:rPr>
      <w:rFonts w:eastAsia="DengXian"/>
      <w:lang w:eastAsia="zh-CN"/>
    </w:rPr>
  </w:style>
  <w:style w:type="character" w:styleId="CommentReference">
    <w:name w:val="annotation reference"/>
    <w:uiPriority w:val="99"/>
    <w:semiHidden/>
    <w:unhideWhenUsed/>
    <w:rsid w:val="00C236BA"/>
    <w:rPr>
      <w:sz w:val="16"/>
      <w:szCs w:val="16"/>
    </w:rPr>
  </w:style>
  <w:style w:type="paragraph" w:styleId="CommentSubject">
    <w:name w:val="annotation subject"/>
    <w:basedOn w:val="CommentText"/>
    <w:next w:val="CommentText"/>
    <w:link w:val="CommentSubjectChar"/>
    <w:uiPriority w:val="99"/>
    <w:semiHidden/>
    <w:unhideWhenUsed/>
    <w:rsid w:val="00C236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Calibri" w:eastAsia="Calibri" w:hAnsi="Calibri"/>
      <w:b/>
      <w:bCs/>
      <w:bdr w:val="none" w:sz="0" w:space="0" w:color="auto"/>
      <w:lang w:val="en-GB"/>
    </w:rPr>
  </w:style>
  <w:style w:type="character" w:customStyle="1" w:styleId="CommentSubjectChar">
    <w:name w:val="Comment Subject Char"/>
    <w:link w:val="CommentSubject"/>
    <w:uiPriority w:val="99"/>
    <w:semiHidden/>
    <w:rsid w:val="00C236BA"/>
    <w:rPr>
      <w:rFonts w:ascii="Times New Roman" w:eastAsia="Arial Unicode MS" w:hAnsi="Times New Roman"/>
      <w:b/>
      <w:bCs/>
      <w:bdr w:val="nil"/>
      <w:lang w:val="en-US" w:eastAsia="en-US"/>
    </w:rPr>
  </w:style>
  <w:style w:type="paragraph" w:styleId="BalloonText">
    <w:name w:val="Balloon Text"/>
    <w:basedOn w:val="Normal"/>
    <w:link w:val="BalloonTextChar"/>
    <w:uiPriority w:val="99"/>
    <w:semiHidden/>
    <w:unhideWhenUsed/>
    <w:rsid w:val="00C236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36BA"/>
    <w:rPr>
      <w:rFonts w:ascii="Segoe UI" w:hAnsi="Segoe UI" w:cs="Segoe UI"/>
      <w:sz w:val="18"/>
      <w:szCs w:val="18"/>
      <w:lang w:eastAsia="en-US"/>
    </w:rPr>
  </w:style>
  <w:style w:type="paragraph" w:styleId="Revision">
    <w:name w:val="Revision"/>
    <w:hidden/>
    <w:uiPriority w:val="99"/>
    <w:semiHidden/>
    <w:rsid w:val="00754638"/>
    <w:rPr>
      <w:sz w:val="22"/>
      <w:szCs w:val="22"/>
      <w:lang w:eastAsia="en-US"/>
    </w:rPr>
  </w:style>
  <w:style w:type="character" w:styleId="Strong">
    <w:name w:val="Strong"/>
    <w:uiPriority w:val="22"/>
    <w:qFormat/>
    <w:rsid w:val="00B92464"/>
    <w:rPr>
      <w:b/>
      <w:bCs/>
    </w:rPr>
  </w:style>
  <w:style w:type="character" w:styleId="UnresolvedMention">
    <w:name w:val="Unresolved Mention"/>
    <w:uiPriority w:val="99"/>
    <w:semiHidden/>
    <w:unhideWhenUsed/>
    <w:rsid w:val="0015715A"/>
    <w:rPr>
      <w:color w:val="605E5C"/>
      <w:shd w:val="clear" w:color="auto" w:fill="E1DFDD"/>
    </w:rPr>
  </w:style>
  <w:style w:type="paragraph" w:customStyle="1" w:styleId="MediumGrid21">
    <w:name w:val="Medium Grid 21"/>
    <w:uiPriority w:val="1"/>
    <w:qFormat/>
    <w:rsid w:val="008C628D"/>
    <w:rPr>
      <w:sz w:val="22"/>
      <w:szCs w:val="22"/>
      <w:lang w:val="en-AU" w:eastAsia="en-US"/>
    </w:rPr>
  </w:style>
  <w:style w:type="paragraph" w:customStyle="1" w:styleId="xxmsonormal">
    <w:name w:val="x_xmsonormal"/>
    <w:basedOn w:val="Normal"/>
    <w:rsid w:val="008C628D"/>
    <w:pPr>
      <w:spacing w:after="0" w:line="240" w:lineRule="auto"/>
    </w:pPr>
    <w:rPr>
      <w:rFonts w:cs="Calibri"/>
      <w:lang w:eastAsia="en-GB"/>
    </w:rPr>
  </w:style>
  <w:style w:type="paragraph" w:customStyle="1" w:styleId="selectionshareable">
    <w:name w:val="selectionshareable"/>
    <w:basedOn w:val="Normal"/>
    <w:rsid w:val="008C628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FF5124"/>
    <w:rPr>
      <w:rFonts w:ascii="Times New Roman" w:eastAsia="Times New Roman" w:hAnsi="Times New Roman"/>
      <w:b/>
      <w:bCs/>
      <w:kern w:val="36"/>
      <w:sz w:val="48"/>
      <w:szCs w:val="48"/>
      <w:lang w:val="en-IN"/>
    </w:rPr>
  </w:style>
  <w:style w:type="character" w:customStyle="1" w:styleId="Heading3Char">
    <w:name w:val="Heading 3 Char"/>
    <w:basedOn w:val="DefaultParagraphFont"/>
    <w:link w:val="Heading3"/>
    <w:uiPriority w:val="9"/>
    <w:semiHidden/>
    <w:rsid w:val="00FF5124"/>
    <w:rPr>
      <w:rFonts w:ascii="Calibri Light" w:eastAsia="Times New Roman" w:hAnsi="Calibri Light"/>
      <w:color w:val="1F3763"/>
      <w:sz w:val="24"/>
      <w:szCs w:val="24"/>
      <w:lang w:eastAsia="zh-CN"/>
    </w:rPr>
  </w:style>
  <w:style w:type="paragraph" w:styleId="EndnoteText">
    <w:name w:val="endnote text"/>
    <w:basedOn w:val="Normal"/>
    <w:link w:val="EndnoteTextChar"/>
    <w:uiPriority w:val="99"/>
    <w:semiHidden/>
    <w:unhideWhenUsed/>
    <w:rsid w:val="00C320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032"/>
    <w:rPr>
      <w:lang w:eastAsia="en-US"/>
    </w:rPr>
  </w:style>
  <w:style w:type="paragraph" w:customStyle="1" w:styleId="BodyText1">
    <w:name w:val="Body Text1"/>
    <w:basedOn w:val="Normal"/>
    <w:rsid w:val="00E8415A"/>
    <w:pPr>
      <w:spacing w:after="120" w:line="240" w:lineRule="auto"/>
    </w:pPr>
    <w:rPr>
      <w:rFonts w:ascii="Arial" w:eastAsia="Times"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1392">
      <w:bodyDiv w:val="1"/>
      <w:marLeft w:val="0"/>
      <w:marRight w:val="0"/>
      <w:marTop w:val="0"/>
      <w:marBottom w:val="0"/>
      <w:divBdr>
        <w:top w:val="none" w:sz="0" w:space="0" w:color="auto"/>
        <w:left w:val="none" w:sz="0" w:space="0" w:color="auto"/>
        <w:bottom w:val="none" w:sz="0" w:space="0" w:color="auto"/>
        <w:right w:val="none" w:sz="0" w:space="0" w:color="auto"/>
      </w:divBdr>
    </w:div>
    <w:div w:id="1998996575">
      <w:bodyDiv w:val="1"/>
      <w:marLeft w:val="0"/>
      <w:marRight w:val="0"/>
      <w:marTop w:val="0"/>
      <w:marBottom w:val="0"/>
      <w:divBdr>
        <w:top w:val="none" w:sz="0" w:space="0" w:color="auto"/>
        <w:left w:val="none" w:sz="0" w:space="0" w:color="auto"/>
        <w:bottom w:val="none" w:sz="0" w:space="0" w:color="auto"/>
        <w:right w:val="none" w:sz="0" w:space="0" w:color="auto"/>
      </w:divBdr>
      <w:divsChild>
        <w:div w:id="2068916326">
          <w:marLeft w:val="0"/>
          <w:marRight w:val="0"/>
          <w:marTop w:val="0"/>
          <w:marBottom w:val="0"/>
          <w:divBdr>
            <w:top w:val="none" w:sz="0" w:space="0" w:color="auto"/>
            <w:left w:val="none" w:sz="0" w:space="0" w:color="auto"/>
            <w:bottom w:val="none" w:sz="0" w:space="0" w:color="auto"/>
            <w:right w:val="none" w:sz="0" w:space="0" w:color="auto"/>
          </w:divBdr>
          <w:divsChild>
            <w:div w:id="1609196728">
              <w:marLeft w:val="0"/>
              <w:marRight w:val="0"/>
              <w:marTop w:val="0"/>
              <w:marBottom w:val="0"/>
              <w:divBdr>
                <w:top w:val="none" w:sz="0" w:space="0" w:color="auto"/>
                <w:left w:val="none" w:sz="0" w:space="0" w:color="auto"/>
                <w:bottom w:val="none" w:sz="0" w:space="0" w:color="auto"/>
                <w:right w:val="none" w:sz="0" w:space="0" w:color="auto"/>
              </w:divBdr>
              <w:divsChild>
                <w:div w:id="1556576144">
                  <w:marLeft w:val="0"/>
                  <w:marRight w:val="0"/>
                  <w:marTop w:val="0"/>
                  <w:marBottom w:val="0"/>
                  <w:divBdr>
                    <w:top w:val="none" w:sz="0" w:space="0" w:color="auto"/>
                    <w:left w:val="none" w:sz="0" w:space="0" w:color="auto"/>
                    <w:bottom w:val="none" w:sz="0" w:space="0" w:color="auto"/>
                    <w:right w:val="none" w:sz="0" w:space="0" w:color="auto"/>
                  </w:divBdr>
                  <w:divsChild>
                    <w:div w:id="1195461916">
                      <w:marLeft w:val="0"/>
                      <w:marRight w:val="0"/>
                      <w:marTop w:val="0"/>
                      <w:marBottom w:val="0"/>
                      <w:divBdr>
                        <w:top w:val="none" w:sz="0" w:space="0" w:color="auto"/>
                        <w:left w:val="none" w:sz="0" w:space="0" w:color="auto"/>
                        <w:bottom w:val="none" w:sz="0" w:space="0" w:color="auto"/>
                        <w:right w:val="none" w:sz="0" w:space="0" w:color="auto"/>
                      </w:divBdr>
                      <w:divsChild>
                        <w:div w:id="13975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5150">
                  <w:marLeft w:val="0"/>
                  <w:marRight w:val="0"/>
                  <w:marTop w:val="0"/>
                  <w:marBottom w:val="0"/>
                  <w:divBdr>
                    <w:top w:val="none" w:sz="0" w:space="0" w:color="auto"/>
                    <w:left w:val="none" w:sz="0" w:space="0" w:color="auto"/>
                    <w:bottom w:val="none" w:sz="0" w:space="0" w:color="auto"/>
                    <w:right w:val="none" w:sz="0" w:space="0" w:color="auto"/>
                  </w:divBdr>
                  <w:divsChild>
                    <w:div w:id="1045562726">
                      <w:marLeft w:val="0"/>
                      <w:marRight w:val="0"/>
                      <w:marTop w:val="0"/>
                      <w:marBottom w:val="0"/>
                      <w:divBdr>
                        <w:top w:val="none" w:sz="0" w:space="0" w:color="auto"/>
                        <w:left w:val="none" w:sz="0" w:space="0" w:color="auto"/>
                        <w:bottom w:val="none" w:sz="0" w:space="0" w:color="auto"/>
                        <w:right w:val="none" w:sz="0" w:space="0" w:color="auto"/>
                      </w:divBdr>
                      <w:divsChild>
                        <w:div w:id="367150490">
                          <w:marLeft w:val="0"/>
                          <w:marRight w:val="0"/>
                          <w:marTop w:val="0"/>
                          <w:marBottom w:val="0"/>
                          <w:divBdr>
                            <w:top w:val="none" w:sz="0" w:space="0" w:color="auto"/>
                            <w:left w:val="none" w:sz="0" w:space="0" w:color="auto"/>
                            <w:bottom w:val="none" w:sz="0" w:space="0" w:color="auto"/>
                            <w:right w:val="none" w:sz="0" w:space="0" w:color="auto"/>
                          </w:divBdr>
                          <w:divsChild>
                            <w:div w:id="17724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1394">
                  <w:marLeft w:val="0"/>
                  <w:marRight w:val="0"/>
                  <w:marTop w:val="0"/>
                  <w:marBottom w:val="0"/>
                  <w:divBdr>
                    <w:top w:val="none" w:sz="0" w:space="0" w:color="auto"/>
                    <w:left w:val="none" w:sz="0" w:space="0" w:color="auto"/>
                    <w:bottom w:val="none" w:sz="0" w:space="0" w:color="auto"/>
                    <w:right w:val="none" w:sz="0" w:space="0" w:color="auto"/>
                  </w:divBdr>
                  <w:divsChild>
                    <w:div w:id="1330711889">
                      <w:marLeft w:val="0"/>
                      <w:marRight w:val="0"/>
                      <w:marTop w:val="0"/>
                      <w:marBottom w:val="0"/>
                      <w:divBdr>
                        <w:top w:val="none" w:sz="0" w:space="0" w:color="auto"/>
                        <w:left w:val="none" w:sz="0" w:space="0" w:color="auto"/>
                        <w:bottom w:val="none" w:sz="0" w:space="0" w:color="auto"/>
                        <w:right w:val="none" w:sz="0" w:space="0" w:color="auto"/>
                      </w:divBdr>
                      <w:divsChild>
                        <w:div w:id="247077086">
                          <w:marLeft w:val="0"/>
                          <w:marRight w:val="0"/>
                          <w:marTop w:val="0"/>
                          <w:marBottom w:val="0"/>
                          <w:divBdr>
                            <w:top w:val="none" w:sz="0" w:space="0" w:color="auto"/>
                            <w:left w:val="none" w:sz="0" w:space="0" w:color="auto"/>
                            <w:bottom w:val="none" w:sz="0" w:space="0" w:color="auto"/>
                            <w:right w:val="none" w:sz="0" w:space="0" w:color="auto"/>
                          </w:divBdr>
                        </w:div>
                        <w:div w:id="173686531">
                          <w:marLeft w:val="0"/>
                          <w:marRight w:val="0"/>
                          <w:marTop w:val="0"/>
                          <w:marBottom w:val="0"/>
                          <w:divBdr>
                            <w:top w:val="none" w:sz="0" w:space="0" w:color="auto"/>
                            <w:left w:val="none" w:sz="0" w:space="0" w:color="auto"/>
                            <w:bottom w:val="none" w:sz="0" w:space="0" w:color="auto"/>
                            <w:right w:val="none" w:sz="0" w:space="0" w:color="auto"/>
                          </w:divBdr>
                        </w:div>
                        <w:div w:id="20441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53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ecinsdumonde.org/sur-le-terrain/travailleuses-du-sexe/" TargetMode="External"/><Relationship Id="rId18" Type="http://schemas.openxmlformats.org/officeDocument/2006/relationships/hyperlink" Target="http://msmgf.org/msmgf-on-the-rentboy-raids-no-justice-in-criminalizing-sex-work/" TargetMode="External"/><Relationship Id="rId26" Type="http://schemas.openxmlformats.org/officeDocument/2006/relationships/hyperlink" Target="https://www.nswp.org/es/node/4023" TargetMode="External"/><Relationship Id="rId39" Type="http://schemas.openxmlformats.org/officeDocument/2006/relationships/customXml" Target="../customXml/item2.xml"/><Relationship Id="rId21" Type="http://schemas.openxmlformats.org/officeDocument/2006/relationships/hyperlink" Target="http://www.gaatw.org/statements/GAATWStatement_05.2013.pdf" TargetMode="External"/><Relationship Id="rId34"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pensocietyfoundations.org/publications/ten-reasons-decriminalize-sex-work" TargetMode="External"/><Relationship Id="rId20" Type="http://schemas.openxmlformats.org/officeDocument/2006/relationships/hyperlink" Target="https://www.nswp.org/resource/research/sex-worker-rights-almost-everything-you-wanted-know-were-too-afraid-ask" TargetMode="External"/><Relationship Id="rId29" Type="http://schemas.openxmlformats.org/officeDocument/2006/relationships/hyperlink" Target="https://freedomnetworkusa.org/app/uploads/2021/09/FNUSAStatementDecrimSept2021.pdf"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publications/i/item/9789241506182" TargetMode="External"/><Relationship Id="rId24" Type="http://schemas.openxmlformats.org/officeDocument/2006/relationships/hyperlink" Target="https://www.nswp.org/resource/icw-sex-work-hiv-position-statement" TargetMode="External"/><Relationship Id="rId32" Type="http://schemas.openxmlformats.org/officeDocument/2006/relationships/hyperlink" Target="https://ilga.org/sex-work-lgbti-organisations-call-for-decriminalisation"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hivlawcommission.org/index.php/report" TargetMode="External"/><Relationship Id="rId23" Type="http://schemas.openxmlformats.org/officeDocument/2006/relationships/hyperlink" Target="https://frontlineaids.org/the-perils-of-criminalising-sex-work/" TargetMode="External"/><Relationship Id="rId28" Type="http://schemas.openxmlformats.org/officeDocument/2006/relationships/hyperlink" Target="https://picum.org/safeguarding-the-human-rights-and-dignity-of-undocumented-migrant-sex-workers/" TargetMode="External"/><Relationship Id="rId36" Type="http://schemas.openxmlformats.org/officeDocument/2006/relationships/footer" Target="footer2.xml"/><Relationship Id="rId10" Type="http://schemas.openxmlformats.org/officeDocument/2006/relationships/hyperlink" Target="https://www.undp.org/content/undp/en/home/librarypage/hiv-aids/sex-work-and-the-law-in-asia-and-the-pacific.html" TargetMode="External"/><Relationship Id="rId19" Type="http://schemas.openxmlformats.org/officeDocument/2006/relationships/hyperlink" Target="http://www.awid.org/news-and-analysis/awid-calls-voices-sex-workers-be-heard-european-parliament" TargetMode="External"/><Relationship Id="rId31" Type="http://schemas.openxmlformats.org/officeDocument/2006/relationships/hyperlink" Target="https://www.eswalliance.org/launching_european_coalition_sex_workers_rights_inclusion" TargetMode="External"/><Relationship Id="rId4" Type="http://schemas.openxmlformats.org/officeDocument/2006/relationships/settings" Target="settings.xml"/><Relationship Id="rId9" Type="http://schemas.openxmlformats.org/officeDocument/2006/relationships/hyperlink" Target="https://www.who.int/publications/i/item/9789241506182" TargetMode="External"/><Relationship Id="rId14" Type="http://schemas.openxmlformats.org/officeDocument/2006/relationships/hyperlink" Target="https://www.hrw.org/world-report/2014" TargetMode="External"/><Relationship Id="rId22" Type="http://schemas.openxmlformats.org/officeDocument/2006/relationships/hyperlink" Target="http://www.thelancet.com/series/HIV-and-sex-workers" TargetMode="External"/><Relationship Id="rId27" Type="http://schemas.openxmlformats.org/officeDocument/2006/relationships/hyperlink" Target="https://www.ilga-europe.org/resources/news/latest-news/empowering-lgbti-sex-workers-new-position-paper" TargetMode="External"/><Relationship Id="rId30" Type="http://schemas.openxmlformats.org/officeDocument/2006/relationships/hyperlink" Target="https://stopaids.org.uk/resources/stopaids-position-paper-supporting-the-full-decriminalisation-of-sex-work/" TargetMode="External"/><Relationship Id="rId35" Type="http://schemas.openxmlformats.org/officeDocument/2006/relationships/header" Target="header1.xml"/><Relationship Id="rId8" Type="http://schemas.openxmlformats.org/officeDocument/2006/relationships/hyperlink" Target="https://www.unaids.org/en/resources/documents/2012/20120402_UNAIDS-guidance-note-HIV-sex-work" TargetMode="External"/><Relationship Id="rId3" Type="http://schemas.openxmlformats.org/officeDocument/2006/relationships/styles" Target="styles.xml"/><Relationship Id="rId12" Type="http://schemas.openxmlformats.org/officeDocument/2006/relationships/hyperlink" Target="https://www.amnesty.org/en/documents/pol30/4062/2016/en/" TargetMode="External"/><Relationship Id="rId17" Type="http://schemas.openxmlformats.org/officeDocument/2006/relationships/hyperlink" Target="https://gnpplus.twelvetrains.nl/2020/12/01/world-aids-day-2020-centering-key-populations-in-the-global-hiv-response/" TargetMode="External"/><Relationship Id="rId25" Type="http://schemas.openxmlformats.org/officeDocument/2006/relationships/hyperlink" Target="https://law.yale.edu/ghjp/projects/gender-sexuality-and-rights/protecting-health-and-rights-sex-workers-us-and-globally" TargetMode="External"/><Relationship Id="rId33" Type="http://schemas.openxmlformats.org/officeDocument/2006/relationships/image" Target="media/image1.png"/><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sw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swp.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hrp.com.au/wp-content/uploads/2014/10/NB10013.pdf" TargetMode="External"/><Relationship Id="rId13" Type="http://schemas.openxmlformats.org/officeDocument/2006/relationships/hyperlink" Target="https://www.opensocietyfoundations.org/publications/no-turning-back" TargetMode="External"/><Relationship Id="rId3" Type="http://schemas.openxmlformats.org/officeDocument/2006/relationships/hyperlink" Target="https://www.unaids.org/en/resources/documents/2020/rights-in-a-pandemic" TargetMode="External"/><Relationship Id="rId7" Type="http://schemas.openxmlformats.org/officeDocument/2006/relationships/hyperlink" Target="https://www.kirby.unsw.edu.au/sites/default/files/documents/SHP_NSW-Sex-Industry-Report-2012.pdf" TargetMode="External"/><Relationship Id="rId12" Type="http://schemas.openxmlformats.org/officeDocument/2006/relationships/hyperlink" Target="https://www.nswp.org/resource/nswp-smart-guides/smart-guide-advocacy-tools-and-resources-used-sex-worker-led-organisations" TargetMode="External"/><Relationship Id="rId2" Type="http://schemas.openxmlformats.org/officeDocument/2006/relationships/hyperlink" Target="https://www.nswp.org/resource/nswp-briefing-papers/briefing-paper-sex-workers-lack-access-justice" TargetMode="External"/><Relationship Id="rId1" Type="http://schemas.openxmlformats.org/officeDocument/2006/relationships/hyperlink" Target="https://www.nswp.org/country/south-africa" TargetMode="External"/><Relationship Id="rId6" Type="http://schemas.openxmlformats.org/officeDocument/2006/relationships/hyperlink" Target="https://www.australianpolice.com.au/wp-content/uploads/2017/05/RCPS-Report-Volume-1.pdf" TargetMode="External"/><Relationship Id="rId11" Type="http://schemas.openxmlformats.org/officeDocument/2006/relationships/hyperlink" Target="https://www.theguardian.com/world/2020/apr/28/dont-have-to-fight-for-pennies-new-zealand-safety-net-helps-sex-workers-in-lockdown" TargetMode="External"/><Relationship Id="rId5" Type="http://schemas.openxmlformats.org/officeDocument/2006/relationships/hyperlink" Target="https://www.nswp.org/resource/nswp-briefing-papers/briefing-paper-sex-workers-lack-access-justice" TargetMode="External"/><Relationship Id="rId15" Type="http://schemas.openxmlformats.org/officeDocument/2006/relationships/hyperlink" Target="https://www.nswp.org/resource/nswp-smart-guides/smart-sex-workers-guide-community-led-responses-covid-19" TargetMode="External"/><Relationship Id="rId10" Type="http://schemas.openxmlformats.org/officeDocument/2006/relationships/hyperlink" Target="https://link.springer.com/article/10.1007/s13178-021-00605-7" TargetMode="External"/><Relationship Id="rId4" Type="http://schemas.openxmlformats.org/officeDocument/2006/relationships/hyperlink" Target="https://www.nswp.org/resource/nswp-policy-briefs/the-impact-criminalisation-sex-workers-vulnerability-hiv-and-violence" TargetMode="External"/><Relationship Id="rId9" Type="http://schemas.openxmlformats.org/officeDocument/2006/relationships/hyperlink" Target="https://www.researchgate.net/publication/280445933_A_decade_of_decriminalization_Sex_work_%27down_under%27_but_not_underground" TargetMode="External"/><Relationship Id="rId14" Type="http://schemas.openxmlformats.org/officeDocument/2006/relationships/hyperlink" Target="https://www.nswp.org/resource/nswp-smart-guides/the-smart-sex-workers-guide-social-prot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Global Network of Sex Work Projects / UK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3E0EEE2-D88E-4605-AE9F-A83A90A86069}">
  <ds:schemaRefs>
    <ds:schemaRef ds:uri="http://schemas.openxmlformats.org/officeDocument/2006/bibliography"/>
  </ds:schemaRefs>
</ds:datastoreItem>
</file>

<file path=customXml/itemProps2.xml><?xml version="1.0" encoding="utf-8"?>
<ds:datastoreItem xmlns:ds="http://schemas.openxmlformats.org/officeDocument/2006/customXml" ds:itemID="{330F2D55-205D-42BE-BDEA-AD45EACEE275}"/>
</file>

<file path=customXml/itemProps3.xml><?xml version="1.0" encoding="utf-8"?>
<ds:datastoreItem xmlns:ds="http://schemas.openxmlformats.org/officeDocument/2006/customXml" ds:itemID="{D2C527C6-0273-4F25-8A2E-7310B07796BF}"/>
</file>

<file path=customXml/itemProps4.xml><?xml version="1.0" encoding="utf-8"?>
<ds:datastoreItem xmlns:ds="http://schemas.openxmlformats.org/officeDocument/2006/customXml" ds:itemID="{72C4B766-7D2B-4BC6-8673-E5E6C20D3756}"/>
</file>

<file path=docProps/app.xml><?xml version="1.0" encoding="utf-8"?>
<Properties xmlns="http://schemas.openxmlformats.org/officeDocument/2006/extended-properties" xmlns:vt="http://schemas.openxmlformats.org/officeDocument/2006/docPropsVTypes">
  <Template>Normal</Template>
  <TotalTime>0</TotalTime>
  <Pages>4</Pages>
  <Words>2151</Words>
  <Characters>12265</Characters>
  <Application>Microsoft Office Word</Application>
  <DocSecurity>0</DocSecurity>
  <Lines>102</Lines>
  <Paragraphs>28</Paragraphs>
  <ScaleCrop>false</ScaleCrop>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McCulloch</dc:creator>
  <cp:keywords/>
  <dc:description/>
  <cp:lastModifiedBy>Jules Kim</cp:lastModifiedBy>
  <cp:revision>8</cp:revision>
  <cp:lastPrinted>2022-02-15T09:07:00Z</cp:lastPrinted>
  <dcterms:created xsi:type="dcterms:W3CDTF">2023-08-23T14:01:00Z</dcterms:created>
  <dcterms:modified xsi:type="dcterms:W3CDTF">2023-09-15T14:29:00Z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